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3746D">
      <w:pPr>
        <w:spacing w:line="360" w:lineRule="auto"/>
        <w:jc w:val="center"/>
        <w:rPr>
          <w:rFonts w:ascii="宋体" w:hAnsi="宋体"/>
          <w:b/>
          <w:color w:val="auto"/>
          <w:sz w:val="44"/>
          <w:szCs w:val="44"/>
          <w:highlight w:val="none"/>
        </w:rPr>
      </w:pPr>
    </w:p>
    <w:p w14:paraId="677CEEB8">
      <w:pPr>
        <w:spacing w:line="360" w:lineRule="auto"/>
        <w:jc w:val="center"/>
        <w:rPr>
          <w:rFonts w:ascii="宋体" w:hAnsi="宋体"/>
          <w:b/>
          <w:color w:val="auto"/>
          <w:sz w:val="44"/>
          <w:szCs w:val="44"/>
          <w:highlight w:val="none"/>
        </w:rPr>
      </w:pPr>
    </w:p>
    <w:p w14:paraId="0F33DB70">
      <w:pPr>
        <w:spacing w:line="360" w:lineRule="auto"/>
        <w:jc w:val="center"/>
        <w:rPr>
          <w:rFonts w:ascii="宋体" w:hAnsi="宋体"/>
          <w:b/>
          <w:color w:val="auto"/>
          <w:sz w:val="44"/>
          <w:szCs w:val="44"/>
          <w:highlight w:val="none"/>
        </w:rPr>
      </w:pPr>
    </w:p>
    <w:p w14:paraId="189DE501">
      <w:pPr>
        <w:spacing w:line="360" w:lineRule="auto"/>
        <w:jc w:val="center"/>
        <w:rPr>
          <w:rFonts w:ascii="宋体" w:hAnsi="宋体"/>
          <w:b/>
          <w:color w:val="auto"/>
          <w:sz w:val="52"/>
          <w:szCs w:val="52"/>
          <w:highlight w:val="none"/>
        </w:rPr>
      </w:pPr>
      <w:r>
        <w:rPr>
          <w:rFonts w:hint="eastAsia" w:ascii="宋体" w:hAnsi="宋体"/>
          <w:b/>
          <w:color w:val="auto"/>
          <w:sz w:val="52"/>
          <w:szCs w:val="52"/>
          <w:highlight w:val="none"/>
        </w:rPr>
        <w:t>浙能武威2×1000MW调峰火电机组工程</w:t>
      </w:r>
    </w:p>
    <w:p w14:paraId="3080A81A">
      <w:pPr>
        <w:spacing w:line="360" w:lineRule="auto"/>
        <w:rPr>
          <w:rFonts w:ascii="宋体" w:hAnsi="宋体"/>
          <w:b/>
          <w:color w:val="auto"/>
          <w:sz w:val="44"/>
          <w:szCs w:val="44"/>
          <w:highlight w:val="none"/>
        </w:rPr>
      </w:pPr>
    </w:p>
    <w:p w14:paraId="6F28CFAB">
      <w:pPr>
        <w:spacing w:line="360" w:lineRule="auto"/>
        <w:jc w:val="center"/>
        <w:rPr>
          <w:rFonts w:ascii="宋体" w:hAnsi="宋体"/>
          <w:b/>
          <w:color w:val="auto"/>
          <w:sz w:val="48"/>
          <w:szCs w:val="48"/>
          <w:highlight w:val="none"/>
        </w:rPr>
      </w:pPr>
      <w:r>
        <w:rPr>
          <w:rFonts w:hint="eastAsia" w:ascii="宋体" w:hAnsi="宋体"/>
          <w:b/>
          <w:color w:val="auto"/>
          <w:sz w:val="48"/>
          <w:szCs w:val="48"/>
          <w:highlight w:val="none"/>
        </w:rPr>
        <w:t>网络监控系统（NCS）设备</w:t>
      </w:r>
      <w:r>
        <w:rPr>
          <w:rFonts w:ascii="宋体" w:hAnsi="宋体"/>
          <w:b/>
          <w:color w:val="auto"/>
          <w:sz w:val="48"/>
          <w:szCs w:val="48"/>
          <w:highlight w:val="none"/>
        </w:rPr>
        <w:t>招标文件</w:t>
      </w:r>
    </w:p>
    <w:p w14:paraId="148E9EF2">
      <w:pPr>
        <w:spacing w:line="360" w:lineRule="auto"/>
        <w:rPr>
          <w:rFonts w:ascii="宋体" w:hAnsi="宋体"/>
          <w:color w:val="auto"/>
          <w:highlight w:val="none"/>
        </w:rPr>
      </w:pPr>
    </w:p>
    <w:p w14:paraId="4610AFE2">
      <w:pPr>
        <w:spacing w:line="360" w:lineRule="auto"/>
        <w:rPr>
          <w:rFonts w:ascii="宋体" w:hAnsi="宋体"/>
          <w:color w:val="auto"/>
          <w:highlight w:val="none"/>
        </w:rPr>
      </w:pPr>
    </w:p>
    <w:p w14:paraId="074C4785">
      <w:pPr>
        <w:spacing w:line="360" w:lineRule="auto"/>
        <w:jc w:val="center"/>
        <w:rPr>
          <w:rFonts w:ascii="宋体" w:hAnsi="宋体"/>
          <w:b/>
          <w:color w:val="auto"/>
          <w:sz w:val="48"/>
          <w:szCs w:val="48"/>
          <w:highlight w:val="none"/>
        </w:rPr>
        <w:sectPr>
          <w:pgSz w:w="11906" w:h="16838"/>
          <w:pgMar w:top="1758" w:right="1418" w:bottom="1077" w:left="1418" w:header="1588" w:footer="1077" w:gutter="0"/>
          <w:pgNumType w:start="1"/>
          <w:cols w:space="425" w:num="1"/>
          <w:docGrid w:type="linesAndChars" w:linePitch="312" w:charSpace="0"/>
        </w:sectPr>
      </w:pPr>
      <w:bookmarkStart w:id="0" w:name="_Toc215298563"/>
      <w:bookmarkStart w:id="1" w:name="_Toc286153212"/>
      <w:bookmarkStart w:id="2" w:name="_Toc215298661"/>
      <w:bookmarkStart w:id="3" w:name="_Toc215298515"/>
      <w:r>
        <w:rPr>
          <w:rFonts w:hint="eastAsia" w:ascii="宋体" w:hAnsi="宋体"/>
          <w:b/>
          <w:color w:val="auto"/>
          <w:sz w:val="48"/>
          <w:szCs w:val="48"/>
          <w:highlight w:val="none"/>
        </w:rPr>
        <w:t>技术规范</w:t>
      </w:r>
      <w:bookmarkEnd w:id="0"/>
      <w:bookmarkEnd w:id="1"/>
      <w:bookmarkEnd w:id="2"/>
      <w:bookmarkEnd w:id="3"/>
      <w:r>
        <w:rPr>
          <w:rFonts w:hint="eastAsia" w:ascii="宋体" w:hAnsi="宋体"/>
          <w:b/>
          <w:color w:val="auto"/>
          <w:sz w:val="48"/>
          <w:szCs w:val="48"/>
          <w:highlight w:val="none"/>
        </w:rPr>
        <w:t>书</w:t>
      </w:r>
    </w:p>
    <w:p w14:paraId="5B156561">
      <w:pPr>
        <w:spacing w:line="360" w:lineRule="auto"/>
        <w:jc w:val="center"/>
        <w:rPr>
          <w:rFonts w:ascii="宋体"/>
          <w:b/>
          <w:color w:val="auto"/>
          <w:sz w:val="36"/>
          <w:szCs w:val="36"/>
          <w:highlight w:val="none"/>
        </w:rPr>
      </w:pPr>
      <w:r>
        <w:rPr>
          <w:rFonts w:hint="eastAsia" w:ascii="宋体"/>
          <w:b/>
          <w:color w:val="auto"/>
          <w:sz w:val="36"/>
          <w:szCs w:val="36"/>
          <w:highlight w:val="none"/>
        </w:rPr>
        <w:t>目    录</w:t>
      </w:r>
    </w:p>
    <w:p w14:paraId="751F5B64">
      <w:pPr>
        <w:pStyle w:val="23"/>
        <w:tabs>
          <w:tab w:val="right" w:leader="dot" w:pos="8494"/>
        </w:tabs>
        <w:spacing w:line="360" w:lineRule="auto"/>
        <w:rPr>
          <w:rFonts w:hint="eastAsia" w:ascii="宋体" w:hAnsi="宋体" w:cs="宋体"/>
          <w:b w:val="0"/>
          <w:caps w:val="0"/>
          <w:color w:val="auto"/>
          <w:sz w:val="24"/>
          <w:szCs w:val="24"/>
          <w:highlight w:val="none"/>
        </w:rPr>
      </w:pPr>
      <w:bookmarkStart w:id="4" w:name="_Toc501726256"/>
      <w:bookmarkStart w:id="5" w:name="_Toc502331787"/>
      <w:bookmarkStart w:id="6" w:name="_Toc509576592"/>
      <w:bookmarkStart w:id="7" w:name="_Toc509632985"/>
      <w:bookmarkStart w:id="8" w:name="_Toc509632873"/>
      <w:bookmarkStart w:id="9" w:name="_Toc502332482"/>
      <w:bookmarkStart w:id="10" w:name="_Toc487356721"/>
      <w:bookmarkStart w:id="11" w:name="_Toc487358379"/>
      <w:r>
        <w:rPr>
          <w:rFonts w:hint="eastAsia" w:ascii="宋体" w:hAnsi="宋体" w:cs="宋体"/>
          <w:b w:val="0"/>
          <w:caps w:val="0"/>
          <w:color w:val="auto"/>
          <w:sz w:val="24"/>
          <w:szCs w:val="24"/>
          <w:highlight w:val="none"/>
        </w:rPr>
        <w:fldChar w:fldCharType="begin"/>
      </w:r>
      <w:r>
        <w:rPr>
          <w:rFonts w:hint="eastAsia" w:ascii="宋体" w:hAnsi="宋体" w:cs="宋体"/>
          <w:b w:val="0"/>
          <w:caps w:val="0"/>
          <w:color w:val="auto"/>
          <w:sz w:val="24"/>
          <w:szCs w:val="24"/>
          <w:highlight w:val="none"/>
        </w:rPr>
        <w:instrText xml:space="preserve"> TOC \o "1-3" \h \z \u </w:instrText>
      </w:r>
      <w:r>
        <w:rPr>
          <w:rFonts w:hint="eastAsia" w:ascii="宋体" w:hAnsi="宋体" w:cs="宋体"/>
          <w:b w:val="0"/>
          <w:caps w:val="0"/>
          <w:color w:val="auto"/>
          <w:sz w:val="24"/>
          <w:szCs w:val="24"/>
          <w:highlight w:val="none"/>
        </w:rPr>
        <w:fldChar w:fldCharType="separate"/>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"_Toc334015520"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附件1技术规范</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begin"/>
      </w:r>
      <w:r>
        <w:rPr>
          <w:rFonts w:hint="eastAsia" w:ascii="宋体" w:hAnsi="宋体" w:cs="宋体"/>
          <w:b w:val="0"/>
          <w:color w:val="auto"/>
          <w:sz w:val="24"/>
          <w:szCs w:val="24"/>
          <w:highlight w:val="none"/>
        </w:rPr>
        <w:instrText xml:space="preserve"> PAGEREF _Toc334015520 \h </w:instrText>
      </w:r>
      <w:r>
        <w:rPr>
          <w:rFonts w:hint="eastAsia" w:ascii="宋体" w:hAnsi="宋体" w:cs="宋体"/>
          <w:b w:val="0"/>
          <w:color w:val="auto"/>
          <w:sz w:val="24"/>
          <w:szCs w:val="24"/>
          <w:highlight w:val="none"/>
        </w:rPr>
        <w:fldChar w:fldCharType="separate"/>
      </w:r>
      <w:r>
        <w:rPr>
          <w:rFonts w:hint="eastAsia" w:ascii="宋体" w:hAnsi="宋体" w:cs="宋体"/>
          <w:b w:val="0"/>
          <w:color w:val="auto"/>
          <w:sz w:val="24"/>
          <w:szCs w:val="24"/>
          <w:highlight w:val="none"/>
        </w:rPr>
        <w:t>1</w:t>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rPr>
        <w:fldChar w:fldCharType="end"/>
      </w:r>
    </w:p>
    <w:p w14:paraId="40179AE2">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"_Toc334015521"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附件2供货范围</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6</w:t>
      </w:r>
      <w:r>
        <w:rPr>
          <w:rFonts w:hint="eastAsia" w:ascii="宋体" w:hAnsi="宋体" w:eastAsia="宋体" w:cs="宋体"/>
          <w:b w:val="0"/>
          <w:color w:val="auto"/>
          <w:sz w:val="24"/>
          <w:szCs w:val="24"/>
          <w:highlight w:val="none"/>
          <w:lang w:val="en-US" w:eastAsia="zh-CN"/>
        </w:rPr>
        <w:t>6</w:t>
      </w:r>
    </w:p>
    <w:p w14:paraId="16849800">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"_Toc334015522"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附件3技术资料和交付进度</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73</w:t>
      </w:r>
    </w:p>
    <w:p w14:paraId="73DEF714">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"_Toc334015523"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附件4交货进度</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77</w:t>
      </w:r>
    </w:p>
    <w:p w14:paraId="6E245397">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"_Toc334015524"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附件5设备监造、检查和性能验收试验</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78</w:t>
      </w:r>
    </w:p>
    <w:p w14:paraId="1F88B907">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"_Toc334015525"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附件6技术服务和联络</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85</w:t>
      </w:r>
    </w:p>
    <w:p w14:paraId="066A28B4">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"_Toc334015526"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附件7分包与外购</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88</w:t>
      </w:r>
    </w:p>
    <w:p w14:paraId="1456C4CF">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"_Toc334015527"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附件8 运行维护手册编写格式</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89</w:t>
      </w:r>
    </w:p>
    <w:p w14:paraId="1B39E1E2">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"_Toc334015528"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附件9 大（部）件情况</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91</w:t>
      </w:r>
    </w:p>
    <w:p w14:paraId="5407FEAA">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"_Toc334015529"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附件10  技术差异表</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92</w:t>
      </w:r>
    </w:p>
    <w:p w14:paraId="12CB469E">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"_Toc334015530"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附件11  附图</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93</w:t>
      </w:r>
    </w:p>
    <w:p w14:paraId="763AE45C">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"_Toc334015531"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附件12 性能考核</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94</w:t>
      </w:r>
    </w:p>
    <w:p w14:paraId="77BC44C1">
      <w:pPr>
        <w:pStyle w:val="23"/>
        <w:tabs>
          <w:tab w:val="right" w:leader="dot" w:pos="8494"/>
        </w:tabs>
        <w:spacing w:line="360" w:lineRule="auto"/>
        <w:rPr>
          <w:rFonts w:hint="eastAsia" w:ascii="宋体" w:hAnsi="宋体" w:eastAsia="宋体" w:cs="宋体"/>
          <w:b w:val="0"/>
          <w:caps w:val="0"/>
          <w:color w:val="auto"/>
          <w:sz w:val="24"/>
          <w:szCs w:val="24"/>
          <w:highlight w:val="none"/>
          <w:lang w:val="en-US" w:eastAsia="zh-CN"/>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"_Toc334015532" </w:instrText>
      </w:r>
      <w:r>
        <w:rPr>
          <w:rFonts w:hint="eastAsia" w:ascii="宋体" w:hAnsi="宋体" w:cs="宋体"/>
          <w:color w:val="auto"/>
          <w:sz w:val="24"/>
          <w:szCs w:val="24"/>
          <w:highlight w:val="none"/>
        </w:rPr>
        <w:fldChar w:fldCharType="separate"/>
      </w:r>
      <w:r>
        <w:rPr>
          <w:rStyle w:val="36"/>
          <w:rFonts w:hint="eastAsia" w:ascii="宋体" w:hAnsi="宋体" w:cs="宋体"/>
          <w:b w:val="0"/>
          <w:color w:val="auto"/>
          <w:sz w:val="24"/>
          <w:szCs w:val="24"/>
          <w:highlight w:val="none"/>
        </w:rPr>
        <w:t>附件13 投标人需要说明的其他问题（质量承诺及售后服务承诺等）</w:t>
      </w:r>
      <w:r>
        <w:rPr>
          <w:rFonts w:hint="eastAsia" w:ascii="宋体" w:hAnsi="宋体" w:cs="宋体"/>
          <w:b w:val="0"/>
          <w:color w:val="auto"/>
          <w:sz w:val="24"/>
          <w:szCs w:val="24"/>
          <w:highlight w:val="none"/>
        </w:rPr>
        <w:tab/>
      </w:r>
      <w:r>
        <w:rPr>
          <w:rFonts w:hint="eastAsia" w:ascii="宋体" w:hAnsi="宋体" w:cs="宋体"/>
          <w:b w:val="0"/>
          <w:color w:val="auto"/>
          <w:sz w:val="24"/>
          <w:szCs w:val="24"/>
          <w:highlight w:val="none"/>
        </w:rPr>
        <w:fldChar w:fldCharType="end"/>
      </w:r>
      <w:r>
        <w:rPr>
          <w:rFonts w:hint="eastAsia" w:ascii="宋体" w:hAnsi="宋体" w:cs="宋体"/>
          <w:b w:val="0"/>
          <w:color w:val="auto"/>
          <w:sz w:val="24"/>
          <w:szCs w:val="24"/>
          <w:highlight w:val="none"/>
          <w:lang w:val="en-US" w:eastAsia="zh-CN"/>
        </w:rPr>
        <w:t>95</w:t>
      </w:r>
    </w:p>
    <w:p w14:paraId="20B910F9">
      <w:pPr>
        <w:spacing w:line="360" w:lineRule="auto"/>
        <w:jc w:val="center"/>
        <w:rPr>
          <w:rFonts w:ascii="宋体"/>
          <w:color w:val="auto"/>
          <w:highlight w:val="none"/>
        </w:rPr>
      </w:pPr>
      <w:r>
        <w:rPr>
          <w:rFonts w:hint="eastAsia" w:ascii="宋体" w:hAnsi="宋体" w:cs="宋体"/>
          <w:caps/>
          <w:color w:val="auto"/>
          <w:sz w:val="24"/>
          <w:szCs w:val="24"/>
          <w:highlight w:val="none"/>
        </w:rPr>
        <w:fldChar w:fldCharType="end"/>
      </w:r>
    </w:p>
    <w:p w14:paraId="4C2DDA83">
      <w:pPr>
        <w:spacing w:line="400" w:lineRule="atLeast"/>
        <w:jc w:val="center"/>
        <w:rPr>
          <w:rFonts w:ascii="宋体"/>
          <w:color w:val="auto"/>
          <w:highlight w:val="none"/>
        </w:rPr>
      </w:pPr>
    </w:p>
    <w:p w14:paraId="08F7B61B">
      <w:pPr>
        <w:rPr>
          <w:rFonts w:ascii="宋体"/>
          <w:color w:val="auto"/>
          <w:highlight w:val="none"/>
        </w:rPr>
      </w:pPr>
    </w:p>
    <w:p w14:paraId="4B51E315">
      <w:pPr>
        <w:tabs>
          <w:tab w:val="left" w:pos="2985"/>
        </w:tabs>
        <w:rPr>
          <w:rFonts w:ascii="宋体"/>
          <w:color w:val="auto"/>
          <w:highlight w:val="none"/>
        </w:rPr>
      </w:pPr>
    </w:p>
    <w:p w14:paraId="2B1BF78F">
      <w:pPr>
        <w:rPr>
          <w:rFonts w:ascii="宋体"/>
          <w:color w:val="auto"/>
          <w:highlight w:val="none"/>
        </w:rPr>
      </w:pPr>
    </w:p>
    <w:p w14:paraId="0748CEB3">
      <w:pPr>
        <w:rPr>
          <w:rFonts w:ascii="宋体"/>
          <w:color w:val="auto"/>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1418" w:right="1418" w:bottom="1418" w:left="1985" w:header="851" w:footer="1021" w:gutter="0"/>
          <w:pgNumType w:start="1"/>
          <w:cols w:space="425" w:num="1"/>
          <w:titlePg/>
          <w:docGrid w:linePitch="380" w:charSpace="0"/>
        </w:sectPr>
      </w:pPr>
    </w:p>
    <w:p w14:paraId="7A79CCDA">
      <w:pPr>
        <w:spacing w:line="360" w:lineRule="auto"/>
        <w:outlineLvl w:val="0"/>
        <w:rPr>
          <w:rFonts w:ascii="宋体"/>
          <w:b/>
          <w:color w:val="auto"/>
          <w:sz w:val="30"/>
          <w:szCs w:val="30"/>
          <w:highlight w:val="none"/>
        </w:rPr>
      </w:pPr>
      <w:bookmarkStart w:id="12" w:name="_Toc48273138"/>
      <w:bookmarkStart w:id="13" w:name="_Toc334015520"/>
      <w:r>
        <w:rPr>
          <w:rFonts w:hint="eastAsia" w:ascii="宋体"/>
          <w:b/>
          <w:color w:val="auto"/>
          <w:sz w:val="30"/>
          <w:szCs w:val="30"/>
          <w:highlight w:val="none"/>
        </w:rPr>
        <w:t>附件1技术规范</w:t>
      </w:r>
      <w:bookmarkEnd w:id="4"/>
      <w:bookmarkEnd w:id="5"/>
      <w:bookmarkEnd w:id="6"/>
      <w:bookmarkEnd w:id="7"/>
      <w:bookmarkEnd w:id="8"/>
      <w:bookmarkEnd w:id="9"/>
      <w:bookmarkEnd w:id="12"/>
      <w:bookmarkEnd w:id="13"/>
    </w:p>
    <w:bookmarkEnd w:id="10"/>
    <w:bookmarkEnd w:id="11"/>
    <w:p w14:paraId="08E4B2F0">
      <w:pPr>
        <w:spacing w:line="360" w:lineRule="auto"/>
        <w:rPr>
          <w:rFonts w:hAnsi="宋体"/>
          <w:b/>
          <w:color w:val="auto"/>
          <w:spacing w:val="5"/>
          <w:szCs w:val="28"/>
          <w:highlight w:val="none"/>
        </w:rPr>
      </w:pPr>
      <w:bookmarkStart w:id="14" w:name="_Toc501783240"/>
      <w:bookmarkStart w:id="15" w:name="_Toc3824892"/>
      <w:r>
        <w:rPr>
          <w:rFonts w:hAnsi="宋体"/>
          <w:b/>
          <w:color w:val="auto"/>
          <w:spacing w:val="5"/>
          <w:szCs w:val="28"/>
          <w:highlight w:val="none"/>
        </w:rPr>
        <w:t>1.</w:t>
      </w:r>
      <w:r>
        <w:rPr>
          <w:rFonts w:hint="eastAsia" w:hAnsi="宋体"/>
          <w:b/>
          <w:color w:val="auto"/>
          <w:spacing w:val="5"/>
          <w:szCs w:val="28"/>
          <w:highlight w:val="none"/>
        </w:rPr>
        <w:t>总则</w:t>
      </w:r>
    </w:p>
    <w:p w14:paraId="67FF94EB">
      <w:pPr>
        <w:spacing w:line="360" w:lineRule="auto"/>
        <w:rPr>
          <w:rFonts w:hAnsi="宋体"/>
          <w:b/>
          <w:color w:val="auto"/>
          <w:spacing w:val="5"/>
          <w:sz w:val="24"/>
          <w:highlight w:val="none"/>
        </w:rPr>
      </w:pPr>
      <w:r>
        <w:rPr>
          <w:rFonts w:hint="eastAsia" w:hAnsi="宋体"/>
          <w:b/>
          <w:color w:val="auto"/>
          <w:spacing w:val="5"/>
          <w:sz w:val="24"/>
          <w:highlight w:val="none"/>
        </w:rPr>
        <w:t>1.1 一般规定</w:t>
      </w:r>
    </w:p>
    <w:p w14:paraId="0D2CAC83">
      <w:pPr>
        <w:spacing w:line="360" w:lineRule="auto"/>
        <w:rPr>
          <w:rFonts w:hAnsi="宋体"/>
          <w:color w:val="auto"/>
          <w:spacing w:val="5"/>
          <w:sz w:val="24"/>
          <w:highlight w:val="none"/>
        </w:rPr>
      </w:pPr>
      <w:r>
        <w:rPr>
          <w:rFonts w:hint="eastAsia" w:hAnsi="宋体"/>
          <w:color w:val="auto"/>
          <w:spacing w:val="5"/>
          <w:sz w:val="24"/>
          <w:highlight w:val="none"/>
        </w:rPr>
        <w:t>1.1.1本技术规范书适用于浙能武威2×1000MW调峰火电机组工程的网络计算机监控系统（NCS</w:t>
      </w:r>
      <w:r>
        <w:rPr>
          <w:rFonts w:hAnsi="宋体"/>
          <w:color w:val="auto"/>
          <w:spacing w:val="5"/>
          <w:sz w:val="24"/>
          <w:highlight w:val="none"/>
        </w:rPr>
        <w:t>）</w:t>
      </w:r>
      <w:r>
        <w:rPr>
          <w:rFonts w:hint="eastAsia" w:hAnsi="宋体"/>
          <w:color w:val="auto"/>
          <w:spacing w:val="5"/>
          <w:sz w:val="24"/>
          <w:highlight w:val="none"/>
        </w:rPr>
        <w:t>提出的技术规范、要求和供货范围。</w:t>
      </w:r>
      <w:r>
        <w:rPr>
          <w:rFonts w:hint="eastAsia" w:hAnsi="宋体"/>
          <w:color w:val="auto"/>
          <w:spacing w:val="5"/>
          <w:sz w:val="24"/>
          <w:highlight w:val="none"/>
        </w:rPr>
        <w:t>其中包括计算机监控系统</w:t>
      </w:r>
      <w:r>
        <w:rPr>
          <w:rFonts w:hint="eastAsia" w:hAnsi="宋体"/>
          <w:color w:val="auto"/>
          <w:spacing w:val="5"/>
          <w:sz w:val="24"/>
          <w:highlight w:val="none"/>
          <w:lang w:eastAsia="zh-CN"/>
        </w:rPr>
        <w:t>（</w:t>
      </w:r>
      <w:r>
        <w:rPr>
          <w:rFonts w:hint="eastAsia" w:hAnsi="宋体"/>
          <w:color w:val="auto"/>
          <w:spacing w:val="5"/>
          <w:sz w:val="24"/>
          <w:szCs w:val="20"/>
          <w:highlight w:val="none"/>
        </w:rPr>
        <w:t>含测控</w:t>
      </w:r>
      <w:r>
        <w:rPr>
          <w:rFonts w:hint="eastAsia" w:ascii="Times New Roman" w:hAnsi="宋体" w:eastAsia="宋体" w:cs="Times New Roman"/>
          <w:color w:val="auto"/>
          <w:spacing w:val="5"/>
          <w:sz w:val="24"/>
          <w:szCs w:val="20"/>
          <w:highlight w:val="none"/>
          <w:lang w:val="en-US" w:eastAsia="zh-CN"/>
        </w:rPr>
        <w:t>屏</w:t>
      </w:r>
      <w:r>
        <w:rPr>
          <w:rFonts w:hint="eastAsia" w:hAnsi="宋体"/>
          <w:color w:val="auto"/>
          <w:spacing w:val="5"/>
          <w:sz w:val="24"/>
          <w:szCs w:val="20"/>
          <w:highlight w:val="none"/>
        </w:rPr>
        <w:t>、AGC屏、网络柜、数据处理及</w:t>
      </w:r>
      <w:r>
        <w:rPr>
          <w:rFonts w:hint="eastAsia" w:ascii="Times New Roman" w:hAnsi="宋体" w:eastAsia="宋体" w:cs="Times New Roman"/>
          <w:color w:val="auto"/>
          <w:spacing w:val="5"/>
          <w:sz w:val="24"/>
          <w:szCs w:val="20"/>
          <w:highlight w:val="none"/>
          <w:lang w:val="en-US" w:eastAsia="zh-CN"/>
        </w:rPr>
        <w:t>远动</w:t>
      </w:r>
      <w:r>
        <w:rPr>
          <w:rFonts w:hint="eastAsia" w:hAnsi="宋体"/>
          <w:color w:val="auto"/>
          <w:spacing w:val="5"/>
          <w:sz w:val="24"/>
          <w:szCs w:val="20"/>
          <w:highlight w:val="none"/>
        </w:rPr>
        <w:t>通信设备，操作员站及工程师站等设备、</w:t>
      </w:r>
      <w:r>
        <w:rPr>
          <w:rFonts w:hint="eastAsia" w:ascii="Times New Roman" w:hAnsi="宋体" w:cs="Times New Roman"/>
          <w:color w:val="auto"/>
          <w:spacing w:val="5"/>
          <w:kern w:val="2"/>
          <w:sz w:val="24"/>
          <w:szCs w:val="20"/>
          <w:highlight w:val="none"/>
        </w:rPr>
        <w:t>事故总信号系统</w:t>
      </w:r>
      <w:r>
        <w:rPr>
          <w:rFonts w:hint="eastAsia" w:hAnsi="宋体"/>
          <w:color w:val="auto"/>
          <w:spacing w:val="5"/>
          <w:sz w:val="24"/>
          <w:highlight w:val="none"/>
          <w:lang w:eastAsia="zh-CN"/>
        </w:rPr>
        <w:t>）</w:t>
      </w:r>
      <w:r>
        <w:rPr>
          <w:rFonts w:hint="eastAsia" w:hAnsi="宋体" w:cs="Times New Roman"/>
          <w:color w:val="auto"/>
          <w:spacing w:val="5"/>
          <w:kern w:val="2"/>
          <w:sz w:val="24"/>
          <w:szCs w:val="20"/>
          <w:highlight w:val="none"/>
          <w:lang w:eastAsia="zh-CN"/>
        </w:rPr>
        <w:t>、</w:t>
      </w:r>
      <w:r>
        <w:rPr>
          <w:rFonts w:hint="eastAsia" w:hAnsi="宋体" w:cs="Times New Roman"/>
          <w:color w:val="auto"/>
          <w:spacing w:val="5"/>
          <w:kern w:val="2"/>
          <w:sz w:val="24"/>
          <w:szCs w:val="20"/>
          <w:highlight w:val="none"/>
          <w:lang w:val="en-US" w:eastAsia="zh-CN"/>
        </w:rPr>
        <w:t>微机五防系统、电度表屏、时间同步系统</w:t>
      </w:r>
      <w:r>
        <w:rPr>
          <w:rFonts w:hint="eastAsia" w:hAnsi="宋体"/>
          <w:color w:val="auto"/>
          <w:spacing w:val="5"/>
          <w:sz w:val="24"/>
          <w:highlight w:val="none"/>
        </w:rPr>
        <w:t>的功能、</w:t>
      </w:r>
      <w:r>
        <w:rPr>
          <w:rFonts w:hint="eastAsia" w:hAnsi="宋体"/>
          <w:color w:val="auto"/>
          <w:spacing w:val="5"/>
          <w:sz w:val="24"/>
          <w:highlight w:val="none"/>
        </w:rPr>
        <w:t>技术要求、硬件参考配置、软件要求、设计联络会、人员培训、试验以及所有必需的其他事项。投标人应仔细阅读本技术规范书内的全部条款，投标人提供的所有设备应满足本技术规范书所规定的要求。</w:t>
      </w:r>
    </w:p>
    <w:p w14:paraId="4136EFB4">
      <w:pPr>
        <w:spacing w:line="360" w:lineRule="auto"/>
        <w:rPr>
          <w:color w:val="auto"/>
          <w:spacing w:val="5"/>
          <w:sz w:val="24"/>
          <w:highlight w:val="none"/>
        </w:rPr>
      </w:pPr>
      <w:r>
        <w:rPr>
          <w:color w:val="auto"/>
          <w:spacing w:val="5"/>
          <w:sz w:val="24"/>
          <w:highlight w:val="none"/>
        </w:rPr>
        <w:t>1.1.2</w:t>
      </w:r>
      <w:r>
        <w:rPr>
          <w:rFonts w:hAnsi="宋体"/>
          <w:color w:val="auto"/>
          <w:spacing w:val="5"/>
          <w:sz w:val="24"/>
          <w:highlight w:val="none"/>
        </w:rPr>
        <w:t>招标人在本招标文件中提出了最低限度的技术要求，并未规定所有的技术要求和适用的标准，投标人应提供满足本招标文件和所列标准要求的高质量产品及其相应服务。</w:t>
      </w:r>
      <w:r>
        <w:rPr>
          <w:rFonts w:hint="eastAsia" w:hAnsi="宋体"/>
          <w:color w:val="auto"/>
          <w:spacing w:val="5"/>
          <w:sz w:val="24"/>
          <w:highlight w:val="none"/>
        </w:rPr>
        <w:t>并必须同时满足</w:t>
      </w:r>
      <w:r>
        <w:rPr>
          <w:rFonts w:hAnsi="宋体"/>
          <w:color w:val="auto"/>
          <w:spacing w:val="5"/>
          <w:sz w:val="24"/>
          <w:highlight w:val="none"/>
        </w:rPr>
        <w:t>国家有关安全、环保等强制性标准要求。</w:t>
      </w:r>
    </w:p>
    <w:p w14:paraId="77768C9A">
      <w:pPr>
        <w:spacing w:line="360" w:lineRule="auto"/>
        <w:rPr>
          <w:color w:val="auto"/>
          <w:spacing w:val="5"/>
          <w:sz w:val="24"/>
          <w:highlight w:val="none"/>
        </w:rPr>
      </w:pPr>
      <w:r>
        <w:rPr>
          <w:color w:val="auto"/>
          <w:spacing w:val="5"/>
          <w:sz w:val="24"/>
          <w:highlight w:val="none"/>
        </w:rPr>
        <w:t>1.1.</w:t>
      </w:r>
      <w:r>
        <w:rPr>
          <w:rFonts w:hint="eastAsia"/>
          <w:color w:val="auto"/>
          <w:spacing w:val="5"/>
          <w:sz w:val="24"/>
          <w:highlight w:val="none"/>
        </w:rPr>
        <w:t>3</w:t>
      </w:r>
      <w:r>
        <w:rPr>
          <w:rFonts w:hAnsi="宋体"/>
          <w:color w:val="auto"/>
          <w:spacing w:val="5"/>
          <w:sz w:val="24"/>
          <w:highlight w:val="none"/>
        </w:rPr>
        <w:t>投标人应在投标文件中，对于招标文件进行逐段应答，表明是否接受和同意本招标文件的要求，如：接受和同意招标文件某条款的要求，则在该条款后注明：</w:t>
      </w:r>
      <w:r>
        <w:rPr>
          <w:rFonts w:hint="eastAsia"/>
          <w:color w:val="auto"/>
          <w:spacing w:val="5"/>
          <w:sz w:val="24"/>
          <w:highlight w:val="none"/>
        </w:rPr>
        <w:t>“</w:t>
      </w:r>
      <w:r>
        <w:rPr>
          <w:rFonts w:hAnsi="宋体"/>
          <w:color w:val="auto"/>
          <w:spacing w:val="5"/>
          <w:sz w:val="24"/>
          <w:highlight w:val="none"/>
        </w:rPr>
        <w:t>理解并承诺完全响应上述条款的要求</w:t>
      </w:r>
      <w:r>
        <w:rPr>
          <w:rFonts w:hint="eastAsia"/>
          <w:color w:val="auto"/>
          <w:spacing w:val="5"/>
          <w:sz w:val="24"/>
          <w:highlight w:val="none"/>
        </w:rPr>
        <w:t>”</w:t>
      </w:r>
      <w:r>
        <w:rPr>
          <w:rFonts w:hAnsi="宋体"/>
          <w:color w:val="auto"/>
          <w:spacing w:val="5"/>
          <w:sz w:val="24"/>
          <w:highlight w:val="none"/>
        </w:rPr>
        <w:t>；若针对某条款，投标人有特别的建议、方案、技术特点或差异，请在该条款下加以描述和说明</w:t>
      </w:r>
      <w:r>
        <w:rPr>
          <w:rFonts w:hint="eastAsia" w:hAnsi="宋体"/>
          <w:color w:val="auto"/>
          <w:spacing w:val="5"/>
          <w:sz w:val="24"/>
          <w:highlight w:val="none"/>
        </w:rPr>
        <w:t>，并在“技术差异表”中列出。</w:t>
      </w:r>
    </w:p>
    <w:p w14:paraId="2182A365">
      <w:pPr>
        <w:spacing w:line="360" w:lineRule="auto"/>
        <w:rPr>
          <w:rFonts w:hAnsi="宋体"/>
          <w:color w:val="auto"/>
          <w:spacing w:val="5"/>
          <w:sz w:val="24"/>
          <w:highlight w:val="none"/>
        </w:rPr>
      </w:pPr>
      <w:r>
        <w:rPr>
          <w:color w:val="auto"/>
          <w:spacing w:val="5"/>
          <w:sz w:val="24"/>
          <w:highlight w:val="none"/>
        </w:rPr>
        <w:t>1.1.</w:t>
      </w:r>
      <w:r>
        <w:rPr>
          <w:rFonts w:hint="eastAsia"/>
          <w:color w:val="auto"/>
          <w:spacing w:val="5"/>
          <w:sz w:val="24"/>
          <w:highlight w:val="none"/>
        </w:rPr>
        <w:t>4</w:t>
      </w:r>
      <w:r>
        <w:rPr>
          <w:rFonts w:hAnsi="宋体"/>
          <w:color w:val="auto"/>
          <w:spacing w:val="5"/>
          <w:sz w:val="24"/>
          <w:highlight w:val="none"/>
        </w:rPr>
        <w:t>投标人如对本招标文件有偏差</w:t>
      </w:r>
      <w:r>
        <w:rPr>
          <w:color w:val="auto"/>
          <w:spacing w:val="5"/>
          <w:sz w:val="24"/>
          <w:highlight w:val="none"/>
        </w:rPr>
        <w:t>(</w:t>
      </w:r>
      <w:r>
        <w:rPr>
          <w:rFonts w:hAnsi="宋体"/>
          <w:color w:val="auto"/>
          <w:spacing w:val="5"/>
          <w:sz w:val="24"/>
          <w:highlight w:val="none"/>
        </w:rPr>
        <w:t>无论多少或微小</w:t>
      </w:r>
      <w:r>
        <w:rPr>
          <w:color w:val="auto"/>
          <w:spacing w:val="5"/>
          <w:sz w:val="24"/>
          <w:highlight w:val="none"/>
        </w:rPr>
        <w:t>)</w:t>
      </w:r>
      <w:r>
        <w:rPr>
          <w:rFonts w:hAnsi="宋体"/>
          <w:color w:val="auto"/>
          <w:spacing w:val="5"/>
          <w:sz w:val="24"/>
          <w:highlight w:val="none"/>
        </w:rPr>
        <w:t>都必须清楚地表示在本招标文件的附件</w:t>
      </w:r>
      <w:r>
        <w:rPr>
          <w:rFonts w:hint="eastAsia"/>
          <w:color w:val="auto"/>
          <w:spacing w:val="5"/>
          <w:sz w:val="24"/>
          <w:highlight w:val="none"/>
        </w:rPr>
        <w:t>“</w:t>
      </w:r>
      <w:r>
        <w:rPr>
          <w:rFonts w:hAnsi="宋体"/>
          <w:color w:val="auto"/>
          <w:spacing w:val="5"/>
          <w:sz w:val="24"/>
          <w:highlight w:val="none"/>
        </w:rPr>
        <w:t>技术差异表</w:t>
      </w:r>
      <w:r>
        <w:rPr>
          <w:rFonts w:hint="eastAsia"/>
          <w:color w:val="auto"/>
          <w:spacing w:val="5"/>
          <w:sz w:val="24"/>
          <w:highlight w:val="none"/>
        </w:rPr>
        <w:t>”</w:t>
      </w:r>
      <w:r>
        <w:rPr>
          <w:rFonts w:hAnsi="宋体"/>
          <w:color w:val="auto"/>
          <w:spacing w:val="5"/>
          <w:sz w:val="24"/>
          <w:highlight w:val="none"/>
        </w:rPr>
        <w:t>中。否则招标人将认为投标人完全接受和同意本招标文件的要求。</w:t>
      </w:r>
    </w:p>
    <w:p w14:paraId="0612EC7B">
      <w:pPr>
        <w:spacing w:line="360" w:lineRule="auto"/>
        <w:rPr>
          <w:rFonts w:hAnsi="宋体"/>
          <w:color w:val="auto"/>
          <w:spacing w:val="5"/>
          <w:sz w:val="24"/>
          <w:highlight w:val="none"/>
        </w:rPr>
      </w:pPr>
      <w:r>
        <w:rPr>
          <w:color w:val="auto"/>
          <w:spacing w:val="5"/>
          <w:sz w:val="24"/>
          <w:highlight w:val="none"/>
        </w:rPr>
        <w:t>1.1.</w:t>
      </w:r>
      <w:r>
        <w:rPr>
          <w:rFonts w:hint="eastAsia"/>
          <w:color w:val="auto"/>
          <w:spacing w:val="5"/>
          <w:sz w:val="24"/>
          <w:highlight w:val="none"/>
        </w:rPr>
        <w:t>5</w:t>
      </w:r>
      <w:r>
        <w:rPr>
          <w:rFonts w:hint="eastAsia" w:hAnsi="宋体"/>
          <w:color w:val="auto"/>
          <w:spacing w:val="5"/>
          <w:sz w:val="24"/>
          <w:highlight w:val="none"/>
        </w:rPr>
        <w:t>投标人在满足本规范书所规定的功能和性能要求下可另行提供建议性的先进、实用、经济合理的计算机监控系统供招标人选择。建议方案应附完整的供货清单和系统配置图、分项报价表及设备特性指标(包括I/O测控单元的精度测量报告)等，并随投标文件同时提交，且注明“建议方案”字样。</w:t>
      </w:r>
    </w:p>
    <w:p w14:paraId="027D662C">
      <w:pPr>
        <w:spacing w:line="360" w:lineRule="auto"/>
        <w:rPr>
          <w:color w:val="auto"/>
          <w:spacing w:val="5"/>
          <w:sz w:val="24"/>
          <w:highlight w:val="none"/>
        </w:rPr>
      </w:pPr>
      <w:r>
        <w:rPr>
          <w:color w:val="auto"/>
          <w:spacing w:val="5"/>
          <w:sz w:val="24"/>
          <w:highlight w:val="none"/>
        </w:rPr>
        <w:t>1.1.</w:t>
      </w:r>
      <w:r>
        <w:rPr>
          <w:rFonts w:hint="eastAsia"/>
          <w:color w:val="auto"/>
          <w:spacing w:val="5"/>
          <w:sz w:val="24"/>
          <w:highlight w:val="none"/>
        </w:rPr>
        <w:t>6</w:t>
      </w:r>
      <w:r>
        <w:rPr>
          <w:rFonts w:hAnsi="宋体"/>
          <w:color w:val="auto"/>
          <w:spacing w:val="5"/>
          <w:sz w:val="24"/>
          <w:highlight w:val="none"/>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0B6147E7">
      <w:pPr>
        <w:spacing w:line="360" w:lineRule="auto"/>
        <w:rPr>
          <w:color w:val="auto"/>
          <w:spacing w:val="5"/>
          <w:sz w:val="24"/>
          <w:highlight w:val="none"/>
        </w:rPr>
      </w:pPr>
      <w:r>
        <w:rPr>
          <w:color w:val="auto"/>
          <w:spacing w:val="5"/>
          <w:sz w:val="24"/>
          <w:highlight w:val="none"/>
        </w:rPr>
        <w:t>1.1.</w:t>
      </w:r>
      <w:r>
        <w:rPr>
          <w:rFonts w:hint="eastAsia"/>
          <w:color w:val="auto"/>
          <w:spacing w:val="5"/>
          <w:sz w:val="24"/>
          <w:highlight w:val="none"/>
        </w:rPr>
        <w:t>7</w:t>
      </w:r>
      <w:r>
        <w:rPr>
          <w:rFonts w:hAnsi="宋体"/>
          <w:color w:val="auto"/>
          <w:spacing w:val="5"/>
          <w:sz w:val="24"/>
          <w:highlight w:val="none"/>
        </w:rPr>
        <w:t>在合同签定后，招标人有权因规范、标准、规程发生变化而提出一些补充要求，在设备投料生产前，投标人应在设计上给以修改。</w:t>
      </w:r>
    </w:p>
    <w:p w14:paraId="752C817A">
      <w:pPr>
        <w:spacing w:line="360" w:lineRule="auto"/>
        <w:rPr>
          <w:color w:val="auto"/>
          <w:sz w:val="24"/>
          <w:highlight w:val="none"/>
        </w:rPr>
      </w:pPr>
      <w:r>
        <w:rPr>
          <w:color w:val="auto"/>
          <w:spacing w:val="5"/>
          <w:sz w:val="24"/>
          <w:highlight w:val="none"/>
        </w:rPr>
        <w:t>1.1.</w:t>
      </w:r>
      <w:r>
        <w:rPr>
          <w:rFonts w:hint="eastAsia"/>
          <w:color w:val="auto"/>
          <w:spacing w:val="5"/>
          <w:sz w:val="24"/>
          <w:highlight w:val="none"/>
        </w:rPr>
        <w:t>8</w:t>
      </w:r>
      <w:r>
        <w:rPr>
          <w:rFonts w:hint="eastAsia" w:ascii="宋体"/>
          <w:color w:val="auto"/>
          <w:sz w:val="24"/>
          <w:highlight w:val="none"/>
        </w:rPr>
        <w:t>规范书经招投标双方确认后，作为合同的附件，与合同正文具有同等的法律效力。</w:t>
      </w:r>
      <w:r>
        <w:rPr>
          <w:rFonts w:hint="eastAsia"/>
          <w:color w:val="auto"/>
          <w:sz w:val="24"/>
          <w:highlight w:val="none"/>
          <w:lang w:eastAsia="zh-CN"/>
        </w:rPr>
        <w:t>投标人</w:t>
      </w:r>
      <w:r>
        <w:rPr>
          <w:rFonts w:hint="eastAsia"/>
          <w:color w:val="auto"/>
          <w:sz w:val="24"/>
          <w:highlight w:val="none"/>
        </w:rPr>
        <w:t>中标后，投标文件经技术澄清后，承诺内容和技术协议具有同等约束力，与订货合同正文具有同等效力。</w:t>
      </w:r>
    </w:p>
    <w:p w14:paraId="359ED4E0">
      <w:pPr>
        <w:spacing w:line="360" w:lineRule="auto"/>
        <w:rPr>
          <w:rFonts w:hAnsi="宋体"/>
          <w:b/>
          <w:color w:val="auto"/>
          <w:spacing w:val="5"/>
          <w:sz w:val="24"/>
          <w:highlight w:val="none"/>
        </w:rPr>
      </w:pPr>
      <w:r>
        <w:rPr>
          <w:rFonts w:hint="eastAsia"/>
          <w:b/>
          <w:color w:val="auto"/>
          <w:spacing w:val="5"/>
          <w:sz w:val="24"/>
          <w:highlight w:val="none"/>
        </w:rPr>
        <w:t>*</w:t>
      </w:r>
      <w:r>
        <w:rPr>
          <w:b/>
          <w:color w:val="auto"/>
          <w:spacing w:val="5"/>
          <w:sz w:val="24"/>
          <w:highlight w:val="none"/>
        </w:rPr>
        <w:t>1.1.</w:t>
      </w:r>
      <w:r>
        <w:rPr>
          <w:rFonts w:hint="eastAsia"/>
          <w:b/>
          <w:color w:val="auto"/>
          <w:spacing w:val="5"/>
          <w:sz w:val="24"/>
          <w:highlight w:val="none"/>
        </w:rPr>
        <w:t>9</w:t>
      </w:r>
      <w:r>
        <w:rPr>
          <w:rFonts w:hint="eastAsia" w:hAnsi="宋体"/>
          <w:b/>
          <w:color w:val="auto"/>
          <w:spacing w:val="5"/>
          <w:sz w:val="24"/>
          <w:highlight w:val="none"/>
        </w:rPr>
        <w:t>投标人应</w:t>
      </w:r>
      <w:r>
        <w:rPr>
          <w:rFonts w:hAnsi="宋体"/>
          <w:b/>
          <w:color w:val="auto"/>
          <w:spacing w:val="5"/>
          <w:sz w:val="24"/>
          <w:highlight w:val="none"/>
        </w:rPr>
        <w:t>提供投标设备的型式试验报告；提供</w:t>
      </w:r>
      <w:r>
        <w:rPr>
          <w:rFonts w:hint="eastAsia" w:hAnsi="宋体"/>
          <w:b/>
          <w:color w:val="auto"/>
          <w:spacing w:val="5"/>
          <w:sz w:val="24"/>
          <w:highlight w:val="none"/>
        </w:rPr>
        <w:t>投标产品中</w:t>
      </w:r>
      <w:r>
        <w:rPr>
          <w:rFonts w:hAnsi="宋体"/>
          <w:b/>
          <w:color w:val="auto"/>
          <w:spacing w:val="5"/>
          <w:sz w:val="24"/>
          <w:highlight w:val="none"/>
        </w:rPr>
        <w:t>的I/O测控设备、</w:t>
      </w:r>
      <w:r>
        <w:rPr>
          <w:rFonts w:hint="eastAsia" w:hAnsi="宋体"/>
          <w:b/>
          <w:color w:val="auto"/>
          <w:spacing w:val="5"/>
          <w:sz w:val="24"/>
          <w:highlight w:val="none"/>
        </w:rPr>
        <w:t>远动</w:t>
      </w:r>
      <w:r>
        <w:rPr>
          <w:rFonts w:hAnsi="宋体"/>
          <w:b/>
          <w:color w:val="auto"/>
          <w:spacing w:val="5"/>
          <w:sz w:val="24"/>
          <w:highlight w:val="none"/>
        </w:rPr>
        <w:t>通信装置</w:t>
      </w:r>
      <w:r>
        <w:rPr>
          <w:rFonts w:hint="eastAsia" w:hAnsi="宋体"/>
          <w:b/>
          <w:color w:val="auto"/>
          <w:spacing w:val="5"/>
          <w:sz w:val="24"/>
          <w:highlight w:val="none"/>
        </w:rPr>
        <w:t>、AGC装置</w:t>
      </w:r>
      <w:r>
        <w:rPr>
          <w:rFonts w:hint="eastAsia" w:hAnsi="宋体"/>
          <w:b/>
          <w:color w:val="auto"/>
          <w:spacing w:val="5"/>
          <w:sz w:val="24"/>
          <w:highlight w:val="none"/>
          <w:lang w:val="en-US" w:eastAsia="zh-CN"/>
        </w:rPr>
        <w:t>和时钟同步装置</w:t>
      </w:r>
      <w:r>
        <w:rPr>
          <w:rFonts w:hAnsi="宋体"/>
          <w:b/>
          <w:color w:val="auto"/>
          <w:spacing w:val="5"/>
          <w:sz w:val="24"/>
          <w:highlight w:val="none"/>
        </w:rPr>
        <w:t>必须经过</w:t>
      </w:r>
      <w:r>
        <w:rPr>
          <w:rFonts w:hint="eastAsia" w:hAnsi="宋体"/>
          <w:b/>
          <w:color w:val="auto"/>
          <w:spacing w:val="5"/>
          <w:sz w:val="24"/>
          <w:highlight w:val="none"/>
        </w:rPr>
        <w:t>中国电科院或国网电科院</w:t>
      </w:r>
      <w:r>
        <w:rPr>
          <w:rFonts w:hint="eastAsia" w:hAnsi="宋体"/>
          <w:b/>
          <w:color w:val="auto"/>
          <w:spacing w:val="5"/>
          <w:sz w:val="24"/>
          <w:highlight w:val="none"/>
          <w:lang w:val="en-US" w:eastAsia="zh-CN"/>
        </w:rPr>
        <w:t>或开普实验室检测</w:t>
      </w:r>
      <w:r>
        <w:rPr>
          <w:rFonts w:hAnsi="宋体"/>
          <w:b/>
          <w:color w:val="auto"/>
          <w:spacing w:val="5"/>
          <w:sz w:val="24"/>
          <w:highlight w:val="none"/>
        </w:rPr>
        <w:t>，并提供</w:t>
      </w:r>
      <w:r>
        <w:rPr>
          <w:rFonts w:hint="eastAsia" w:hAnsi="宋体"/>
          <w:b/>
          <w:color w:val="auto"/>
          <w:spacing w:val="5"/>
          <w:sz w:val="24"/>
          <w:highlight w:val="none"/>
        </w:rPr>
        <w:t>合格的</w:t>
      </w:r>
      <w:r>
        <w:rPr>
          <w:rFonts w:hAnsi="宋体"/>
          <w:b/>
          <w:color w:val="auto"/>
          <w:spacing w:val="5"/>
          <w:sz w:val="24"/>
          <w:highlight w:val="none"/>
        </w:rPr>
        <w:t>检测报告</w:t>
      </w:r>
      <w:r>
        <w:rPr>
          <w:rFonts w:hint="eastAsia" w:hAnsi="宋体"/>
          <w:b/>
          <w:color w:val="auto"/>
          <w:spacing w:val="5"/>
          <w:sz w:val="24"/>
          <w:highlight w:val="none"/>
        </w:rPr>
        <w:t>。</w:t>
      </w:r>
    </w:p>
    <w:p w14:paraId="19065DE1">
      <w:pPr>
        <w:tabs>
          <w:tab w:val="left" w:pos="480"/>
        </w:tabs>
        <w:autoSpaceDE w:val="0"/>
        <w:autoSpaceDN w:val="0"/>
        <w:adjustRightInd w:val="0"/>
        <w:snapToGrid w:val="0"/>
        <w:spacing w:line="360" w:lineRule="auto"/>
        <w:textAlignment w:val="baseline"/>
        <w:rPr>
          <w:b w:val="0"/>
          <w:bCs w:val="0"/>
          <w:snapToGrid w:val="0"/>
          <w:color w:val="auto"/>
          <w:sz w:val="24"/>
          <w:highlight w:val="none"/>
        </w:rPr>
      </w:pPr>
      <w:r>
        <w:rPr>
          <w:b w:val="0"/>
          <w:bCs w:val="0"/>
          <w:color w:val="auto"/>
          <w:spacing w:val="5"/>
          <w:sz w:val="24"/>
          <w:highlight w:val="none"/>
        </w:rPr>
        <w:t>1.1.</w:t>
      </w:r>
      <w:r>
        <w:rPr>
          <w:rFonts w:hint="eastAsia"/>
          <w:b w:val="0"/>
          <w:bCs w:val="0"/>
          <w:color w:val="auto"/>
          <w:spacing w:val="5"/>
          <w:sz w:val="24"/>
          <w:highlight w:val="none"/>
        </w:rPr>
        <w:t>10</w:t>
      </w:r>
      <w:r>
        <w:rPr>
          <w:rFonts w:hint="eastAsia"/>
          <w:b w:val="0"/>
          <w:bCs w:val="0"/>
          <w:snapToGrid w:val="0"/>
          <w:color w:val="auto"/>
          <w:sz w:val="24"/>
          <w:highlight w:val="none"/>
        </w:rPr>
        <w:t>投标人所提供的远动通信工作站必须为无硬盘、无风扇、使用寿命大于20年以上的工业级装置型产品。</w:t>
      </w:r>
    </w:p>
    <w:p w14:paraId="3C67B05B">
      <w:pPr>
        <w:spacing w:line="360" w:lineRule="auto"/>
        <w:rPr>
          <w:rFonts w:hAnsi="宋体"/>
          <w:color w:val="auto"/>
          <w:spacing w:val="5"/>
          <w:sz w:val="24"/>
          <w:highlight w:val="none"/>
        </w:rPr>
      </w:pPr>
      <w:r>
        <w:rPr>
          <w:color w:val="auto"/>
          <w:spacing w:val="5"/>
          <w:sz w:val="24"/>
          <w:highlight w:val="none"/>
        </w:rPr>
        <w:t>1.1.</w:t>
      </w:r>
      <w:r>
        <w:rPr>
          <w:rFonts w:hint="eastAsia"/>
          <w:color w:val="auto"/>
          <w:spacing w:val="5"/>
          <w:sz w:val="24"/>
          <w:highlight w:val="none"/>
        </w:rPr>
        <w:t>11</w:t>
      </w:r>
      <w:r>
        <w:rPr>
          <w:rFonts w:hint="eastAsia" w:hAnsi="宋体"/>
          <w:color w:val="auto"/>
          <w:spacing w:val="5"/>
          <w:sz w:val="24"/>
          <w:highlight w:val="none"/>
        </w:rPr>
        <w:t>设备及软件操作系统的采用涉及到知识产权的全部费用均被认为已包含在设备报价中，投标人应保证招标人不承担有关知识产权的一切责任。</w:t>
      </w:r>
    </w:p>
    <w:p w14:paraId="187D32A1">
      <w:pPr>
        <w:spacing w:line="360" w:lineRule="auto"/>
        <w:rPr>
          <w:rFonts w:hAnsi="宋体"/>
          <w:color w:val="auto"/>
          <w:spacing w:val="5"/>
          <w:sz w:val="24"/>
          <w:highlight w:val="none"/>
        </w:rPr>
      </w:pPr>
      <w:r>
        <w:rPr>
          <w:color w:val="auto"/>
          <w:spacing w:val="5"/>
          <w:sz w:val="24"/>
          <w:highlight w:val="none"/>
        </w:rPr>
        <w:t>1.1.</w:t>
      </w:r>
      <w:r>
        <w:rPr>
          <w:rFonts w:hint="eastAsia"/>
          <w:color w:val="auto"/>
          <w:spacing w:val="5"/>
          <w:sz w:val="24"/>
          <w:highlight w:val="none"/>
        </w:rPr>
        <w:t>12</w:t>
      </w:r>
      <w:r>
        <w:rPr>
          <w:rFonts w:hint="eastAsia" w:hAnsi="宋体"/>
          <w:color w:val="auto"/>
          <w:spacing w:val="5"/>
          <w:sz w:val="24"/>
          <w:highlight w:val="none"/>
        </w:rPr>
        <w:t>投标人所提供的所有软件应为正版软件且应有软件使用许可证。招标人应享有设备原供应商对最终用户提供的各种优惠服务，包括今后软件升级、硬件扩充及备品备件补充等。在投产后五年内提供无偿的软件升级服务。</w:t>
      </w:r>
    </w:p>
    <w:p w14:paraId="3BFC081B">
      <w:pPr>
        <w:spacing w:line="360" w:lineRule="auto"/>
        <w:rPr>
          <w:color w:val="auto"/>
          <w:spacing w:val="5"/>
          <w:sz w:val="24"/>
          <w:highlight w:val="none"/>
        </w:rPr>
      </w:pPr>
      <w:r>
        <w:rPr>
          <w:color w:val="auto"/>
          <w:spacing w:val="5"/>
          <w:sz w:val="24"/>
          <w:highlight w:val="none"/>
        </w:rPr>
        <w:t>1.1.</w:t>
      </w:r>
      <w:r>
        <w:rPr>
          <w:rFonts w:hint="eastAsia"/>
          <w:color w:val="auto"/>
          <w:spacing w:val="5"/>
          <w:sz w:val="24"/>
          <w:highlight w:val="none"/>
        </w:rPr>
        <w:t>13投标人应对所供设备进行编码，按照</w:t>
      </w:r>
      <w:r>
        <w:rPr>
          <w:color w:val="auto"/>
          <w:spacing w:val="5"/>
          <w:sz w:val="24"/>
          <w:highlight w:val="none"/>
        </w:rPr>
        <w:t>GB/T 50549</w:t>
      </w:r>
      <w:r>
        <w:rPr>
          <w:rFonts w:hint="eastAsia"/>
          <w:color w:val="auto"/>
          <w:spacing w:val="5"/>
          <w:sz w:val="24"/>
          <w:highlight w:val="none"/>
        </w:rPr>
        <w:t>《电厂标识系统编码标准》执行，满足招标人编码原则。编码范围包括投标人所供系统、设备、部件和构筑物。中标后，招标人将向投标人提供电厂标识系统的编码原则和要求，投标人应据此对其所提供的系统、设备、部件进行编码，并编制在提供的技术文件</w:t>
      </w:r>
      <w:r>
        <w:rPr>
          <w:color w:val="auto"/>
          <w:spacing w:val="5"/>
          <w:sz w:val="24"/>
          <w:highlight w:val="none"/>
        </w:rPr>
        <w:t>(</w:t>
      </w:r>
      <w:r>
        <w:rPr>
          <w:rFonts w:hint="eastAsia"/>
          <w:color w:val="auto"/>
          <w:spacing w:val="5"/>
          <w:sz w:val="24"/>
          <w:highlight w:val="none"/>
        </w:rPr>
        <w:t>包括图纸及说明书</w:t>
      </w:r>
      <w:r>
        <w:rPr>
          <w:color w:val="auto"/>
          <w:spacing w:val="5"/>
          <w:sz w:val="24"/>
          <w:highlight w:val="none"/>
        </w:rPr>
        <w:t>)</w:t>
      </w:r>
      <w:r>
        <w:rPr>
          <w:rFonts w:hint="eastAsia"/>
          <w:color w:val="auto"/>
          <w:spacing w:val="5"/>
          <w:sz w:val="24"/>
          <w:highlight w:val="none"/>
        </w:rPr>
        <w:t>中。</w:t>
      </w:r>
    </w:p>
    <w:p w14:paraId="39497067">
      <w:pPr>
        <w:spacing w:line="360" w:lineRule="auto"/>
        <w:rPr>
          <w:rFonts w:hAnsi="宋体"/>
          <w:color w:val="auto"/>
          <w:spacing w:val="5"/>
          <w:sz w:val="24"/>
          <w:highlight w:val="none"/>
        </w:rPr>
      </w:pPr>
      <w:r>
        <w:rPr>
          <w:color w:val="auto"/>
          <w:spacing w:val="5"/>
          <w:sz w:val="24"/>
          <w:highlight w:val="none"/>
        </w:rPr>
        <w:t>1.1.</w:t>
      </w:r>
      <w:r>
        <w:rPr>
          <w:rFonts w:hint="eastAsia"/>
          <w:color w:val="auto"/>
          <w:spacing w:val="5"/>
          <w:sz w:val="24"/>
          <w:highlight w:val="none"/>
        </w:rPr>
        <w:t>14</w:t>
      </w:r>
      <w:r>
        <w:rPr>
          <w:rFonts w:hAnsi="宋体"/>
          <w:color w:val="auto"/>
          <w:spacing w:val="5"/>
          <w:sz w:val="24"/>
          <w:highlight w:val="none"/>
        </w:rPr>
        <w:t>投标人所提供的设备及所有元器件均应通过中国强制认证（China Compulsory Certification，简称3C认证）并提供3C认证证书。</w:t>
      </w:r>
    </w:p>
    <w:p w14:paraId="21FE4DD5">
      <w:pPr>
        <w:spacing w:line="360" w:lineRule="auto"/>
        <w:rPr>
          <w:rFonts w:hAnsi="宋体"/>
          <w:color w:val="auto"/>
          <w:spacing w:val="5"/>
          <w:sz w:val="24"/>
          <w:highlight w:val="none"/>
        </w:rPr>
      </w:pPr>
      <w:r>
        <w:rPr>
          <w:color w:val="auto"/>
          <w:spacing w:val="5"/>
          <w:sz w:val="24"/>
          <w:highlight w:val="none"/>
        </w:rPr>
        <w:t>1.1.</w:t>
      </w:r>
      <w:r>
        <w:rPr>
          <w:rFonts w:hint="eastAsia"/>
          <w:color w:val="auto"/>
          <w:spacing w:val="5"/>
          <w:sz w:val="24"/>
          <w:highlight w:val="none"/>
          <w:lang w:val="en-US" w:eastAsia="zh-CN"/>
        </w:rPr>
        <w:t>15</w:t>
      </w:r>
      <w:r>
        <w:rPr>
          <w:rFonts w:hAnsi="宋体"/>
          <w:color w:val="auto"/>
          <w:spacing w:val="5"/>
          <w:sz w:val="24"/>
          <w:highlight w:val="none"/>
        </w:rPr>
        <w:t>如果本</w:t>
      </w:r>
      <w:r>
        <w:rPr>
          <w:rFonts w:hint="eastAsia" w:hAnsi="宋体"/>
          <w:color w:val="auto"/>
          <w:spacing w:val="5"/>
          <w:sz w:val="24"/>
          <w:highlight w:val="none"/>
        </w:rPr>
        <w:t>技术</w:t>
      </w:r>
      <w:r>
        <w:rPr>
          <w:rFonts w:hint="eastAsia" w:hAnsi="宋体"/>
          <w:color w:val="auto"/>
          <w:spacing w:val="5"/>
          <w:sz w:val="24"/>
          <w:highlight w:val="none"/>
          <w:lang w:val="en-US" w:eastAsia="zh-CN"/>
        </w:rPr>
        <w:t>规范书</w:t>
      </w:r>
      <w:r>
        <w:rPr>
          <w:rFonts w:hAnsi="宋体"/>
          <w:color w:val="auto"/>
          <w:spacing w:val="5"/>
          <w:sz w:val="24"/>
          <w:highlight w:val="none"/>
        </w:rPr>
        <w:t>的描述存在矛盾或不一致之处，或本</w:t>
      </w:r>
      <w:r>
        <w:rPr>
          <w:rFonts w:hint="eastAsia" w:hAnsi="宋体"/>
          <w:color w:val="auto"/>
          <w:spacing w:val="5"/>
          <w:sz w:val="24"/>
          <w:highlight w:val="none"/>
        </w:rPr>
        <w:t>技术</w:t>
      </w:r>
      <w:r>
        <w:rPr>
          <w:rFonts w:hint="eastAsia" w:hAnsi="宋体"/>
          <w:color w:val="auto"/>
          <w:spacing w:val="5"/>
          <w:sz w:val="24"/>
          <w:highlight w:val="none"/>
          <w:lang w:val="en-US" w:eastAsia="zh-CN"/>
        </w:rPr>
        <w:t>规范书</w:t>
      </w:r>
      <w:r>
        <w:rPr>
          <w:rFonts w:hAnsi="宋体"/>
          <w:color w:val="auto"/>
          <w:spacing w:val="5"/>
          <w:sz w:val="24"/>
          <w:highlight w:val="none"/>
        </w:rPr>
        <w:t>的技术部分和商务部分在供货范围的描述存在矛盾或不一致之处，由</w:t>
      </w:r>
      <w:r>
        <w:rPr>
          <w:rFonts w:hint="eastAsia" w:hAnsi="宋体"/>
          <w:color w:val="auto"/>
          <w:spacing w:val="5"/>
          <w:sz w:val="24"/>
          <w:highlight w:val="none"/>
          <w:lang w:eastAsia="zh-CN"/>
        </w:rPr>
        <w:t>招标人</w:t>
      </w:r>
      <w:r>
        <w:rPr>
          <w:rFonts w:hAnsi="宋体"/>
          <w:color w:val="auto"/>
          <w:spacing w:val="5"/>
          <w:sz w:val="24"/>
          <w:highlight w:val="none"/>
        </w:rPr>
        <w:t>决定最终采用哪种描述。</w:t>
      </w:r>
    </w:p>
    <w:p w14:paraId="4144A9A6">
      <w:pPr>
        <w:spacing w:line="360" w:lineRule="auto"/>
        <w:rPr>
          <w:rFonts w:hint="default" w:ascii="宋体" w:hAnsi="宋体" w:eastAsia="宋体"/>
          <w:b/>
          <w:color w:val="auto"/>
          <w:sz w:val="24"/>
          <w:szCs w:val="24"/>
          <w:highlight w:val="none"/>
          <w:lang w:val="en-US" w:eastAsia="zh-CN"/>
        </w:rPr>
      </w:pPr>
      <w:r>
        <w:rPr>
          <w:rFonts w:hint="eastAsia" w:ascii="宋体" w:hAnsi="宋体"/>
          <w:b/>
          <w:color w:val="auto"/>
          <w:sz w:val="24"/>
          <w:szCs w:val="24"/>
          <w:highlight w:val="none"/>
        </w:rPr>
        <w:t>1.1.16根据</w:t>
      </w:r>
      <w:r>
        <w:rPr>
          <w:rFonts w:hint="eastAsia" w:ascii="宋体" w:hAnsi="宋体"/>
          <w:b/>
          <w:color w:val="auto"/>
          <w:sz w:val="24"/>
          <w:szCs w:val="24"/>
          <w:highlight w:val="none"/>
          <w:lang w:val="en-US" w:eastAsia="zh-CN"/>
        </w:rPr>
        <w:t>西北</w:t>
      </w:r>
      <w:r>
        <w:rPr>
          <w:rFonts w:hint="eastAsia" w:ascii="宋体" w:hAnsi="宋体"/>
          <w:b/>
          <w:color w:val="auto"/>
          <w:sz w:val="24"/>
          <w:szCs w:val="24"/>
          <w:highlight w:val="none"/>
        </w:rPr>
        <w:t>电网对于</w:t>
      </w:r>
      <w:r>
        <w:rPr>
          <w:rFonts w:hint="eastAsia" w:ascii="宋体" w:hAnsi="宋体"/>
          <w:b/>
          <w:color w:val="auto"/>
          <w:sz w:val="24"/>
          <w:szCs w:val="24"/>
          <w:highlight w:val="none"/>
          <w:lang w:val="en-US" w:eastAsia="zh-CN"/>
        </w:rPr>
        <w:t>75</w:t>
      </w:r>
      <w:r>
        <w:rPr>
          <w:rFonts w:hint="eastAsia" w:ascii="宋体" w:hAnsi="宋体"/>
          <w:b/>
          <w:color w:val="auto"/>
          <w:sz w:val="24"/>
          <w:szCs w:val="24"/>
          <w:highlight w:val="none"/>
        </w:rPr>
        <w:t>0KV系统自动化配置的要求，</w:t>
      </w:r>
      <w:r>
        <w:rPr>
          <w:rFonts w:hint="eastAsia" w:ascii="宋体" w:hAnsi="宋体"/>
          <w:b/>
          <w:color w:val="auto"/>
          <w:sz w:val="24"/>
          <w:szCs w:val="24"/>
          <w:highlight w:val="none"/>
          <w:lang w:eastAsia="zh-CN"/>
        </w:rPr>
        <w:t>投标人</w:t>
      </w:r>
      <w:r>
        <w:rPr>
          <w:rFonts w:hint="eastAsia" w:ascii="宋体" w:hAnsi="宋体"/>
          <w:b/>
          <w:color w:val="auto"/>
          <w:sz w:val="24"/>
          <w:szCs w:val="24"/>
          <w:highlight w:val="none"/>
        </w:rPr>
        <w:t>应确保所提供的产品还应满足</w:t>
      </w:r>
      <w:r>
        <w:rPr>
          <w:rFonts w:hint="eastAsia" w:ascii="宋体" w:hAnsi="宋体"/>
          <w:b/>
          <w:color w:val="auto"/>
          <w:sz w:val="24"/>
          <w:szCs w:val="24"/>
          <w:highlight w:val="none"/>
          <w:lang w:val="en-US" w:eastAsia="zh-CN"/>
        </w:rPr>
        <w:t>西北</w:t>
      </w:r>
      <w:r>
        <w:rPr>
          <w:rFonts w:hint="eastAsia" w:ascii="宋体" w:hAnsi="宋体"/>
          <w:b/>
          <w:color w:val="auto"/>
          <w:sz w:val="24"/>
          <w:szCs w:val="24"/>
          <w:highlight w:val="none"/>
        </w:rPr>
        <w:t>电网对于</w:t>
      </w:r>
      <w:r>
        <w:rPr>
          <w:rFonts w:hint="eastAsia" w:ascii="宋体" w:hAnsi="宋体"/>
          <w:b/>
          <w:color w:val="auto"/>
          <w:sz w:val="24"/>
          <w:szCs w:val="24"/>
          <w:highlight w:val="none"/>
          <w:lang w:val="en-US" w:eastAsia="zh-CN"/>
        </w:rPr>
        <w:t>75</w:t>
      </w:r>
      <w:r>
        <w:rPr>
          <w:rFonts w:hint="eastAsia" w:ascii="宋体" w:hAnsi="宋体"/>
          <w:b/>
          <w:color w:val="auto"/>
          <w:sz w:val="24"/>
          <w:szCs w:val="24"/>
          <w:highlight w:val="none"/>
        </w:rPr>
        <w:t>0KV系统自动化的专门技术要求和设计组屏规范</w:t>
      </w:r>
      <w:r>
        <w:rPr>
          <w:rFonts w:hint="eastAsia" w:ascii="宋体" w:hAnsi="宋体"/>
          <w:b/>
          <w:color w:val="auto"/>
          <w:sz w:val="24"/>
          <w:szCs w:val="24"/>
          <w:highlight w:val="none"/>
          <w:lang w:eastAsia="zh-CN"/>
        </w:rPr>
        <w:t>，</w:t>
      </w:r>
      <w:r>
        <w:rPr>
          <w:rFonts w:hint="eastAsia" w:ascii="宋体" w:hAnsi="宋体"/>
          <w:b/>
          <w:color w:val="auto"/>
          <w:sz w:val="24"/>
          <w:szCs w:val="24"/>
          <w:highlight w:val="none"/>
          <w:lang w:val="en-US" w:eastAsia="zh-CN"/>
        </w:rPr>
        <w:t>如：西电调字〔2023〕50号《国网西北分部调度控制中心直调厂站自动化设备接入规范》、西电调字〔2023〕49号《西北电网新（改、扩）建工程自动化专业设计审查要点（试行）》等。</w:t>
      </w:r>
    </w:p>
    <w:p w14:paraId="28204220">
      <w:pPr>
        <w:rPr>
          <w:rFonts w:hint="eastAsia" w:hAnsi="宋体"/>
          <w:b/>
          <w:color w:val="auto"/>
          <w:sz w:val="24"/>
          <w:szCs w:val="24"/>
          <w:highlight w:val="none"/>
          <w:lang w:val="en-US" w:eastAsia="zh-CN"/>
        </w:rPr>
      </w:pPr>
      <w:r>
        <w:rPr>
          <w:rFonts w:hint="eastAsia" w:ascii="宋体" w:hAnsi="宋体"/>
          <w:b/>
          <w:color w:val="auto"/>
          <w:sz w:val="24"/>
          <w:szCs w:val="24"/>
          <w:highlight w:val="none"/>
        </w:rPr>
        <w:t>1.1.17网络监控系统通信规约采用IEC 61850标准或IEC 103标准。</w:t>
      </w:r>
    </w:p>
    <w:p w14:paraId="29FB2FD6">
      <w:pPr>
        <w:numPr>
          <w:ilvl w:val="-1"/>
          <w:numId w:val="0"/>
        </w:numPr>
        <w:spacing w:line="360" w:lineRule="auto"/>
        <w:ind w:left="0" w:leftChars="0" w:firstLine="0" w:firstLineChars="0"/>
        <w:rPr>
          <w:rFonts w:hint="eastAsia"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1.1.18 投标人应使用国家制定部门检测认证的安全加固的操作系统和数据库，禁止选用经国家相关管理部分检测认定并通报存在漏洞和风险的系统和设备。</w:t>
      </w:r>
    </w:p>
    <w:p w14:paraId="7D179FF6">
      <w:pPr>
        <w:numPr>
          <w:ilvl w:val="-1"/>
          <w:numId w:val="0"/>
        </w:numPr>
        <w:spacing w:line="360" w:lineRule="auto"/>
        <w:ind w:left="0" w:leftChars="0" w:firstLine="0" w:firstLineChars="0"/>
        <w:rPr>
          <w:rFonts w:hint="default"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1.1.19投标人所投产品（测控装置）须满足Q/GDW10427-2017《变电站测控装置技术规范》要求。</w:t>
      </w:r>
    </w:p>
    <w:p w14:paraId="0868977B">
      <w:pPr>
        <w:rPr>
          <w:rFonts w:hint="default"/>
          <w:color w:val="auto"/>
          <w:highlight w:val="none"/>
          <w:lang w:val="en-US" w:eastAsia="zh-CN"/>
        </w:rPr>
      </w:pPr>
    </w:p>
    <w:p w14:paraId="1698258D">
      <w:pPr>
        <w:spacing w:line="360" w:lineRule="auto"/>
        <w:rPr>
          <w:rFonts w:ascii="宋体" w:hAnsi="宋体"/>
          <w:b/>
          <w:color w:val="auto"/>
          <w:sz w:val="24"/>
          <w:szCs w:val="24"/>
          <w:highlight w:val="none"/>
        </w:rPr>
      </w:pPr>
      <w:r>
        <w:rPr>
          <w:rFonts w:hint="eastAsia" w:hAnsi="宋体"/>
          <w:color w:val="auto"/>
          <w:spacing w:val="5"/>
          <w:sz w:val="24"/>
          <w:szCs w:val="24"/>
          <w:highlight w:val="none"/>
        </w:rPr>
        <w:t>1</w:t>
      </w:r>
      <w:r>
        <w:rPr>
          <w:rFonts w:hint="eastAsia" w:ascii="宋体" w:hAnsi="宋体"/>
          <w:b/>
          <w:color w:val="auto"/>
          <w:sz w:val="24"/>
          <w:szCs w:val="24"/>
          <w:highlight w:val="none"/>
        </w:rPr>
        <w:t>．2环境条件</w:t>
      </w:r>
    </w:p>
    <w:p w14:paraId="244B127D">
      <w:pPr>
        <w:spacing w:line="360" w:lineRule="auto"/>
        <w:rPr>
          <w:rFonts w:ascii="宋体"/>
          <w:color w:val="auto"/>
          <w:sz w:val="24"/>
          <w:szCs w:val="24"/>
          <w:highlight w:val="none"/>
        </w:rPr>
      </w:pPr>
      <w:r>
        <w:rPr>
          <w:rFonts w:hint="eastAsia" w:ascii="宋体" w:hAnsi="宋体"/>
          <w:color w:val="auto"/>
          <w:sz w:val="24"/>
          <w:szCs w:val="24"/>
          <w:highlight w:val="none"/>
        </w:rPr>
        <w:t>1.2.1</w:t>
      </w:r>
      <w:r>
        <w:rPr>
          <w:rFonts w:hint="eastAsia" w:ascii="宋体"/>
          <w:color w:val="auto"/>
          <w:sz w:val="24"/>
          <w:szCs w:val="24"/>
          <w:highlight w:val="none"/>
        </w:rPr>
        <w:t>气象资料</w:t>
      </w:r>
    </w:p>
    <w:p w14:paraId="6C9B99D4">
      <w:pPr>
        <w:pStyle w:val="56"/>
        <w:tabs>
          <w:tab w:val="left" w:pos="567"/>
        </w:tabs>
        <w:snapToGrid w:val="0"/>
        <w:spacing w:line="360" w:lineRule="auto"/>
        <w:ind w:firstLine="480" w:firstLineChars="200"/>
        <w:textAlignment w:val="bottom"/>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民勤属温带大陆性极干旱气候区，具有明显的蒙新沙漠气候特征。常年干燥、降水少，蒸发大，冬冷夏热，昼夜温差悬殊，日照长，风沙多。</w:t>
      </w:r>
    </w:p>
    <w:p w14:paraId="1D9F6380">
      <w:pPr>
        <w:pStyle w:val="57"/>
        <w:overflowPunct w:val="0"/>
        <w:autoSpaceDE w:val="0"/>
        <w:autoSpaceDN w:val="0"/>
        <w:adjustRightInd w:val="0"/>
        <w:snapToGrid w:val="0"/>
        <w:spacing w:line="360" w:lineRule="auto"/>
        <w:ind w:firstLine="482"/>
        <w:textAlignment w:val="baseline"/>
        <w:rPr>
          <w:rFonts w:hint="default" w:ascii="Times New Roman" w:hAnsi="Times New Roman" w:cs="Times New Roman"/>
          <w:b w:val="0"/>
          <w:color w:val="auto"/>
          <w:sz w:val="24"/>
          <w:szCs w:val="24"/>
          <w:highlight w:val="none"/>
        </w:rPr>
      </w:pPr>
      <w:r>
        <w:rPr>
          <w:rFonts w:hint="default" w:ascii="Times New Roman" w:hAnsi="Times New Roman" w:cs="Times New Roman"/>
          <w:snapToGrid w:val="0"/>
          <w:color w:val="auto"/>
          <w:kern w:val="0"/>
          <w:sz w:val="24"/>
          <w:szCs w:val="24"/>
          <w:highlight w:val="none"/>
        </w:rPr>
        <w:t>根据民勤气象站多年实测资料统计，求得累年基本气象要素值见下表。</w:t>
      </w:r>
    </w:p>
    <w:tbl>
      <w:tblPr>
        <w:tblStyle w:val="3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44"/>
        <w:gridCol w:w="1221"/>
        <w:gridCol w:w="1424"/>
        <w:gridCol w:w="2431"/>
      </w:tblGrid>
      <w:tr w14:paraId="420DC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6FFABE8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要素</w:t>
            </w:r>
          </w:p>
        </w:tc>
        <w:tc>
          <w:tcPr>
            <w:tcW w:w="700" w:type="pct"/>
            <w:tcBorders>
              <w:top w:val="single" w:color="000000" w:sz="4" w:space="0"/>
              <w:left w:val="nil"/>
              <w:bottom w:val="single" w:color="000000" w:sz="4" w:space="0"/>
              <w:right w:val="single" w:color="000000" w:sz="4" w:space="0"/>
            </w:tcBorders>
            <w:noWrap w:val="0"/>
            <w:vAlign w:val="center"/>
          </w:tcPr>
          <w:p w14:paraId="0EFA6F8E">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单位</w:t>
            </w:r>
          </w:p>
        </w:tc>
        <w:tc>
          <w:tcPr>
            <w:tcW w:w="816" w:type="pct"/>
            <w:tcBorders>
              <w:top w:val="single" w:color="000000" w:sz="4" w:space="0"/>
              <w:left w:val="nil"/>
              <w:bottom w:val="single" w:color="000000" w:sz="4" w:space="0"/>
              <w:right w:val="single" w:color="000000" w:sz="4" w:space="0"/>
            </w:tcBorders>
            <w:noWrap/>
            <w:vAlign w:val="center"/>
          </w:tcPr>
          <w:p w14:paraId="05DFC1F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数值</w:t>
            </w:r>
          </w:p>
        </w:tc>
        <w:tc>
          <w:tcPr>
            <w:tcW w:w="1393" w:type="pct"/>
            <w:tcBorders>
              <w:top w:val="single" w:color="000000" w:sz="4" w:space="0"/>
              <w:left w:val="nil"/>
              <w:bottom w:val="single" w:color="000000" w:sz="4" w:space="0"/>
              <w:right w:val="single" w:color="000000" w:sz="4" w:space="0"/>
            </w:tcBorders>
            <w:noWrap/>
            <w:vAlign w:val="center"/>
          </w:tcPr>
          <w:p w14:paraId="14B196E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备注</w:t>
            </w:r>
          </w:p>
        </w:tc>
      </w:tr>
      <w:tr w14:paraId="5440B9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1A868546">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多年平均气温：</w:t>
            </w:r>
          </w:p>
        </w:tc>
        <w:tc>
          <w:tcPr>
            <w:tcW w:w="700" w:type="pct"/>
            <w:tcBorders>
              <w:top w:val="single" w:color="000000" w:sz="4" w:space="0"/>
              <w:left w:val="nil"/>
              <w:bottom w:val="single" w:color="000000" w:sz="4" w:space="0"/>
              <w:right w:val="single" w:color="000000" w:sz="4" w:space="0"/>
            </w:tcBorders>
            <w:noWrap w:val="0"/>
            <w:vAlign w:val="center"/>
          </w:tcPr>
          <w:p w14:paraId="5A5526C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42E751D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8.3</w:t>
            </w:r>
          </w:p>
        </w:tc>
        <w:tc>
          <w:tcPr>
            <w:tcW w:w="1393" w:type="pct"/>
            <w:tcBorders>
              <w:top w:val="single" w:color="000000" w:sz="4" w:space="0"/>
              <w:left w:val="nil"/>
              <w:bottom w:val="single" w:color="000000" w:sz="4" w:space="0"/>
              <w:right w:val="single" w:color="000000" w:sz="4" w:space="0"/>
            </w:tcBorders>
            <w:noWrap/>
            <w:vAlign w:val="center"/>
          </w:tcPr>
          <w:p w14:paraId="3F97F48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63EB0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06E6AD2">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最热月平均气温</w:t>
            </w:r>
          </w:p>
        </w:tc>
        <w:tc>
          <w:tcPr>
            <w:tcW w:w="700" w:type="pct"/>
            <w:tcBorders>
              <w:top w:val="single" w:color="000000" w:sz="4" w:space="0"/>
              <w:left w:val="nil"/>
              <w:bottom w:val="single" w:color="000000" w:sz="4" w:space="0"/>
              <w:right w:val="single" w:color="000000" w:sz="4" w:space="0"/>
            </w:tcBorders>
            <w:noWrap w:val="0"/>
            <w:vAlign w:val="center"/>
          </w:tcPr>
          <w:p w14:paraId="7830812E">
            <w:pPr>
              <w:keepNext w:val="0"/>
              <w:keepLines w:val="0"/>
              <w:suppressLineNumbers w:val="0"/>
              <w:overflowPunct w:val="0"/>
              <w:autoSpaceDE w:val="0"/>
              <w:autoSpaceDN w:val="0"/>
              <w:snapToGrid w:val="0"/>
              <w:spacing w:before="0" w:beforeAutospacing="0" w:after="0" w:afterAutospacing="0" w:line="360" w:lineRule="atLeast"/>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44E2C63F">
            <w:pPr>
              <w:keepNext w:val="0"/>
              <w:keepLines w:val="0"/>
              <w:suppressLineNumbers w:val="0"/>
              <w:overflowPunct w:val="0"/>
              <w:autoSpaceDE w:val="0"/>
              <w:autoSpaceDN w:val="0"/>
              <w:snapToGrid w:val="0"/>
              <w:spacing w:before="0" w:beforeAutospacing="0" w:after="0" w:afterAutospacing="0" w:line="360" w:lineRule="atLeast"/>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23.2</w:t>
            </w:r>
          </w:p>
        </w:tc>
        <w:tc>
          <w:tcPr>
            <w:tcW w:w="1393" w:type="pct"/>
            <w:tcBorders>
              <w:top w:val="single" w:color="000000" w:sz="4" w:space="0"/>
              <w:left w:val="nil"/>
              <w:bottom w:val="single" w:color="000000" w:sz="4" w:space="0"/>
              <w:right w:val="single" w:color="000000" w:sz="4" w:space="0"/>
            </w:tcBorders>
            <w:noWrap/>
            <w:vAlign w:val="center"/>
          </w:tcPr>
          <w:p w14:paraId="64A1FC24">
            <w:pPr>
              <w:keepNext w:val="0"/>
              <w:keepLines w:val="0"/>
              <w:suppressLineNumbers w:val="0"/>
              <w:overflowPunct w:val="0"/>
              <w:autoSpaceDE w:val="0"/>
              <w:autoSpaceDN w:val="0"/>
              <w:snapToGrid w:val="0"/>
              <w:spacing w:before="0" w:beforeAutospacing="0" w:after="0" w:afterAutospacing="0" w:line="360" w:lineRule="atLeast"/>
              <w:ind w:left="0" w:right="0"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7月</w:t>
            </w:r>
          </w:p>
        </w:tc>
      </w:tr>
      <w:tr w14:paraId="27319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0C5D27D0">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最冷月平均气温</w:t>
            </w:r>
          </w:p>
        </w:tc>
        <w:tc>
          <w:tcPr>
            <w:tcW w:w="700" w:type="pct"/>
            <w:tcBorders>
              <w:top w:val="single" w:color="000000" w:sz="4" w:space="0"/>
              <w:left w:val="nil"/>
              <w:bottom w:val="single" w:color="000000" w:sz="4" w:space="0"/>
              <w:right w:val="single" w:color="000000" w:sz="4" w:space="0"/>
            </w:tcBorders>
            <w:noWrap w:val="0"/>
            <w:vAlign w:val="center"/>
          </w:tcPr>
          <w:p w14:paraId="7EA8CAD2">
            <w:pPr>
              <w:keepNext w:val="0"/>
              <w:keepLines w:val="0"/>
              <w:suppressLineNumbers w:val="0"/>
              <w:overflowPunct w:val="0"/>
              <w:autoSpaceDE w:val="0"/>
              <w:autoSpaceDN w:val="0"/>
              <w:snapToGrid w:val="0"/>
              <w:spacing w:before="0" w:beforeAutospacing="0" w:after="0" w:afterAutospacing="0" w:line="360" w:lineRule="atLeast"/>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75D511C6">
            <w:pPr>
              <w:keepNext w:val="0"/>
              <w:keepLines w:val="0"/>
              <w:suppressLineNumbers w:val="0"/>
              <w:overflowPunct w:val="0"/>
              <w:autoSpaceDE w:val="0"/>
              <w:autoSpaceDN w:val="0"/>
              <w:snapToGrid w:val="0"/>
              <w:spacing w:before="0" w:beforeAutospacing="0" w:after="0" w:afterAutospacing="0" w:line="360" w:lineRule="atLeast"/>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-8.6</w:t>
            </w:r>
          </w:p>
        </w:tc>
        <w:tc>
          <w:tcPr>
            <w:tcW w:w="1393" w:type="pct"/>
            <w:tcBorders>
              <w:top w:val="single" w:color="000000" w:sz="4" w:space="0"/>
              <w:left w:val="nil"/>
              <w:bottom w:val="single" w:color="000000" w:sz="4" w:space="0"/>
              <w:right w:val="single" w:color="000000" w:sz="4" w:space="0"/>
            </w:tcBorders>
            <w:noWrap/>
            <w:vAlign w:val="center"/>
          </w:tcPr>
          <w:p w14:paraId="33F31A9E">
            <w:pPr>
              <w:keepNext w:val="0"/>
              <w:keepLines w:val="0"/>
              <w:suppressLineNumbers w:val="0"/>
              <w:overflowPunct w:val="0"/>
              <w:autoSpaceDE w:val="0"/>
              <w:autoSpaceDN w:val="0"/>
              <w:snapToGrid w:val="0"/>
              <w:spacing w:before="0" w:beforeAutospacing="0" w:after="0" w:afterAutospacing="0" w:line="360" w:lineRule="atLeast"/>
              <w:ind w:left="0" w:right="0"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1月</w:t>
            </w:r>
          </w:p>
        </w:tc>
      </w:tr>
      <w:tr w14:paraId="5B13E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FC9AD07">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极端最高气温：</w:t>
            </w:r>
          </w:p>
        </w:tc>
        <w:tc>
          <w:tcPr>
            <w:tcW w:w="700" w:type="pct"/>
            <w:tcBorders>
              <w:top w:val="single" w:color="000000" w:sz="4" w:space="0"/>
              <w:left w:val="nil"/>
              <w:bottom w:val="single" w:color="000000" w:sz="4" w:space="0"/>
              <w:right w:val="single" w:color="000000" w:sz="4" w:space="0"/>
            </w:tcBorders>
            <w:noWrap w:val="0"/>
            <w:vAlign w:val="center"/>
          </w:tcPr>
          <w:p w14:paraId="43EFD27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1B6E835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41.7</w:t>
            </w:r>
          </w:p>
        </w:tc>
        <w:tc>
          <w:tcPr>
            <w:tcW w:w="1393" w:type="pct"/>
            <w:tcBorders>
              <w:top w:val="single" w:color="000000" w:sz="4" w:space="0"/>
              <w:left w:val="nil"/>
              <w:bottom w:val="single" w:color="000000" w:sz="4" w:space="0"/>
              <w:right w:val="single" w:color="000000" w:sz="4" w:space="0"/>
            </w:tcBorders>
            <w:noWrap/>
            <w:vAlign w:val="center"/>
          </w:tcPr>
          <w:p w14:paraId="66356F04">
            <w:pPr>
              <w:keepNext w:val="0"/>
              <w:keepLines w:val="0"/>
              <w:suppressLineNumbers w:val="0"/>
              <w:overflowPunct w:val="0"/>
              <w:autoSpaceDE w:val="0"/>
              <w:autoSpaceDN w:val="0"/>
              <w:snapToGrid w:val="0"/>
              <w:spacing w:before="0" w:beforeAutospacing="0" w:after="0" w:afterAutospacing="0" w:line="360" w:lineRule="atLeast"/>
              <w:ind w:left="0" w:right="0"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kern w:val="2"/>
                <w:sz w:val="24"/>
                <w:szCs w:val="24"/>
                <w:highlight w:val="none"/>
                <w:lang w:val="en-US" w:eastAsia="zh-CN" w:bidi="ar"/>
              </w:rPr>
              <w:t>2010.7.30</w:t>
            </w:r>
          </w:p>
        </w:tc>
      </w:tr>
      <w:tr w14:paraId="7F851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7B6FBFDD">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极端最低气温：</w:t>
            </w:r>
          </w:p>
        </w:tc>
        <w:tc>
          <w:tcPr>
            <w:tcW w:w="700" w:type="pct"/>
            <w:tcBorders>
              <w:top w:val="single" w:color="000000" w:sz="4" w:space="0"/>
              <w:left w:val="nil"/>
              <w:bottom w:val="single" w:color="000000" w:sz="4" w:space="0"/>
              <w:right w:val="single" w:color="000000" w:sz="4" w:space="0"/>
            </w:tcBorders>
            <w:noWrap w:val="0"/>
            <w:vAlign w:val="center"/>
          </w:tcPr>
          <w:p w14:paraId="3B56379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2AF2E18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29.5</w:t>
            </w:r>
          </w:p>
        </w:tc>
        <w:tc>
          <w:tcPr>
            <w:tcW w:w="1393" w:type="pct"/>
            <w:tcBorders>
              <w:top w:val="single" w:color="000000" w:sz="4" w:space="0"/>
              <w:left w:val="nil"/>
              <w:bottom w:val="single" w:color="000000" w:sz="4" w:space="0"/>
              <w:right w:val="single" w:color="000000" w:sz="4" w:space="0"/>
            </w:tcBorders>
            <w:noWrap/>
            <w:vAlign w:val="center"/>
          </w:tcPr>
          <w:p w14:paraId="41E3B83A">
            <w:pPr>
              <w:keepNext w:val="0"/>
              <w:keepLines w:val="0"/>
              <w:widowControl/>
              <w:suppressLineNumbers w:val="0"/>
              <w:overflowPunct w:val="0"/>
              <w:autoSpaceDE w:val="0"/>
              <w:autoSpaceDN w:val="0"/>
              <w:snapToGrid w:val="0"/>
              <w:spacing w:before="0" w:beforeAutospacing="0" w:after="0" w:afterAutospacing="0" w:line="360" w:lineRule="atLeast"/>
              <w:ind w:left="0" w:right="0"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kern w:val="2"/>
                <w:sz w:val="24"/>
                <w:szCs w:val="24"/>
                <w:highlight w:val="none"/>
                <w:lang w:val="en-US" w:eastAsia="zh-CN" w:bidi="ar"/>
              </w:rPr>
              <w:t>2008.2.1</w:t>
            </w:r>
          </w:p>
        </w:tc>
      </w:tr>
      <w:tr w14:paraId="32BC9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036A7CEA">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多年平均气压</w:t>
            </w:r>
          </w:p>
        </w:tc>
        <w:tc>
          <w:tcPr>
            <w:tcW w:w="700" w:type="pct"/>
            <w:tcBorders>
              <w:top w:val="single" w:color="000000" w:sz="4" w:space="0"/>
              <w:left w:val="nil"/>
              <w:bottom w:val="single" w:color="000000" w:sz="4" w:space="0"/>
              <w:right w:val="single" w:color="000000" w:sz="4" w:space="0"/>
            </w:tcBorders>
            <w:noWrap w:val="0"/>
            <w:vAlign w:val="center"/>
          </w:tcPr>
          <w:p w14:paraId="3EB06AD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hPa</w:t>
            </w:r>
          </w:p>
        </w:tc>
        <w:tc>
          <w:tcPr>
            <w:tcW w:w="816" w:type="pct"/>
            <w:tcBorders>
              <w:top w:val="single" w:color="000000" w:sz="4" w:space="0"/>
              <w:left w:val="nil"/>
              <w:bottom w:val="single" w:color="000000" w:sz="4" w:space="0"/>
              <w:right w:val="single" w:color="000000" w:sz="4" w:space="0"/>
            </w:tcBorders>
            <w:noWrap/>
            <w:vAlign w:val="center"/>
          </w:tcPr>
          <w:p w14:paraId="244C35F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8</w:t>
            </w:r>
            <w:r>
              <w:rPr>
                <w:rFonts w:hint="default" w:ascii="Times New Roman" w:hAnsi="Times New Roman" w:eastAsia="宋体" w:cs="Times New Roman"/>
                <w:color w:val="auto"/>
                <w:sz w:val="24"/>
                <w:szCs w:val="24"/>
                <w:highlight w:val="none"/>
                <w:lang w:val="en-US" w:eastAsia="zh-CN"/>
              </w:rPr>
              <w:t>63.9</w:t>
            </w:r>
          </w:p>
        </w:tc>
        <w:tc>
          <w:tcPr>
            <w:tcW w:w="1393" w:type="pct"/>
            <w:tcBorders>
              <w:top w:val="single" w:color="000000" w:sz="4" w:space="0"/>
              <w:left w:val="nil"/>
              <w:bottom w:val="single" w:color="000000" w:sz="4" w:space="0"/>
              <w:right w:val="single" w:color="000000" w:sz="4" w:space="0"/>
            </w:tcBorders>
            <w:noWrap/>
            <w:vAlign w:val="center"/>
          </w:tcPr>
          <w:p w14:paraId="22E1340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42055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48C1DB7">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多年平均相对湿度</w:t>
            </w:r>
          </w:p>
        </w:tc>
        <w:tc>
          <w:tcPr>
            <w:tcW w:w="700" w:type="pct"/>
            <w:tcBorders>
              <w:top w:val="single" w:color="000000" w:sz="4" w:space="0"/>
              <w:left w:val="nil"/>
              <w:bottom w:val="single" w:color="000000" w:sz="4" w:space="0"/>
              <w:right w:val="single" w:color="000000" w:sz="4" w:space="0"/>
            </w:tcBorders>
            <w:noWrap w:val="0"/>
            <w:vAlign w:val="center"/>
          </w:tcPr>
          <w:p w14:paraId="36EE423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0184C1D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w:t>
            </w:r>
          </w:p>
        </w:tc>
        <w:tc>
          <w:tcPr>
            <w:tcW w:w="1393" w:type="pct"/>
            <w:tcBorders>
              <w:top w:val="single" w:color="000000" w:sz="4" w:space="0"/>
              <w:left w:val="nil"/>
              <w:bottom w:val="single" w:color="000000" w:sz="4" w:space="0"/>
              <w:right w:val="single" w:color="000000" w:sz="4" w:space="0"/>
            </w:tcBorders>
            <w:noWrap/>
            <w:vAlign w:val="center"/>
          </w:tcPr>
          <w:p w14:paraId="3625BE5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0200B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0F9896A4">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最小相对湿度</w:t>
            </w:r>
          </w:p>
        </w:tc>
        <w:tc>
          <w:tcPr>
            <w:tcW w:w="700" w:type="pct"/>
            <w:tcBorders>
              <w:top w:val="single" w:color="000000" w:sz="4" w:space="0"/>
              <w:left w:val="nil"/>
              <w:bottom w:val="single" w:color="000000" w:sz="4" w:space="0"/>
              <w:right w:val="single" w:color="000000" w:sz="4" w:space="0"/>
            </w:tcBorders>
            <w:noWrap w:val="0"/>
            <w:vAlign w:val="center"/>
          </w:tcPr>
          <w:p w14:paraId="24ED441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c>
          <w:tcPr>
            <w:tcW w:w="816" w:type="pct"/>
            <w:tcBorders>
              <w:top w:val="single" w:color="000000" w:sz="4" w:space="0"/>
              <w:left w:val="nil"/>
              <w:bottom w:val="single" w:color="000000" w:sz="4" w:space="0"/>
              <w:right w:val="single" w:color="000000" w:sz="4" w:space="0"/>
            </w:tcBorders>
            <w:noWrap/>
            <w:vAlign w:val="center"/>
          </w:tcPr>
          <w:p w14:paraId="6C11F43D">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0</w:t>
            </w:r>
          </w:p>
        </w:tc>
        <w:tc>
          <w:tcPr>
            <w:tcW w:w="1393" w:type="pct"/>
            <w:tcBorders>
              <w:top w:val="single" w:color="000000" w:sz="4" w:space="0"/>
              <w:left w:val="nil"/>
              <w:bottom w:val="single" w:color="000000" w:sz="4" w:space="0"/>
              <w:right w:val="single" w:color="000000" w:sz="4" w:space="0"/>
            </w:tcBorders>
            <w:noWrap/>
            <w:vAlign w:val="center"/>
          </w:tcPr>
          <w:p w14:paraId="36E147B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23C62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5BACD45A">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多年平均降水量</w:t>
            </w:r>
          </w:p>
        </w:tc>
        <w:tc>
          <w:tcPr>
            <w:tcW w:w="700" w:type="pct"/>
            <w:tcBorders>
              <w:top w:val="single" w:color="000000" w:sz="4" w:space="0"/>
              <w:left w:val="nil"/>
              <w:bottom w:val="single" w:color="000000" w:sz="4" w:space="0"/>
              <w:right w:val="single" w:color="000000" w:sz="4" w:space="0"/>
            </w:tcBorders>
            <w:noWrap w:val="0"/>
            <w:vAlign w:val="center"/>
          </w:tcPr>
          <w:p w14:paraId="1130DAD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17D5C97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113.0</w:t>
            </w:r>
          </w:p>
        </w:tc>
        <w:tc>
          <w:tcPr>
            <w:tcW w:w="1393" w:type="pct"/>
            <w:tcBorders>
              <w:top w:val="single" w:color="000000" w:sz="4" w:space="0"/>
              <w:left w:val="nil"/>
              <w:bottom w:val="single" w:color="000000" w:sz="4" w:space="0"/>
              <w:right w:val="single" w:color="000000" w:sz="4" w:space="0"/>
            </w:tcBorders>
            <w:noWrap/>
            <w:vAlign w:val="center"/>
          </w:tcPr>
          <w:p w14:paraId="567C92B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35669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3502758">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一日最大降水量</w:t>
            </w:r>
          </w:p>
        </w:tc>
        <w:tc>
          <w:tcPr>
            <w:tcW w:w="700" w:type="pct"/>
            <w:tcBorders>
              <w:top w:val="single" w:color="000000" w:sz="4" w:space="0"/>
              <w:left w:val="nil"/>
              <w:bottom w:val="single" w:color="000000" w:sz="4" w:space="0"/>
              <w:right w:val="single" w:color="000000" w:sz="4" w:space="0"/>
            </w:tcBorders>
            <w:noWrap w:val="0"/>
            <w:vAlign w:val="center"/>
          </w:tcPr>
          <w:p w14:paraId="0492C8C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6B687E8E">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48</w:t>
            </w:r>
          </w:p>
        </w:tc>
        <w:tc>
          <w:tcPr>
            <w:tcW w:w="1393" w:type="pct"/>
            <w:tcBorders>
              <w:top w:val="single" w:color="000000" w:sz="4" w:space="0"/>
              <w:left w:val="nil"/>
              <w:bottom w:val="single" w:color="000000" w:sz="4" w:space="0"/>
              <w:right w:val="single" w:color="000000" w:sz="4" w:space="0"/>
            </w:tcBorders>
            <w:noWrap/>
            <w:vAlign w:val="center"/>
          </w:tcPr>
          <w:p w14:paraId="6CC6A13E">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19</w:t>
            </w:r>
            <w:r>
              <w:rPr>
                <w:rFonts w:hint="default" w:ascii="Times New Roman" w:hAnsi="Times New Roman" w:eastAsia="宋体" w:cs="Times New Roman"/>
                <w:color w:val="auto"/>
                <w:sz w:val="24"/>
                <w:szCs w:val="24"/>
                <w:highlight w:val="none"/>
                <w:lang w:val="en-US" w:eastAsia="zh-CN"/>
              </w:rPr>
              <w:t>94.6.14</w:t>
            </w:r>
          </w:p>
        </w:tc>
      </w:tr>
      <w:tr w14:paraId="7CDE7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17CDE0E">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多年平均蒸发量</w:t>
            </w:r>
          </w:p>
        </w:tc>
        <w:tc>
          <w:tcPr>
            <w:tcW w:w="700" w:type="pct"/>
            <w:tcBorders>
              <w:top w:val="single" w:color="000000" w:sz="4" w:space="0"/>
              <w:left w:val="nil"/>
              <w:bottom w:val="single" w:color="000000" w:sz="4" w:space="0"/>
              <w:right w:val="single" w:color="000000" w:sz="4" w:space="0"/>
            </w:tcBorders>
            <w:noWrap w:val="0"/>
            <w:vAlign w:val="center"/>
          </w:tcPr>
          <w:p w14:paraId="4B6F5834">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11E785A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2623.0</w:t>
            </w:r>
          </w:p>
        </w:tc>
        <w:tc>
          <w:tcPr>
            <w:tcW w:w="1393" w:type="pct"/>
            <w:tcBorders>
              <w:top w:val="single" w:color="000000" w:sz="4" w:space="0"/>
              <w:left w:val="nil"/>
              <w:bottom w:val="single" w:color="000000" w:sz="4" w:space="0"/>
              <w:right w:val="single" w:color="000000" w:sz="4" w:space="0"/>
            </w:tcBorders>
            <w:noWrap/>
            <w:vAlign w:val="center"/>
          </w:tcPr>
          <w:p w14:paraId="0A911D0E">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38974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04572372">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多年平均风速</w:t>
            </w:r>
          </w:p>
        </w:tc>
        <w:tc>
          <w:tcPr>
            <w:tcW w:w="700" w:type="pct"/>
            <w:tcBorders>
              <w:top w:val="single" w:color="000000" w:sz="4" w:space="0"/>
              <w:left w:val="nil"/>
              <w:bottom w:val="single" w:color="000000" w:sz="4" w:space="0"/>
              <w:right w:val="single" w:color="000000" w:sz="4" w:space="0"/>
            </w:tcBorders>
            <w:noWrap w:val="0"/>
            <w:vAlign w:val="center"/>
          </w:tcPr>
          <w:p w14:paraId="64A0805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m/s</w:t>
            </w:r>
          </w:p>
        </w:tc>
        <w:tc>
          <w:tcPr>
            <w:tcW w:w="816" w:type="pct"/>
            <w:tcBorders>
              <w:top w:val="single" w:color="000000" w:sz="4" w:space="0"/>
              <w:left w:val="nil"/>
              <w:bottom w:val="single" w:color="000000" w:sz="4" w:space="0"/>
              <w:right w:val="single" w:color="000000" w:sz="4" w:space="0"/>
            </w:tcBorders>
            <w:noWrap/>
            <w:vAlign w:val="center"/>
          </w:tcPr>
          <w:p w14:paraId="7C63A91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2.7</w:t>
            </w:r>
          </w:p>
        </w:tc>
        <w:tc>
          <w:tcPr>
            <w:tcW w:w="1393" w:type="pct"/>
            <w:tcBorders>
              <w:top w:val="single" w:color="000000" w:sz="4" w:space="0"/>
              <w:left w:val="nil"/>
              <w:bottom w:val="single" w:color="000000" w:sz="4" w:space="0"/>
              <w:right w:val="single" w:color="000000" w:sz="4" w:space="0"/>
            </w:tcBorders>
            <w:noWrap/>
            <w:vAlign w:val="center"/>
          </w:tcPr>
          <w:p w14:paraId="7563462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49055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ABBD62F">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多年最大积雪深度</w:t>
            </w:r>
          </w:p>
        </w:tc>
        <w:tc>
          <w:tcPr>
            <w:tcW w:w="700" w:type="pct"/>
            <w:tcBorders>
              <w:top w:val="single" w:color="000000" w:sz="4" w:space="0"/>
              <w:left w:val="nil"/>
              <w:bottom w:val="single" w:color="000000" w:sz="4" w:space="0"/>
              <w:right w:val="single" w:color="000000" w:sz="4" w:space="0"/>
            </w:tcBorders>
            <w:noWrap w:val="0"/>
            <w:vAlign w:val="center"/>
          </w:tcPr>
          <w:p w14:paraId="7304231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cm</w:t>
            </w:r>
          </w:p>
        </w:tc>
        <w:tc>
          <w:tcPr>
            <w:tcW w:w="816" w:type="pct"/>
            <w:tcBorders>
              <w:top w:val="single" w:color="000000" w:sz="4" w:space="0"/>
              <w:left w:val="nil"/>
              <w:bottom w:val="single" w:color="000000" w:sz="4" w:space="0"/>
              <w:right w:val="single" w:color="000000" w:sz="4" w:space="0"/>
            </w:tcBorders>
            <w:noWrap/>
            <w:vAlign w:val="center"/>
          </w:tcPr>
          <w:p w14:paraId="255E347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14</w:t>
            </w:r>
          </w:p>
        </w:tc>
        <w:tc>
          <w:tcPr>
            <w:tcW w:w="1393" w:type="pct"/>
            <w:tcBorders>
              <w:top w:val="single" w:color="000000" w:sz="4" w:space="0"/>
              <w:left w:val="nil"/>
              <w:bottom w:val="single" w:color="000000" w:sz="4" w:space="0"/>
              <w:right w:val="single" w:color="000000" w:sz="4" w:space="0"/>
            </w:tcBorders>
            <w:noWrap/>
            <w:vAlign w:val="center"/>
          </w:tcPr>
          <w:p w14:paraId="339037C9">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2010.10.24</w:t>
            </w:r>
          </w:p>
        </w:tc>
      </w:tr>
      <w:tr w14:paraId="2A6F9A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15BEBEF3">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多年平均大风日数</w:t>
            </w:r>
          </w:p>
        </w:tc>
        <w:tc>
          <w:tcPr>
            <w:tcW w:w="700" w:type="pct"/>
            <w:tcBorders>
              <w:top w:val="single" w:color="000000" w:sz="4" w:space="0"/>
              <w:left w:val="nil"/>
              <w:bottom w:val="single" w:color="000000" w:sz="4" w:space="0"/>
              <w:right w:val="single" w:color="000000" w:sz="4" w:space="0"/>
            </w:tcBorders>
            <w:noWrap w:val="0"/>
            <w:vAlign w:val="center"/>
          </w:tcPr>
          <w:p w14:paraId="2E312DC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4195397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25.0</w:t>
            </w:r>
          </w:p>
        </w:tc>
        <w:tc>
          <w:tcPr>
            <w:tcW w:w="1393" w:type="pct"/>
            <w:tcBorders>
              <w:top w:val="single" w:color="000000" w:sz="4" w:space="0"/>
              <w:left w:val="nil"/>
              <w:bottom w:val="single" w:color="000000" w:sz="4" w:space="0"/>
              <w:right w:val="single" w:color="000000" w:sz="4" w:space="0"/>
            </w:tcBorders>
            <w:noWrap/>
            <w:vAlign w:val="center"/>
          </w:tcPr>
          <w:p w14:paraId="5051CD1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688A2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63953A45">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多年平均沙暴日数</w:t>
            </w:r>
          </w:p>
        </w:tc>
        <w:tc>
          <w:tcPr>
            <w:tcW w:w="700" w:type="pct"/>
            <w:tcBorders>
              <w:top w:val="single" w:color="000000" w:sz="4" w:space="0"/>
              <w:left w:val="nil"/>
              <w:bottom w:val="single" w:color="000000" w:sz="4" w:space="0"/>
              <w:right w:val="single" w:color="000000" w:sz="4" w:space="0"/>
            </w:tcBorders>
            <w:noWrap w:val="0"/>
            <w:vAlign w:val="center"/>
          </w:tcPr>
          <w:p w14:paraId="08F29A07">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63A00317">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27.4</w:t>
            </w:r>
          </w:p>
        </w:tc>
        <w:tc>
          <w:tcPr>
            <w:tcW w:w="1393" w:type="pct"/>
            <w:tcBorders>
              <w:top w:val="single" w:color="000000" w:sz="4" w:space="0"/>
              <w:left w:val="nil"/>
              <w:bottom w:val="single" w:color="000000" w:sz="4" w:space="0"/>
              <w:right w:val="single" w:color="000000" w:sz="4" w:space="0"/>
            </w:tcBorders>
            <w:noWrap/>
            <w:vAlign w:val="center"/>
          </w:tcPr>
          <w:p w14:paraId="67698A0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3A7DE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0FB8CC5">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多年平均雷暴日数</w:t>
            </w:r>
          </w:p>
        </w:tc>
        <w:tc>
          <w:tcPr>
            <w:tcW w:w="700" w:type="pct"/>
            <w:tcBorders>
              <w:top w:val="single" w:color="000000" w:sz="4" w:space="0"/>
              <w:left w:val="nil"/>
              <w:bottom w:val="single" w:color="000000" w:sz="4" w:space="0"/>
              <w:right w:val="single" w:color="000000" w:sz="4" w:space="0"/>
            </w:tcBorders>
            <w:noWrap w:val="0"/>
            <w:vAlign w:val="center"/>
          </w:tcPr>
          <w:p w14:paraId="30461CF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c>
          <w:tcPr>
            <w:tcW w:w="816" w:type="pct"/>
            <w:tcBorders>
              <w:top w:val="single" w:color="000000" w:sz="4" w:space="0"/>
              <w:left w:val="nil"/>
              <w:bottom w:val="single" w:color="000000" w:sz="4" w:space="0"/>
              <w:right w:val="single" w:color="000000" w:sz="4" w:space="0"/>
            </w:tcBorders>
            <w:noWrap/>
            <w:vAlign w:val="center"/>
          </w:tcPr>
          <w:p w14:paraId="6AF1B5C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9.6</w:t>
            </w:r>
          </w:p>
        </w:tc>
        <w:tc>
          <w:tcPr>
            <w:tcW w:w="1393" w:type="pct"/>
            <w:tcBorders>
              <w:top w:val="single" w:color="000000" w:sz="4" w:space="0"/>
              <w:left w:val="nil"/>
              <w:bottom w:val="single" w:color="000000" w:sz="4" w:space="0"/>
              <w:right w:val="single" w:color="000000" w:sz="4" w:space="0"/>
            </w:tcBorders>
            <w:noWrap/>
            <w:vAlign w:val="center"/>
          </w:tcPr>
          <w:p w14:paraId="413B81E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17A1D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546F6CCB">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多年平均降水日数</w:t>
            </w:r>
          </w:p>
        </w:tc>
        <w:tc>
          <w:tcPr>
            <w:tcW w:w="700" w:type="pct"/>
            <w:tcBorders>
              <w:top w:val="single" w:color="000000" w:sz="4" w:space="0"/>
              <w:left w:val="nil"/>
              <w:bottom w:val="single" w:color="000000" w:sz="4" w:space="0"/>
              <w:right w:val="single" w:color="000000" w:sz="4" w:space="0"/>
            </w:tcBorders>
            <w:noWrap w:val="0"/>
            <w:vAlign w:val="center"/>
          </w:tcPr>
          <w:p w14:paraId="65D24D94">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2375D18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38.6</w:t>
            </w:r>
          </w:p>
        </w:tc>
        <w:tc>
          <w:tcPr>
            <w:tcW w:w="1393" w:type="pct"/>
            <w:tcBorders>
              <w:top w:val="single" w:color="000000" w:sz="4" w:space="0"/>
              <w:left w:val="nil"/>
              <w:bottom w:val="single" w:color="000000" w:sz="4" w:space="0"/>
              <w:right w:val="single" w:color="000000" w:sz="4" w:space="0"/>
            </w:tcBorders>
            <w:noWrap/>
            <w:vAlign w:val="center"/>
          </w:tcPr>
          <w:p w14:paraId="6B0F671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p>
        </w:tc>
      </w:tr>
      <w:tr w14:paraId="21632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9" w:type="pct"/>
            <w:tcBorders>
              <w:top w:val="single" w:color="000000" w:sz="4" w:space="0"/>
              <w:left w:val="single" w:color="000000" w:sz="4" w:space="0"/>
              <w:bottom w:val="single" w:color="000000" w:sz="4" w:space="0"/>
              <w:right w:val="single" w:color="000000" w:sz="4" w:space="0"/>
            </w:tcBorders>
            <w:noWrap/>
            <w:vAlign w:val="center"/>
          </w:tcPr>
          <w:p w14:paraId="24F7F815">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多年平均雾日数</w:t>
            </w:r>
          </w:p>
        </w:tc>
        <w:tc>
          <w:tcPr>
            <w:tcW w:w="700" w:type="pct"/>
            <w:tcBorders>
              <w:top w:val="single" w:color="000000" w:sz="4" w:space="0"/>
              <w:left w:val="nil"/>
              <w:bottom w:val="single" w:color="000000" w:sz="4" w:space="0"/>
              <w:right w:val="single" w:color="000000" w:sz="4" w:space="0"/>
            </w:tcBorders>
            <w:noWrap w:val="0"/>
            <w:vAlign w:val="center"/>
          </w:tcPr>
          <w:p w14:paraId="07F077C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7598CA0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8</w:t>
            </w:r>
          </w:p>
        </w:tc>
        <w:tc>
          <w:tcPr>
            <w:tcW w:w="1393" w:type="pct"/>
            <w:tcBorders>
              <w:top w:val="single" w:color="000000" w:sz="4" w:space="0"/>
              <w:left w:val="nil"/>
              <w:bottom w:val="single" w:color="000000" w:sz="4" w:space="0"/>
              <w:right w:val="single" w:color="000000" w:sz="4" w:space="0"/>
            </w:tcBorders>
            <w:noWrap/>
            <w:vAlign w:val="center"/>
          </w:tcPr>
          <w:p w14:paraId="4725DADF">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szCs w:val="24"/>
                <w:highlight w:val="none"/>
              </w:rPr>
            </w:pPr>
          </w:p>
        </w:tc>
      </w:tr>
    </w:tbl>
    <w:p w14:paraId="1CDEEDD1">
      <w:pPr>
        <w:pStyle w:val="12"/>
        <w:widowControl/>
        <w:tabs>
          <w:tab w:val="left" w:pos="720"/>
        </w:tabs>
        <w:spacing w:before="208" w:line="360" w:lineRule="auto"/>
        <w:ind w:left="0" w:right="27" w:firstLine="480" w:firstLineChars="200"/>
        <w:jc w:val="left"/>
        <w:textAlignment w:val="bottom"/>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根据民勤气象站历年的观测资料， 采用极值Ⅰ型法统计计算， 求得五十年一遇 10m 高 10min 平均最大风速为 28.9m/s，相应风压为 0.52kN/m2 ；百年一遇 10m 高 10min 平均最大风速为 30.9m/s，相应风压为 0.6kN/m2，考虑到红沙岗地处荒漠地带， 风速一般比县城大， 结合周围地区风压和《建筑结构荷载规范》中的全国基本风压分布图综合分析后认为，厂址五十年一遇10m高10min 平均最大风速应29.7m/s，相应风压为 0.55kN/m</w:t>
      </w:r>
      <w:r>
        <w:rPr>
          <w:rFonts w:hint="default" w:ascii="Times New Roman" w:hAnsi="Times New Roman" w:eastAsia="宋体" w:cs="Times New Roman"/>
          <w:color w:val="auto"/>
          <w:spacing w:val="0"/>
          <w:kern w:val="2"/>
          <w:sz w:val="24"/>
          <w:szCs w:val="24"/>
          <w:highlight w:val="none"/>
          <w:vertAlign w:val="superscript"/>
          <w:lang w:val="en-US" w:eastAsia="zh-CN" w:bidi="ar-SA"/>
        </w:rPr>
        <w:t>2</w:t>
      </w:r>
      <w:r>
        <w:rPr>
          <w:rFonts w:hint="default" w:ascii="Times New Roman" w:hAnsi="Times New Roman" w:eastAsia="宋体" w:cs="Times New Roman"/>
          <w:color w:val="auto"/>
          <w:spacing w:val="0"/>
          <w:kern w:val="2"/>
          <w:sz w:val="24"/>
          <w:szCs w:val="24"/>
          <w:highlight w:val="none"/>
          <w:lang w:val="en-US" w:eastAsia="zh-CN" w:bidi="ar-SA"/>
        </w:rPr>
        <w:t xml:space="preserve"> ；百年一遇 10m 高 10min 平均最大风速为 32.2m/s，相应风压为 0.65kN/m</w:t>
      </w:r>
      <w:r>
        <w:rPr>
          <w:rFonts w:hint="default" w:ascii="Times New Roman" w:hAnsi="Times New Roman" w:eastAsia="宋体" w:cs="Times New Roman"/>
          <w:color w:val="auto"/>
          <w:spacing w:val="0"/>
          <w:kern w:val="2"/>
          <w:sz w:val="24"/>
          <w:szCs w:val="24"/>
          <w:highlight w:val="none"/>
          <w:vertAlign w:val="superscript"/>
          <w:lang w:val="en-US" w:eastAsia="zh-CN" w:bidi="ar-SA"/>
        </w:rPr>
        <w:t>2</w:t>
      </w:r>
      <w:r>
        <w:rPr>
          <w:rFonts w:hint="default" w:ascii="Times New Roman" w:hAnsi="Times New Roman" w:eastAsia="宋体" w:cs="Times New Roman"/>
          <w:color w:val="auto"/>
          <w:spacing w:val="0"/>
          <w:kern w:val="2"/>
          <w:sz w:val="24"/>
          <w:szCs w:val="24"/>
          <w:highlight w:val="none"/>
          <w:lang w:val="en-US" w:eastAsia="zh-CN" w:bidi="ar-SA"/>
        </w:rPr>
        <w:t>。</w:t>
      </w:r>
    </w:p>
    <w:p w14:paraId="7371AD1F">
      <w:pPr>
        <w:snapToGrid w:val="0"/>
        <w:spacing w:line="360" w:lineRule="auto"/>
        <w:rPr>
          <w:rFonts w:ascii="宋体"/>
          <w:color w:val="auto"/>
          <w:sz w:val="24"/>
          <w:szCs w:val="24"/>
          <w:highlight w:val="none"/>
        </w:rPr>
      </w:pPr>
      <w:bookmarkStart w:id="16" w:name="_Toc501726269"/>
      <w:bookmarkStart w:id="17" w:name="_Toc49086637"/>
      <w:bookmarkStart w:id="18" w:name="_Toc487358391"/>
      <w:bookmarkStart w:id="19" w:name="_Toc509632885"/>
      <w:bookmarkStart w:id="20" w:name="_Toc487356733"/>
      <w:bookmarkStart w:id="21" w:name="_Toc502332494"/>
      <w:bookmarkStart w:id="22" w:name="_Toc502331799"/>
      <w:bookmarkStart w:id="23" w:name="_Toc509632997"/>
      <w:r>
        <w:rPr>
          <w:rFonts w:hint="eastAsia" w:ascii="宋体" w:hAnsi="宋体"/>
          <w:color w:val="auto"/>
          <w:sz w:val="24"/>
          <w:szCs w:val="24"/>
          <w:highlight w:val="none"/>
        </w:rPr>
        <w:t>1</w:t>
      </w:r>
      <w:r>
        <w:rPr>
          <w:rFonts w:hint="eastAsia" w:ascii="宋体"/>
          <w:color w:val="auto"/>
          <w:sz w:val="24"/>
          <w:szCs w:val="24"/>
          <w:highlight w:val="none"/>
        </w:rPr>
        <w:t>.2.2 使用条件</w:t>
      </w:r>
      <w:bookmarkEnd w:id="16"/>
      <w:bookmarkEnd w:id="17"/>
      <w:bookmarkEnd w:id="18"/>
      <w:bookmarkEnd w:id="19"/>
      <w:bookmarkEnd w:id="20"/>
      <w:bookmarkEnd w:id="21"/>
      <w:bookmarkEnd w:id="22"/>
      <w:bookmarkEnd w:id="23"/>
    </w:p>
    <w:p w14:paraId="3606927E">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 xml:space="preserve">海拔高度：         ___1500___m </w:t>
      </w:r>
    </w:p>
    <w:p w14:paraId="117AE409">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最高气温：         ___41.7___℃</w:t>
      </w:r>
    </w:p>
    <w:p w14:paraId="4BFDD210">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最低气温：         ___ -29.5___℃</w:t>
      </w:r>
    </w:p>
    <w:p w14:paraId="4CD13EE3">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最大日温差:        ____32.2___K</w:t>
      </w:r>
    </w:p>
    <w:p w14:paraId="2E80A385">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最热月平均温度：  ____23.2____℃</w:t>
      </w:r>
    </w:p>
    <w:p w14:paraId="0206F8FA">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最高年平均温度：  ____25__ __℃</w:t>
      </w:r>
    </w:p>
    <w:p w14:paraId="0660F5CA">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耐地震能力按7度设防（正弦三个周波，安全系数1.67以上）</w:t>
      </w:r>
    </w:p>
    <w:p w14:paraId="538BB384">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地面水平加速度：    __0.1__g</w:t>
      </w:r>
    </w:p>
    <w:p w14:paraId="126FC373">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地面垂直加速度：    __0.2__g</w:t>
      </w:r>
    </w:p>
    <w:p w14:paraId="0B8C084A">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风速：  2.7m/s（重现期为50年）</w:t>
      </w:r>
    </w:p>
    <w:p w14:paraId="2032891B">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重现期为30年的最大瞬间风速：  50 m/s</w:t>
      </w:r>
    </w:p>
    <w:p w14:paraId="14DEA004">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年平均最高相对湿度：           45 %(25℃下)</w:t>
      </w:r>
    </w:p>
    <w:p w14:paraId="3889D9E6">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日照强度：                     __0.1__ W/cm2</w:t>
      </w:r>
    </w:p>
    <w:p w14:paraId="595AF9F0">
      <w:pPr>
        <w:spacing w:line="360" w:lineRule="auto"/>
        <w:ind w:firstLine="480" w:firstLineChars="200"/>
        <w:rPr>
          <w:rFonts w:hint="default" w:ascii="Times New Roman" w:hAnsi="Times New Roman" w:eastAsia="宋体" w:cs="Times New Roman"/>
          <w:color w:val="auto"/>
          <w:spacing w:val="0"/>
          <w:kern w:val="2"/>
          <w:sz w:val="24"/>
          <w:szCs w:val="24"/>
          <w:highlight w:val="none"/>
          <w:lang w:val="en-US" w:eastAsia="zh-CN" w:bidi="ar-SA"/>
        </w:rPr>
      </w:pPr>
      <w:r>
        <w:rPr>
          <w:rFonts w:hint="default" w:ascii="Times New Roman" w:hAnsi="Times New Roman" w:eastAsia="宋体" w:cs="Times New Roman"/>
          <w:color w:val="auto"/>
          <w:spacing w:val="0"/>
          <w:kern w:val="2"/>
          <w:sz w:val="24"/>
          <w:szCs w:val="24"/>
          <w:highlight w:val="none"/>
          <w:lang w:val="en-US" w:eastAsia="zh-CN" w:bidi="ar-SA"/>
        </w:rPr>
        <w:t>污秽等级：                      e级</w:t>
      </w:r>
    </w:p>
    <w:p w14:paraId="0CED5FCB">
      <w:pPr>
        <w:pStyle w:val="3"/>
        <w:rPr>
          <w:rFonts w:hint="default"/>
          <w:color w:val="auto"/>
          <w:sz w:val="24"/>
          <w:szCs w:val="24"/>
          <w:highlight w:val="none"/>
          <w:lang w:val="en-US" w:eastAsia="zh-CN"/>
        </w:rPr>
      </w:pPr>
    </w:p>
    <w:p w14:paraId="2FEB0CA5">
      <w:pPr>
        <w:spacing w:line="360" w:lineRule="auto"/>
        <w:rPr>
          <w:rFonts w:ascii="宋体"/>
          <w:b/>
          <w:color w:val="auto"/>
          <w:sz w:val="24"/>
          <w:szCs w:val="24"/>
          <w:highlight w:val="none"/>
        </w:rPr>
      </w:pPr>
      <w:r>
        <w:rPr>
          <w:rFonts w:hint="eastAsia" w:ascii="宋体"/>
          <w:b/>
          <w:color w:val="auto"/>
          <w:sz w:val="24"/>
          <w:szCs w:val="24"/>
          <w:highlight w:val="none"/>
        </w:rPr>
        <w:t>1．3 工程条件</w:t>
      </w:r>
    </w:p>
    <w:p w14:paraId="6C3D4D7A">
      <w:pPr>
        <w:spacing w:line="360" w:lineRule="auto"/>
        <w:ind w:firstLine="480" w:firstLineChars="200"/>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lang w:val="en-US" w:eastAsia="zh-CN"/>
        </w:rPr>
        <w:t>本工程新建2台1000MW级机组，根据系统接入方案，</w:t>
      </w:r>
      <w:r>
        <w:rPr>
          <w:rFonts w:hint="default" w:ascii="Times New Roman" w:hAnsi="Times New Roman" w:eastAsia="宋体" w:cs="Times New Roman"/>
          <w:color w:val="auto"/>
          <w:kern w:val="2"/>
          <w:sz w:val="24"/>
          <w:szCs w:val="24"/>
          <w:highlight w:val="none"/>
        </w:rPr>
        <w:t>本期工程以750kV一级电压接入系统，两回750kV出线至金武换流站，两回出线均加装线路并联电抗器。主接线采用一倍半断路器接线。发电机出口不装设断路器。</w:t>
      </w:r>
    </w:p>
    <w:p w14:paraId="63D28B12">
      <w:pPr>
        <w:spacing w:line="360" w:lineRule="auto"/>
        <w:ind w:firstLine="480" w:firstLineChars="200"/>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rPr>
        <w:t>本期建设的2×1000MW机组均以发电机－变压器组单元接线接入厂内750kV配电装置。本期工程共2个完整串，#1（2）机组进线分别与750kV至金武换流站#1（2）出线组成完整串。750kV配电装置采用户外敞开式布置。750kV配电装置布置位置已预留新能源接入条件，暂按一个间隔预留。</w:t>
      </w:r>
    </w:p>
    <w:p w14:paraId="118FB05D">
      <w:pPr>
        <w:pStyle w:val="12"/>
        <w:widowControl/>
        <w:tabs>
          <w:tab w:val="left" w:pos="720"/>
        </w:tabs>
        <w:spacing w:before="208" w:line="360" w:lineRule="auto"/>
        <w:ind w:left="0" w:right="27" w:firstLine="480" w:firstLineChars="200"/>
        <w:jc w:val="both"/>
        <w:textAlignment w:val="bottom"/>
        <w:rPr>
          <w:rFonts w:hint="default" w:ascii="Times New Roman" w:hAnsi="Times New Roman" w:cs="Times New Roman"/>
          <w:b/>
          <w:color w:val="auto"/>
          <w:sz w:val="24"/>
          <w:szCs w:val="24"/>
          <w:highlight w:val="none"/>
          <w:u w:val="single"/>
        </w:rPr>
      </w:pPr>
      <w:r>
        <w:rPr>
          <w:rFonts w:hint="default" w:ascii="Times New Roman" w:hAnsi="Times New Roman" w:eastAsia="宋体" w:cs="Times New Roman"/>
          <w:color w:val="auto"/>
          <w:kern w:val="2"/>
          <w:sz w:val="24"/>
          <w:szCs w:val="24"/>
          <w:highlight w:val="none"/>
        </w:rPr>
        <w:t>启/备电源考虑从330kV红沙岗变电站引接一路110kV电源。本期厂内设110kV配电装置及一台110kV</w:t>
      </w:r>
      <w:r>
        <w:rPr>
          <w:rFonts w:hint="eastAsia" w:ascii="Times New Roman" w:cs="Times New Roman"/>
          <w:color w:val="auto"/>
          <w:kern w:val="2"/>
          <w:sz w:val="24"/>
          <w:szCs w:val="24"/>
          <w:highlight w:val="none"/>
          <w:lang w:eastAsia="zh-CN"/>
        </w:rPr>
        <w:t>起备变</w:t>
      </w:r>
      <w:r>
        <w:rPr>
          <w:rFonts w:hint="default" w:ascii="Times New Roman" w:hAnsi="Times New Roman" w:eastAsia="宋体" w:cs="Times New Roman"/>
          <w:color w:val="auto"/>
          <w:kern w:val="2"/>
          <w:sz w:val="24"/>
          <w:szCs w:val="24"/>
          <w:highlight w:val="none"/>
        </w:rPr>
        <w:t>，110kV配电装置采用线变串形式，按屋外敞开式布置型式考虑。</w:t>
      </w:r>
    </w:p>
    <w:p w14:paraId="4DBCD0EA">
      <w:pPr>
        <w:numPr>
          <w:ilvl w:val="0"/>
          <w:numId w:val="3"/>
        </w:numPr>
        <w:tabs>
          <w:tab w:val="clear" w:pos="1270"/>
        </w:tabs>
        <w:snapToGrid w:val="0"/>
        <w:spacing w:line="360" w:lineRule="auto"/>
        <w:ind w:left="1066"/>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发电机、变压器容量：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发电机 </w:t>
      </w:r>
      <w:r>
        <w:rPr>
          <w:rFonts w:hint="eastAsia" w:ascii="宋体" w:hAnsi="宋体" w:eastAsia="宋体" w:cs="宋体"/>
          <w:color w:val="auto"/>
          <w:sz w:val="24"/>
          <w:szCs w:val="24"/>
          <w:highlight w:val="none"/>
          <w:u w:val="single"/>
          <w:lang w:val="en-US" w:eastAsia="zh-CN"/>
        </w:rPr>
        <w:t>1000</w:t>
      </w:r>
      <w:r>
        <w:rPr>
          <w:rFonts w:hint="eastAsia" w:ascii="宋体" w:hAnsi="宋体" w:eastAsia="宋体" w:cs="宋体"/>
          <w:color w:val="auto"/>
          <w:sz w:val="24"/>
          <w:szCs w:val="24"/>
          <w:highlight w:val="none"/>
          <w:u w:val="single"/>
        </w:rPr>
        <w:t>MW</w:t>
      </w:r>
    </w:p>
    <w:p w14:paraId="2D9476FC">
      <w:pPr>
        <w:snapToGrid w:val="0"/>
        <w:spacing w:line="360" w:lineRule="auto"/>
        <w:ind w:left="2940" w:firstLine="840" w:firstLineChars="3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变压器 </w:t>
      </w:r>
      <w:r>
        <w:rPr>
          <w:rFonts w:hint="eastAsia" w:ascii="宋体" w:hAnsi="宋体" w:eastAsia="宋体" w:cs="宋体"/>
          <w:color w:val="auto"/>
          <w:sz w:val="24"/>
          <w:szCs w:val="24"/>
          <w:highlight w:val="none"/>
          <w:u w:val="single"/>
          <w:lang w:val="en-US" w:eastAsia="zh-CN"/>
        </w:rPr>
        <w:t>1</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lang w:val="en-US" w:eastAsia="zh-CN"/>
        </w:rPr>
        <w:t>50</w:t>
      </w:r>
      <w:r>
        <w:rPr>
          <w:rFonts w:hint="eastAsia" w:ascii="宋体" w:hAnsi="宋体" w:eastAsia="宋体" w:cs="宋体"/>
          <w:color w:val="auto"/>
          <w:sz w:val="24"/>
          <w:szCs w:val="24"/>
          <w:highlight w:val="none"/>
          <w:u w:val="single"/>
        </w:rPr>
        <w:t>MVA</w:t>
      </w:r>
    </w:p>
    <w:p w14:paraId="7823051F">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系统电压：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主变高压侧: </w:t>
      </w:r>
      <w:r>
        <w:rPr>
          <w:rFonts w:hint="eastAsia" w:ascii="宋体" w:hAnsi="宋体" w:eastAsia="宋体" w:cs="宋体"/>
          <w:color w:val="auto"/>
          <w:sz w:val="24"/>
          <w:szCs w:val="24"/>
          <w:highlight w:val="none"/>
          <w:u w:val="single"/>
          <w:lang w:val="en-US" w:eastAsia="zh-CN"/>
        </w:rPr>
        <w:t>800</w:t>
      </w:r>
      <w:r>
        <w:rPr>
          <w:rFonts w:hint="eastAsia" w:ascii="宋体" w:hAnsi="宋体" w:eastAsia="宋体" w:cs="宋体"/>
          <w:color w:val="auto"/>
          <w:sz w:val="24"/>
          <w:szCs w:val="24"/>
          <w:highlight w:val="none"/>
          <w:u w:val="single"/>
        </w:rPr>
        <w:t xml:space="preserve"> kV</w:t>
      </w:r>
    </w:p>
    <w:p w14:paraId="3D8C1D68">
      <w:pPr>
        <w:snapToGrid w:val="0"/>
        <w:spacing w:line="360" w:lineRule="auto"/>
        <w:ind w:left="2940" w:firstLine="840" w:firstLineChars="3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发电机侧: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27</w:t>
      </w:r>
      <w:r>
        <w:rPr>
          <w:rFonts w:hint="eastAsia" w:ascii="宋体" w:hAnsi="宋体" w:eastAsia="宋体" w:cs="宋体"/>
          <w:color w:val="auto"/>
          <w:sz w:val="24"/>
          <w:szCs w:val="24"/>
          <w:highlight w:val="none"/>
          <w:u w:val="single"/>
        </w:rPr>
        <w:t xml:space="preserve"> kV</w:t>
      </w:r>
    </w:p>
    <w:p w14:paraId="1A733A02">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变压器接线组别：</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Yn,d11</w:t>
      </w:r>
      <w:r>
        <w:rPr>
          <w:rFonts w:hint="eastAsia" w:ascii="宋体" w:hAnsi="宋体" w:eastAsia="宋体" w:cs="宋体"/>
          <w:color w:val="auto"/>
          <w:sz w:val="24"/>
          <w:szCs w:val="24"/>
          <w:highlight w:val="none"/>
        </w:rPr>
        <w:t xml:space="preserve">             </w:t>
      </w:r>
    </w:p>
    <w:p w14:paraId="0603AE44">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励磁方式：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静态励磁 </w:t>
      </w:r>
    </w:p>
    <w:p w14:paraId="769A65F3">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发电机出口开关（GCB）：无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p>
    <w:p w14:paraId="6256DA28">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高压厂变电压：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高压侧:</w:t>
      </w:r>
      <w:r>
        <w:rPr>
          <w:rFonts w:hint="eastAsia" w:ascii="宋体" w:hAnsi="宋体" w:eastAsia="宋体" w:cs="宋体"/>
          <w:color w:val="auto"/>
          <w:sz w:val="24"/>
          <w:szCs w:val="24"/>
          <w:highlight w:val="none"/>
          <w:u w:val="single"/>
          <w:lang w:val="en-US" w:eastAsia="zh-CN"/>
        </w:rPr>
        <w:t>27</w:t>
      </w:r>
      <w:r>
        <w:rPr>
          <w:rFonts w:hint="eastAsia" w:ascii="宋体" w:hAnsi="宋体" w:eastAsia="宋体" w:cs="宋体"/>
          <w:color w:val="auto"/>
          <w:sz w:val="24"/>
          <w:szCs w:val="24"/>
          <w:highlight w:val="none"/>
          <w:u w:val="single"/>
        </w:rPr>
        <w:t>kV</w:t>
      </w:r>
    </w:p>
    <w:p w14:paraId="14DC41FF">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低压侧:</w:t>
      </w:r>
      <w:r>
        <w:rPr>
          <w:rFonts w:hint="eastAsia" w:ascii="宋体" w:hAnsi="宋体" w:eastAsia="宋体" w:cs="宋体"/>
          <w:color w:val="auto"/>
          <w:sz w:val="24"/>
          <w:szCs w:val="24"/>
          <w:highlight w:val="none"/>
          <w:u w:val="single"/>
          <w:lang w:val="en-US" w:eastAsia="zh-CN"/>
        </w:rPr>
        <w:t>10.5</w:t>
      </w:r>
      <w:r>
        <w:rPr>
          <w:rFonts w:hint="eastAsia" w:ascii="宋体" w:hAnsi="宋体" w:eastAsia="宋体" w:cs="宋体"/>
          <w:color w:val="auto"/>
          <w:sz w:val="24"/>
          <w:szCs w:val="24"/>
          <w:highlight w:val="none"/>
          <w:u w:val="single"/>
        </w:rPr>
        <w:t>kV</w:t>
      </w:r>
    </w:p>
    <w:p w14:paraId="42DC88F6">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高压厂变接线组别：</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Dyn1yn1</w:t>
      </w:r>
    </w:p>
    <w:p w14:paraId="49B49466">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高压厂变容量：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98/55-55MVA</w:t>
      </w:r>
    </w:p>
    <w:p w14:paraId="44E3D6B4">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高压厂变接地方式：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低压侧经小电阻接地</w:t>
      </w:r>
      <w:r>
        <w:rPr>
          <w:rFonts w:hint="eastAsia" w:ascii="宋体" w:hAnsi="宋体" w:eastAsia="宋体" w:cs="宋体"/>
          <w:color w:val="auto"/>
          <w:sz w:val="24"/>
          <w:szCs w:val="24"/>
          <w:highlight w:val="none"/>
        </w:rPr>
        <w:t xml:space="preserve">                          </w:t>
      </w:r>
    </w:p>
    <w:p w14:paraId="6D40BD2A">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高压起备变电压：高压侧：</w:t>
      </w:r>
      <w:r>
        <w:rPr>
          <w:rFonts w:hint="eastAsia" w:ascii="宋体" w:hAnsi="宋体" w:eastAsia="宋体" w:cs="宋体"/>
          <w:color w:val="auto"/>
          <w:sz w:val="24"/>
          <w:szCs w:val="24"/>
          <w:highlight w:val="none"/>
          <w:u w:val="single"/>
          <w:lang w:val="en-US" w:eastAsia="zh-CN"/>
        </w:rPr>
        <w:t>115</w:t>
      </w:r>
      <w:r>
        <w:rPr>
          <w:rFonts w:hint="eastAsia" w:ascii="宋体" w:hAnsi="宋体" w:eastAsia="宋体" w:cs="宋体"/>
          <w:color w:val="auto"/>
          <w:sz w:val="24"/>
          <w:szCs w:val="24"/>
          <w:highlight w:val="none"/>
          <w:u w:val="single"/>
        </w:rPr>
        <w:t xml:space="preserve"> kV</w:t>
      </w:r>
      <w:r>
        <w:rPr>
          <w:rFonts w:hint="eastAsia" w:ascii="宋体" w:hAnsi="宋体" w:eastAsia="宋体" w:cs="宋体"/>
          <w:color w:val="auto"/>
          <w:sz w:val="24"/>
          <w:szCs w:val="24"/>
          <w:highlight w:val="none"/>
        </w:rPr>
        <w:t xml:space="preserve"> </w:t>
      </w:r>
    </w:p>
    <w:p w14:paraId="7F24A1A1">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低压侧：</w:t>
      </w:r>
      <w:r>
        <w:rPr>
          <w:rFonts w:hint="eastAsia" w:ascii="宋体" w:hAnsi="宋体" w:eastAsia="宋体" w:cs="宋体"/>
          <w:color w:val="auto"/>
          <w:sz w:val="24"/>
          <w:szCs w:val="24"/>
          <w:highlight w:val="none"/>
          <w:u w:val="single"/>
          <w:lang w:val="en-US" w:eastAsia="zh-CN"/>
        </w:rPr>
        <w:t>10.5</w:t>
      </w:r>
      <w:r>
        <w:rPr>
          <w:rFonts w:hint="eastAsia" w:ascii="宋体" w:hAnsi="宋体" w:eastAsia="宋体" w:cs="宋体"/>
          <w:color w:val="auto"/>
          <w:sz w:val="24"/>
          <w:szCs w:val="24"/>
          <w:highlight w:val="none"/>
          <w:u w:val="single"/>
        </w:rPr>
        <w:t xml:space="preserve"> kV</w:t>
      </w:r>
      <w:r>
        <w:rPr>
          <w:rFonts w:hint="eastAsia" w:ascii="宋体" w:hAnsi="宋体" w:eastAsia="宋体" w:cs="宋体"/>
          <w:color w:val="auto"/>
          <w:sz w:val="24"/>
          <w:szCs w:val="24"/>
          <w:highlight w:val="none"/>
        </w:rPr>
        <w:t xml:space="preserve"> </w:t>
      </w:r>
    </w:p>
    <w:p w14:paraId="5B33C63A">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高压起备变接线组别：</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lang w:val="en-US" w:eastAsia="zh-CN"/>
        </w:rPr>
        <w:t>YN,yn0-yn0</w:t>
      </w:r>
      <w:r>
        <w:rPr>
          <w:rFonts w:hint="eastAsia" w:ascii="宋体" w:hAnsi="宋体" w:cs="宋体"/>
          <w:color w:val="auto"/>
          <w:kern w:val="2"/>
          <w:sz w:val="24"/>
          <w:szCs w:val="24"/>
          <w:highlight w:val="none"/>
          <w:u w:val="single"/>
        </w:rPr>
        <w:t>+d（带平衡绕组）</w:t>
      </w:r>
    </w:p>
    <w:p w14:paraId="0D307722">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高压起备变容量：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98/55-55MVA</w:t>
      </w:r>
      <w:r>
        <w:rPr>
          <w:rFonts w:hint="eastAsia" w:ascii="宋体" w:hAnsi="宋体" w:eastAsia="宋体" w:cs="宋体"/>
          <w:color w:val="auto"/>
          <w:sz w:val="24"/>
          <w:szCs w:val="24"/>
          <w:highlight w:val="none"/>
        </w:rPr>
        <w:t xml:space="preserve"> </w:t>
      </w:r>
    </w:p>
    <w:p w14:paraId="3205E0DD">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高压起备变接地方式：</w:t>
      </w:r>
      <w:r>
        <w:rPr>
          <w:rFonts w:hint="eastAsia"/>
          <w:color w:val="auto"/>
          <w:sz w:val="24"/>
          <w:highlight w:val="none"/>
          <w:lang w:bidi="ar"/>
        </w:rPr>
        <w:t>中性点</w:t>
      </w:r>
      <w:r>
        <w:rPr>
          <w:rFonts w:hint="eastAsia"/>
          <w:color w:val="auto"/>
          <w:sz w:val="24"/>
          <w:highlight w:val="none"/>
          <w:u w:val="single"/>
          <w:lang w:bidi="ar"/>
        </w:rPr>
        <w:t>经刀闸接地或经避雷器与放电间隙并联接地方式</w:t>
      </w:r>
      <w:r>
        <w:rPr>
          <w:rFonts w:hint="eastAsia" w:ascii="宋体" w:hAnsi="宋体" w:eastAsia="宋体" w:cs="宋体"/>
          <w:color w:val="auto"/>
          <w:sz w:val="24"/>
          <w:szCs w:val="24"/>
          <w:highlight w:val="none"/>
          <w:lang w:val="en-US" w:eastAsia="zh-CN"/>
        </w:rPr>
        <w:t>，低压侧经</w:t>
      </w:r>
      <w:r>
        <w:rPr>
          <w:color w:val="auto"/>
          <w:sz w:val="24"/>
          <w:highlight w:val="none"/>
          <w:u w:val="single"/>
        </w:rPr>
        <w:t>电阻柜低</w:t>
      </w:r>
      <w:r>
        <w:rPr>
          <w:rFonts w:hint="eastAsia" w:ascii="宋体" w:hAnsi="宋体" w:eastAsia="宋体" w:cs="宋体"/>
          <w:color w:val="auto"/>
          <w:sz w:val="24"/>
          <w:szCs w:val="24"/>
          <w:highlight w:val="none"/>
          <w:lang w:val="en-US" w:eastAsia="zh-CN"/>
        </w:rPr>
        <w:t>电阻接地</w:t>
      </w:r>
    </w:p>
    <w:p w14:paraId="21DE4552">
      <w:pPr>
        <w:numPr>
          <w:ilvl w:val="0"/>
          <w:numId w:val="3"/>
        </w:numPr>
        <w:tabs>
          <w:tab w:val="clear" w:pos="1270"/>
        </w:tabs>
        <w:snapToGrid w:val="0"/>
        <w:spacing w:line="360" w:lineRule="auto"/>
        <w:ind w:left="10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最大短路电流：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75</w:t>
      </w:r>
      <w:r>
        <w:rPr>
          <w:rFonts w:hint="eastAsia" w:ascii="宋体" w:hAnsi="宋体" w:eastAsia="宋体" w:cs="宋体"/>
          <w:color w:val="auto"/>
          <w:sz w:val="24"/>
          <w:szCs w:val="24"/>
          <w:highlight w:val="none"/>
        </w:rPr>
        <w:t xml:space="preserve">0kV侧：      </w:t>
      </w:r>
      <w:r>
        <w:rPr>
          <w:rFonts w:hint="eastAsia" w:ascii="宋体" w:hAnsi="宋体" w:eastAsia="宋体" w:cs="宋体"/>
          <w:color w:val="auto"/>
          <w:sz w:val="24"/>
          <w:szCs w:val="24"/>
          <w:highlight w:val="none"/>
          <w:lang w:val="en-US" w:eastAsia="zh-CN"/>
        </w:rPr>
        <w:t>45.03</w:t>
      </w:r>
      <w:r>
        <w:rPr>
          <w:rFonts w:hint="eastAsia" w:ascii="宋体" w:hAnsi="宋体" w:eastAsia="宋体" w:cs="宋体"/>
          <w:color w:val="auto"/>
          <w:sz w:val="24"/>
          <w:szCs w:val="24"/>
          <w:highlight w:val="none"/>
        </w:rPr>
        <w:t>kA</w:t>
      </w:r>
    </w:p>
    <w:p w14:paraId="4B893477">
      <w:pPr>
        <w:snapToGrid w:val="0"/>
        <w:spacing w:line="360" w:lineRule="auto"/>
        <w:ind w:left="252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 xml:space="preserve">0kV侧：      </w:t>
      </w:r>
      <w:r>
        <w:rPr>
          <w:rFonts w:hint="eastAsia" w:ascii="宋体" w:hAnsi="宋体" w:eastAsia="宋体" w:cs="宋体"/>
          <w:color w:val="auto"/>
          <w:sz w:val="24"/>
          <w:szCs w:val="24"/>
          <w:highlight w:val="none"/>
          <w:lang w:val="en-US" w:eastAsia="zh-CN"/>
        </w:rPr>
        <w:t>30.01</w:t>
      </w:r>
      <w:r>
        <w:rPr>
          <w:rFonts w:hint="eastAsia" w:ascii="宋体" w:hAnsi="宋体" w:eastAsia="宋体" w:cs="宋体"/>
          <w:color w:val="auto"/>
          <w:sz w:val="24"/>
          <w:szCs w:val="24"/>
          <w:highlight w:val="none"/>
        </w:rPr>
        <w:t>kA</w:t>
      </w:r>
    </w:p>
    <w:p w14:paraId="7B81149E">
      <w:pPr>
        <w:snapToGrid w:val="0"/>
        <w:spacing w:line="360" w:lineRule="auto"/>
        <w:ind w:left="252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发电机出口侧：  </w:t>
      </w:r>
      <w:r>
        <w:rPr>
          <w:rFonts w:hint="eastAsia" w:ascii="宋体" w:hAnsi="宋体" w:eastAsia="宋体" w:cs="宋体"/>
          <w:color w:val="auto"/>
          <w:sz w:val="24"/>
          <w:szCs w:val="24"/>
          <w:highlight w:val="none"/>
          <w:lang w:val="en-US" w:eastAsia="zh-CN"/>
        </w:rPr>
        <w:t>12</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rPr>
        <w:t>kA</w:t>
      </w:r>
    </w:p>
    <w:p w14:paraId="656C6B37">
      <w:pPr>
        <w:snapToGrid w:val="0"/>
        <w:spacing w:line="360" w:lineRule="auto"/>
        <w:ind w:left="252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高压厂变高压侧：</w:t>
      </w:r>
      <w:r>
        <w:rPr>
          <w:rFonts w:hint="eastAsia" w:ascii="宋体" w:hAnsi="宋体" w:eastAsia="宋体" w:cs="宋体"/>
          <w:color w:val="auto"/>
          <w:sz w:val="24"/>
          <w:szCs w:val="24"/>
          <w:highlight w:val="none"/>
          <w:lang w:val="en-US" w:eastAsia="zh-CN"/>
        </w:rPr>
        <w:t>257.52</w:t>
      </w:r>
      <w:r>
        <w:rPr>
          <w:rFonts w:hint="eastAsia" w:ascii="宋体" w:hAnsi="宋体" w:eastAsia="宋体" w:cs="宋体"/>
          <w:color w:val="auto"/>
          <w:sz w:val="24"/>
          <w:szCs w:val="24"/>
          <w:highlight w:val="none"/>
        </w:rPr>
        <w:t>kA</w:t>
      </w:r>
    </w:p>
    <w:p w14:paraId="5A1AC347">
      <w:pPr>
        <w:snapToGrid w:val="0"/>
        <w:spacing w:line="360" w:lineRule="auto"/>
        <w:ind w:left="252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高压厂变低压侧A：</w:t>
      </w:r>
      <w:r>
        <w:rPr>
          <w:rFonts w:hint="eastAsia" w:ascii="宋体" w:hAnsi="宋体" w:eastAsia="宋体" w:cs="宋体"/>
          <w:color w:val="auto"/>
          <w:sz w:val="24"/>
          <w:szCs w:val="24"/>
          <w:highlight w:val="none"/>
          <w:lang w:val="en-US" w:eastAsia="zh-CN"/>
        </w:rPr>
        <w:t>47.83</w:t>
      </w:r>
      <w:r>
        <w:rPr>
          <w:rFonts w:hint="eastAsia" w:ascii="宋体" w:hAnsi="宋体" w:eastAsia="宋体" w:cs="宋体"/>
          <w:color w:val="auto"/>
          <w:sz w:val="24"/>
          <w:szCs w:val="24"/>
          <w:highlight w:val="none"/>
        </w:rPr>
        <w:t xml:space="preserve"> kA </w:t>
      </w:r>
    </w:p>
    <w:p w14:paraId="75A94F06">
      <w:pPr>
        <w:snapToGrid w:val="0"/>
        <w:spacing w:line="360" w:lineRule="auto"/>
        <w:ind w:left="252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高压厂变低压侧B：</w:t>
      </w:r>
      <w:r>
        <w:rPr>
          <w:rFonts w:hint="eastAsia" w:ascii="宋体" w:hAnsi="宋体" w:eastAsia="宋体" w:cs="宋体"/>
          <w:color w:val="auto"/>
          <w:sz w:val="24"/>
          <w:szCs w:val="24"/>
          <w:highlight w:val="none"/>
          <w:lang w:val="en-US" w:eastAsia="zh-CN"/>
        </w:rPr>
        <w:t>47.83</w:t>
      </w:r>
      <w:r>
        <w:rPr>
          <w:rFonts w:hint="eastAsia" w:ascii="宋体" w:hAnsi="宋体" w:eastAsia="宋体" w:cs="宋体"/>
          <w:color w:val="auto"/>
          <w:sz w:val="24"/>
          <w:szCs w:val="24"/>
          <w:highlight w:val="none"/>
        </w:rPr>
        <w:t xml:space="preserve"> kA</w:t>
      </w:r>
    </w:p>
    <w:p w14:paraId="7FED5855">
      <w:pPr>
        <w:snapToGrid w:val="0"/>
        <w:spacing w:line="360" w:lineRule="auto"/>
        <w:ind w:left="252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高压备变低压侧A：</w:t>
      </w:r>
      <w:r>
        <w:rPr>
          <w:rFonts w:hint="eastAsia" w:ascii="宋体" w:hAnsi="宋体" w:eastAsia="宋体" w:cs="宋体"/>
          <w:color w:val="auto"/>
          <w:sz w:val="24"/>
          <w:szCs w:val="24"/>
          <w:highlight w:val="none"/>
          <w:lang w:val="en-US" w:eastAsia="zh-CN"/>
        </w:rPr>
        <w:t>47.43</w:t>
      </w:r>
      <w:r>
        <w:rPr>
          <w:rFonts w:hint="eastAsia" w:ascii="宋体" w:hAnsi="宋体" w:eastAsia="宋体" w:cs="宋体"/>
          <w:color w:val="auto"/>
          <w:sz w:val="24"/>
          <w:szCs w:val="24"/>
          <w:highlight w:val="none"/>
        </w:rPr>
        <w:t xml:space="preserve"> kA </w:t>
      </w:r>
    </w:p>
    <w:p w14:paraId="30BE7F4C">
      <w:pPr>
        <w:snapToGrid w:val="0"/>
        <w:spacing w:line="360" w:lineRule="auto"/>
        <w:ind w:left="252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高压备变低压侧</w:t>
      </w:r>
      <w:r>
        <w:rPr>
          <w:rFonts w:hint="eastAsia" w:ascii="宋体" w:hAnsi="宋体" w:eastAsia="宋体" w:cs="宋体"/>
          <w:color w:val="auto"/>
          <w:sz w:val="24"/>
          <w:szCs w:val="24"/>
          <w:highlight w:val="none"/>
          <w:lang w:val="en-US" w:eastAsia="zh-CN"/>
        </w:rPr>
        <w:t>B</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47.43</w:t>
      </w:r>
      <w:r>
        <w:rPr>
          <w:rFonts w:hint="eastAsia" w:ascii="宋体" w:hAnsi="宋体" w:eastAsia="宋体" w:cs="宋体"/>
          <w:color w:val="auto"/>
          <w:sz w:val="24"/>
          <w:szCs w:val="24"/>
          <w:highlight w:val="none"/>
        </w:rPr>
        <w:t xml:space="preserve"> kA </w:t>
      </w:r>
    </w:p>
    <w:p w14:paraId="0E20DAA7">
      <w:p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设备安装形式：室内</w:t>
      </w:r>
    </w:p>
    <w:p w14:paraId="06E99AA4">
      <w:pPr>
        <w:spacing w:line="360" w:lineRule="auto"/>
        <w:rPr>
          <w:rFonts w:ascii="宋体"/>
          <w:b/>
          <w:color w:val="auto"/>
          <w:sz w:val="24"/>
          <w:szCs w:val="24"/>
          <w:highlight w:val="none"/>
        </w:rPr>
      </w:pPr>
    </w:p>
    <w:p w14:paraId="636FEDDD">
      <w:pPr>
        <w:spacing w:line="360" w:lineRule="auto"/>
        <w:rPr>
          <w:rFonts w:ascii="宋体"/>
          <w:b/>
          <w:color w:val="auto"/>
          <w:szCs w:val="28"/>
          <w:highlight w:val="none"/>
        </w:rPr>
      </w:pPr>
      <w:r>
        <w:rPr>
          <w:rFonts w:hint="eastAsia" w:ascii="宋体"/>
          <w:b/>
          <w:color w:val="auto"/>
          <w:szCs w:val="28"/>
          <w:highlight w:val="none"/>
        </w:rPr>
        <w:t>2．标准</w:t>
      </w:r>
    </w:p>
    <w:p w14:paraId="5F512FC4">
      <w:pPr>
        <w:spacing w:line="360" w:lineRule="auto"/>
        <w:jc w:val="left"/>
        <w:rPr>
          <w:color w:val="auto"/>
          <w:sz w:val="24"/>
          <w:highlight w:val="none"/>
        </w:rPr>
      </w:pPr>
      <w:r>
        <w:rPr>
          <w:rFonts w:hint="eastAsia"/>
          <w:color w:val="auto"/>
          <w:sz w:val="24"/>
          <w:highlight w:val="none"/>
        </w:rPr>
        <w:t>2</w:t>
      </w:r>
      <w:r>
        <w:rPr>
          <w:color w:val="auto"/>
          <w:sz w:val="24"/>
          <w:highlight w:val="none"/>
        </w:rPr>
        <w:t xml:space="preserve">.1  </w:t>
      </w:r>
      <w:r>
        <w:rPr>
          <w:rFonts w:hAnsi="宋体"/>
          <w:color w:val="auto"/>
          <w:sz w:val="24"/>
          <w:highlight w:val="none"/>
        </w:rPr>
        <w:t>合同设备包括投标人向其他厂商购买的所有附件和设备，这些附件和设备应符合相应的标准规范或法规的最新版本或其修正本的要求</w:t>
      </w:r>
      <w:r>
        <w:rPr>
          <w:color w:val="auto"/>
          <w:sz w:val="24"/>
          <w:highlight w:val="none"/>
        </w:rPr>
        <w:t xml:space="preserve">, </w:t>
      </w:r>
      <w:r>
        <w:rPr>
          <w:rFonts w:hAnsi="宋体"/>
          <w:color w:val="auto"/>
          <w:sz w:val="24"/>
          <w:highlight w:val="none"/>
        </w:rPr>
        <w:t>除非另有特别说明，将包括在投标期内有效的任何修正和补充。</w:t>
      </w:r>
    </w:p>
    <w:p w14:paraId="4A2151E8">
      <w:pPr>
        <w:spacing w:line="360" w:lineRule="auto"/>
        <w:jc w:val="left"/>
        <w:rPr>
          <w:color w:val="auto"/>
          <w:sz w:val="24"/>
          <w:highlight w:val="none"/>
        </w:rPr>
      </w:pPr>
      <w:r>
        <w:rPr>
          <w:rFonts w:hint="eastAsia"/>
          <w:color w:val="auto"/>
          <w:sz w:val="24"/>
          <w:highlight w:val="none"/>
        </w:rPr>
        <w:t>2</w:t>
      </w:r>
      <w:r>
        <w:rPr>
          <w:color w:val="auto"/>
          <w:sz w:val="24"/>
          <w:highlight w:val="none"/>
        </w:rPr>
        <w:t xml:space="preserve">.2  </w:t>
      </w:r>
      <w:r>
        <w:rPr>
          <w:rFonts w:hAnsi="宋体"/>
          <w:color w:val="auto"/>
          <w:sz w:val="24"/>
          <w:highlight w:val="none"/>
        </w:rPr>
        <w:t>除非合同另有规定，均须遵守最新的国家标准</w:t>
      </w:r>
      <w:r>
        <w:rPr>
          <w:color w:val="auto"/>
          <w:sz w:val="24"/>
          <w:highlight w:val="none"/>
        </w:rPr>
        <w:t>(GB)</w:t>
      </w:r>
      <w:r>
        <w:rPr>
          <w:rFonts w:hAnsi="宋体"/>
          <w:color w:val="auto"/>
          <w:sz w:val="24"/>
          <w:highlight w:val="none"/>
        </w:rPr>
        <w:t>和国际电工委员会</w:t>
      </w:r>
      <w:r>
        <w:rPr>
          <w:color w:val="auto"/>
          <w:sz w:val="24"/>
          <w:highlight w:val="none"/>
        </w:rPr>
        <w:t>(IEC)</w:t>
      </w:r>
      <w:r>
        <w:rPr>
          <w:rFonts w:hAnsi="宋体"/>
          <w:color w:val="auto"/>
          <w:sz w:val="24"/>
          <w:highlight w:val="none"/>
        </w:rPr>
        <w:t>标准以及国际单位制</w:t>
      </w:r>
      <w:r>
        <w:rPr>
          <w:color w:val="auto"/>
          <w:sz w:val="24"/>
          <w:highlight w:val="none"/>
        </w:rPr>
        <w:t>(SI)</w:t>
      </w:r>
      <w:r>
        <w:rPr>
          <w:rFonts w:hAnsi="宋体"/>
          <w:color w:val="auto"/>
          <w:sz w:val="24"/>
          <w:highlight w:val="none"/>
        </w:rPr>
        <w:t>标准。如采用合资或合作产品，还应遵守合作方国家标准，当上述标准不一致时按高标准执行。</w:t>
      </w:r>
    </w:p>
    <w:p w14:paraId="61175084">
      <w:pPr>
        <w:spacing w:line="360" w:lineRule="auto"/>
        <w:jc w:val="left"/>
        <w:rPr>
          <w:color w:val="auto"/>
          <w:sz w:val="24"/>
          <w:highlight w:val="none"/>
        </w:rPr>
      </w:pPr>
      <w:r>
        <w:rPr>
          <w:rFonts w:hint="eastAsia"/>
          <w:color w:val="auto"/>
          <w:sz w:val="24"/>
          <w:highlight w:val="none"/>
        </w:rPr>
        <w:t>2</w:t>
      </w:r>
      <w:r>
        <w:rPr>
          <w:color w:val="auto"/>
          <w:sz w:val="24"/>
          <w:highlight w:val="none"/>
        </w:rPr>
        <w:t xml:space="preserve">.3  </w:t>
      </w:r>
      <w:r>
        <w:rPr>
          <w:rFonts w:hAnsi="宋体"/>
          <w:color w:val="auto"/>
          <w:sz w:val="24"/>
          <w:highlight w:val="none"/>
        </w:rPr>
        <w:t>投标人提供的设备和配套件要符合以下标准但不局限于以下标准</w:t>
      </w:r>
      <w:r>
        <w:rPr>
          <w:rFonts w:hint="eastAsia" w:hAnsi="宋体"/>
          <w:color w:val="auto"/>
          <w:sz w:val="24"/>
          <w:highlight w:val="none"/>
        </w:rPr>
        <w:t>（按现行最新标准）</w:t>
      </w:r>
      <w:r>
        <w:rPr>
          <w:rFonts w:hAnsi="宋体"/>
          <w:color w:val="auto"/>
          <w:sz w:val="24"/>
          <w:highlight w:val="none"/>
        </w:rPr>
        <w:t>：</w:t>
      </w:r>
    </w:p>
    <w:p w14:paraId="2CAE209C">
      <w:pPr>
        <w:spacing w:line="360" w:lineRule="auto"/>
        <w:ind w:firstLine="624"/>
        <w:rPr>
          <w:rFonts w:ascii="宋体"/>
          <w:color w:val="auto"/>
          <w:sz w:val="24"/>
          <w:szCs w:val="24"/>
          <w:highlight w:val="none"/>
        </w:rPr>
      </w:pPr>
      <w:r>
        <w:rPr>
          <w:rFonts w:hint="eastAsia" w:ascii="宋体"/>
          <w:color w:val="auto"/>
          <w:sz w:val="24"/>
          <w:szCs w:val="24"/>
          <w:highlight w:val="none"/>
        </w:rPr>
        <w:t>所有合同设备包括投标人从他处获得的设备或附件都必须满足以下标准，且不限于下述标准。除本规范书中规定的特别标准外，所有合同设备包括投标人从他处获得的设备或附件，都必须满足最新版本的</w:t>
      </w:r>
      <w:r>
        <w:rPr>
          <w:rFonts w:ascii="宋体"/>
          <w:color w:val="auto"/>
          <w:sz w:val="24"/>
          <w:szCs w:val="24"/>
          <w:highlight w:val="none"/>
        </w:rPr>
        <w:t>IEC</w:t>
      </w:r>
      <w:r>
        <w:rPr>
          <w:rFonts w:hint="eastAsia" w:ascii="宋体"/>
          <w:color w:val="auto"/>
          <w:sz w:val="24"/>
          <w:szCs w:val="24"/>
          <w:highlight w:val="none"/>
        </w:rPr>
        <w:t>标准</w:t>
      </w:r>
      <w:r>
        <w:rPr>
          <w:rFonts w:ascii="宋体"/>
          <w:color w:val="auto"/>
          <w:sz w:val="24"/>
          <w:szCs w:val="24"/>
          <w:highlight w:val="none"/>
        </w:rPr>
        <w:t>或ANSI以及中国国家标准和规范</w:t>
      </w:r>
      <w:r>
        <w:rPr>
          <w:rFonts w:hint="eastAsia" w:ascii="宋体"/>
          <w:color w:val="auto"/>
          <w:sz w:val="24"/>
          <w:szCs w:val="24"/>
          <w:highlight w:val="none"/>
        </w:rPr>
        <w:t>，</w:t>
      </w:r>
      <w:r>
        <w:rPr>
          <w:rFonts w:ascii="宋体"/>
          <w:color w:val="auto"/>
          <w:sz w:val="24"/>
          <w:szCs w:val="24"/>
          <w:highlight w:val="none"/>
        </w:rPr>
        <w:t>包括附录，所选用标准不得低于中国标准</w:t>
      </w:r>
      <w:r>
        <w:rPr>
          <w:rFonts w:hint="eastAsia" w:ascii="宋体"/>
          <w:color w:val="auto"/>
          <w:sz w:val="24"/>
          <w:szCs w:val="24"/>
          <w:highlight w:val="none"/>
        </w:rPr>
        <w:t>，包括在投标时已生效的任何修改和补充，以及国际单位制。投标人也可提请采用满足其他标准的设备，供招标人确认。</w:t>
      </w:r>
    </w:p>
    <w:p w14:paraId="4170758C">
      <w:pPr>
        <w:spacing w:line="360" w:lineRule="auto"/>
        <w:ind w:firstLine="600"/>
        <w:rPr>
          <w:rFonts w:ascii="宋体"/>
          <w:color w:val="auto"/>
          <w:sz w:val="24"/>
          <w:szCs w:val="24"/>
          <w:highlight w:val="none"/>
        </w:rPr>
      </w:pPr>
      <w:r>
        <w:rPr>
          <w:rFonts w:hint="eastAsia" w:ascii="宋体"/>
          <w:color w:val="auto"/>
          <w:sz w:val="24"/>
          <w:szCs w:val="24"/>
          <w:highlight w:val="none"/>
        </w:rPr>
        <w:t>下述标准和规范仅规定了最低要求，只要投标人认为有必要且经招标人认可，即可超越这些标准，采用更好、更经济的设计和材料，以便投标人的设备持续稳定地运行。</w:t>
      </w:r>
    </w:p>
    <w:p w14:paraId="1CD0C198">
      <w:pPr>
        <w:spacing w:line="360" w:lineRule="auto"/>
        <w:ind w:firstLine="624"/>
        <w:rPr>
          <w:rFonts w:ascii="宋体"/>
          <w:color w:val="auto"/>
          <w:sz w:val="24"/>
          <w:szCs w:val="24"/>
          <w:highlight w:val="none"/>
        </w:rPr>
      </w:pPr>
      <w:r>
        <w:rPr>
          <w:rFonts w:ascii="宋体"/>
          <w:color w:val="auto"/>
          <w:sz w:val="24"/>
          <w:szCs w:val="24"/>
          <w:highlight w:val="none"/>
        </w:rPr>
        <w:t>GB/T50549</w:t>
      </w:r>
      <w:r>
        <w:rPr>
          <w:rFonts w:hint="eastAsia" w:ascii="宋体"/>
          <w:color w:val="auto"/>
          <w:sz w:val="24"/>
          <w:szCs w:val="24"/>
          <w:highlight w:val="none"/>
        </w:rPr>
        <w:tab/>
      </w:r>
      <w:r>
        <w:rPr>
          <w:rFonts w:hint="eastAsia" w:ascii="宋体"/>
          <w:color w:val="auto"/>
          <w:sz w:val="24"/>
          <w:szCs w:val="24"/>
          <w:highlight w:val="none"/>
        </w:rPr>
        <w:t xml:space="preserve">   </w:t>
      </w:r>
      <w:r>
        <w:rPr>
          <w:rFonts w:ascii="宋体"/>
          <w:color w:val="auto"/>
          <w:sz w:val="24"/>
          <w:szCs w:val="24"/>
          <w:highlight w:val="none"/>
        </w:rPr>
        <w:t>电厂标识系统编码标准</w:t>
      </w:r>
    </w:p>
    <w:p w14:paraId="6CEDDFA6">
      <w:pPr>
        <w:spacing w:line="360" w:lineRule="auto"/>
        <w:ind w:firstLine="624"/>
        <w:rPr>
          <w:rFonts w:ascii="宋体"/>
          <w:color w:val="auto"/>
          <w:sz w:val="24"/>
          <w:szCs w:val="24"/>
          <w:highlight w:val="none"/>
        </w:rPr>
      </w:pPr>
      <w:r>
        <w:rPr>
          <w:rFonts w:ascii="宋体"/>
          <w:color w:val="auto"/>
          <w:sz w:val="24"/>
          <w:szCs w:val="24"/>
          <w:highlight w:val="none"/>
        </w:rPr>
        <w:t>GB/T 4208</w:t>
      </w:r>
      <w:r>
        <w:rPr>
          <w:rFonts w:hint="eastAsia" w:ascii="宋体"/>
          <w:color w:val="auto"/>
          <w:sz w:val="24"/>
          <w:szCs w:val="24"/>
          <w:highlight w:val="none"/>
        </w:rPr>
        <w:tab/>
      </w:r>
      <w:r>
        <w:rPr>
          <w:rFonts w:hint="eastAsia" w:ascii="宋体"/>
          <w:color w:val="auto"/>
          <w:sz w:val="24"/>
          <w:szCs w:val="24"/>
          <w:highlight w:val="none"/>
        </w:rPr>
        <w:t xml:space="preserve">   </w:t>
      </w:r>
      <w:r>
        <w:rPr>
          <w:rFonts w:ascii="宋体"/>
          <w:color w:val="auto"/>
          <w:sz w:val="24"/>
          <w:szCs w:val="24"/>
          <w:highlight w:val="none"/>
        </w:rPr>
        <w:t>外壳防护等级（IP代码）</w:t>
      </w:r>
    </w:p>
    <w:p w14:paraId="21ACCC8A">
      <w:pPr>
        <w:spacing w:line="360" w:lineRule="auto"/>
        <w:ind w:firstLine="624"/>
        <w:rPr>
          <w:rFonts w:ascii="宋体"/>
          <w:color w:val="auto"/>
          <w:sz w:val="24"/>
          <w:szCs w:val="24"/>
          <w:highlight w:val="none"/>
        </w:rPr>
      </w:pPr>
      <w:r>
        <w:rPr>
          <w:rFonts w:ascii="宋体"/>
          <w:color w:val="auto"/>
          <w:sz w:val="24"/>
          <w:szCs w:val="24"/>
          <w:highlight w:val="none"/>
        </w:rPr>
        <w:t>GB/T 2423</w:t>
      </w:r>
      <w:r>
        <w:rPr>
          <w:rFonts w:hint="eastAsia" w:ascii="宋体"/>
          <w:color w:val="auto"/>
          <w:sz w:val="24"/>
          <w:szCs w:val="24"/>
          <w:highlight w:val="none"/>
        </w:rPr>
        <w:tab/>
      </w:r>
      <w:r>
        <w:rPr>
          <w:rFonts w:hint="eastAsia" w:ascii="宋体"/>
          <w:color w:val="auto"/>
          <w:sz w:val="24"/>
          <w:szCs w:val="24"/>
          <w:highlight w:val="none"/>
        </w:rPr>
        <w:t xml:space="preserve">   </w:t>
      </w:r>
      <w:r>
        <w:rPr>
          <w:rFonts w:ascii="宋体"/>
          <w:color w:val="auto"/>
          <w:sz w:val="24"/>
          <w:szCs w:val="24"/>
          <w:highlight w:val="none"/>
        </w:rPr>
        <w:t>电工电子产品环境试验</w:t>
      </w:r>
    </w:p>
    <w:p w14:paraId="1133B21B">
      <w:pPr>
        <w:spacing w:line="360" w:lineRule="auto"/>
        <w:ind w:firstLine="624"/>
        <w:rPr>
          <w:rFonts w:ascii="宋体"/>
          <w:color w:val="auto"/>
          <w:sz w:val="24"/>
          <w:szCs w:val="24"/>
          <w:highlight w:val="none"/>
        </w:rPr>
      </w:pPr>
      <w:r>
        <w:rPr>
          <w:rFonts w:ascii="宋体"/>
          <w:color w:val="auto"/>
          <w:sz w:val="24"/>
          <w:szCs w:val="24"/>
          <w:highlight w:val="none"/>
        </w:rPr>
        <w:t>GB/T 2887</w:t>
      </w:r>
      <w:r>
        <w:rPr>
          <w:rFonts w:hint="eastAsia" w:ascii="宋体"/>
          <w:color w:val="auto"/>
          <w:sz w:val="24"/>
          <w:szCs w:val="24"/>
          <w:highlight w:val="none"/>
        </w:rPr>
        <w:tab/>
      </w:r>
      <w:r>
        <w:rPr>
          <w:rFonts w:hint="eastAsia" w:ascii="宋体"/>
          <w:color w:val="auto"/>
          <w:sz w:val="24"/>
          <w:szCs w:val="24"/>
          <w:highlight w:val="none"/>
        </w:rPr>
        <w:t xml:space="preserve">   </w:t>
      </w:r>
      <w:r>
        <w:rPr>
          <w:rFonts w:ascii="宋体"/>
          <w:color w:val="auto"/>
          <w:sz w:val="24"/>
          <w:szCs w:val="24"/>
          <w:highlight w:val="none"/>
        </w:rPr>
        <w:t>电子计算机场地通用规范</w:t>
      </w:r>
    </w:p>
    <w:p w14:paraId="22026883">
      <w:pPr>
        <w:spacing w:line="360" w:lineRule="auto"/>
        <w:ind w:firstLine="624"/>
        <w:rPr>
          <w:rFonts w:ascii="宋体"/>
          <w:color w:val="auto"/>
          <w:sz w:val="24"/>
          <w:szCs w:val="24"/>
          <w:highlight w:val="none"/>
        </w:rPr>
      </w:pPr>
      <w:r>
        <w:rPr>
          <w:rFonts w:ascii="宋体"/>
          <w:color w:val="auto"/>
          <w:sz w:val="24"/>
          <w:szCs w:val="24"/>
          <w:highlight w:val="none"/>
        </w:rPr>
        <w:t>GB/T 9813</w:t>
      </w:r>
      <w:r>
        <w:rPr>
          <w:rFonts w:hint="eastAsia" w:ascii="宋体"/>
          <w:color w:val="auto"/>
          <w:sz w:val="24"/>
          <w:szCs w:val="24"/>
          <w:highlight w:val="none"/>
        </w:rPr>
        <w:tab/>
      </w:r>
      <w:r>
        <w:rPr>
          <w:rFonts w:hint="eastAsia" w:ascii="宋体"/>
          <w:color w:val="auto"/>
          <w:sz w:val="24"/>
          <w:szCs w:val="24"/>
          <w:highlight w:val="none"/>
        </w:rPr>
        <w:t xml:space="preserve">   微型数字电子计算机通用技术条件</w:t>
      </w:r>
    </w:p>
    <w:p w14:paraId="65C862F0">
      <w:pPr>
        <w:spacing w:line="360" w:lineRule="auto"/>
        <w:ind w:firstLine="624"/>
        <w:rPr>
          <w:rFonts w:ascii="宋体"/>
          <w:color w:val="auto"/>
          <w:sz w:val="24"/>
          <w:szCs w:val="24"/>
          <w:highlight w:val="none"/>
        </w:rPr>
      </w:pPr>
      <w:r>
        <w:rPr>
          <w:rFonts w:hint="eastAsia" w:ascii="宋体"/>
          <w:color w:val="auto"/>
          <w:sz w:val="24"/>
          <w:szCs w:val="24"/>
          <w:highlight w:val="none"/>
        </w:rPr>
        <w:t>GB</w:t>
      </w:r>
      <w:r>
        <w:rPr>
          <w:rFonts w:ascii="宋体"/>
          <w:color w:val="auto"/>
          <w:sz w:val="24"/>
          <w:szCs w:val="24"/>
          <w:highlight w:val="none"/>
        </w:rPr>
        <w:t>/T</w:t>
      </w:r>
      <w:r>
        <w:rPr>
          <w:rFonts w:hint="eastAsia" w:ascii="宋体"/>
          <w:color w:val="auto"/>
          <w:sz w:val="24"/>
          <w:szCs w:val="24"/>
          <w:highlight w:val="none"/>
        </w:rPr>
        <w:t>50063</w:t>
      </w:r>
      <w:r>
        <w:rPr>
          <w:rFonts w:ascii="宋体"/>
          <w:color w:val="auto"/>
          <w:sz w:val="24"/>
          <w:szCs w:val="24"/>
          <w:highlight w:val="none"/>
        </w:rPr>
        <w:tab/>
      </w:r>
      <w:r>
        <w:rPr>
          <w:rFonts w:hint="eastAsia" w:ascii="宋体"/>
          <w:color w:val="auto"/>
          <w:sz w:val="24"/>
          <w:szCs w:val="24"/>
          <w:highlight w:val="none"/>
          <w:lang w:val="en-US" w:eastAsia="zh-CN"/>
        </w:rPr>
        <w:t xml:space="preserve">   </w:t>
      </w:r>
      <w:r>
        <w:rPr>
          <w:rFonts w:hint="eastAsia" w:ascii="宋体"/>
          <w:color w:val="auto"/>
          <w:sz w:val="24"/>
          <w:szCs w:val="24"/>
          <w:highlight w:val="none"/>
        </w:rPr>
        <w:t>电力装置的电测量仪表装置设计规范</w:t>
      </w:r>
    </w:p>
    <w:p w14:paraId="3D33FF31">
      <w:pPr>
        <w:spacing w:line="360" w:lineRule="auto"/>
        <w:ind w:firstLine="624"/>
        <w:rPr>
          <w:rFonts w:ascii="宋体"/>
          <w:color w:val="auto"/>
          <w:sz w:val="24"/>
          <w:szCs w:val="24"/>
          <w:highlight w:val="none"/>
        </w:rPr>
      </w:pPr>
      <w:r>
        <w:rPr>
          <w:rFonts w:ascii="宋体"/>
          <w:color w:val="auto"/>
          <w:sz w:val="24"/>
          <w:szCs w:val="24"/>
          <w:highlight w:val="none"/>
        </w:rPr>
        <w:t>GB/T 13729</w:t>
      </w:r>
      <w:r>
        <w:rPr>
          <w:rFonts w:hint="eastAsia" w:ascii="宋体"/>
          <w:color w:val="auto"/>
          <w:sz w:val="24"/>
          <w:szCs w:val="24"/>
          <w:highlight w:val="none"/>
        </w:rPr>
        <w:tab/>
      </w:r>
      <w:r>
        <w:rPr>
          <w:rFonts w:hint="eastAsia" w:ascii="宋体"/>
          <w:color w:val="auto"/>
          <w:sz w:val="24"/>
          <w:szCs w:val="24"/>
          <w:highlight w:val="none"/>
        </w:rPr>
        <w:t xml:space="preserve">   远动终端通用技术条件</w:t>
      </w:r>
    </w:p>
    <w:p w14:paraId="3ADCB632">
      <w:pPr>
        <w:spacing w:line="360" w:lineRule="auto"/>
        <w:ind w:firstLine="624"/>
        <w:rPr>
          <w:rFonts w:ascii="宋体"/>
          <w:color w:val="auto"/>
          <w:sz w:val="24"/>
          <w:szCs w:val="24"/>
          <w:highlight w:val="none"/>
        </w:rPr>
      </w:pPr>
      <w:r>
        <w:rPr>
          <w:rFonts w:ascii="宋体"/>
          <w:color w:val="auto"/>
          <w:sz w:val="24"/>
          <w:szCs w:val="24"/>
          <w:highlight w:val="none"/>
        </w:rPr>
        <w:t>GB/T 13730</w:t>
      </w:r>
      <w:r>
        <w:rPr>
          <w:rFonts w:hint="eastAsia" w:ascii="宋体"/>
          <w:color w:val="auto"/>
          <w:sz w:val="24"/>
          <w:szCs w:val="24"/>
          <w:highlight w:val="none"/>
        </w:rPr>
        <w:tab/>
      </w:r>
      <w:r>
        <w:rPr>
          <w:rFonts w:hint="eastAsia" w:ascii="宋体"/>
          <w:color w:val="auto"/>
          <w:sz w:val="24"/>
          <w:szCs w:val="24"/>
          <w:highlight w:val="none"/>
        </w:rPr>
        <w:t xml:space="preserve">   地区电网数据采集与监控系统通用技术条件</w:t>
      </w:r>
    </w:p>
    <w:p w14:paraId="544F4531">
      <w:pPr>
        <w:spacing w:line="360" w:lineRule="auto"/>
        <w:ind w:firstLine="624"/>
        <w:rPr>
          <w:rFonts w:ascii="宋体"/>
          <w:color w:val="auto"/>
          <w:sz w:val="24"/>
          <w:szCs w:val="24"/>
          <w:highlight w:val="none"/>
        </w:rPr>
      </w:pPr>
      <w:r>
        <w:rPr>
          <w:rFonts w:ascii="宋体"/>
          <w:color w:val="auto"/>
          <w:sz w:val="24"/>
          <w:szCs w:val="24"/>
          <w:highlight w:val="none"/>
        </w:rPr>
        <w:t>GB/T 15153</w:t>
      </w:r>
      <w:r>
        <w:rPr>
          <w:rFonts w:hint="eastAsia" w:ascii="宋体"/>
          <w:color w:val="auto"/>
          <w:sz w:val="24"/>
          <w:szCs w:val="24"/>
          <w:highlight w:val="none"/>
        </w:rPr>
        <w:t xml:space="preserve">     </w:t>
      </w:r>
      <w:r>
        <w:rPr>
          <w:rFonts w:ascii="宋体"/>
          <w:color w:val="auto"/>
          <w:sz w:val="24"/>
          <w:szCs w:val="24"/>
          <w:highlight w:val="none"/>
        </w:rPr>
        <w:t>远动设备及系统 第2部分：工作条件</w:t>
      </w:r>
    </w:p>
    <w:p w14:paraId="7F99FE1F">
      <w:pPr>
        <w:spacing w:line="360" w:lineRule="auto"/>
        <w:ind w:firstLine="624"/>
        <w:rPr>
          <w:rFonts w:ascii="宋体"/>
          <w:color w:val="auto"/>
          <w:sz w:val="24"/>
          <w:szCs w:val="24"/>
          <w:highlight w:val="none"/>
        </w:rPr>
      </w:pPr>
      <w:r>
        <w:rPr>
          <w:rFonts w:ascii="宋体"/>
          <w:color w:val="auto"/>
          <w:sz w:val="24"/>
          <w:szCs w:val="24"/>
          <w:highlight w:val="none"/>
        </w:rPr>
        <w:t>GB/T 17463</w:t>
      </w:r>
      <w:r>
        <w:rPr>
          <w:rFonts w:hint="eastAsia" w:ascii="宋体"/>
          <w:color w:val="auto"/>
          <w:sz w:val="24"/>
          <w:szCs w:val="24"/>
          <w:highlight w:val="none"/>
        </w:rPr>
        <w:t xml:space="preserve">     </w:t>
      </w:r>
      <w:r>
        <w:rPr>
          <w:rFonts w:ascii="宋体"/>
          <w:color w:val="auto"/>
          <w:sz w:val="24"/>
          <w:szCs w:val="24"/>
          <w:highlight w:val="none"/>
        </w:rPr>
        <w:t>远动设备及系统 第4部分：性能要求</w:t>
      </w:r>
    </w:p>
    <w:p w14:paraId="468B89A2">
      <w:pPr>
        <w:spacing w:line="360" w:lineRule="auto"/>
        <w:ind w:firstLine="624"/>
        <w:rPr>
          <w:rFonts w:ascii="宋体"/>
          <w:color w:val="auto"/>
          <w:sz w:val="24"/>
          <w:szCs w:val="24"/>
          <w:highlight w:val="none"/>
        </w:rPr>
      </w:pPr>
      <w:r>
        <w:rPr>
          <w:rFonts w:ascii="宋体"/>
          <w:color w:val="auto"/>
          <w:sz w:val="24"/>
          <w:szCs w:val="24"/>
          <w:highlight w:val="none"/>
        </w:rPr>
        <w:t xml:space="preserve">DL/T 630  </w:t>
      </w:r>
      <w:r>
        <w:rPr>
          <w:rFonts w:hint="eastAsia" w:ascii="宋体"/>
          <w:color w:val="auto"/>
          <w:sz w:val="24"/>
          <w:szCs w:val="24"/>
          <w:highlight w:val="none"/>
        </w:rPr>
        <w:t xml:space="preserve">    </w:t>
      </w:r>
      <w:r>
        <w:rPr>
          <w:rFonts w:hint="eastAsia" w:ascii="宋体"/>
          <w:color w:val="auto"/>
          <w:sz w:val="24"/>
          <w:szCs w:val="24"/>
          <w:highlight w:val="none"/>
          <w:lang w:val="en-US" w:eastAsia="zh-CN"/>
        </w:rPr>
        <w:t xml:space="preserve"> </w:t>
      </w:r>
      <w:r>
        <w:rPr>
          <w:rFonts w:hint="eastAsia" w:ascii="宋体"/>
          <w:color w:val="auto"/>
          <w:sz w:val="24"/>
          <w:szCs w:val="24"/>
          <w:highlight w:val="none"/>
        </w:rPr>
        <w:t>交流采样远动终端技术条件</w:t>
      </w:r>
    </w:p>
    <w:p w14:paraId="36C463BC">
      <w:pPr>
        <w:spacing w:line="360" w:lineRule="auto"/>
        <w:ind w:firstLine="624"/>
        <w:rPr>
          <w:rFonts w:ascii="宋体"/>
          <w:color w:val="auto"/>
          <w:sz w:val="24"/>
          <w:szCs w:val="24"/>
          <w:highlight w:val="none"/>
        </w:rPr>
      </w:pPr>
      <w:r>
        <w:rPr>
          <w:rFonts w:ascii="宋体"/>
          <w:color w:val="auto"/>
          <w:sz w:val="24"/>
          <w:szCs w:val="24"/>
          <w:highlight w:val="none"/>
        </w:rPr>
        <w:t>DL/T 5136</w:t>
      </w:r>
      <w:r>
        <w:rPr>
          <w:rFonts w:hint="eastAsia" w:ascii="宋体"/>
          <w:color w:val="auto"/>
          <w:sz w:val="24"/>
          <w:szCs w:val="24"/>
          <w:highlight w:val="none"/>
        </w:rPr>
        <w:t xml:space="preserve">    </w:t>
      </w:r>
      <w:r>
        <w:rPr>
          <w:rFonts w:hint="eastAsia" w:ascii="宋体"/>
          <w:color w:val="auto"/>
          <w:sz w:val="24"/>
          <w:szCs w:val="24"/>
          <w:highlight w:val="none"/>
          <w:lang w:val="en-US" w:eastAsia="zh-CN"/>
        </w:rPr>
        <w:t xml:space="preserve">  </w:t>
      </w:r>
      <w:r>
        <w:rPr>
          <w:rFonts w:ascii="宋体"/>
          <w:color w:val="auto"/>
          <w:sz w:val="24"/>
          <w:szCs w:val="24"/>
          <w:highlight w:val="none"/>
        </w:rPr>
        <w:t>火力发电厂、变电</w:t>
      </w:r>
      <w:r>
        <w:rPr>
          <w:rFonts w:hint="eastAsia" w:ascii="宋体"/>
          <w:color w:val="auto"/>
          <w:sz w:val="24"/>
          <w:szCs w:val="24"/>
          <w:highlight w:val="none"/>
        </w:rPr>
        <w:t>所</w:t>
      </w:r>
      <w:r>
        <w:rPr>
          <w:rFonts w:ascii="宋体"/>
          <w:color w:val="auto"/>
          <w:sz w:val="24"/>
          <w:szCs w:val="24"/>
          <w:highlight w:val="none"/>
        </w:rPr>
        <w:t>二次</w:t>
      </w:r>
      <w:r>
        <w:rPr>
          <w:rFonts w:hint="eastAsia" w:ascii="宋体"/>
          <w:color w:val="auto"/>
          <w:sz w:val="24"/>
          <w:szCs w:val="24"/>
          <w:highlight w:val="none"/>
        </w:rPr>
        <w:t>接</w:t>
      </w:r>
      <w:r>
        <w:rPr>
          <w:rFonts w:ascii="宋体"/>
          <w:color w:val="auto"/>
          <w:sz w:val="24"/>
          <w:szCs w:val="24"/>
          <w:highlight w:val="none"/>
        </w:rPr>
        <w:t>线设计技术规程</w:t>
      </w:r>
    </w:p>
    <w:p w14:paraId="54F26031">
      <w:pPr>
        <w:spacing w:line="360" w:lineRule="auto"/>
        <w:ind w:firstLine="624"/>
        <w:rPr>
          <w:rFonts w:ascii="宋体"/>
          <w:color w:val="auto"/>
          <w:sz w:val="24"/>
          <w:szCs w:val="24"/>
          <w:highlight w:val="none"/>
        </w:rPr>
      </w:pPr>
      <w:r>
        <w:rPr>
          <w:rFonts w:ascii="宋体"/>
          <w:color w:val="auto"/>
          <w:sz w:val="24"/>
          <w:szCs w:val="24"/>
          <w:highlight w:val="none"/>
        </w:rPr>
        <w:t xml:space="preserve">DL/T 5226   </w:t>
      </w:r>
      <w:r>
        <w:rPr>
          <w:rFonts w:hint="eastAsia" w:ascii="宋体"/>
          <w:color w:val="auto"/>
          <w:sz w:val="24"/>
          <w:szCs w:val="24"/>
          <w:highlight w:val="none"/>
        </w:rPr>
        <w:t xml:space="preserve"> </w:t>
      </w:r>
      <w:r>
        <w:rPr>
          <w:rFonts w:hint="eastAsia" w:ascii="宋体"/>
          <w:color w:val="auto"/>
          <w:sz w:val="24"/>
          <w:szCs w:val="24"/>
          <w:highlight w:val="none"/>
          <w:lang w:val="en-US" w:eastAsia="zh-CN"/>
        </w:rPr>
        <w:t xml:space="preserve">  </w:t>
      </w:r>
      <w:r>
        <w:rPr>
          <w:rFonts w:ascii="宋体"/>
          <w:color w:val="auto"/>
          <w:sz w:val="24"/>
          <w:szCs w:val="24"/>
          <w:highlight w:val="none"/>
        </w:rPr>
        <w:t>火力发电厂电力网络计算机监控系统设计技术规定</w:t>
      </w:r>
    </w:p>
    <w:p w14:paraId="306C91C9">
      <w:pPr>
        <w:spacing w:line="360" w:lineRule="auto"/>
        <w:ind w:firstLine="624"/>
        <w:rPr>
          <w:rFonts w:ascii="宋体"/>
          <w:color w:val="auto"/>
          <w:sz w:val="24"/>
          <w:szCs w:val="24"/>
          <w:highlight w:val="none"/>
        </w:rPr>
      </w:pPr>
      <w:r>
        <w:rPr>
          <w:rFonts w:hint="default" w:ascii="宋体"/>
          <w:color w:val="auto"/>
          <w:sz w:val="24"/>
          <w:szCs w:val="24"/>
          <w:highlight w:val="none"/>
        </w:rPr>
        <w:t>DL 476</w:t>
      </w:r>
      <w:r>
        <w:rPr>
          <w:rFonts w:hint="default" w:ascii="宋体"/>
          <w:color w:val="auto"/>
          <w:sz w:val="24"/>
          <w:szCs w:val="24"/>
          <w:highlight w:val="none"/>
        </w:rPr>
        <w:tab/>
      </w:r>
      <w:r>
        <w:rPr>
          <w:rFonts w:hint="default" w:ascii="宋体"/>
          <w:color w:val="auto"/>
          <w:sz w:val="24"/>
          <w:szCs w:val="24"/>
          <w:highlight w:val="none"/>
        </w:rPr>
        <w:t xml:space="preserve">      电力系统实时数据通信应用层协议</w:t>
      </w:r>
    </w:p>
    <w:p w14:paraId="233B6DCA">
      <w:pPr>
        <w:spacing w:line="360" w:lineRule="auto"/>
        <w:ind w:firstLine="624"/>
        <w:rPr>
          <w:rFonts w:ascii="宋体"/>
          <w:color w:val="auto"/>
          <w:sz w:val="24"/>
          <w:szCs w:val="24"/>
          <w:highlight w:val="none"/>
        </w:rPr>
      </w:pPr>
      <w:r>
        <w:rPr>
          <w:rFonts w:hint="default" w:ascii="宋体"/>
          <w:color w:val="auto"/>
          <w:sz w:val="24"/>
          <w:szCs w:val="24"/>
          <w:highlight w:val="none"/>
        </w:rPr>
        <w:t xml:space="preserve">DL/T 630   </w:t>
      </w:r>
      <w:r>
        <w:rPr>
          <w:rFonts w:hint="default" w:ascii="宋体"/>
          <w:color w:val="auto"/>
          <w:sz w:val="24"/>
          <w:szCs w:val="24"/>
          <w:highlight w:val="none"/>
        </w:rPr>
        <w:tab/>
      </w:r>
      <w:r>
        <w:rPr>
          <w:rFonts w:hint="eastAsia" w:ascii="宋体"/>
          <w:color w:val="auto"/>
          <w:sz w:val="24"/>
          <w:szCs w:val="24"/>
          <w:highlight w:val="none"/>
          <w:lang w:val="en-US" w:eastAsia="zh-CN"/>
        </w:rPr>
        <w:t xml:space="preserve">  </w:t>
      </w:r>
      <w:r>
        <w:rPr>
          <w:rFonts w:hint="default" w:ascii="宋体"/>
          <w:color w:val="auto"/>
          <w:sz w:val="24"/>
          <w:szCs w:val="24"/>
          <w:highlight w:val="none"/>
        </w:rPr>
        <w:t>交流采样远动终端技术条件</w:t>
      </w:r>
    </w:p>
    <w:p w14:paraId="77E5BF7A">
      <w:pPr>
        <w:spacing w:line="360" w:lineRule="auto"/>
        <w:ind w:firstLine="624"/>
        <w:rPr>
          <w:rFonts w:ascii="宋体"/>
          <w:color w:val="auto"/>
          <w:sz w:val="24"/>
          <w:szCs w:val="24"/>
          <w:highlight w:val="none"/>
        </w:rPr>
      </w:pPr>
      <w:r>
        <w:rPr>
          <w:rFonts w:hint="default" w:ascii="宋体"/>
          <w:color w:val="auto"/>
          <w:sz w:val="24"/>
          <w:szCs w:val="24"/>
          <w:highlight w:val="none"/>
        </w:rPr>
        <w:t>DL/T 634.5104</w:t>
      </w:r>
      <w:r>
        <w:rPr>
          <w:rFonts w:hint="eastAsia" w:ascii="宋体"/>
          <w:color w:val="auto"/>
          <w:sz w:val="24"/>
          <w:szCs w:val="24"/>
          <w:highlight w:val="none"/>
          <w:lang w:val="en-US" w:eastAsia="zh-CN"/>
        </w:rPr>
        <w:t xml:space="preserve">  </w:t>
      </w:r>
      <w:r>
        <w:rPr>
          <w:rFonts w:hint="default" w:ascii="宋体"/>
          <w:color w:val="auto"/>
          <w:sz w:val="24"/>
          <w:szCs w:val="24"/>
          <w:highlight w:val="none"/>
        </w:rPr>
        <w:t>远动设备及系统 第5-104部分：传输规约 采用标准传输协议集的IEC 60870-5-101网络访问（IEC 60870-5-104）</w:t>
      </w:r>
    </w:p>
    <w:p w14:paraId="38C7FA7C">
      <w:pPr>
        <w:spacing w:line="360" w:lineRule="auto"/>
        <w:ind w:firstLine="624"/>
        <w:rPr>
          <w:rFonts w:ascii="宋体"/>
          <w:color w:val="auto"/>
          <w:sz w:val="24"/>
          <w:szCs w:val="24"/>
          <w:highlight w:val="none"/>
        </w:rPr>
      </w:pPr>
      <w:r>
        <w:rPr>
          <w:rFonts w:hint="default" w:ascii="宋体"/>
          <w:color w:val="auto"/>
          <w:sz w:val="24"/>
          <w:szCs w:val="24"/>
          <w:highlight w:val="none"/>
        </w:rPr>
        <w:t>DL/T 720</w:t>
      </w:r>
      <w:r>
        <w:rPr>
          <w:rFonts w:hint="default" w:ascii="宋体"/>
          <w:color w:val="auto"/>
          <w:sz w:val="24"/>
          <w:szCs w:val="24"/>
          <w:highlight w:val="none"/>
        </w:rPr>
        <w:tab/>
      </w:r>
      <w:r>
        <w:rPr>
          <w:rFonts w:hint="default" w:ascii="宋体"/>
          <w:color w:val="auto"/>
          <w:sz w:val="24"/>
          <w:szCs w:val="24"/>
          <w:highlight w:val="none"/>
        </w:rPr>
        <w:t xml:space="preserve">    </w:t>
      </w:r>
      <w:r>
        <w:rPr>
          <w:rFonts w:hint="eastAsia" w:ascii="宋体"/>
          <w:color w:val="auto"/>
          <w:sz w:val="24"/>
          <w:szCs w:val="24"/>
          <w:highlight w:val="none"/>
          <w:lang w:val="en-US" w:eastAsia="zh-CN"/>
        </w:rPr>
        <w:t xml:space="preserve"> </w:t>
      </w:r>
      <w:r>
        <w:rPr>
          <w:rFonts w:hint="default" w:ascii="宋体"/>
          <w:color w:val="auto"/>
          <w:sz w:val="24"/>
          <w:szCs w:val="24"/>
          <w:highlight w:val="none"/>
        </w:rPr>
        <w:t>电力系统继电保护柜、屏通用技术条件</w:t>
      </w:r>
    </w:p>
    <w:p w14:paraId="4EE724B3">
      <w:pPr>
        <w:spacing w:line="360" w:lineRule="auto"/>
        <w:ind w:firstLine="624"/>
        <w:rPr>
          <w:rFonts w:ascii="宋体"/>
          <w:color w:val="auto"/>
          <w:sz w:val="24"/>
          <w:szCs w:val="24"/>
          <w:highlight w:val="none"/>
        </w:rPr>
      </w:pPr>
      <w:r>
        <w:rPr>
          <w:rFonts w:hint="default" w:ascii="宋体"/>
          <w:color w:val="auto"/>
          <w:sz w:val="24"/>
          <w:szCs w:val="24"/>
          <w:highlight w:val="none"/>
        </w:rPr>
        <w:t>DL/T 890.301</w:t>
      </w:r>
      <w:r>
        <w:rPr>
          <w:rFonts w:hint="default" w:ascii="宋体"/>
          <w:color w:val="auto"/>
          <w:sz w:val="24"/>
          <w:szCs w:val="24"/>
          <w:highlight w:val="none"/>
        </w:rPr>
        <w:tab/>
      </w:r>
      <w:r>
        <w:rPr>
          <w:rFonts w:hint="default" w:ascii="宋体"/>
          <w:color w:val="auto"/>
          <w:sz w:val="24"/>
          <w:szCs w:val="24"/>
          <w:highlight w:val="none"/>
        </w:rPr>
        <w:t xml:space="preserve"> </w:t>
      </w:r>
      <w:r>
        <w:rPr>
          <w:rFonts w:hint="eastAsia" w:ascii="宋体"/>
          <w:color w:val="auto"/>
          <w:sz w:val="24"/>
          <w:szCs w:val="24"/>
          <w:highlight w:val="none"/>
          <w:lang w:val="en-US" w:eastAsia="zh-CN"/>
        </w:rPr>
        <w:t xml:space="preserve"> </w:t>
      </w:r>
      <w:r>
        <w:rPr>
          <w:rFonts w:hint="default" w:ascii="宋体"/>
          <w:color w:val="auto"/>
          <w:sz w:val="24"/>
          <w:szCs w:val="24"/>
          <w:highlight w:val="none"/>
        </w:rPr>
        <w:t>能量管理系统应用程序接口（EMS-API）第301部分：公用信息模型（CIM）基础（IEC 61970-301）</w:t>
      </w:r>
    </w:p>
    <w:p w14:paraId="2C75E7EB">
      <w:pPr>
        <w:spacing w:line="360" w:lineRule="auto"/>
        <w:ind w:firstLine="650" w:firstLineChars="271"/>
        <w:rPr>
          <w:rFonts w:hint="eastAsia" w:ascii="宋体" w:hAnsi="宋体" w:cs="宋体"/>
          <w:color w:val="auto"/>
          <w:sz w:val="24"/>
          <w:szCs w:val="24"/>
          <w:highlight w:val="none"/>
        </w:rPr>
      </w:pPr>
      <w:r>
        <w:rPr>
          <w:rFonts w:hint="eastAsia" w:ascii="宋体" w:hAnsi="宋体" w:cs="宋体"/>
          <w:color w:val="auto"/>
          <w:sz w:val="24"/>
          <w:szCs w:val="24"/>
          <w:highlight w:val="none"/>
        </w:rPr>
        <w:t>DL/T 5003</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电力系统调度自动化设计技术规程</w:t>
      </w:r>
    </w:p>
    <w:p w14:paraId="7897CD12">
      <w:pPr>
        <w:spacing w:line="360" w:lineRule="auto"/>
        <w:ind w:firstLine="650" w:firstLineChars="27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ANSI/IEEE C37.111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电力系统暂态数据交换通用格式</w:t>
      </w:r>
    </w:p>
    <w:p w14:paraId="257F6F72">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IEC61000-4-2</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静电放电抗扰度</w:t>
      </w:r>
    </w:p>
    <w:p w14:paraId="030B2229">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IEC61000-4-3</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辐射电磁场抗扰度</w:t>
      </w:r>
    </w:p>
    <w:p w14:paraId="61395FC7">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IEC61000-4-4</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快速瞬变电脉冲抗扰度</w:t>
      </w:r>
    </w:p>
    <w:p w14:paraId="0A8B8120">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IEC61000-4-5</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冲击（浪涌）抗扰度</w:t>
      </w:r>
    </w:p>
    <w:p w14:paraId="53EE60AD">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IEC61000-4-6</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电磁场感应的传导骚扰的抗扰度</w:t>
      </w:r>
    </w:p>
    <w:p w14:paraId="389BDE18">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IEC61000-4-8</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工频磁场的抗扰度</w:t>
      </w:r>
    </w:p>
    <w:p w14:paraId="0ADCA9A9">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IEC61000-4-9</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脉冲磁场的抗扰度</w:t>
      </w:r>
    </w:p>
    <w:p w14:paraId="002E99ED">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IEC61000-4-10</w:t>
      </w:r>
      <w:r>
        <w:rPr>
          <w:rFonts w:hint="eastAsia" w:ascii="宋体" w:hAnsi="宋体" w:cs="宋体"/>
          <w:color w:val="auto"/>
          <w:sz w:val="24"/>
          <w:szCs w:val="24"/>
          <w:highlight w:val="none"/>
        </w:rPr>
        <w:tab/>
      </w:r>
      <w:r>
        <w:rPr>
          <w:rFonts w:hint="eastAsia" w:ascii="宋体" w:hAnsi="宋体" w:cs="宋体"/>
          <w:color w:val="auto"/>
          <w:sz w:val="24"/>
          <w:szCs w:val="24"/>
          <w:highlight w:val="none"/>
        </w:rPr>
        <w:t>阻尼振荡磁场的抗扰度</w:t>
      </w:r>
    </w:p>
    <w:p w14:paraId="3BB847FB">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IEC61000-4-11</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电压暂降、电压短时中断和电压变化的抗扰度</w:t>
      </w:r>
    </w:p>
    <w:p w14:paraId="40407345">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IEC61000-4-12</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振荡波的抗扰度</w:t>
      </w:r>
    </w:p>
    <w:p w14:paraId="486D113D">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IEC61000-2-5</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电磁场环境分类</w:t>
      </w:r>
    </w:p>
    <w:p w14:paraId="6BAA1688">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IEC687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 xml:space="preserve"> 0.2S有功电能表技术标准</w:t>
      </w:r>
    </w:p>
    <w:p w14:paraId="3B3DFB0D">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DL</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T</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 xml:space="preserve">614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 xml:space="preserve"> 多功能电能表</w:t>
      </w:r>
    </w:p>
    <w:p w14:paraId="311454FA">
      <w:pPr>
        <w:spacing w:line="360" w:lineRule="auto"/>
        <w:ind w:firstLine="624"/>
        <w:rPr>
          <w:rFonts w:hint="eastAsia" w:ascii="宋体" w:hAnsi="宋体" w:eastAsia="宋体" w:cs="宋体"/>
          <w:i w:val="0"/>
          <w:iCs w:val="0"/>
          <w:caps w:val="0"/>
          <w:color w:val="auto"/>
          <w:spacing w:val="0"/>
          <w:sz w:val="24"/>
          <w:szCs w:val="24"/>
          <w:highlight w:val="none"/>
          <w:lang w:eastAsia="zh-CN"/>
        </w:rPr>
      </w:pPr>
      <w:r>
        <w:rPr>
          <w:rFonts w:hint="eastAsia" w:ascii="宋体" w:hAnsi="宋体" w:eastAsia="宋体" w:cs="宋体"/>
          <w:b w:val="0"/>
          <w:i w:val="0"/>
          <w:iCs w:val="0"/>
          <w:caps w:val="0"/>
          <w:color w:val="auto"/>
          <w:spacing w:val="0"/>
          <w:sz w:val="24"/>
          <w:szCs w:val="24"/>
          <w:highlight w:val="none"/>
          <w:shd w:val="clear"/>
        </w:rPr>
        <w:t>DL/T 645-2007</w:t>
      </w:r>
      <w:r>
        <w:rPr>
          <w:rFonts w:hint="eastAsia" w:ascii="宋体" w:hAnsi="宋体" w:cs="宋体"/>
          <w:i w:val="0"/>
          <w:iCs w:val="0"/>
          <w:caps w:val="0"/>
          <w:color w:val="auto"/>
          <w:spacing w:val="0"/>
          <w:sz w:val="24"/>
          <w:szCs w:val="24"/>
          <w:highlight w:val="none"/>
          <w:shd w:val="clear"/>
          <w:lang w:val="en-US" w:eastAsia="zh-CN"/>
        </w:rPr>
        <w:t xml:space="preserve">  </w:t>
      </w:r>
      <w:r>
        <w:rPr>
          <w:rFonts w:hint="eastAsia" w:ascii="宋体" w:hAnsi="宋体" w:eastAsia="宋体" w:cs="宋体"/>
          <w:i w:val="0"/>
          <w:iCs w:val="0"/>
          <w:caps w:val="0"/>
          <w:color w:val="auto"/>
          <w:spacing w:val="0"/>
          <w:sz w:val="24"/>
          <w:szCs w:val="24"/>
          <w:highlight w:val="none"/>
          <w:shd w:val="clear"/>
        </w:rPr>
        <w:t>多功能电能表通信协议</w:t>
      </w:r>
    </w:p>
    <w:p w14:paraId="4EDB9F32">
      <w:pPr>
        <w:spacing w:line="360" w:lineRule="auto"/>
        <w:ind w:firstLine="624"/>
        <w:rPr>
          <w:rFonts w:hint="eastAsia" w:ascii="宋体" w:hAnsi="宋体" w:eastAsia="宋体" w:cs="宋体"/>
          <w:i w:val="0"/>
          <w:iCs w:val="0"/>
          <w:caps w:val="0"/>
          <w:color w:val="auto"/>
          <w:spacing w:val="0"/>
          <w:sz w:val="24"/>
          <w:szCs w:val="24"/>
          <w:highlight w:val="none"/>
          <w:shd w:val="clear"/>
        </w:rPr>
      </w:pPr>
      <w:r>
        <w:rPr>
          <w:rStyle w:val="34"/>
          <w:rFonts w:hint="eastAsia" w:ascii="宋体" w:hAnsi="宋体" w:eastAsia="瀹嬩綋" w:cs="宋体"/>
          <w:b w:val="0"/>
          <w:i w:val="0"/>
          <w:iCs w:val="0"/>
          <w:caps w:val="0"/>
          <w:color w:val="auto"/>
          <w:spacing w:val="0"/>
          <w:sz w:val="24"/>
          <w:szCs w:val="24"/>
          <w:highlight w:val="none"/>
          <w:shd w:val="clear" w:fill="FFFFFF"/>
        </w:rPr>
        <w:t>GB/T 17215.301-2024</w:t>
      </w:r>
      <w:r>
        <w:rPr>
          <w:rFonts w:hint="eastAsia" w:ascii="宋体" w:hAnsi="宋体" w:cs="宋体"/>
          <w:i w:val="0"/>
          <w:iCs w:val="0"/>
          <w:caps w:val="0"/>
          <w:color w:val="auto"/>
          <w:spacing w:val="0"/>
          <w:sz w:val="24"/>
          <w:szCs w:val="24"/>
          <w:highlight w:val="none"/>
          <w:shd w:val="clear"/>
          <w:lang w:val="en-US" w:eastAsia="zh-CN"/>
        </w:rPr>
        <w:t xml:space="preserve"> </w:t>
      </w:r>
      <w:r>
        <w:rPr>
          <w:rFonts w:hint="eastAsia" w:ascii="宋体" w:hAnsi="宋体" w:eastAsia="宋体" w:cs="宋体"/>
          <w:i w:val="0"/>
          <w:iCs w:val="0"/>
          <w:caps w:val="0"/>
          <w:color w:val="auto"/>
          <w:spacing w:val="0"/>
          <w:sz w:val="24"/>
          <w:szCs w:val="24"/>
          <w:highlight w:val="none"/>
          <w:shd w:val="clear"/>
        </w:rPr>
        <w:t>电测量设备（交流）特殊要求 第1部分：多功能电能表</w:t>
      </w:r>
    </w:p>
    <w:p w14:paraId="43FA9613">
      <w:pPr>
        <w:keepNext w:val="0"/>
        <w:keepLines w:val="0"/>
        <w:widowControl/>
        <w:suppressLineNumbers w:val="0"/>
        <w:shd w:val="clear"/>
        <w:spacing w:line="360" w:lineRule="auto"/>
        <w:ind w:left="0" w:firstLine="624"/>
        <w:rPr>
          <w:rFonts w:hint="eastAsia" w:ascii="宋体" w:hAnsi="宋体" w:cs="宋体"/>
          <w:i w:val="0"/>
          <w:iCs w:val="0"/>
          <w:caps w:val="0"/>
          <w:color w:val="auto"/>
          <w:spacing w:val="0"/>
          <w:sz w:val="24"/>
          <w:szCs w:val="24"/>
          <w:highlight w:val="none"/>
          <w:shd w:val="clear"/>
          <w:lang w:val="en-US" w:eastAsia="zh-CN"/>
        </w:rPr>
      </w:pPr>
      <w:r>
        <w:rPr>
          <w:rStyle w:val="34"/>
          <w:rFonts w:hint="eastAsia" w:ascii="宋体" w:hAnsi="宋体" w:eastAsia="瀹嬩綋" w:cs="宋体"/>
          <w:b w:val="0"/>
          <w:i w:val="0"/>
          <w:iCs w:val="0"/>
          <w:caps w:val="0"/>
          <w:color w:val="auto"/>
          <w:spacing w:val="0"/>
          <w:sz w:val="24"/>
          <w:szCs w:val="24"/>
          <w:highlight w:val="none"/>
          <w:shd w:val="clear" w:fill="FFFFFF"/>
        </w:rPr>
        <w:t>GB/T 172</w:t>
      </w:r>
      <w:r>
        <w:rPr>
          <w:rStyle w:val="33"/>
          <w:rFonts w:hint="eastAsia" w:ascii="宋体" w:hAnsi="宋体" w:eastAsia="宋体" w:cs="宋体"/>
          <w:b w:val="0"/>
          <w:i w:val="0"/>
          <w:iCs w:val="0"/>
          <w:caps w:val="0"/>
          <w:color w:val="auto"/>
          <w:spacing w:val="0"/>
          <w:sz w:val="24"/>
          <w:szCs w:val="24"/>
          <w:highlight w:val="none"/>
          <w:shd w:val="clear"/>
        </w:rPr>
        <w:t>15.</w:t>
      </w:r>
      <w:r>
        <w:rPr>
          <w:rStyle w:val="33"/>
          <w:rFonts w:hint="eastAsia" w:ascii="宋体" w:hAnsi="宋体" w:eastAsia="宋体" w:cs="宋体"/>
          <w:b w:val="0"/>
          <w:i w:val="0"/>
          <w:iCs w:val="0"/>
          <w:caps w:val="0"/>
          <w:color w:val="auto"/>
          <w:spacing w:val="0"/>
          <w:sz w:val="24"/>
          <w:szCs w:val="24"/>
          <w:highlight w:val="none"/>
          <w:shd w:val="clear"/>
          <w:lang w:val="en-US" w:eastAsia="zh-CN"/>
        </w:rPr>
        <w:t>32</w:t>
      </w:r>
      <w:r>
        <w:rPr>
          <w:rStyle w:val="33"/>
          <w:rFonts w:hint="eastAsia" w:ascii="宋体" w:hAnsi="宋体" w:eastAsia="宋体" w:cs="宋体"/>
          <w:b w:val="0"/>
          <w:i w:val="0"/>
          <w:iCs w:val="0"/>
          <w:caps w:val="0"/>
          <w:color w:val="auto"/>
          <w:spacing w:val="0"/>
          <w:sz w:val="24"/>
          <w:szCs w:val="24"/>
          <w:highlight w:val="none"/>
          <w:shd w:val="clear"/>
        </w:rPr>
        <w:t>1-202</w:t>
      </w:r>
      <w:r>
        <w:rPr>
          <w:rFonts w:hint="eastAsia" w:ascii="宋体" w:hAnsi="宋体" w:cs="宋体"/>
          <w:b w:val="0"/>
          <w:i w:val="0"/>
          <w:iCs w:val="0"/>
          <w:caps w:val="0"/>
          <w:color w:val="auto"/>
          <w:spacing w:val="0"/>
          <w:sz w:val="24"/>
          <w:szCs w:val="24"/>
          <w:highlight w:val="none"/>
          <w:shd w:val="clear"/>
          <w:lang w:val="en-US" w:eastAsia="zh-CN"/>
        </w:rPr>
        <w:t>1</w:t>
      </w:r>
      <w:r>
        <w:rPr>
          <w:rFonts w:hint="eastAsia" w:ascii="宋体" w:hAnsi="宋体" w:cs="宋体"/>
          <w:i w:val="0"/>
          <w:iCs w:val="0"/>
          <w:caps w:val="0"/>
          <w:color w:val="auto"/>
          <w:spacing w:val="0"/>
          <w:sz w:val="24"/>
          <w:szCs w:val="24"/>
          <w:highlight w:val="none"/>
          <w:shd w:val="clear"/>
          <w:lang w:val="en-US" w:eastAsia="zh-CN"/>
        </w:rPr>
        <w:t xml:space="preserve"> </w:t>
      </w:r>
      <w:r>
        <w:rPr>
          <w:rFonts w:hint="eastAsia" w:ascii="宋体" w:hAnsi="宋体" w:eastAsia="宋体" w:cs="宋体"/>
          <w:i w:val="0"/>
          <w:iCs w:val="0"/>
          <w:caps w:val="0"/>
          <w:color w:val="auto"/>
          <w:spacing w:val="0"/>
          <w:sz w:val="24"/>
          <w:szCs w:val="24"/>
          <w:highlight w:val="none"/>
          <w:shd w:val="clear"/>
        </w:rPr>
        <w:t>电测量设备（交流）特殊要求 第</w:t>
      </w:r>
      <w:r>
        <w:rPr>
          <w:rFonts w:hint="eastAsia" w:ascii="宋体" w:hAnsi="宋体" w:cs="宋体"/>
          <w:i w:val="0"/>
          <w:iCs w:val="0"/>
          <w:caps w:val="0"/>
          <w:color w:val="auto"/>
          <w:spacing w:val="0"/>
          <w:sz w:val="24"/>
          <w:szCs w:val="24"/>
          <w:highlight w:val="none"/>
          <w:shd w:val="clear"/>
          <w:lang w:val="en-US" w:eastAsia="zh-CN"/>
        </w:rPr>
        <w:t>2</w:t>
      </w:r>
      <w:r>
        <w:rPr>
          <w:rFonts w:hint="eastAsia" w:ascii="宋体" w:hAnsi="宋体" w:eastAsia="宋体" w:cs="宋体"/>
          <w:i w:val="0"/>
          <w:iCs w:val="0"/>
          <w:caps w:val="0"/>
          <w:color w:val="auto"/>
          <w:spacing w:val="0"/>
          <w:sz w:val="24"/>
          <w:szCs w:val="24"/>
          <w:highlight w:val="none"/>
          <w:shd w:val="clear"/>
        </w:rPr>
        <w:t>1部分：</w:t>
      </w:r>
      <w:r>
        <w:rPr>
          <w:rFonts w:hint="eastAsia" w:ascii="宋体" w:hAnsi="宋体" w:cs="宋体"/>
          <w:i w:val="0"/>
          <w:iCs w:val="0"/>
          <w:caps w:val="0"/>
          <w:color w:val="auto"/>
          <w:spacing w:val="0"/>
          <w:sz w:val="24"/>
          <w:szCs w:val="24"/>
          <w:highlight w:val="none"/>
          <w:shd w:val="clear"/>
          <w:lang w:val="en-US" w:eastAsia="zh-CN"/>
        </w:rPr>
        <w:t>静止式有功电能表（A级、B级、C级、D级和E级）</w:t>
      </w:r>
    </w:p>
    <w:p w14:paraId="5B567429">
      <w:pPr>
        <w:keepNext w:val="0"/>
        <w:keepLines w:val="0"/>
        <w:widowControl/>
        <w:suppressLineNumbers w:val="0"/>
        <w:shd w:val="clear" w:fill="auto"/>
        <w:spacing w:line="360" w:lineRule="auto"/>
        <w:ind w:left="0" w:firstLine="624"/>
        <w:rPr>
          <w:rFonts w:hint="eastAsia" w:ascii="宋体" w:hAnsi="宋体" w:eastAsia="宋体" w:cs="宋体"/>
          <w:i w:val="0"/>
          <w:iCs w:val="0"/>
          <w:caps w:val="0"/>
          <w:color w:val="auto"/>
          <w:spacing w:val="0"/>
          <w:sz w:val="24"/>
          <w:szCs w:val="24"/>
          <w:highlight w:val="none"/>
          <w:lang w:val="en-US" w:eastAsia="zh-CN"/>
        </w:rPr>
      </w:pPr>
      <w:r>
        <w:rPr>
          <w:rFonts w:hint="eastAsia" w:ascii="宋体" w:hAnsi="宋体" w:eastAsia="宋体" w:cs="宋体"/>
          <w:b w:val="0"/>
          <w:i w:val="0"/>
          <w:iCs w:val="0"/>
          <w:caps w:val="0"/>
          <w:color w:val="auto"/>
          <w:spacing w:val="0"/>
          <w:sz w:val="24"/>
          <w:szCs w:val="24"/>
          <w:highlight w:val="none"/>
          <w:shd w:val="clear"/>
        </w:rPr>
        <w:t>GB/T 17215.</w:t>
      </w:r>
      <w:r>
        <w:rPr>
          <w:rFonts w:hint="eastAsia" w:ascii="宋体" w:hAnsi="宋体" w:eastAsia="宋体" w:cs="宋体"/>
          <w:b w:val="0"/>
          <w:i w:val="0"/>
          <w:iCs w:val="0"/>
          <w:caps w:val="0"/>
          <w:color w:val="auto"/>
          <w:spacing w:val="0"/>
          <w:sz w:val="24"/>
          <w:szCs w:val="24"/>
          <w:highlight w:val="none"/>
          <w:shd w:val="clear"/>
          <w:lang w:val="en-US" w:eastAsia="zh-CN"/>
        </w:rPr>
        <w:t>32</w:t>
      </w:r>
      <w:r>
        <w:rPr>
          <w:rFonts w:hint="eastAsia" w:ascii="宋体" w:hAnsi="宋体" w:cs="宋体"/>
          <w:b w:val="0"/>
          <w:i w:val="0"/>
          <w:iCs w:val="0"/>
          <w:caps w:val="0"/>
          <w:color w:val="auto"/>
          <w:spacing w:val="0"/>
          <w:sz w:val="24"/>
          <w:szCs w:val="24"/>
          <w:highlight w:val="none"/>
          <w:shd w:val="clear"/>
          <w:lang w:val="en-US" w:eastAsia="zh-CN"/>
        </w:rPr>
        <w:t>3</w:t>
      </w:r>
      <w:r>
        <w:rPr>
          <w:rFonts w:hint="eastAsia" w:ascii="宋体" w:hAnsi="宋体" w:eastAsia="宋体" w:cs="宋体"/>
          <w:b w:val="0"/>
          <w:i w:val="0"/>
          <w:iCs w:val="0"/>
          <w:caps w:val="0"/>
          <w:color w:val="auto"/>
          <w:spacing w:val="0"/>
          <w:sz w:val="24"/>
          <w:szCs w:val="24"/>
          <w:highlight w:val="none"/>
          <w:shd w:val="clear"/>
        </w:rPr>
        <w:t>-202</w:t>
      </w:r>
      <w:r>
        <w:rPr>
          <w:rFonts w:hint="eastAsia" w:ascii="宋体" w:hAnsi="宋体" w:cs="宋体"/>
          <w:b w:val="0"/>
          <w:i w:val="0"/>
          <w:iCs w:val="0"/>
          <w:caps w:val="0"/>
          <w:color w:val="auto"/>
          <w:spacing w:val="0"/>
          <w:sz w:val="24"/>
          <w:szCs w:val="24"/>
          <w:highlight w:val="none"/>
          <w:shd w:val="clear"/>
          <w:lang w:val="en-US" w:eastAsia="zh-CN"/>
        </w:rPr>
        <w:t>1</w:t>
      </w:r>
      <w:r>
        <w:rPr>
          <w:rFonts w:hint="eastAsia" w:ascii="宋体" w:hAnsi="宋体" w:cs="宋体"/>
          <w:i w:val="0"/>
          <w:iCs w:val="0"/>
          <w:caps w:val="0"/>
          <w:color w:val="auto"/>
          <w:spacing w:val="0"/>
          <w:sz w:val="24"/>
          <w:szCs w:val="24"/>
          <w:highlight w:val="none"/>
          <w:shd w:val="clear"/>
          <w:lang w:val="en-US" w:eastAsia="zh-CN"/>
        </w:rPr>
        <w:t xml:space="preserve"> </w:t>
      </w:r>
      <w:r>
        <w:rPr>
          <w:rFonts w:hint="eastAsia" w:ascii="宋体" w:hAnsi="宋体" w:eastAsia="宋体" w:cs="宋体"/>
          <w:i w:val="0"/>
          <w:iCs w:val="0"/>
          <w:caps w:val="0"/>
          <w:color w:val="auto"/>
          <w:spacing w:val="0"/>
          <w:sz w:val="24"/>
          <w:szCs w:val="24"/>
          <w:highlight w:val="none"/>
          <w:shd w:val="clear"/>
        </w:rPr>
        <w:t>电测量设备（交流）特殊要求 第</w:t>
      </w:r>
      <w:r>
        <w:rPr>
          <w:rFonts w:hint="eastAsia" w:ascii="宋体" w:hAnsi="宋体" w:cs="宋体"/>
          <w:i w:val="0"/>
          <w:iCs w:val="0"/>
          <w:caps w:val="0"/>
          <w:color w:val="auto"/>
          <w:spacing w:val="0"/>
          <w:sz w:val="24"/>
          <w:szCs w:val="24"/>
          <w:highlight w:val="none"/>
          <w:shd w:val="clear"/>
          <w:lang w:val="en-US" w:eastAsia="zh-CN"/>
        </w:rPr>
        <w:t>23</w:t>
      </w:r>
      <w:r>
        <w:rPr>
          <w:rFonts w:hint="eastAsia" w:ascii="宋体" w:hAnsi="宋体" w:eastAsia="宋体" w:cs="宋体"/>
          <w:i w:val="0"/>
          <w:iCs w:val="0"/>
          <w:caps w:val="0"/>
          <w:color w:val="auto"/>
          <w:spacing w:val="0"/>
          <w:sz w:val="24"/>
          <w:szCs w:val="24"/>
          <w:highlight w:val="none"/>
          <w:shd w:val="clear"/>
        </w:rPr>
        <w:t>部分：</w:t>
      </w:r>
      <w:r>
        <w:rPr>
          <w:rFonts w:hint="eastAsia" w:ascii="宋体" w:hAnsi="宋体" w:cs="宋体"/>
          <w:i w:val="0"/>
          <w:iCs w:val="0"/>
          <w:caps w:val="0"/>
          <w:color w:val="auto"/>
          <w:spacing w:val="0"/>
          <w:sz w:val="24"/>
          <w:szCs w:val="24"/>
          <w:highlight w:val="none"/>
          <w:shd w:val="clear"/>
          <w:lang w:val="en-US" w:eastAsia="zh-CN"/>
        </w:rPr>
        <w:t>静止式无功电能表（2级和3级）</w:t>
      </w:r>
    </w:p>
    <w:p w14:paraId="09AB8D71">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IEC801        工业过程测量和控制设备的电磁兼容</w:t>
      </w:r>
    </w:p>
    <w:p w14:paraId="3B867659">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IEC870-1</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远动设备及系统  总则  一般原理和指导性规范</w:t>
      </w:r>
    </w:p>
    <w:p w14:paraId="2A9ED267">
      <w:pPr>
        <w:spacing w:line="360" w:lineRule="auto"/>
        <w:ind w:firstLine="624"/>
        <w:rPr>
          <w:rFonts w:hint="eastAsia" w:ascii="宋体" w:hAnsi="宋体" w:cs="宋体"/>
          <w:color w:val="auto"/>
          <w:spacing w:val="10"/>
          <w:sz w:val="24"/>
          <w:szCs w:val="24"/>
          <w:highlight w:val="none"/>
        </w:rPr>
      </w:pPr>
      <w:r>
        <w:rPr>
          <w:rFonts w:hint="eastAsia" w:ascii="宋体" w:hAnsi="宋体" w:cs="宋体"/>
          <w:color w:val="auto"/>
          <w:sz w:val="24"/>
          <w:szCs w:val="24"/>
          <w:highlight w:val="none"/>
        </w:rPr>
        <w:t>IEC870-2</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远动设备及系统  工作条件  环境条件和电源</w:t>
      </w:r>
    </w:p>
    <w:p w14:paraId="78BAF192">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IEC870-3</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远动设备及系统  接口  电气特性</w:t>
      </w:r>
    </w:p>
    <w:p w14:paraId="66E87E19">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IEC870-4</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远动设备及系统  性能要求</w:t>
      </w:r>
    </w:p>
    <w:p w14:paraId="6926BF49">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IEC870-5</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远动设备及系统  传输规约</w:t>
      </w:r>
    </w:p>
    <w:p w14:paraId="47E6DB54">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IEC870-5-101</w:t>
      </w:r>
      <w:r>
        <w:rPr>
          <w:rFonts w:hint="eastAsia" w:ascii="宋体" w:hAnsi="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远动设备及系统  传输规约  基本远动任务配套标准</w:t>
      </w:r>
    </w:p>
    <w:p w14:paraId="68821A87">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IEC870-5-103</w:t>
      </w:r>
      <w:r>
        <w:rPr>
          <w:rFonts w:hint="eastAsia" w:ascii="宋体" w:hAnsi="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远动设备及系统  传输规约  保护通信配套标准</w:t>
      </w:r>
    </w:p>
    <w:p w14:paraId="6AE981B9">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IEC870-5-104</w:t>
      </w:r>
      <w:r>
        <w:rPr>
          <w:rFonts w:hint="eastAsia" w:ascii="宋体" w:hAnsi="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远动设备及系统  传输规约（网络）  基本远动任务配套标准</w:t>
      </w:r>
    </w:p>
    <w:p w14:paraId="5C6B0070">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GB/T 11287</w:t>
      </w:r>
      <w:r>
        <w:rPr>
          <w:rFonts w:hint="eastAsia" w:ascii="宋体" w:hAnsi="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电气继电器  第21部分：量度继电器和保护装置的振动、冲击、碰撞和地震试验  第1篇：振动试验（正弦）</w:t>
      </w:r>
    </w:p>
    <w:p w14:paraId="1A21BC7D">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GB/T 14537</w:t>
      </w:r>
      <w:r>
        <w:rPr>
          <w:rFonts w:hint="eastAsia" w:ascii="宋体" w:hAnsi="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量度继电器和保护装置的冲击与碰撞试验</w:t>
      </w:r>
    </w:p>
    <w:p w14:paraId="1C8349AD">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GB/T 13926</w:t>
      </w:r>
      <w:r>
        <w:rPr>
          <w:rFonts w:hint="eastAsia" w:ascii="宋体" w:hAnsi="宋体" w:cs="宋体"/>
          <w:color w:val="auto"/>
          <w:sz w:val="24"/>
          <w:szCs w:val="24"/>
          <w:highlight w:val="none"/>
        </w:rPr>
        <w:tab/>
      </w:r>
      <w:r>
        <w:rPr>
          <w:rFonts w:hint="eastAsia" w:ascii="宋体" w:hAnsi="宋体" w:cs="宋体"/>
          <w:color w:val="auto"/>
          <w:sz w:val="24"/>
          <w:szCs w:val="24"/>
          <w:highlight w:val="none"/>
        </w:rPr>
        <w:t>工业过程测量和控制装置的电磁兼容性</w:t>
      </w:r>
    </w:p>
    <w:p w14:paraId="3EF17110">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GB/T 17626</w:t>
      </w:r>
      <w:r>
        <w:rPr>
          <w:rFonts w:hint="eastAsia" w:ascii="宋体" w:hAnsi="宋体" w:cs="宋体"/>
          <w:color w:val="auto"/>
          <w:sz w:val="24"/>
          <w:szCs w:val="24"/>
          <w:highlight w:val="none"/>
        </w:rPr>
        <w:tab/>
      </w:r>
      <w:r>
        <w:rPr>
          <w:rFonts w:hint="eastAsia" w:ascii="宋体" w:hAnsi="宋体" w:cs="宋体"/>
          <w:color w:val="auto"/>
          <w:sz w:val="24"/>
          <w:szCs w:val="24"/>
          <w:highlight w:val="none"/>
        </w:rPr>
        <w:t>电磁兼容  试验和测量技术抗扰度试验</w:t>
      </w:r>
    </w:p>
    <w:p w14:paraId="3B2A1023">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DL/T 1100</w:t>
      </w:r>
      <w:r>
        <w:rPr>
          <w:rFonts w:hint="eastAsia" w:ascii="宋体" w:hAnsi="宋体" w:cs="宋体"/>
          <w:color w:val="auto"/>
          <w:sz w:val="24"/>
          <w:szCs w:val="24"/>
          <w:highlight w:val="none"/>
        </w:rPr>
        <w:tab/>
      </w:r>
      <w:r>
        <w:rPr>
          <w:rFonts w:hint="eastAsia" w:ascii="宋体" w:hAnsi="宋体" w:cs="宋体"/>
          <w:color w:val="auto"/>
          <w:sz w:val="24"/>
          <w:szCs w:val="24"/>
          <w:highlight w:val="none"/>
        </w:rPr>
        <w:t>电力系统的时间同步系统  第1部分：技术规范</w:t>
      </w:r>
    </w:p>
    <w:p w14:paraId="0190E448">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IEEE 1588</w:t>
      </w:r>
      <w:r>
        <w:rPr>
          <w:rFonts w:hint="eastAsia" w:ascii="宋体" w:hAnsi="宋体" w:cs="宋体"/>
          <w:color w:val="auto"/>
          <w:sz w:val="24"/>
          <w:szCs w:val="24"/>
          <w:highlight w:val="none"/>
        </w:rPr>
        <w:tab/>
      </w:r>
      <w:r>
        <w:rPr>
          <w:rFonts w:hint="eastAsia" w:ascii="宋体" w:hAnsi="宋体" w:cs="宋体"/>
          <w:color w:val="auto"/>
          <w:sz w:val="24"/>
          <w:szCs w:val="24"/>
          <w:highlight w:val="none"/>
        </w:rPr>
        <w:t>网络测量和控制系统的精密时钟同步协议标准</w:t>
      </w:r>
    </w:p>
    <w:p w14:paraId="2DB19FB0">
      <w:pPr>
        <w:spacing w:line="360" w:lineRule="auto"/>
        <w:ind w:firstLine="624"/>
        <w:rPr>
          <w:rFonts w:hint="eastAsia" w:ascii="宋体" w:hAnsi="宋体" w:cs="宋体"/>
          <w:color w:val="auto"/>
          <w:sz w:val="24"/>
          <w:szCs w:val="24"/>
          <w:highlight w:val="none"/>
        </w:rPr>
      </w:pPr>
      <w:r>
        <w:rPr>
          <w:rFonts w:hint="eastAsia" w:ascii="宋体" w:hAnsi="宋体" w:cs="宋体"/>
          <w:color w:val="auto"/>
          <w:sz w:val="24"/>
          <w:szCs w:val="24"/>
          <w:highlight w:val="none"/>
        </w:rPr>
        <w:t>GA1800.2-2.21</w:t>
      </w:r>
      <w:r>
        <w:rPr>
          <w:rFonts w:hint="eastAsia" w:ascii="宋体" w:hAnsi="宋体" w:cs="宋体"/>
          <w:color w:val="auto"/>
          <w:sz w:val="24"/>
          <w:szCs w:val="24"/>
          <w:highlight w:val="none"/>
        </w:rPr>
        <w:tab/>
      </w:r>
      <w:r>
        <w:rPr>
          <w:rFonts w:hint="eastAsia" w:ascii="宋体" w:hAnsi="宋体" w:cs="宋体"/>
          <w:color w:val="auto"/>
          <w:sz w:val="24"/>
          <w:szCs w:val="24"/>
          <w:highlight w:val="none"/>
        </w:rPr>
        <w:t>电力系统治安反恐要求</w:t>
      </w:r>
    </w:p>
    <w:p w14:paraId="6B949CCA">
      <w:pPr>
        <w:spacing w:line="360" w:lineRule="auto"/>
        <w:ind w:firstLine="624"/>
        <w:rPr>
          <w:rFonts w:ascii="宋体"/>
          <w:color w:val="auto"/>
          <w:sz w:val="24"/>
          <w:szCs w:val="24"/>
          <w:highlight w:val="none"/>
        </w:rPr>
      </w:pPr>
      <w:r>
        <w:rPr>
          <w:rFonts w:hint="eastAsia" w:ascii="宋体"/>
          <w:color w:val="auto"/>
          <w:sz w:val="24"/>
          <w:szCs w:val="24"/>
          <w:highlight w:val="none"/>
        </w:rPr>
        <w:t>国家电网设备（201</w:t>
      </w:r>
      <w:r>
        <w:rPr>
          <w:rFonts w:ascii="宋体"/>
          <w:color w:val="auto"/>
          <w:sz w:val="24"/>
          <w:szCs w:val="24"/>
          <w:highlight w:val="none"/>
        </w:rPr>
        <w:t>8</w:t>
      </w:r>
      <w:r>
        <w:rPr>
          <w:rFonts w:hint="eastAsia" w:ascii="宋体"/>
          <w:color w:val="auto"/>
          <w:sz w:val="24"/>
          <w:szCs w:val="24"/>
          <w:highlight w:val="none"/>
        </w:rPr>
        <w:t>）</w:t>
      </w:r>
      <w:r>
        <w:rPr>
          <w:rFonts w:ascii="宋体"/>
          <w:color w:val="auto"/>
          <w:sz w:val="24"/>
          <w:szCs w:val="24"/>
          <w:highlight w:val="none"/>
        </w:rPr>
        <w:t>979</w:t>
      </w:r>
      <w:r>
        <w:rPr>
          <w:rFonts w:hint="eastAsia" w:ascii="宋体"/>
          <w:color w:val="auto"/>
          <w:sz w:val="24"/>
          <w:szCs w:val="24"/>
          <w:highlight w:val="none"/>
        </w:rPr>
        <w:t xml:space="preserve">号   </w:t>
      </w:r>
      <w:r>
        <w:rPr>
          <w:rFonts w:ascii="宋体"/>
          <w:color w:val="auto"/>
          <w:sz w:val="24"/>
          <w:szCs w:val="24"/>
          <w:highlight w:val="none"/>
        </w:rPr>
        <w:t>国家电网公司十八项电网重大反事故措施</w:t>
      </w:r>
    </w:p>
    <w:p w14:paraId="34CF1643">
      <w:pPr>
        <w:spacing w:line="360" w:lineRule="auto"/>
        <w:ind w:firstLine="624"/>
        <w:rPr>
          <w:rFonts w:ascii="宋体"/>
          <w:color w:val="auto"/>
          <w:sz w:val="24"/>
          <w:szCs w:val="24"/>
          <w:highlight w:val="none"/>
        </w:rPr>
      </w:pPr>
      <w:r>
        <w:rPr>
          <w:rFonts w:hint="eastAsia" w:ascii="宋体"/>
          <w:color w:val="auto"/>
          <w:sz w:val="24"/>
          <w:szCs w:val="24"/>
          <w:highlight w:val="none"/>
        </w:rPr>
        <w:t>国安能源【2015】36号电力监控系统安全防护总体方案</w:t>
      </w:r>
    </w:p>
    <w:p w14:paraId="2291BDAB">
      <w:pPr>
        <w:spacing w:line="360" w:lineRule="auto"/>
        <w:ind w:firstLine="624"/>
        <w:rPr>
          <w:rFonts w:ascii="宋体"/>
          <w:color w:val="auto"/>
          <w:sz w:val="24"/>
          <w:szCs w:val="24"/>
          <w:highlight w:val="none"/>
        </w:rPr>
      </w:pPr>
      <w:r>
        <w:rPr>
          <w:rFonts w:hint="eastAsia" w:ascii="宋体"/>
          <w:color w:val="auto"/>
          <w:sz w:val="24"/>
          <w:szCs w:val="24"/>
          <w:highlight w:val="none"/>
        </w:rPr>
        <w:t>国家发展和改革委员会令20</w:t>
      </w:r>
      <w:r>
        <w:rPr>
          <w:rFonts w:hint="eastAsia" w:ascii="宋体"/>
          <w:color w:val="auto"/>
          <w:sz w:val="24"/>
          <w:szCs w:val="24"/>
          <w:highlight w:val="none"/>
          <w:lang w:val="en-US" w:eastAsia="zh-CN"/>
        </w:rPr>
        <w:t>2</w:t>
      </w:r>
      <w:r>
        <w:rPr>
          <w:rFonts w:hint="eastAsia" w:ascii="宋体"/>
          <w:color w:val="auto"/>
          <w:sz w:val="24"/>
          <w:szCs w:val="24"/>
          <w:highlight w:val="none"/>
        </w:rPr>
        <w:t>4年第</w:t>
      </w:r>
      <w:r>
        <w:rPr>
          <w:rFonts w:hint="eastAsia" w:ascii="宋体"/>
          <w:color w:val="auto"/>
          <w:sz w:val="24"/>
          <w:szCs w:val="24"/>
          <w:highlight w:val="none"/>
          <w:lang w:val="en-US" w:eastAsia="zh-CN"/>
        </w:rPr>
        <w:t>27</w:t>
      </w:r>
      <w:r>
        <w:rPr>
          <w:rFonts w:hint="eastAsia" w:ascii="宋体"/>
          <w:color w:val="auto"/>
          <w:sz w:val="24"/>
          <w:szCs w:val="24"/>
          <w:highlight w:val="none"/>
        </w:rPr>
        <w:t>号电力监控系统安全防护规定</w:t>
      </w:r>
    </w:p>
    <w:p w14:paraId="33786545">
      <w:pPr>
        <w:spacing w:line="360" w:lineRule="auto"/>
        <w:ind w:firstLine="624"/>
        <w:rPr>
          <w:rFonts w:ascii="宋体"/>
          <w:color w:val="auto"/>
          <w:sz w:val="24"/>
          <w:szCs w:val="24"/>
          <w:highlight w:val="none"/>
        </w:rPr>
      </w:pPr>
      <w:r>
        <w:rPr>
          <w:rFonts w:hint="eastAsia" w:ascii="宋体"/>
          <w:color w:val="auto"/>
          <w:sz w:val="24"/>
          <w:szCs w:val="24"/>
          <w:highlight w:val="none"/>
        </w:rPr>
        <w:t>国能发安全〔2023〕22号 防止电力生产事故的二十五项重点要求（2023版）</w:t>
      </w:r>
    </w:p>
    <w:p w14:paraId="371E6517">
      <w:pPr>
        <w:spacing w:line="360" w:lineRule="auto"/>
        <w:ind w:firstLine="624"/>
        <w:rPr>
          <w:rFonts w:hint="eastAsia" w:ascii="宋体"/>
          <w:color w:val="auto"/>
          <w:sz w:val="24"/>
          <w:szCs w:val="24"/>
          <w:highlight w:val="none"/>
        </w:rPr>
      </w:pPr>
      <w:r>
        <w:rPr>
          <w:rFonts w:hint="eastAsia" w:ascii="宋体"/>
          <w:color w:val="auto"/>
          <w:sz w:val="24"/>
          <w:szCs w:val="24"/>
          <w:highlight w:val="none"/>
        </w:rPr>
        <w:t>国家能源局【2022】电力二次系统安全管理若干规定</w:t>
      </w:r>
    </w:p>
    <w:p w14:paraId="59D89FF5">
      <w:pPr>
        <w:spacing w:line="360" w:lineRule="auto"/>
        <w:ind w:firstLine="624"/>
        <w:rPr>
          <w:rFonts w:hint="eastAsia" w:ascii="宋体"/>
          <w:color w:val="auto"/>
          <w:sz w:val="24"/>
          <w:szCs w:val="24"/>
          <w:highlight w:val="none"/>
          <w:lang w:val="en-US" w:eastAsia="zh-CN"/>
        </w:rPr>
      </w:pPr>
      <w:r>
        <w:rPr>
          <w:rFonts w:hint="eastAsia" w:ascii="宋体"/>
          <w:color w:val="auto"/>
          <w:sz w:val="24"/>
          <w:szCs w:val="24"/>
          <w:highlight w:val="none"/>
          <w:lang w:val="en-US" w:eastAsia="zh-CN"/>
        </w:rPr>
        <w:t>西电调字【2023】50号 国家电网有限公司西北分部调度控制中心关于印发《国网西北分部调度控制中心直调厂站自动化设备接入规范》的通知</w:t>
      </w:r>
    </w:p>
    <w:p w14:paraId="1AC7ED83">
      <w:pPr>
        <w:spacing w:line="360" w:lineRule="auto"/>
        <w:ind w:firstLine="624"/>
        <w:rPr>
          <w:rFonts w:hint="eastAsia" w:ascii="宋体"/>
          <w:color w:val="auto"/>
          <w:sz w:val="24"/>
          <w:szCs w:val="24"/>
          <w:highlight w:val="none"/>
          <w:lang w:val="en-US" w:eastAsia="zh-CN"/>
        </w:rPr>
      </w:pPr>
      <w:r>
        <w:rPr>
          <w:rFonts w:hint="eastAsia" w:ascii="宋体"/>
          <w:color w:val="auto"/>
          <w:sz w:val="24"/>
          <w:szCs w:val="24"/>
          <w:highlight w:val="none"/>
          <w:lang w:val="en-US" w:eastAsia="zh-CN"/>
        </w:rPr>
        <w:t>西电调字【2023】49号 国家电网有限公司西北分部调度控制中心关于印发《西北电网新（改、扩）建工程自动化专业设计审查要点（试行）》的通知</w:t>
      </w:r>
    </w:p>
    <w:p w14:paraId="04FC5CBD">
      <w:pPr>
        <w:spacing w:line="360" w:lineRule="auto"/>
        <w:ind w:firstLine="624"/>
        <w:rPr>
          <w:rFonts w:hint="eastAsia" w:ascii="宋体"/>
          <w:color w:val="auto"/>
          <w:sz w:val="24"/>
          <w:szCs w:val="24"/>
          <w:highlight w:val="none"/>
          <w:lang w:val="en-US" w:eastAsia="zh-CN"/>
        </w:rPr>
      </w:pPr>
    </w:p>
    <w:p w14:paraId="1B82EDD8">
      <w:pPr>
        <w:spacing w:line="360" w:lineRule="auto"/>
        <w:ind w:firstLine="624"/>
        <w:rPr>
          <w:rFonts w:hint="eastAsia" w:ascii="宋体"/>
          <w:color w:val="auto"/>
          <w:sz w:val="24"/>
          <w:szCs w:val="24"/>
          <w:highlight w:val="none"/>
          <w:lang w:val="en-US" w:eastAsia="zh-CN"/>
        </w:rPr>
      </w:pPr>
      <w:r>
        <w:rPr>
          <w:rFonts w:hint="default" w:ascii="宋体"/>
          <w:color w:val="auto"/>
          <w:sz w:val="24"/>
          <w:szCs w:val="24"/>
          <w:highlight w:val="none"/>
          <w:lang w:val="en-US" w:eastAsia="zh-CN"/>
        </w:rPr>
        <w:t>Q/GDW 10427-2017</w:t>
      </w:r>
      <w:r>
        <w:rPr>
          <w:rFonts w:hint="eastAsia" w:ascii="宋体"/>
          <w:color w:val="auto"/>
          <w:sz w:val="24"/>
          <w:szCs w:val="24"/>
          <w:highlight w:val="none"/>
          <w:lang w:val="en-US" w:eastAsia="zh-CN"/>
        </w:rPr>
        <w:t>《变电站测控装置技术规范》</w:t>
      </w:r>
    </w:p>
    <w:p w14:paraId="3F10C9E3">
      <w:pPr>
        <w:spacing w:line="360" w:lineRule="auto"/>
        <w:ind w:firstLine="624"/>
        <w:rPr>
          <w:rFonts w:hint="default" w:ascii="宋体"/>
          <w:color w:val="auto"/>
          <w:sz w:val="24"/>
          <w:szCs w:val="24"/>
          <w:highlight w:val="none"/>
          <w:lang w:val="en-US" w:eastAsia="zh-CN"/>
        </w:rPr>
      </w:pPr>
      <w:r>
        <w:rPr>
          <w:rFonts w:hint="default" w:ascii="宋体"/>
          <w:color w:val="auto"/>
          <w:sz w:val="24"/>
          <w:szCs w:val="24"/>
          <w:highlight w:val="none"/>
          <w:lang w:val="en-US" w:eastAsia="zh-CN"/>
        </w:rPr>
        <w:t>DL/T 1512-2016</w:t>
      </w:r>
      <w:r>
        <w:rPr>
          <w:rFonts w:hint="eastAsia" w:ascii="宋体"/>
          <w:color w:val="auto"/>
          <w:sz w:val="24"/>
          <w:szCs w:val="24"/>
          <w:highlight w:val="none"/>
          <w:lang w:val="en-US" w:eastAsia="zh-CN"/>
        </w:rPr>
        <w:t>《变电站测控装置技术规范》</w:t>
      </w:r>
    </w:p>
    <w:p w14:paraId="31619385">
      <w:pPr>
        <w:spacing w:line="360" w:lineRule="auto"/>
        <w:jc w:val="left"/>
        <w:rPr>
          <w:rFonts w:hint="eastAsia" w:ascii="宋体" w:hAnsi="宋体" w:cs="宋体"/>
          <w:color w:val="auto"/>
          <w:sz w:val="24"/>
          <w:szCs w:val="24"/>
          <w:highlight w:val="none"/>
        </w:rPr>
      </w:pPr>
      <w:r>
        <w:rPr>
          <w:rFonts w:hint="eastAsia"/>
          <w:color w:val="auto"/>
          <w:sz w:val="24"/>
          <w:highlight w:val="none"/>
        </w:rPr>
        <w:t>2</w:t>
      </w:r>
      <w:r>
        <w:rPr>
          <w:color w:val="auto"/>
          <w:sz w:val="24"/>
          <w:highlight w:val="none"/>
        </w:rPr>
        <w:t xml:space="preserve">.4 </w:t>
      </w:r>
      <w:r>
        <w:rPr>
          <w:rFonts w:hint="eastAsia" w:ascii="宋体" w:hAnsi="宋体" w:cs="宋体"/>
          <w:color w:val="auto"/>
          <w:sz w:val="24"/>
          <w:szCs w:val="24"/>
          <w:highlight w:val="none"/>
        </w:rPr>
        <w:t>上述法则和标准提出了最基本要求，如果根据投标人的意见并经用户接受，使用优于或更为经济的设计或材料,并能使投标人设备良好地、连续地在本规范所规定的条件下运行时，则这些标准也可以由投标人超越。</w:t>
      </w:r>
    </w:p>
    <w:p w14:paraId="3BCF6A7B">
      <w:pPr>
        <w:spacing w:line="360" w:lineRule="auto"/>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2.5当标准、规范之间出现矛盾时，投标人应按高标准执行。</w:t>
      </w:r>
    </w:p>
    <w:p w14:paraId="0FCFF3F1">
      <w:pPr>
        <w:spacing w:line="360" w:lineRule="auto"/>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2.6所有螺栓、螺纹、管螺纹、螺栓夹及螺母均应遵守国际标准化组织(ISO)和国际单位制(SI)的标准。</w:t>
      </w:r>
    </w:p>
    <w:p w14:paraId="034E5326">
      <w:pPr>
        <w:spacing w:line="360" w:lineRule="auto"/>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2.7合同签订</w:t>
      </w:r>
      <w:r>
        <w:rPr>
          <w:rFonts w:hint="eastAsia" w:ascii="宋体" w:hAnsi="宋体" w:cs="宋体"/>
          <w:color w:val="auto"/>
          <w:sz w:val="24"/>
          <w:szCs w:val="24"/>
          <w:highlight w:val="none"/>
          <w:u w:val="single"/>
        </w:rPr>
        <w:t>1</w:t>
      </w:r>
      <w:r>
        <w:rPr>
          <w:rFonts w:hint="eastAsia" w:ascii="宋体" w:hAnsi="宋体" w:cs="宋体"/>
          <w:color w:val="auto"/>
          <w:sz w:val="24"/>
          <w:szCs w:val="24"/>
          <w:highlight w:val="none"/>
        </w:rPr>
        <w:t>个月之内，按本规范要求，投标人提出合同设备的设计﹑制造﹑装配﹑安装﹑调试﹑试运﹑验收﹑试验﹑运行和维护等标准清单给招标人，由招标人确认。</w:t>
      </w:r>
    </w:p>
    <w:p w14:paraId="208F8E39">
      <w:pPr>
        <w:spacing w:line="360" w:lineRule="auto"/>
        <w:rPr>
          <w:b/>
          <w:color w:val="auto"/>
          <w:szCs w:val="28"/>
          <w:highlight w:val="none"/>
        </w:rPr>
      </w:pPr>
      <w:r>
        <w:rPr>
          <w:b/>
          <w:color w:val="auto"/>
          <w:szCs w:val="28"/>
          <w:highlight w:val="none"/>
        </w:rPr>
        <w:t>3</w:t>
      </w:r>
      <w:r>
        <w:rPr>
          <w:rFonts w:hint="eastAsia"/>
          <w:b/>
          <w:color w:val="auto"/>
          <w:szCs w:val="28"/>
          <w:highlight w:val="none"/>
        </w:rPr>
        <w:t>．设备规范</w:t>
      </w:r>
    </w:p>
    <w:p w14:paraId="3B4534A5">
      <w:pPr>
        <w:spacing w:line="360" w:lineRule="auto"/>
        <w:rPr>
          <w:rFonts w:ascii="宋体"/>
          <w:color w:val="auto"/>
          <w:kern w:val="0"/>
          <w:sz w:val="24"/>
          <w:szCs w:val="24"/>
          <w:highlight w:val="none"/>
        </w:rPr>
      </w:pPr>
      <w:r>
        <w:rPr>
          <w:rFonts w:hint="eastAsia" w:ascii="宋体"/>
          <w:color w:val="auto"/>
          <w:kern w:val="0"/>
          <w:sz w:val="24"/>
          <w:szCs w:val="24"/>
          <w:highlight w:val="none"/>
        </w:rPr>
        <w:t>3.1 总则</w:t>
      </w:r>
    </w:p>
    <w:p w14:paraId="2A641D2D">
      <w:pPr>
        <w:spacing w:line="360" w:lineRule="auto"/>
        <w:rPr>
          <w:rFonts w:ascii="宋体"/>
          <w:color w:val="auto"/>
          <w:kern w:val="0"/>
          <w:sz w:val="24"/>
          <w:szCs w:val="24"/>
          <w:highlight w:val="none"/>
        </w:rPr>
      </w:pPr>
      <w:r>
        <w:rPr>
          <w:rFonts w:hint="eastAsia" w:ascii="宋体"/>
          <w:color w:val="auto"/>
          <w:sz w:val="24"/>
          <w:szCs w:val="24"/>
          <w:highlight w:val="none"/>
        </w:rPr>
        <w:t>投标人所提供的升压站计算机监控系统的所有设备应是全新的、标准的、完整的、技术上是先进的，性能上是成熟的。投标人所提供的设备的使用年限不小于30年。</w:t>
      </w:r>
    </w:p>
    <w:p w14:paraId="77729FC9">
      <w:pPr>
        <w:spacing w:line="360" w:lineRule="auto"/>
        <w:rPr>
          <w:rFonts w:ascii="宋体"/>
          <w:color w:val="auto"/>
          <w:sz w:val="24"/>
          <w:szCs w:val="24"/>
          <w:highlight w:val="none"/>
        </w:rPr>
      </w:pPr>
      <w:r>
        <w:rPr>
          <w:rFonts w:hint="eastAsia" w:ascii="宋体"/>
          <w:color w:val="auto"/>
          <w:sz w:val="24"/>
          <w:szCs w:val="24"/>
          <w:highlight w:val="none"/>
        </w:rPr>
        <w:t>3.2 工作范围</w:t>
      </w:r>
    </w:p>
    <w:p w14:paraId="06A47C00">
      <w:pPr>
        <w:spacing w:line="360" w:lineRule="auto"/>
        <w:rPr>
          <w:rFonts w:ascii="宋体"/>
          <w:color w:val="auto"/>
          <w:sz w:val="24"/>
          <w:szCs w:val="24"/>
          <w:highlight w:val="none"/>
        </w:rPr>
      </w:pPr>
      <w:r>
        <w:rPr>
          <w:rFonts w:ascii="宋体"/>
          <w:color w:val="auto"/>
          <w:sz w:val="24"/>
          <w:szCs w:val="24"/>
          <w:highlight w:val="none"/>
        </w:rPr>
        <w:t>3.2</w:t>
      </w:r>
      <w:r>
        <w:rPr>
          <w:rFonts w:hint="eastAsia" w:ascii="宋体"/>
          <w:color w:val="auto"/>
          <w:sz w:val="24"/>
          <w:szCs w:val="24"/>
          <w:highlight w:val="none"/>
        </w:rPr>
        <w:t>.1投标人的工作范围</w:t>
      </w:r>
    </w:p>
    <w:p w14:paraId="4F80C167">
      <w:pPr>
        <w:spacing w:line="360" w:lineRule="auto"/>
        <w:rPr>
          <w:rFonts w:ascii="宋体"/>
          <w:color w:val="auto"/>
          <w:sz w:val="24"/>
          <w:szCs w:val="24"/>
          <w:highlight w:val="none"/>
        </w:rPr>
      </w:pPr>
      <w:r>
        <w:rPr>
          <w:rFonts w:hint="eastAsia" w:ascii="宋体"/>
          <w:color w:val="auto"/>
          <w:sz w:val="24"/>
          <w:szCs w:val="24"/>
          <w:highlight w:val="none"/>
        </w:rPr>
        <w:t xml:space="preserve">  投标人按本规范书规定的工作范围提供一套</w:t>
      </w:r>
      <w:r>
        <w:rPr>
          <w:rFonts w:hint="eastAsia" w:ascii="宋体"/>
          <w:color w:val="auto"/>
          <w:sz w:val="24"/>
          <w:szCs w:val="24"/>
          <w:highlight w:val="none"/>
          <w:lang w:val="en-US" w:eastAsia="zh-CN"/>
        </w:rPr>
        <w:t>网络</w:t>
      </w:r>
      <w:r>
        <w:rPr>
          <w:rFonts w:ascii="宋体"/>
          <w:color w:val="auto"/>
          <w:sz w:val="24"/>
          <w:szCs w:val="24"/>
          <w:highlight w:val="none"/>
        </w:rPr>
        <w:t>计算机监控系统</w:t>
      </w:r>
      <w:r>
        <w:rPr>
          <w:rFonts w:hint="eastAsia" w:ascii="宋体"/>
          <w:color w:val="auto"/>
          <w:sz w:val="24"/>
          <w:szCs w:val="24"/>
          <w:highlight w:val="none"/>
        </w:rPr>
        <w:t>及配套设备</w:t>
      </w:r>
      <w:r>
        <w:rPr>
          <w:rFonts w:hint="eastAsia" w:ascii="Times New Roman" w:hAnsi="宋体" w:eastAsia="宋体" w:cs="Times New Roman"/>
          <w:color w:val="auto"/>
          <w:spacing w:val="5"/>
          <w:sz w:val="24"/>
          <w:highlight w:val="none"/>
          <w:lang w:eastAsia="zh-CN"/>
        </w:rPr>
        <w:t>（</w:t>
      </w:r>
      <w:r>
        <w:rPr>
          <w:rFonts w:hint="eastAsia" w:ascii="Times New Roman" w:hAnsi="宋体" w:eastAsia="宋体" w:cs="Times New Roman"/>
          <w:color w:val="auto"/>
          <w:spacing w:val="5"/>
          <w:sz w:val="24"/>
          <w:szCs w:val="20"/>
          <w:highlight w:val="none"/>
        </w:rPr>
        <w:t>含测控</w:t>
      </w:r>
      <w:r>
        <w:rPr>
          <w:rFonts w:hint="eastAsia" w:ascii="Times New Roman" w:hAnsi="宋体" w:eastAsia="宋体" w:cs="Times New Roman"/>
          <w:color w:val="auto"/>
          <w:spacing w:val="5"/>
          <w:sz w:val="24"/>
          <w:szCs w:val="20"/>
          <w:highlight w:val="none"/>
          <w:lang w:val="en-US" w:eastAsia="zh-CN"/>
        </w:rPr>
        <w:t>屏</w:t>
      </w:r>
      <w:r>
        <w:rPr>
          <w:rFonts w:hint="eastAsia" w:ascii="Times New Roman" w:hAnsi="宋体" w:eastAsia="宋体" w:cs="Times New Roman"/>
          <w:color w:val="auto"/>
          <w:spacing w:val="5"/>
          <w:sz w:val="24"/>
          <w:szCs w:val="20"/>
          <w:highlight w:val="none"/>
        </w:rPr>
        <w:t>、AGC屏、网络柜、数据处理及</w:t>
      </w:r>
      <w:r>
        <w:rPr>
          <w:rFonts w:hint="eastAsia" w:ascii="Times New Roman" w:hAnsi="宋体" w:eastAsia="宋体" w:cs="Times New Roman"/>
          <w:color w:val="auto"/>
          <w:spacing w:val="5"/>
          <w:sz w:val="24"/>
          <w:szCs w:val="20"/>
          <w:highlight w:val="none"/>
          <w:lang w:val="en-US" w:eastAsia="zh-CN"/>
        </w:rPr>
        <w:t>远动</w:t>
      </w:r>
      <w:r>
        <w:rPr>
          <w:rFonts w:hint="eastAsia" w:ascii="Times New Roman" w:hAnsi="宋体" w:eastAsia="宋体" w:cs="Times New Roman"/>
          <w:color w:val="auto"/>
          <w:spacing w:val="5"/>
          <w:sz w:val="24"/>
          <w:szCs w:val="20"/>
          <w:highlight w:val="none"/>
        </w:rPr>
        <w:t>通信设备，操作员站及工程师站等设备、</w:t>
      </w:r>
      <w:r>
        <w:rPr>
          <w:rFonts w:hint="eastAsia" w:ascii="Times New Roman" w:hAnsi="宋体" w:cs="Times New Roman"/>
          <w:color w:val="auto"/>
          <w:spacing w:val="5"/>
          <w:kern w:val="2"/>
          <w:sz w:val="24"/>
          <w:szCs w:val="20"/>
          <w:highlight w:val="none"/>
        </w:rPr>
        <w:t>事故总信号系统</w:t>
      </w:r>
      <w:r>
        <w:rPr>
          <w:rFonts w:hint="eastAsia" w:ascii="宋体"/>
          <w:color w:val="auto"/>
          <w:sz w:val="24"/>
          <w:szCs w:val="24"/>
          <w:highlight w:val="none"/>
          <w:lang w:val="en-US" w:eastAsia="zh-CN"/>
        </w:rPr>
        <w:t>、微机五防系统、电度表屏、时间同步系统</w:t>
      </w:r>
      <w:r>
        <w:rPr>
          <w:rFonts w:hint="eastAsia" w:hAnsi="宋体"/>
          <w:color w:val="auto"/>
          <w:spacing w:val="5"/>
          <w:sz w:val="24"/>
          <w:highlight w:val="none"/>
          <w:lang w:eastAsia="zh-CN"/>
        </w:rPr>
        <w:t>）</w:t>
      </w:r>
      <w:r>
        <w:rPr>
          <w:rFonts w:hint="eastAsia" w:ascii="宋体"/>
          <w:color w:val="auto"/>
          <w:sz w:val="24"/>
          <w:szCs w:val="24"/>
          <w:highlight w:val="none"/>
        </w:rPr>
        <w:t>。投标人的工作范围将包括下列内容，但不仅限于此内容：</w:t>
      </w:r>
    </w:p>
    <w:p w14:paraId="334A1B6D">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整套计算机监控系统及配套设备</w:t>
      </w:r>
      <w:r>
        <w:rPr>
          <w:rFonts w:hint="eastAsia" w:ascii="Times New Roman" w:hAnsi="宋体" w:eastAsia="宋体" w:cs="Times New Roman"/>
          <w:color w:val="auto"/>
          <w:spacing w:val="5"/>
          <w:sz w:val="24"/>
          <w:highlight w:val="none"/>
          <w:lang w:eastAsia="zh-CN"/>
        </w:rPr>
        <w:t>（</w:t>
      </w:r>
      <w:r>
        <w:rPr>
          <w:rFonts w:hint="eastAsia" w:ascii="Times New Roman" w:hAnsi="宋体" w:eastAsia="宋体" w:cs="Times New Roman"/>
          <w:color w:val="auto"/>
          <w:spacing w:val="5"/>
          <w:sz w:val="24"/>
          <w:szCs w:val="20"/>
          <w:highlight w:val="none"/>
        </w:rPr>
        <w:t>含测控</w:t>
      </w:r>
      <w:r>
        <w:rPr>
          <w:rFonts w:hint="eastAsia" w:ascii="Times New Roman" w:hAnsi="宋体" w:eastAsia="宋体" w:cs="Times New Roman"/>
          <w:color w:val="auto"/>
          <w:spacing w:val="5"/>
          <w:sz w:val="24"/>
          <w:szCs w:val="20"/>
          <w:highlight w:val="none"/>
          <w:lang w:val="en-US" w:eastAsia="zh-CN"/>
        </w:rPr>
        <w:t>屏</w:t>
      </w:r>
      <w:r>
        <w:rPr>
          <w:rFonts w:hint="eastAsia" w:ascii="Times New Roman" w:hAnsi="宋体" w:eastAsia="宋体" w:cs="Times New Roman"/>
          <w:color w:val="auto"/>
          <w:spacing w:val="5"/>
          <w:sz w:val="24"/>
          <w:szCs w:val="20"/>
          <w:highlight w:val="none"/>
        </w:rPr>
        <w:t>、AGC屏、网络柜、数据处理及</w:t>
      </w:r>
      <w:r>
        <w:rPr>
          <w:rFonts w:hint="eastAsia" w:ascii="Times New Roman" w:hAnsi="宋体" w:eastAsia="宋体" w:cs="Times New Roman"/>
          <w:color w:val="auto"/>
          <w:spacing w:val="5"/>
          <w:sz w:val="24"/>
          <w:szCs w:val="20"/>
          <w:highlight w:val="none"/>
          <w:lang w:val="en-US" w:eastAsia="zh-CN"/>
        </w:rPr>
        <w:t>远动</w:t>
      </w:r>
      <w:r>
        <w:rPr>
          <w:rFonts w:hint="eastAsia" w:ascii="Times New Roman" w:hAnsi="宋体" w:eastAsia="宋体" w:cs="Times New Roman"/>
          <w:color w:val="auto"/>
          <w:spacing w:val="5"/>
          <w:sz w:val="24"/>
          <w:szCs w:val="20"/>
          <w:highlight w:val="none"/>
        </w:rPr>
        <w:t>通信设备，操作员站及工程师站等设备、</w:t>
      </w:r>
      <w:r>
        <w:rPr>
          <w:rFonts w:hint="eastAsia" w:ascii="Times New Roman" w:hAnsi="宋体" w:cs="Times New Roman"/>
          <w:color w:val="auto"/>
          <w:spacing w:val="5"/>
          <w:kern w:val="2"/>
          <w:sz w:val="24"/>
          <w:szCs w:val="20"/>
          <w:highlight w:val="none"/>
        </w:rPr>
        <w:t>事故总信号系统</w:t>
      </w:r>
      <w:r>
        <w:rPr>
          <w:rFonts w:hint="eastAsia" w:ascii="宋体"/>
          <w:color w:val="auto"/>
          <w:sz w:val="24"/>
          <w:szCs w:val="24"/>
          <w:highlight w:val="none"/>
          <w:lang w:val="en-US" w:eastAsia="zh-CN"/>
        </w:rPr>
        <w:t>、微机五防系统、电度表屏、时间同步系统</w:t>
      </w:r>
      <w:r>
        <w:rPr>
          <w:rFonts w:hint="eastAsia" w:hAnsi="宋体"/>
          <w:color w:val="auto"/>
          <w:spacing w:val="5"/>
          <w:sz w:val="24"/>
          <w:highlight w:val="none"/>
          <w:lang w:eastAsia="zh-CN"/>
        </w:rPr>
        <w:t>）</w:t>
      </w:r>
      <w:r>
        <w:rPr>
          <w:rFonts w:hint="eastAsia" w:ascii="宋体"/>
          <w:color w:val="auto"/>
          <w:sz w:val="24"/>
          <w:szCs w:val="24"/>
          <w:highlight w:val="none"/>
        </w:rPr>
        <w:t>（包括光缆熔接及其附件）的设计、制造、工厂试验、包装、运输、到现场的安装指导、现场验收、调试的技术服务。</w:t>
      </w:r>
    </w:p>
    <w:p w14:paraId="6C7BC64E">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负责计算机监控系统的参数设计、数据库和画面生成。编制符合招标人要求的调度端远动信息表、与其他系统的信息表</w:t>
      </w:r>
      <w:r>
        <w:rPr>
          <w:rFonts w:ascii="宋体"/>
          <w:color w:val="auto"/>
          <w:sz w:val="24"/>
          <w:szCs w:val="24"/>
          <w:highlight w:val="none"/>
        </w:rPr>
        <w:t>以及NCS系统的KKS编码</w:t>
      </w:r>
      <w:r>
        <w:rPr>
          <w:rFonts w:hint="eastAsia" w:ascii="宋体"/>
          <w:color w:val="auto"/>
          <w:sz w:val="24"/>
          <w:szCs w:val="24"/>
          <w:highlight w:val="none"/>
        </w:rPr>
        <w:t>。</w:t>
      </w:r>
    </w:p>
    <w:p w14:paraId="5C9DBF31">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提供所有的设计、制造、安装及维护方面的说明书。</w:t>
      </w:r>
    </w:p>
    <w:p w14:paraId="3DA82D1D">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提供型式试验和常规试验数据，以便确认供货设备能否满足所有的性能指标要求。</w:t>
      </w:r>
    </w:p>
    <w:p w14:paraId="00BFF980">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提供图纸、制造和质量保证过程的一览表及招标书规定的其它资料。</w:t>
      </w:r>
    </w:p>
    <w:p w14:paraId="5E7225D2">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在更换所用的准则、标准、规程或修改设备技术数据时，投标人有责任接受招标人的选择。</w:t>
      </w:r>
    </w:p>
    <w:p w14:paraId="237CCF19">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提供与远方三级调度端的通信接口、SIS系统、自动电压控制系统（AVC）、及“</w:t>
      </w:r>
      <w:r>
        <w:rPr>
          <w:rFonts w:ascii="宋体"/>
          <w:color w:val="auto"/>
          <w:sz w:val="24"/>
          <w:szCs w:val="24"/>
          <w:highlight w:val="none"/>
        </w:rPr>
        <w:t>继电保护及故障信息管理子站</w:t>
      </w:r>
      <w:r>
        <w:rPr>
          <w:rFonts w:hint="eastAsia" w:ascii="宋体"/>
          <w:color w:val="auto"/>
          <w:sz w:val="24"/>
          <w:szCs w:val="24"/>
          <w:highlight w:val="none"/>
        </w:rPr>
        <w:t>”等的接口，并负责同其他设备和厂商的协调工作，并有责任保证接口通畅，功能完善。与调度的通信规约应通过网、省调的测试，并出具相应证明。</w:t>
      </w:r>
    </w:p>
    <w:p w14:paraId="7F344437">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承担与招标人设计、施工及用户单位的配合指导和负责整个供货设备的系统联调。</w:t>
      </w:r>
    </w:p>
    <w:p w14:paraId="080E28DC">
      <w:pPr>
        <w:numPr>
          <w:ilvl w:val="0"/>
          <w:numId w:val="4"/>
        </w:numPr>
        <w:tabs>
          <w:tab w:val="left" w:pos="1020"/>
        </w:tabs>
        <w:spacing w:line="360" w:lineRule="auto"/>
        <w:ind w:left="-6" w:firstLine="566" w:firstLineChars="0"/>
        <w:rPr>
          <w:rFonts w:ascii="宋体"/>
          <w:color w:val="auto"/>
          <w:sz w:val="24"/>
          <w:szCs w:val="24"/>
          <w:highlight w:val="none"/>
        </w:rPr>
      </w:pPr>
      <w:r>
        <w:rPr>
          <w:rFonts w:hint="eastAsia" w:ascii="宋体"/>
          <w:color w:val="auto"/>
          <w:sz w:val="24"/>
          <w:szCs w:val="24"/>
          <w:highlight w:val="none"/>
        </w:rPr>
        <w:t>对招标人人员的培训、保证期内的快速维修服务及质保期后三年免费维保。</w:t>
      </w:r>
    </w:p>
    <w:p w14:paraId="199BB26D">
      <w:pPr>
        <w:numPr>
          <w:ilvl w:val="0"/>
          <w:numId w:val="4"/>
        </w:numPr>
        <w:tabs>
          <w:tab w:val="left" w:pos="1020"/>
        </w:tabs>
        <w:spacing w:line="360" w:lineRule="auto"/>
        <w:ind w:left="-6" w:firstLine="566" w:firstLineChars="0"/>
        <w:rPr>
          <w:color w:val="auto"/>
          <w:spacing w:val="10"/>
          <w:sz w:val="24"/>
          <w:szCs w:val="24"/>
          <w:highlight w:val="none"/>
        </w:rPr>
      </w:pPr>
      <w:r>
        <w:rPr>
          <w:rFonts w:hint="eastAsia" w:ascii="宋体"/>
          <w:color w:val="auto"/>
          <w:sz w:val="24"/>
          <w:szCs w:val="24"/>
          <w:highlight w:val="none"/>
        </w:rPr>
        <w:t>提供合同设备间的光缆、连接线或电缆及与其它系统之间的通信接口电缆（详见3.2.3）如采用尾纤直接连接，则需提供对尾纤进行保护的套管。</w:t>
      </w:r>
    </w:p>
    <w:p w14:paraId="1AE41E5C">
      <w:pPr>
        <w:spacing w:line="360" w:lineRule="auto"/>
        <w:rPr>
          <w:rFonts w:ascii="宋体"/>
          <w:color w:val="auto"/>
          <w:sz w:val="24"/>
          <w:szCs w:val="24"/>
          <w:highlight w:val="none"/>
        </w:rPr>
      </w:pPr>
      <w:r>
        <w:rPr>
          <w:rFonts w:hint="eastAsia" w:ascii="宋体"/>
          <w:color w:val="auto"/>
          <w:sz w:val="24"/>
          <w:szCs w:val="24"/>
          <w:highlight w:val="none"/>
        </w:rPr>
        <w:t>3.2.2  招标人的工作范围</w:t>
      </w:r>
    </w:p>
    <w:p w14:paraId="78B15B62">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所有的屏柜基础、地脚螺栓和灌浆。</w:t>
      </w:r>
    </w:p>
    <w:p w14:paraId="0A3524CD">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所有现场接线和电缆敷设。</w:t>
      </w:r>
    </w:p>
    <w:p w14:paraId="4BF0A549">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4~20mA输入量的变送器。</w:t>
      </w:r>
    </w:p>
    <w:p w14:paraId="27BDB156">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提供设备的直流和交流电源（详见条款3.3.4）。</w:t>
      </w:r>
    </w:p>
    <w:p w14:paraId="5FBD2C0E">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操作员工作站的设备桌。</w:t>
      </w:r>
    </w:p>
    <w:p w14:paraId="42FAD6FF">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计算机监控系统I/O清单。</w:t>
      </w:r>
    </w:p>
    <w:p w14:paraId="4DAB57D0">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与单元机组接口的AGC I/O清单。</w:t>
      </w:r>
    </w:p>
    <w:p w14:paraId="7E7826E0">
      <w:pPr>
        <w:numPr>
          <w:ilvl w:val="0"/>
          <w:numId w:val="5"/>
        </w:numPr>
        <w:spacing w:line="360" w:lineRule="auto"/>
        <w:rPr>
          <w:rFonts w:ascii="宋体"/>
          <w:color w:val="auto"/>
          <w:sz w:val="24"/>
          <w:szCs w:val="24"/>
          <w:highlight w:val="none"/>
        </w:rPr>
      </w:pPr>
      <w:r>
        <w:rPr>
          <w:rFonts w:hint="eastAsia" w:ascii="宋体"/>
          <w:color w:val="auto"/>
          <w:sz w:val="24"/>
          <w:szCs w:val="24"/>
          <w:highlight w:val="none"/>
        </w:rPr>
        <w:t>与单元机组接口的AVC I/O清单。</w:t>
      </w:r>
    </w:p>
    <w:p w14:paraId="592E9F34">
      <w:pPr>
        <w:spacing w:line="360" w:lineRule="auto"/>
        <w:rPr>
          <w:rFonts w:ascii="宋体"/>
          <w:color w:val="auto"/>
          <w:sz w:val="24"/>
          <w:szCs w:val="24"/>
          <w:highlight w:val="none"/>
        </w:rPr>
      </w:pPr>
      <w:r>
        <w:rPr>
          <w:rFonts w:hint="eastAsia" w:ascii="宋体"/>
          <w:color w:val="auto"/>
          <w:sz w:val="24"/>
          <w:szCs w:val="24"/>
          <w:highlight w:val="none"/>
        </w:rPr>
        <w:t>3.2.3  接口工作</w:t>
      </w:r>
    </w:p>
    <w:p w14:paraId="4B5112AF">
      <w:pPr>
        <w:numPr>
          <w:ilvl w:val="0"/>
          <w:numId w:val="6"/>
        </w:numPr>
        <w:spacing w:line="360" w:lineRule="auto"/>
        <w:rPr>
          <w:rFonts w:ascii="宋体"/>
          <w:color w:val="auto"/>
          <w:sz w:val="24"/>
          <w:szCs w:val="24"/>
          <w:highlight w:val="none"/>
        </w:rPr>
      </w:pPr>
      <w:r>
        <w:rPr>
          <w:rFonts w:hint="eastAsia" w:ascii="宋体"/>
          <w:color w:val="auto"/>
          <w:sz w:val="24"/>
          <w:szCs w:val="24"/>
          <w:highlight w:val="none"/>
        </w:rPr>
        <w:t>计算机监控系统与招标人的下列设备有硬接线接口：</w:t>
      </w:r>
    </w:p>
    <w:p w14:paraId="4701ADAF">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线路保护、断路器保护和母线保护（信号）</w:t>
      </w:r>
    </w:p>
    <w:p w14:paraId="72293D47">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线路控制（</w:t>
      </w:r>
      <w:r>
        <w:rPr>
          <w:rFonts w:hint="eastAsia" w:ascii="宋体"/>
          <w:color w:val="auto"/>
          <w:sz w:val="24"/>
          <w:szCs w:val="24"/>
          <w:highlight w:val="none"/>
          <w:lang w:val="en-US" w:eastAsia="zh-CN"/>
        </w:rPr>
        <w:t>750</w:t>
      </w:r>
      <w:r>
        <w:rPr>
          <w:rFonts w:hint="eastAsia" w:ascii="宋体"/>
          <w:color w:val="auto"/>
          <w:sz w:val="24"/>
          <w:szCs w:val="24"/>
          <w:highlight w:val="none"/>
        </w:rPr>
        <w:t>kV断路器）</w:t>
      </w:r>
    </w:p>
    <w:p w14:paraId="0AC300A0">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单元机组主变</w:t>
      </w:r>
      <w:r>
        <w:rPr>
          <w:rFonts w:hint="eastAsia" w:ascii="宋体"/>
          <w:color w:val="auto"/>
          <w:sz w:val="24"/>
          <w:szCs w:val="24"/>
          <w:highlight w:val="none"/>
          <w:lang w:val="en-US" w:eastAsia="zh-CN"/>
        </w:rPr>
        <w:t>750</w:t>
      </w:r>
      <w:r>
        <w:rPr>
          <w:rFonts w:hint="eastAsia" w:ascii="宋体"/>
          <w:color w:val="auto"/>
          <w:sz w:val="24"/>
          <w:szCs w:val="24"/>
          <w:highlight w:val="none"/>
        </w:rPr>
        <w:t>kV断路器控制</w:t>
      </w:r>
    </w:p>
    <w:p w14:paraId="12448D42">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高压起备变</w:t>
      </w:r>
      <w:r>
        <w:rPr>
          <w:rFonts w:hint="eastAsia" w:ascii="宋体"/>
          <w:color w:val="auto"/>
          <w:sz w:val="24"/>
          <w:szCs w:val="24"/>
          <w:highlight w:val="none"/>
          <w:u w:val="single"/>
          <w:lang w:val="en-US" w:eastAsia="zh-CN"/>
        </w:rPr>
        <w:t>110</w:t>
      </w:r>
      <w:r>
        <w:rPr>
          <w:rFonts w:hint="eastAsia" w:ascii="宋体"/>
          <w:color w:val="auto"/>
          <w:sz w:val="24"/>
          <w:szCs w:val="24"/>
          <w:highlight w:val="none"/>
          <w:u w:val="single"/>
        </w:rPr>
        <w:t>kV</w:t>
      </w:r>
      <w:r>
        <w:rPr>
          <w:rFonts w:hint="eastAsia" w:ascii="宋体"/>
          <w:color w:val="auto"/>
          <w:sz w:val="24"/>
          <w:szCs w:val="24"/>
          <w:highlight w:val="none"/>
        </w:rPr>
        <w:t>断路器控制</w:t>
      </w:r>
    </w:p>
    <w:p w14:paraId="3F199D0B">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单元机组DCS（AGC调节与DCS采用4~20mA模拟量接口、开关量接口）</w:t>
      </w:r>
    </w:p>
    <w:p w14:paraId="29D4E7D1">
      <w:pPr>
        <w:numPr>
          <w:ilvl w:val="0"/>
          <w:numId w:val="6"/>
        </w:numPr>
        <w:spacing w:line="360" w:lineRule="auto"/>
        <w:rPr>
          <w:rFonts w:ascii="宋体"/>
          <w:color w:val="auto"/>
          <w:sz w:val="24"/>
          <w:szCs w:val="24"/>
          <w:highlight w:val="none"/>
        </w:rPr>
      </w:pPr>
      <w:r>
        <w:rPr>
          <w:rFonts w:hint="eastAsia" w:ascii="宋体"/>
          <w:color w:val="auto"/>
          <w:sz w:val="24"/>
          <w:szCs w:val="24"/>
          <w:highlight w:val="none"/>
        </w:rPr>
        <w:t>计算机监控系统与招标人的下列系统之间有通讯接口：</w:t>
      </w:r>
    </w:p>
    <w:p w14:paraId="099A2EE2">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 xml:space="preserve"> 保护信息管理子站（投标人供接口电缆）</w:t>
      </w:r>
    </w:p>
    <w:p w14:paraId="0FCDD347">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 xml:space="preserve"> 电能量计量系统（投标人供接口电缆）</w:t>
      </w:r>
    </w:p>
    <w:p w14:paraId="0BD05913">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 xml:space="preserve"> 网控直流系统（投标人供接口电缆）</w:t>
      </w:r>
    </w:p>
    <w:p w14:paraId="602CBA02">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 xml:space="preserve"> 全厂信息管理系统SIS（投标人供接口电缆）</w:t>
      </w:r>
    </w:p>
    <w:p w14:paraId="0F7736D8">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 xml:space="preserve"> 数据网接入设备（投标人供接口电缆）</w:t>
      </w:r>
    </w:p>
    <w:p w14:paraId="327B6864">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 xml:space="preserve"> 远方调度</w:t>
      </w:r>
    </w:p>
    <w:p w14:paraId="359A58BB">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通信电源监视（采用4`20mA模拟量接口、开关量接口）</w:t>
      </w:r>
    </w:p>
    <w:p w14:paraId="598E53AC">
      <w:pPr>
        <w:numPr>
          <w:ilvl w:val="0"/>
          <w:numId w:val="7"/>
        </w:numPr>
        <w:spacing w:line="360" w:lineRule="auto"/>
        <w:rPr>
          <w:rFonts w:hint="default" w:ascii="宋体"/>
          <w:color w:val="auto"/>
          <w:sz w:val="24"/>
          <w:szCs w:val="24"/>
          <w:highlight w:val="none"/>
          <w:lang w:val="en-US"/>
        </w:rPr>
      </w:pPr>
      <w:r>
        <w:rPr>
          <w:rFonts w:hint="default" w:ascii="宋体"/>
          <w:color w:val="auto"/>
          <w:sz w:val="24"/>
          <w:szCs w:val="24"/>
          <w:highlight w:val="none"/>
          <w:lang w:val="en-US"/>
        </w:rPr>
        <w:t>SF6气体泄漏在线监测和报警装置（投标人供接口电缆）</w:t>
      </w:r>
    </w:p>
    <w:p w14:paraId="38FDEF81">
      <w:pPr>
        <w:numPr>
          <w:ilvl w:val="0"/>
          <w:numId w:val="7"/>
        </w:numPr>
        <w:spacing w:line="360" w:lineRule="auto"/>
        <w:rPr>
          <w:rFonts w:ascii="宋体"/>
          <w:color w:val="auto"/>
          <w:sz w:val="24"/>
          <w:szCs w:val="24"/>
          <w:highlight w:val="none"/>
        </w:rPr>
      </w:pPr>
      <w:r>
        <w:rPr>
          <w:rFonts w:hint="eastAsia" w:ascii="宋体"/>
          <w:color w:val="auto"/>
          <w:sz w:val="24"/>
          <w:szCs w:val="24"/>
          <w:highlight w:val="none"/>
        </w:rPr>
        <w:t>AVC接口</w:t>
      </w:r>
    </w:p>
    <w:p w14:paraId="21F11E88">
      <w:pPr>
        <w:spacing w:line="360" w:lineRule="auto"/>
        <w:ind w:left="501" w:leftChars="179" w:firstLine="480" w:firstLineChars="200"/>
        <w:rPr>
          <w:rFonts w:ascii="宋体"/>
          <w:color w:val="auto"/>
          <w:kern w:val="0"/>
          <w:sz w:val="24"/>
          <w:szCs w:val="24"/>
          <w:highlight w:val="none"/>
        </w:rPr>
      </w:pPr>
      <w:r>
        <w:rPr>
          <w:rFonts w:hint="eastAsia" w:ascii="宋体"/>
          <w:color w:val="auto"/>
          <w:sz w:val="24"/>
          <w:szCs w:val="24"/>
          <w:highlight w:val="none"/>
        </w:rPr>
        <w:t>投标人应负责和协调与上所述的各设备间的接口，本侧的硬件接口设备或部件由投标人提供。</w:t>
      </w:r>
    </w:p>
    <w:p w14:paraId="2A23F147">
      <w:pPr>
        <w:numPr>
          <w:ilvl w:val="0"/>
          <w:numId w:val="6"/>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招标人不对计算机监控系统设专用的接地网，其接地接于电厂主接地网，主接地网的接地电阻不大于0</w:t>
      </w:r>
      <w:r>
        <w:rPr>
          <w:rFonts w:ascii="宋体"/>
          <w:color w:val="auto"/>
          <w:sz w:val="24"/>
          <w:szCs w:val="24"/>
          <w:highlight w:val="none"/>
        </w:rPr>
        <w:t>.5</w:t>
      </w:r>
      <w:r>
        <w:rPr>
          <w:rFonts w:hint="eastAsia" w:ascii="宋体"/>
          <w:color w:val="auto"/>
          <w:sz w:val="24"/>
          <w:szCs w:val="24"/>
          <w:highlight w:val="none"/>
        </w:rPr>
        <w:t>欧。投标人所供设备安装在无屏蔽的机房内。投标人</w:t>
      </w:r>
      <w:r>
        <w:rPr>
          <w:rFonts w:ascii="宋体"/>
          <w:color w:val="auto"/>
          <w:sz w:val="24"/>
          <w:szCs w:val="24"/>
          <w:highlight w:val="none"/>
        </w:rPr>
        <w:t>提供的计算机设备应有防止雷击和防止过电压的保护措施。</w:t>
      </w:r>
    </w:p>
    <w:p w14:paraId="5A46750A">
      <w:pPr>
        <w:spacing w:line="360" w:lineRule="auto"/>
        <w:rPr>
          <w:rFonts w:ascii="宋体"/>
          <w:color w:val="auto"/>
          <w:sz w:val="24"/>
          <w:szCs w:val="24"/>
          <w:highlight w:val="none"/>
        </w:rPr>
      </w:pPr>
      <w:r>
        <w:rPr>
          <w:rFonts w:hint="eastAsia" w:ascii="宋体"/>
          <w:color w:val="auto"/>
          <w:sz w:val="24"/>
          <w:szCs w:val="24"/>
          <w:highlight w:val="none"/>
        </w:rPr>
        <w:t>3.2.4设备布置</w:t>
      </w:r>
    </w:p>
    <w:p w14:paraId="20560C14">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在网控继电器小室布置的设备有：</w:t>
      </w:r>
    </w:p>
    <w:p w14:paraId="2D049E84">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I/O测控单元屏</w:t>
      </w:r>
    </w:p>
    <w:p w14:paraId="42494A43">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信息管理机屏</w:t>
      </w:r>
    </w:p>
    <w:p w14:paraId="1FF6600B">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远动通信装置屏</w:t>
      </w:r>
    </w:p>
    <w:p w14:paraId="59DC46A6">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网络设备柜</w:t>
      </w:r>
    </w:p>
    <w:p w14:paraId="38976A05">
      <w:pPr>
        <w:numPr>
          <w:ilvl w:val="0"/>
          <w:numId w:val="8"/>
        </w:numPr>
        <w:spacing w:line="360" w:lineRule="auto"/>
        <w:rPr>
          <w:color w:val="auto"/>
          <w:highlight w:val="none"/>
        </w:rPr>
      </w:pPr>
      <w:r>
        <w:rPr>
          <w:rFonts w:hint="eastAsia" w:ascii="宋体"/>
          <w:color w:val="auto"/>
          <w:sz w:val="24"/>
          <w:szCs w:val="24"/>
          <w:highlight w:val="none"/>
        </w:rPr>
        <w:t>网关工作站屏</w:t>
      </w:r>
    </w:p>
    <w:p w14:paraId="24E235A7">
      <w:pPr>
        <w:numPr>
          <w:ilvl w:val="0"/>
          <w:numId w:val="8"/>
        </w:numPr>
        <w:spacing w:line="360" w:lineRule="auto"/>
        <w:rPr>
          <w:color w:val="auto"/>
          <w:highlight w:val="none"/>
        </w:rPr>
      </w:pPr>
      <w:r>
        <w:rPr>
          <w:rFonts w:hint="eastAsia" w:ascii="宋体"/>
          <w:color w:val="auto"/>
          <w:sz w:val="24"/>
          <w:szCs w:val="24"/>
          <w:highlight w:val="none"/>
          <w:lang w:val="en-US" w:eastAsia="zh-CN"/>
        </w:rPr>
        <w:t>关口电度表屏</w:t>
      </w:r>
    </w:p>
    <w:p w14:paraId="0B32D250">
      <w:pPr>
        <w:numPr>
          <w:ilvl w:val="0"/>
          <w:numId w:val="8"/>
        </w:numPr>
        <w:spacing w:line="360" w:lineRule="auto"/>
        <w:rPr>
          <w:color w:val="auto"/>
          <w:highlight w:val="none"/>
        </w:rPr>
      </w:pPr>
      <w:r>
        <w:rPr>
          <w:rFonts w:hint="eastAsia" w:ascii="宋体"/>
          <w:color w:val="auto"/>
          <w:sz w:val="24"/>
          <w:szCs w:val="24"/>
          <w:highlight w:val="none"/>
          <w:lang w:val="en-US" w:eastAsia="zh-CN"/>
        </w:rPr>
        <w:t>线路电度表屏</w:t>
      </w:r>
    </w:p>
    <w:p w14:paraId="2ED0DF75">
      <w:pPr>
        <w:numPr>
          <w:ilvl w:val="0"/>
          <w:numId w:val="8"/>
        </w:numPr>
        <w:spacing w:line="360" w:lineRule="auto"/>
        <w:rPr>
          <w:color w:val="auto"/>
          <w:highlight w:val="none"/>
        </w:rPr>
      </w:pPr>
      <w:r>
        <w:rPr>
          <w:rFonts w:hint="eastAsia" w:ascii="宋体"/>
          <w:color w:val="auto"/>
          <w:sz w:val="24"/>
          <w:szCs w:val="24"/>
          <w:highlight w:val="none"/>
          <w:lang w:val="en-US" w:eastAsia="zh-CN"/>
        </w:rPr>
        <w:t>主时钟屏</w:t>
      </w:r>
    </w:p>
    <w:p w14:paraId="3315889D">
      <w:pPr>
        <w:spacing w:line="360" w:lineRule="auto"/>
        <w:ind w:left="425" w:firstLine="468"/>
        <w:rPr>
          <w:rFonts w:ascii="宋体"/>
          <w:color w:val="auto"/>
          <w:sz w:val="24"/>
          <w:szCs w:val="24"/>
          <w:highlight w:val="none"/>
        </w:rPr>
      </w:pPr>
      <w:r>
        <w:rPr>
          <w:rFonts w:hint="eastAsia" w:ascii="宋体"/>
          <w:color w:val="auto"/>
          <w:sz w:val="24"/>
          <w:szCs w:val="24"/>
          <w:highlight w:val="none"/>
        </w:rPr>
        <w:t>在工程师室布置的设备有：</w:t>
      </w:r>
    </w:p>
    <w:p w14:paraId="7E6EAC84">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工程师站</w:t>
      </w:r>
    </w:p>
    <w:p w14:paraId="10CA5585">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主机工作站</w:t>
      </w:r>
    </w:p>
    <w:p w14:paraId="63A0D287">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网络打印机（彩色）</w:t>
      </w:r>
    </w:p>
    <w:p w14:paraId="68988669">
      <w:pPr>
        <w:tabs>
          <w:tab w:val="left" w:pos="1494"/>
        </w:tabs>
        <w:spacing w:line="360" w:lineRule="auto"/>
        <w:ind w:left="425" w:firstLine="468"/>
        <w:rPr>
          <w:rFonts w:ascii="宋体"/>
          <w:color w:val="auto"/>
          <w:kern w:val="0"/>
          <w:sz w:val="24"/>
          <w:szCs w:val="24"/>
          <w:highlight w:val="none"/>
        </w:rPr>
      </w:pPr>
      <w:r>
        <w:rPr>
          <w:rFonts w:hint="eastAsia" w:ascii="宋体"/>
          <w:color w:val="auto"/>
          <w:sz w:val="24"/>
          <w:szCs w:val="24"/>
          <w:highlight w:val="none"/>
        </w:rPr>
        <w:t>在机组集控室布置的设备有：</w:t>
      </w:r>
    </w:p>
    <w:p w14:paraId="43188A10">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 xml:space="preserve">操作员工作站 </w:t>
      </w:r>
    </w:p>
    <w:p w14:paraId="134B728B">
      <w:pPr>
        <w:numPr>
          <w:ilvl w:val="0"/>
          <w:numId w:val="8"/>
        </w:numPr>
        <w:spacing w:line="360" w:lineRule="auto"/>
        <w:rPr>
          <w:rFonts w:ascii="宋体"/>
          <w:color w:val="auto"/>
          <w:sz w:val="24"/>
          <w:szCs w:val="24"/>
          <w:highlight w:val="none"/>
        </w:rPr>
      </w:pPr>
      <w:r>
        <w:rPr>
          <w:rFonts w:hint="eastAsia" w:ascii="宋体"/>
          <w:color w:val="auto"/>
          <w:sz w:val="24"/>
          <w:szCs w:val="24"/>
          <w:highlight w:val="none"/>
        </w:rPr>
        <w:t>网络打印机</w:t>
      </w:r>
    </w:p>
    <w:p w14:paraId="571BAE7C">
      <w:pPr>
        <w:spacing w:line="360" w:lineRule="auto"/>
        <w:ind w:firstLine="960" w:firstLineChars="400"/>
        <w:rPr>
          <w:rFonts w:ascii="宋体"/>
          <w:color w:val="auto"/>
          <w:sz w:val="24"/>
          <w:szCs w:val="24"/>
          <w:highlight w:val="none"/>
        </w:rPr>
      </w:pPr>
      <w:r>
        <w:rPr>
          <w:rFonts w:hint="eastAsia" w:ascii="宋体"/>
          <w:color w:val="auto"/>
          <w:sz w:val="24"/>
          <w:szCs w:val="24"/>
          <w:highlight w:val="none"/>
        </w:rPr>
        <w:t>在</w:t>
      </w:r>
      <w:r>
        <w:rPr>
          <w:rFonts w:hint="eastAsia" w:ascii="宋体"/>
          <w:color w:val="auto"/>
          <w:sz w:val="24"/>
          <w:szCs w:val="24"/>
          <w:highlight w:val="none"/>
          <w:lang w:val="en-US" w:eastAsia="zh-CN"/>
        </w:rPr>
        <w:t>1号</w:t>
      </w:r>
      <w:r>
        <w:rPr>
          <w:rFonts w:hint="eastAsia" w:ascii="宋体"/>
          <w:color w:val="auto"/>
          <w:sz w:val="24"/>
          <w:szCs w:val="24"/>
          <w:highlight w:val="none"/>
        </w:rPr>
        <w:t>机继电器室布置的设备有：</w:t>
      </w:r>
    </w:p>
    <w:p w14:paraId="501A7BE5">
      <w:pPr>
        <w:numPr>
          <w:ilvl w:val="0"/>
          <w:numId w:val="8"/>
        </w:numPr>
        <w:spacing w:line="360" w:lineRule="auto"/>
        <w:rPr>
          <w:rFonts w:ascii="宋体"/>
          <w:color w:val="auto"/>
          <w:sz w:val="24"/>
          <w:szCs w:val="24"/>
          <w:highlight w:val="none"/>
        </w:rPr>
      </w:pPr>
      <w:r>
        <w:rPr>
          <w:rFonts w:hint="default" w:ascii="宋体"/>
          <w:color w:val="auto"/>
          <w:sz w:val="24"/>
          <w:szCs w:val="24"/>
          <w:highlight w:val="none"/>
          <w:lang w:val="en-US" w:eastAsia="zh-CN"/>
        </w:rPr>
        <w:t>1</w:t>
      </w:r>
      <w:r>
        <w:rPr>
          <w:rFonts w:hint="eastAsia" w:ascii="宋体"/>
          <w:color w:val="auto"/>
          <w:sz w:val="24"/>
          <w:szCs w:val="24"/>
          <w:highlight w:val="none"/>
          <w:lang w:val="en-US" w:eastAsia="zh-CN"/>
        </w:rPr>
        <w:t>号</w:t>
      </w:r>
      <w:r>
        <w:rPr>
          <w:rFonts w:hint="eastAsia" w:ascii="宋体"/>
          <w:color w:val="auto"/>
          <w:sz w:val="24"/>
          <w:szCs w:val="24"/>
          <w:highlight w:val="none"/>
        </w:rPr>
        <w:t>机AGC I/O测控单元屏</w:t>
      </w:r>
    </w:p>
    <w:p w14:paraId="1D679AC3">
      <w:pPr>
        <w:numPr>
          <w:ilvl w:val="0"/>
          <w:numId w:val="8"/>
        </w:numPr>
        <w:spacing w:line="360" w:lineRule="auto"/>
        <w:rPr>
          <w:rFonts w:ascii="宋体"/>
          <w:color w:val="auto"/>
          <w:sz w:val="24"/>
          <w:szCs w:val="24"/>
          <w:highlight w:val="none"/>
        </w:rPr>
      </w:pPr>
      <w:r>
        <w:rPr>
          <w:rFonts w:hint="eastAsia" w:ascii="宋体"/>
          <w:color w:val="auto"/>
          <w:sz w:val="24"/>
          <w:szCs w:val="24"/>
          <w:highlight w:val="none"/>
          <w:lang w:val="en-US" w:eastAsia="zh-CN"/>
        </w:rPr>
        <w:t>1号机组电度表屏</w:t>
      </w:r>
    </w:p>
    <w:p w14:paraId="6D62AA87">
      <w:pPr>
        <w:numPr>
          <w:ilvl w:val="0"/>
          <w:numId w:val="8"/>
        </w:numPr>
        <w:spacing w:line="360" w:lineRule="auto"/>
        <w:rPr>
          <w:rFonts w:ascii="宋体"/>
          <w:color w:val="auto"/>
          <w:sz w:val="24"/>
          <w:szCs w:val="24"/>
          <w:highlight w:val="none"/>
        </w:rPr>
      </w:pPr>
      <w:r>
        <w:rPr>
          <w:rFonts w:hint="eastAsia" w:ascii="宋体"/>
          <w:color w:val="auto"/>
          <w:sz w:val="24"/>
          <w:szCs w:val="24"/>
          <w:highlight w:val="none"/>
          <w:lang w:val="en-US" w:eastAsia="zh-CN"/>
        </w:rPr>
        <w:t>扩展时钟屏</w:t>
      </w:r>
    </w:p>
    <w:p w14:paraId="062E694E">
      <w:pPr>
        <w:spacing w:line="360" w:lineRule="auto"/>
        <w:ind w:left="425" w:firstLine="480" w:firstLineChars="200"/>
        <w:rPr>
          <w:rFonts w:ascii="宋体"/>
          <w:color w:val="auto"/>
          <w:kern w:val="0"/>
          <w:sz w:val="24"/>
          <w:szCs w:val="24"/>
          <w:highlight w:val="none"/>
        </w:rPr>
      </w:pPr>
      <w:r>
        <w:rPr>
          <w:rFonts w:hint="eastAsia" w:ascii="宋体"/>
          <w:color w:val="auto"/>
          <w:sz w:val="24"/>
          <w:szCs w:val="24"/>
          <w:highlight w:val="none"/>
        </w:rPr>
        <w:t>在</w:t>
      </w:r>
      <w:r>
        <w:rPr>
          <w:rFonts w:hint="eastAsia" w:ascii="宋体"/>
          <w:color w:val="auto"/>
          <w:sz w:val="24"/>
          <w:szCs w:val="24"/>
          <w:highlight w:val="none"/>
          <w:lang w:val="en-US" w:eastAsia="zh-CN"/>
        </w:rPr>
        <w:t>2号</w:t>
      </w:r>
      <w:r>
        <w:rPr>
          <w:rFonts w:hint="eastAsia" w:ascii="宋体"/>
          <w:color w:val="auto"/>
          <w:sz w:val="24"/>
          <w:szCs w:val="24"/>
          <w:highlight w:val="none"/>
        </w:rPr>
        <w:t>机继电器室布置的设备有：</w:t>
      </w:r>
    </w:p>
    <w:p w14:paraId="3FACE4FF">
      <w:pPr>
        <w:numPr>
          <w:ilvl w:val="0"/>
          <w:numId w:val="8"/>
        </w:numPr>
        <w:spacing w:line="360" w:lineRule="auto"/>
        <w:rPr>
          <w:rFonts w:ascii="宋体"/>
          <w:color w:val="auto"/>
          <w:sz w:val="24"/>
          <w:szCs w:val="24"/>
          <w:highlight w:val="none"/>
        </w:rPr>
      </w:pPr>
      <w:r>
        <w:rPr>
          <w:rFonts w:hint="eastAsia" w:ascii="宋体"/>
          <w:color w:val="auto"/>
          <w:sz w:val="24"/>
          <w:szCs w:val="24"/>
          <w:highlight w:val="none"/>
          <w:lang w:val="en-US" w:eastAsia="zh-CN"/>
        </w:rPr>
        <w:t>2号</w:t>
      </w:r>
      <w:r>
        <w:rPr>
          <w:rFonts w:hint="eastAsia" w:ascii="宋体"/>
          <w:color w:val="auto"/>
          <w:sz w:val="24"/>
          <w:szCs w:val="24"/>
          <w:highlight w:val="none"/>
        </w:rPr>
        <w:t>机AGC I/O测控单元屏</w:t>
      </w:r>
    </w:p>
    <w:p w14:paraId="0A582745">
      <w:pPr>
        <w:numPr>
          <w:ilvl w:val="0"/>
          <w:numId w:val="8"/>
        </w:numPr>
        <w:spacing w:line="360" w:lineRule="auto"/>
        <w:rPr>
          <w:rFonts w:ascii="宋体"/>
          <w:color w:val="auto"/>
          <w:sz w:val="24"/>
          <w:szCs w:val="24"/>
          <w:highlight w:val="none"/>
        </w:rPr>
      </w:pPr>
      <w:r>
        <w:rPr>
          <w:rFonts w:hint="eastAsia" w:ascii="宋体"/>
          <w:color w:val="auto"/>
          <w:sz w:val="24"/>
          <w:szCs w:val="24"/>
          <w:highlight w:val="none"/>
          <w:lang w:val="en-US" w:eastAsia="zh-CN"/>
        </w:rPr>
        <w:t>2号机组电度表屏</w:t>
      </w:r>
    </w:p>
    <w:p w14:paraId="7DC1B74D">
      <w:pPr>
        <w:numPr>
          <w:ilvl w:val="0"/>
          <w:numId w:val="8"/>
        </w:numPr>
        <w:spacing w:line="360" w:lineRule="auto"/>
        <w:rPr>
          <w:rFonts w:ascii="宋体"/>
          <w:color w:val="auto"/>
          <w:sz w:val="24"/>
          <w:szCs w:val="24"/>
          <w:highlight w:val="none"/>
        </w:rPr>
      </w:pPr>
      <w:r>
        <w:rPr>
          <w:rFonts w:hint="eastAsia" w:ascii="宋体"/>
          <w:color w:val="auto"/>
          <w:sz w:val="24"/>
          <w:szCs w:val="24"/>
          <w:highlight w:val="none"/>
          <w:lang w:val="en-US" w:eastAsia="zh-CN"/>
        </w:rPr>
        <w:t>扩展时钟屏</w:t>
      </w:r>
    </w:p>
    <w:p w14:paraId="42A8907B">
      <w:pPr>
        <w:spacing w:line="360" w:lineRule="auto"/>
        <w:ind w:left="426" w:leftChars="152" w:firstLine="480" w:firstLineChars="200"/>
        <w:rPr>
          <w:color w:val="auto"/>
          <w:sz w:val="24"/>
          <w:szCs w:val="24"/>
          <w:highlight w:val="none"/>
        </w:rPr>
      </w:pPr>
      <w:r>
        <w:rPr>
          <w:rFonts w:hint="eastAsia" w:ascii="宋体"/>
          <w:color w:val="auto"/>
          <w:sz w:val="24"/>
          <w:szCs w:val="24"/>
          <w:highlight w:val="none"/>
        </w:rPr>
        <w:t>网控继电器小室至集控室的距离约为</w:t>
      </w:r>
      <w:r>
        <w:rPr>
          <w:rFonts w:hint="eastAsia" w:ascii="宋体"/>
          <w:color w:val="auto"/>
          <w:sz w:val="24"/>
          <w:szCs w:val="24"/>
          <w:highlight w:val="none"/>
          <w:u w:val="single"/>
          <w:lang w:val="en-US" w:eastAsia="zh-CN"/>
        </w:rPr>
        <w:t>400</w:t>
      </w:r>
      <w:r>
        <w:rPr>
          <w:rFonts w:hint="eastAsia" w:ascii="宋体"/>
          <w:color w:val="auto"/>
          <w:sz w:val="24"/>
          <w:szCs w:val="24"/>
          <w:highlight w:val="none"/>
        </w:rPr>
        <w:t>米；集控室至</w:t>
      </w:r>
      <w:r>
        <w:rPr>
          <w:rFonts w:hint="eastAsia" w:ascii="宋体"/>
          <w:color w:val="auto"/>
          <w:sz w:val="24"/>
          <w:szCs w:val="24"/>
          <w:highlight w:val="none"/>
          <w:lang w:val="en-US" w:eastAsia="zh-CN"/>
        </w:rPr>
        <w:t>1号</w:t>
      </w:r>
      <w:r>
        <w:rPr>
          <w:rFonts w:hint="eastAsia" w:ascii="宋体"/>
          <w:color w:val="auto"/>
          <w:sz w:val="24"/>
          <w:szCs w:val="24"/>
          <w:highlight w:val="none"/>
        </w:rPr>
        <w:t>机继电器室的距离约为</w:t>
      </w:r>
      <w:r>
        <w:rPr>
          <w:rFonts w:hint="eastAsia" w:ascii="宋体"/>
          <w:color w:val="auto"/>
          <w:sz w:val="24"/>
          <w:szCs w:val="24"/>
          <w:highlight w:val="none"/>
          <w:u w:val="single"/>
        </w:rPr>
        <w:t>_</w:t>
      </w:r>
      <w:r>
        <w:rPr>
          <w:rFonts w:hint="eastAsia" w:ascii="宋体"/>
          <w:color w:val="auto"/>
          <w:sz w:val="24"/>
          <w:szCs w:val="24"/>
          <w:highlight w:val="none"/>
          <w:u w:val="single"/>
          <w:lang w:val="en-US" w:eastAsia="zh-CN"/>
        </w:rPr>
        <w:t>100</w:t>
      </w:r>
      <w:r>
        <w:rPr>
          <w:rFonts w:hint="eastAsia" w:ascii="宋体"/>
          <w:color w:val="auto"/>
          <w:sz w:val="24"/>
          <w:szCs w:val="24"/>
          <w:highlight w:val="none"/>
        </w:rPr>
        <w:t>米</w:t>
      </w:r>
      <w:r>
        <w:rPr>
          <w:rFonts w:hint="eastAsia" w:ascii="宋体"/>
          <w:color w:val="auto"/>
          <w:sz w:val="24"/>
          <w:szCs w:val="24"/>
          <w:highlight w:val="none"/>
          <w:lang w:eastAsia="zh-CN"/>
        </w:rPr>
        <w:t>，</w:t>
      </w:r>
      <w:r>
        <w:rPr>
          <w:rFonts w:hint="eastAsia" w:ascii="宋体"/>
          <w:color w:val="auto"/>
          <w:sz w:val="24"/>
          <w:szCs w:val="24"/>
          <w:highlight w:val="none"/>
        </w:rPr>
        <w:t>集控室至</w:t>
      </w:r>
      <w:r>
        <w:rPr>
          <w:rFonts w:hint="eastAsia" w:ascii="宋体"/>
          <w:color w:val="auto"/>
          <w:sz w:val="24"/>
          <w:szCs w:val="24"/>
          <w:highlight w:val="none"/>
          <w:lang w:val="en-US" w:eastAsia="zh-CN"/>
        </w:rPr>
        <w:t>2号</w:t>
      </w:r>
      <w:r>
        <w:rPr>
          <w:rFonts w:hint="eastAsia" w:ascii="宋体"/>
          <w:color w:val="auto"/>
          <w:sz w:val="24"/>
          <w:szCs w:val="24"/>
          <w:highlight w:val="none"/>
        </w:rPr>
        <w:t>机继电器室的距离约为</w:t>
      </w:r>
      <w:r>
        <w:rPr>
          <w:rFonts w:hint="eastAsia" w:ascii="宋体"/>
          <w:color w:val="auto"/>
          <w:sz w:val="24"/>
          <w:szCs w:val="24"/>
          <w:highlight w:val="none"/>
          <w:u w:val="single"/>
        </w:rPr>
        <w:t>_</w:t>
      </w:r>
      <w:r>
        <w:rPr>
          <w:rFonts w:hint="eastAsia" w:ascii="宋体"/>
          <w:color w:val="auto"/>
          <w:sz w:val="24"/>
          <w:szCs w:val="24"/>
          <w:highlight w:val="none"/>
          <w:u w:val="single"/>
          <w:lang w:val="en-US" w:eastAsia="zh-CN"/>
        </w:rPr>
        <w:t>200</w:t>
      </w:r>
      <w:r>
        <w:rPr>
          <w:rFonts w:hint="eastAsia" w:ascii="宋体"/>
          <w:color w:val="auto"/>
          <w:sz w:val="24"/>
          <w:szCs w:val="24"/>
          <w:highlight w:val="none"/>
          <w:u w:val="single"/>
        </w:rPr>
        <w:t>_</w:t>
      </w:r>
      <w:r>
        <w:rPr>
          <w:rFonts w:hint="eastAsia" w:ascii="宋体"/>
          <w:color w:val="auto"/>
          <w:sz w:val="24"/>
          <w:szCs w:val="24"/>
          <w:highlight w:val="none"/>
        </w:rPr>
        <w:t>米</w:t>
      </w:r>
      <w:r>
        <w:rPr>
          <w:rFonts w:hint="eastAsia" w:ascii="宋体"/>
          <w:color w:val="auto"/>
          <w:sz w:val="24"/>
          <w:szCs w:val="24"/>
          <w:highlight w:val="none"/>
          <w:lang w:eastAsia="zh-CN"/>
        </w:rPr>
        <w:t>；</w:t>
      </w:r>
      <w:r>
        <w:rPr>
          <w:rFonts w:hint="eastAsia" w:ascii="宋体"/>
          <w:color w:val="auto"/>
          <w:sz w:val="24"/>
          <w:szCs w:val="24"/>
          <w:highlight w:val="none"/>
        </w:rPr>
        <w:t>网控继电器室至1号机组继电器室的距离约350米；网控继电器室至2号机组继电器室的距离约300米。</w:t>
      </w:r>
    </w:p>
    <w:p w14:paraId="69EA3297">
      <w:pPr>
        <w:spacing w:line="360" w:lineRule="auto"/>
        <w:rPr>
          <w:rFonts w:ascii="宋体"/>
          <w:b/>
          <w:color w:val="auto"/>
          <w:sz w:val="24"/>
          <w:szCs w:val="24"/>
          <w:highlight w:val="none"/>
        </w:rPr>
      </w:pPr>
      <w:r>
        <w:rPr>
          <w:rFonts w:hint="eastAsia" w:ascii="宋体"/>
          <w:b/>
          <w:color w:val="auto"/>
          <w:sz w:val="24"/>
          <w:szCs w:val="24"/>
          <w:highlight w:val="none"/>
        </w:rPr>
        <w:t>3.3 技术要求</w:t>
      </w:r>
    </w:p>
    <w:p w14:paraId="236AB2A3">
      <w:pPr>
        <w:spacing w:line="360" w:lineRule="auto"/>
        <w:rPr>
          <w:rFonts w:ascii="宋体"/>
          <w:color w:val="auto"/>
          <w:sz w:val="24"/>
          <w:szCs w:val="24"/>
          <w:highlight w:val="none"/>
        </w:rPr>
      </w:pPr>
      <w:r>
        <w:rPr>
          <w:rFonts w:hint="eastAsia" w:ascii="宋体"/>
          <w:color w:val="auto"/>
          <w:sz w:val="24"/>
          <w:szCs w:val="24"/>
          <w:highlight w:val="none"/>
        </w:rPr>
        <w:t>3.3.1  输入信号额定值</w:t>
      </w:r>
    </w:p>
    <w:p w14:paraId="2572736C">
      <w:pPr>
        <w:spacing w:line="360" w:lineRule="auto"/>
        <w:rPr>
          <w:rFonts w:ascii="宋体"/>
          <w:color w:val="auto"/>
          <w:sz w:val="24"/>
          <w:szCs w:val="24"/>
          <w:highlight w:val="none"/>
        </w:rPr>
      </w:pPr>
      <w:r>
        <w:rPr>
          <w:rFonts w:ascii="宋体"/>
          <w:color w:val="auto"/>
          <w:kern w:val="0"/>
          <w:sz w:val="24"/>
          <w:szCs w:val="24"/>
          <w:highlight w:val="none"/>
        </w:rPr>
        <w:tab/>
      </w:r>
      <w:r>
        <w:rPr>
          <w:rFonts w:hint="eastAsia" w:ascii="宋体"/>
          <w:color w:val="auto"/>
          <w:sz w:val="24"/>
          <w:szCs w:val="24"/>
          <w:highlight w:val="none"/>
        </w:rPr>
        <w:t>额定频率：</w:t>
      </w:r>
      <w:r>
        <w:rPr>
          <w:rFonts w:ascii="宋体"/>
          <w:color w:val="auto"/>
          <w:sz w:val="24"/>
          <w:szCs w:val="24"/>
          <w:highlight w:val="none"/>
        </w:rPr>
        <w:tab/>
      </w:r>
      <w:r>
        <w:rPr>
          <w:rFonts w:ascii="宋体"/>
          <w:color w:val="auto"/>
          <w:sz w:val="24"/>
          <w:szCs w:val="24"/>
          <w:highlight w:val="none"/>
        </w:rPr>
        <w:tab/>
      </w:r>
      <w:r>
        <w:rPr>
          <w:rFonts w:ascii="宋体"/>
          <w:color w:val="auto"/>
          <w:sz w:val="24"/>
          <w:szCs w:val="24"/>
          <w:highlight w:val="none"/>
          <w:u w:val="single"/>
        </w:rPr>
        <w:t>50Hz</w:t>
      </w:r>
    </w:p>
    <w:p w14:paraId="7F290D34">
      <w:pPr>
        <w:spacing w:line="360" w:lineRule="auto"/>
        <w:rPr>
          <w:rFonts w:ascii="宋体"/>
          <w:color w:val="auto"/>
          <w:sz w:val="24"/>
          <w:szCs w:val="24"/>
          <w:highlight w:val="none"/>
        </w:rPr>
      </w:pPr>
      <w:r>
        <w:rPr>
          <w:rFonts w:ascii="宋体"/>
          <w:color w:val="auto"/>
          <w:sz w:val="24"/>
          <w:szCs w:val="24"/>
          <w:highlight w:val="none"/>
        </w:rPr>
        <w:tab/>
      </w:r>
      <w:r>
        <w:rPr>
          <w:rFonts w:ascii="宋体"/>
          <w:color w:val="auto"/>
          <w:sz w:val="24"/>
          <w:szCs w:val="24"/>
          <w:highlight w:val="none"/>
        </w:rPr>
        <w:t>CT</w:t>
      </w:r>
      <w:r>
        <w:rPr>
          <w:rFonts w:hint="eastAsia" w:ascii="宋体"/>
          <w:color w:val="auto"/>
          <w:sz w:val="24"/>
          <w:szCs w:val="24"/>
          <w:highlight w:val="none"/>
        </w:rPr>
        <w:t>二次额定电流：</w:t>
      </w:r>
      <w:r>
        <w:rPr>
          <w:rFonts w:ascii="宋体"/>
          <w:color w:val="auto"/>
          <w:sz w:val="24"/>
          <w:szCs w:val="24"/>
          <w:highlight w:val="none"/>
        </w:rPr>
        <w:tab/>
      </w:r>
      <w:r>
        <w:rPr>
          <w:rFonts w:ascii="宋体"/>
          <w:color w:val="auto"/>
          <w:sz w:val="24"/>
          <w:szCs w:val="24"/>
          <w:highlight w:val="none"/>
        </w:rPr>
        <w:tab/>
      </w:r>
      <w:r>
        <w:rPr>
          <w:rFonts w:ascii="宋体"/>
          <w:color w:val="auto"/>
          <w:sz w:val="24"/>
          <w:szCs w:val="24"/>
          <w:highlight w:val="none"/>
          <w:u w:val="single"/>
        </w:rPr>
        <w:t>1A</w:t>
      </w:r>
      <w:r>
        <w:rPr>
          <w:rFonts w:hint="eastAsia" w:ascii="宋体"/>
          <w:color w:val="auto"/>
          <w:sz w:val="24"/>
          <w:szCs w:val="24"/>
          <w:highlight w:val="none"/>
          <w:u w:val="single"/>
        </w:rPr>
        <w:t>或 5</w:t>
      </w:r>
      <w:r>
        <w:rPr>
          <w:rFonts w:ascii="宋体"/>
          <w:color w:val="auto"/>
          <w:sz w:val="24"/>
          <w:szCs w:val="24"/>
          <w:highlight w:val="none"/>
          <w:u w:val="single"/>
        </w:rPr>
        <w:t>A</w:t>
      </w:r>
    </w:p>
    <w:p w14:paraId="60BDC221">
      <w:pPr>
        <w:spacing w:line="360" w:lineRule="auto"/>
        <w:rPr>
          <w:rFonts w:ascii="宋体"/>
          <w:color w:val="auto"/>
          <w:sz w:val="24"/>
          <w:szCs w:val="24"/>
          <w:highlight w:val="none"/>
        </w:rPr>
      </w:pPr>
      <w:r>
        <w:rPr>
          <w:rFonts w:ascii="宋体"/>
          <w:color w:val="auto"/>
          <w:sz w:val="24"/>
          <w:szCs w:val="24"/>
          <w:highlight w:val="none"/>
        </w:rPr>
        <w:tab/>
      </w:r>
      <w:r>
        <w:rPr>
          <w:rFonts w:ascii="宋体"/>
          <w:color w:val="auto"/>
          <w:sz w:val="24"/>
          <w:szCs w:val="24"/>
          <w:highlight w:val="none"/>
        </w:rPr>
        <w:t>PT</w:t>
      </w:r>
      <w:r>
        <w:rPr>
          <w:rFonts w:hint="eastAsia" w:ascii="宋体"/>
          <w:color w:val="auto"/>
          <w:sz w:val="24"/>
          <w:szCs w:val="24"/>
          <w:highlight w:val="none"/>
        </w:rPr>
        <w:t>二次额定电压：</w:t>
      </w:r>
      <w:r>
        <w:rPr>
          <w:rFonts w:ascii="宋体"/>
          <w:color w:val="auto"/>
          <w:sz w:val="24"/>
          <w:szCs w:val="24"/>
          <w:highlight w:val="none"/>
        </w:rPr>
        <w:tab/>
      </w:r>
      <w:r>
        <w:rPr>
          <w:rFonts w:ascii="宋体"/>
          <w:color w:val="auto"/>
          <w:sz w:val="24"/>
          <w:szCs w:val="24"/>
          <w:highlight w:val="none"/>
        </w:rPr>
        <w:tab/>
      </w:r>
      <w:r>
        <w:rPr>
          <w:rFonts w:ascii="宋体"/>
          <w:color w:val="auto"/>
          <w:sz w:val="24"/>
          <w:szCs w:val="24"/>
          <w:highlight w:val="none"/>
          <w:u w:val="single"/>
        </w:rPr>
        <w:t>100V</w:t>
      </w:r>
      <w:r>
        <w:rPr>
          <w:rFonts w:ascii="宋体"/>
          <w:color w:val="auto"/>
          <w:sz w:val="24"/>
          <w:szCs w:val="24"/>
          <w:highlight w:val="none"/>
        </w:rPr>
        <w:t>(</w:t>
      </w:r>
      <w:r>
        <w:rPr>
          <w:rFonts w:hint="eastAsia" w:ascii="宋体"/>
          <w:color w:val="auto"/>
          <w:sz w:val="24"/>
          <w:szCs w:val="24"/>
          <w:highlight w:val="none"/>
        </w:rPr>
        <w:t>线电压</w:t>
      </w:r>
      <w:r>
        <w:rPr>
          <w:rFonts w:ascii="宋体"/>
          <w:color w:val="auto"/>
          <w:sz w:val="24"/>
          <w:szCs w:val="24"/>
          <w:highlight w:val="none"/>
        </w:rPr>
        <w:t>)</w:t>
      </w:r>
      <w:r>
        <w:rPr>
          <w:rFonts w:hint="eastAsia" w:ascii="宋体"/>
          <w:color w:val="auto"/>
          <w:sz w:val="24"/>
          <w:szCs w:val="24"/>
          <w:highlight w:val="none"/>
        </w:rPr>
        <w:t>、</w:t>
      </w:r>
      <w:r>
        <w:rPr>
          <w:rFonts w:ascii="宋体"/>
          <w:color w:val="auto"/>
          <w:sz w:val="24"/>
          <w:szCs w:val="24"/>
          <w:highlight w:val="none"/>
          <w:u w:val="single"/>
        </w:rPr>
        <w:t xml:space="preserve"> 100/</w:t>
      </w:r>
      <w:r>
        <w:rPr>
          <w:rFonts w:ascii="宋体"/>
          <w:color w:val="auto"/>
          <w:sz w:val="24"/>
          <w:szCs w:val="24"/>
          <w:highlight w:val="none"/>
          <w:u w:val="single"/>
        </w:rPr>
        <w:drawing>
          <wp:inline distT="0" distB="0" distL="0" distR="0">
            <wp:extent cx="228600" cy="219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srcRect/>
                    <a:stretch>
                      <a:fillRect/>
                    </a:stretch>
                  </pic:blipFill>
                  <pic:spPr>
                    <a:xfrm>
                      <a:off x="0" y="0"/>
                      <a:ext cx="228600" cy="219075"/>
                    </a:xfrm>
                    <a:prstGeom prst="rect">
                      <a:avLst/>
                    </a:prstGeom>
                    <a:noFill/>
                    <a:ln w="9525">
                      <a:noFill/>
                      <a:miter lim="800000"/>
                      <a:headEnd/>
                      <a:tailEnd/>
                    </a:ln>
                  </pic:spPr>
                </pic:pic>
              </a:graphicData>
            </a:graphic>
          </wp:inline>
        </w:drawing>
      </w:r>
      <w:r>
        <w:rPr>
          <w:rFonts w:ascii="宋体"/>
          <w:color w:val="auto"/>
          <w:sz w:val="24"/>
          <w:szCs w:val="24"/>
          <w:highlight w:val="none"/>
        </w:rPr>
        <w:t>(</w:t>
      </w:r>
      <w:r>
        <w:rPr>
          <w:rFonts w:hint="eastAsia" w:ascii="宋体"/>
          <w:color w:val="auto"/>
          <w:sz w:val="24"/>
          <w:szCs w:val="24"/>
          <w:highlight w:val="none"/>
        </w:rPr>
        <w:t>相电压</w:t>
      </w:r>
      <w:r>
        <w:rPr>
          <w:rFonts w:ascii="宋体"/>
          <w:color w:val="auto"/>
          <w:sz w:val="24"/>
          <w:szCs w:val="24"/>
          <w:highlight w:val="none"/>
        </w:rPr>
        <w:t>)</w:t>
      </w:r>
    </w:p>
    <w:p w14:paraId="04F1996D">
      <w:pPr>
        <w:spacing w:line="360" w:lineRule="auto"/>
        <w:rPr>
          <w:rFonts w:ascii="宋体"/>
          <w:color w:val="auto"/>
          <w:kern w:val="0"/>
          <w:sz w:val="24"/>
          <w:szCs w:val="24"/>
          <w:highlight w:val="none"/>
        </w:rPr>
      </w:pPr>
      <w:r>
        <w:rPr>
          <w:rFonts w:ascii="宋体"/>
          <w:color w:val="auto"/>
          <w:sz w:val="24"/>
          <w:szCs w:val="24"/>
          <w:highlight w:val="none"/>
        </w:rPr>
        <w:tab/>
      </w:r>
      <w:r>
        <w:rPr>
          <w:rFonts w:hint="eastAsia" w:ascii="宋体"/>
          <w:color w:val="auto"/>
          <w:sz w:val="24"/>
          <w:szCs w:val="24"/>
          <w:highlight w:val="none"/>
        </w:rPr>
        <w:t>采用变送器输入时，变送器的额定输出：</w:t>
      </w:r>
      <w:r>
        <w:rPr>
          <w:rFonts w:ascii="宋体"/>
          <w:color w:val="auto"/>
          <w:sz w:val="24"/>
          <w:szCs w:val="24"/>
          <w:highlight w:val="none"/>
          <w:u w:val="single"/>
        </w:rPr>
        <w:t>4</w:t>
      </w:r>
      <w:r>
        <w:rPr>
          <w:rFonts w:hint="eastAsia" w:ascii="宋体"/>
          <w:color w:val="auto"/>
          <w:sz w:val="24"/>
          <w:szCs w:val="24"/>
          <w:highlight w:val="none"/>
          <w:u w:val="single"/>
        </w:rPr>
        <w:t>～</w:t>
      </w:r>
      <w:r>
        <w:rPr>
          <w:rFonts w:ascii="宋体"/>
          <w:color w:val="auto"/>
          <w:sz w:val="24"/>
          <w:szCs w:val="24"/>
          <w:highlight w:val="none"/>
          <w:u w:val="single"/>
        </w:rPr>
        <w:t>20mA</w:t>
      </w:r>
      <w:r>
        <w:rPr>
          <w:rFonts w:hint="eastAsia" w:ascii="宋体"/>
          <w:color w:val="auto"/>
          <w:sz w:val="24"/>
          <w:szCs w:val="24"/>
          <w:highlight w:val="none"/>
          <w:u w:val="single"/>
        </w:rPr>
        <w:t xml:space="preserve"> DC</w:t>
      </w:r>
    </w:p>
    <w:p w14:paraId="578BD36B">
      <w:pPr>
        <w:spacing w:line="360" w:lineRule="auto"/>
        <w:rPr>
          <w:rFonts w:ascii="宋体"/>
          <w:color w:val="auto"/>
          <w:sz w:val="24"/>
          <w:szCs w:val="24"/>
          <w:highlight w:val="none"/>
        </w:rPr>
      </w:pPr>
      <w:r>
        <w:rPr>
          <w:rFonts w:hint="eastAsia" w:ascii="宋体"/>
          <w:color w:val="auto"/>
          <w:sz w:val="24"/>
          <w:szCs w:val="24"/>
          <w:highlight w:val="none"/>
        </w:rPr>
        <w:t>3.3.2装置的温度特性</w:t>
      </w:r>
    </w:p>
    <w:p w14:paraId="7FDD17CB">
      <w:pPr>
        <w:spacing w:line="360" w:lineRule="auto"/>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室内温度-</w:t>
      </w:r>
      <w:r>
        <w:rPr>
          <w:rFonts w:ascii="宋体"/>
          <w:color w:val="auto"/>
          <w:sz w:val="24"/>
          <w:szCs w:val="24"/>
          <w:highlight w:val="none"/>
        </w:rPr>
        <w:t>5</w:t>
      </w:r>
      <w:r>
        <w:rPr>
          <w:rFonts w:hint="eastAsia" w:ascii="宋体"/>
          <w:color w:val="auto"/>
          <w:sz w:val="24"/>
          <w:szCs w:val="24"/>
          <w:highlight w:val="none"/>
        </w:rPr>
        <w:t>℃～</w:t>
      </w:r>
      <w:r>
        <w:rPr>
          <w:rFonts w:ascii="宋体"/>
          <w:color w:val="auto"/>
          <w:sz w:val="24"/>
          <w:szCs w:val="24"/>
          <w:highlight w:val="none"/>
        </w:rPr>
        <w:t>+40</w:t>
      </w:r>
      <w:r>
        <w:rPr>
          <w:rFonts w:hint="eastAsia" w:ascii="宋体"/>
          <w:color w:val="auto"/>
          <w:sz w:val="24"/>
          <w:szCs w:val="24"/>
          <w:highlight w:val="none"/>
        </w:rPr>
        <w:t>℃；最大变化率</w:t>
      </w:r>
      <w:r>
        <w:rPr>
          <w:rFonts w:ascii="宋体"/>
          <w:color w:val="auto"/>
          <w:sz w:val="24"/>
          <w:szCs w:val="24"/>
          <w:highlight w:val="none"/>
        </w:rPr>
        <w:t>10</w:t>
      </w:r>
      <w:r>
        <w:rPr>
          <w:rFonts w:hint="eastAsia" w:ascii="宋体"/>
          <w:color w:val="auto"/>
          <w:sz w:val="24"/>
          <w:szCs w:val="24"/>
          <w:highlight w:val="none"/>
        </w:rPr>
        <w:t>℃</w:t>
      </w:r>
      <w:r>
        <w:rPr>
          <w:rFonts w:ascii="宋体"/>
          <w:color w:val="auto"/>
          <w:sz w:val="24"/>
          <w:szCs w:val="24"/>
          <w:highlight w:val="none"/>
        </w:rPr>
        <w:t>/h</w:t>
      </w:r>
      <w:r>
        <w:rPr>
          <w:rFonts w:hint="eastAsia" w:ascii="宋体"/>
          <w:color w:val="auto"/>
          <w:sz w:val="24"/>
          <w:szCs w:val="24"/>
          <w:highlight w:val="none"/>
        </w:rPr>
        <w:t>；相对湿度</w:t>
      </w:r>
      <w:r>
        <w:rPr>
          <w:rFonts w:ascii="宋体"/>
          <w:color w:val="auto"/>
          <w:sz w:val="24"/>
          <w:szCs w:val="24"/>
          <w:highlight w:val="none"/>
        </w:rPr>
        <w:t>5%</w:t>
      </w:r>
      <w:r>
        <w:rPr>
          <w:rFonts w:hint="eastAsia" w:ascii="宋体"/>
          <w:color w:val="auto"/>
          <w:sz w:val="24"/>
          <w:szCs w:val="24"/>
          <w:highlight w:val="none"/>
        </w:rPr>
        <w:t>～</w:t>
      </w:r>
      <w:r>
        <w:rPr>
          <w:rFonts w:ascii="宋体"/>
          <w:color w:val="auto"/>
          <w:sz w:val="24"/>
          <w:szCs w:val="24"/>
          <w:highlight w:val="none"/>
        </w:rPr>
        <w:t>95%</w:t>
      </w:r>
      <w:r>
        <w:rPr>
          <w:rFonts w:hint="eastAsia" w:ascii="宋体"/>
          <w:color w:val="auto"/>
          <w:sz w:val="24"/>
          <w:szCs w:val="24"/>
          <w:highlight w:val="none"/>
        </w:rPr>
        <w:t>；最大绝对湿度</w:t>
      </w:r>
      <w:r>
        <w:rPr>
          <w:rFonts w:ascii="宋体"/>
          <w:color w:val="auto"/>
          <w:sz w:val="24"/>
          <w:szCs w:val="24"/>
          <w:highlight w:val="none"/>
        </w:rPr>
        <w:t>28g/m3</w:t>
      </w:r>
      <w:r>
        <w:rPr>
          <w:rFonts w:hint="eastAsia" w:ascii="宋体"/>
          <w:color w:val="auto"/>
          <w:sz w:val="24"/>
          <w:szCs w:val="24"/>
          <w:highlight w:val="none"/>
        </w:rPr>
        <w:t>，装置应能满足规范书所规定的精度。室内温度在</w:t>
      </w:r>
      <w:r>
        <w:rPr>
          <w:rFonts w:ascii="宋体"/>
          <w:color w:val="auto"/>
          <w:sz w:val="24"/>
          <w:szCs w:val="24"/>
          <w:highlight w:val="none"/>
        </w:rPr>
        <w:t>-</w:t>
      </w:r>
      <w:r>
        <w:rPr>
          <w:rFonts w:hint="eastAsia" w:ascii="宋体"/>
          <w:color w:val="auto"/>
          <w:sz w:val="24"/>
          <w:szCs w:val="24"/>
          <w:highlight w:val="none"/>
        </w:rPr>
        <w:t>10℃～</w:t>
      </w:r>
      <w:r>
        <w:rPr>
          <w:rFonts w:ascii="宋体"/>
          <w:color w:val="auto"/>
          <w:sz w:val="24"/>
          <w:szCs w:val="24"/>
          <w:highlight w:val="none"/>
        </w:rPr>
        <w:t>+</w:t>
      </w:r>
      <w:r>
        <w:rPr>
          <w:rFonts w:hint="eastAsia" w:ascii="宋体"/>
          <w:color w:val="auto"/>
          <w:sz w:val="24"/>
          <w:szCs w:val="24"/>
          <w:highlight w:val="none"/>
        </w:rPr>
        <w:t>50℃时，装置应能正常工作，并满足测量精度的要求；室内温度在</w:t>
      </w:r>
      <w:r>
        <w:rPr>
          <w:rFonts w:ascii="宋体"/>
          <w:color w:val="auto"/>
          <w:sz w:val="24"/>
          <w:szCs w:val="24"/>
          <w:highlight w:val="none"/>
        </w:rPr>
        <w:t>-</w:t>
      </w:r>
      <w:r>
        <w:rPr>
          <w:rFonts w:hint="eastAsia" w:ascii="宋体"/>
          <w:color w:val="auto"/>
          <w:sz w:val="24"/>
          <w:szCs w:val="24"/>
          <w:highlight w:val="none"/>
        </w:rPr>
        <w:t>15℃～</w:t>
      </w:r>
      <w:r>
        <w:rPr>
          <w:rFonts w:ascii="宋体"/>
          <w:color w:val="auto"/>
          <w:sz w:val="24"/>
          <w:szCs w:val="24"/>
          <w:highlight w:val="none"/>
        </w:rPr>
        <w:t>+</w:t>
      </w:r>
      <w:r>
        <w:rPr>
          <w:rFonts w:hint="eastAsia" w:ascii="宋体"/>
          <w:color w:val="auto"/>
          <w:sz w:val="24"/>
          <w:szCs w:val="24"/>
          <w:highlight w:val="none"/>
        </w:rPr>
        <w:t>55℃时，装置应能正常工作、不误动。</w:t>
      </w:r>
    </w:p>
    <w:p w14:paraId="317ED156">
      <w:pPr>
        <w:numPr>
          <w:ilvl w:val="2"/>
          <w:numId w:val="9"/>
        </w:numPr>
        <w:tabs>
          <w:tab w:val="left" w:pos="0"/>
          <w:tab w:val="clear" w:pos="720"/>
        </w:tabs>
        <w:spacing w:line="360" w:lineRule="auto"/>
        <w:ind w:left="0" w:firstLine="0"/>
        <w:rPr>
          <w:rFonts w:ascii="宋体"/>
          <w:color w:val="auto"/>
          <w:sz w:val="24"/>
          <w:szCs w:val="24"/>
          <w:highlight w:val="none"/>
        </w:rPr>
      </w:pPr>
      <w:r>
        <w:rPr>
          <w:rFonts w:hint="eastAsia" w:ascii="宋体"/>
          <w:color w:val="auto"/>
          <w:sz w:val="24"/>
          <w:szCs w:val="24"/>
          <w:highlight w:val="none"/>
        </w:rPr>
        <w:t>抗干扰</w:t>
      </w:r>
    </w:p>
    <w:p w14:paraId="1551E266">
      <w:pPr>
        <w:spacing w:line="360" w:lineRule="auto"/>
        <w:ind w:firstLine="480" w:firstLineChars="200"/>
        <w:rPr>
          <w:color w:val="auto"/>
          <w:sz w:val="24"/>
          <w:szCs w:val="24"/>
          <w:highlight w:val="none"/>
        </w:rPr>
      </w:pPr>
      <w:r>
        <w:rPr>
          <w:rFonts w:hint="eastAsia" w:ascii="宋体"/>
          <w:color w:val="auto"/>
          <w:sz w:val="24"/>
          <w:szCs w:val="24"/>
          <w:highlight w:val="none"/>
        </w:rPr>
        <w:t>过电压、一次回路操作、升压站故障和二次回路操作或在其它强电磁场干扰作用下，装置包括测量元件、逻辑控制元件，均不应误动作</w:t>
      </w:r>
      <w:r>
        <w:rPr>
          <w:rFonts w:ascii="宋体"/>
          <w:color w:val="auto"/>
          <w:sz w:val="24"/>
          <w:szCs w:val="24"/>
          <w:highlight w:val="none"/>
        </w:rPr>
        <w:t>且满足技术指标要求</w:t>
      </w:r>
      <w:r>
        <w:rPr>
          <w:rFonts w:hint="eastAsia" w:ascii="宋体"/>
          <w:color w:val="auto"/>
          <w:sz w:val="24"/>
          <w:szCs w:val="24"/>
          <w:highlight w:val="none"/>
        </w:rPr>
        <w:t>。</w:t>
      </w:r>
      <w:r>
        <w:rPr>
          <w:rFonts w:ascii="宋体"/>
          <w:color w:val="auto"/>
          <w:sz w:val="24"/>
          <w:szCs w:val="24"/>
          <w:highlight w:val="none"/>
        </w:rPr>
        <w:t>装置不应要求其交</w:t>
      </w:r>
      <w:r>
        <w:rPr>
          <w:rFonts w:hint="eastAsia" w:ascii="宋体"/>
          <w:color w:val="auto"/>
          <w:sz w:val="24"/>
          <w:szCs w:val="24"/>
          <w:highlight w:val="none"/>
        </w:rPr>
        <w:t>、</w:t>
      </w:r>
      <w:r>
        <w:rPr>
          <w:rFonts w:ascii="宋体"/>
          <w:color w:val="auto"/>
          <w:sz w:val="24"/>
          <w:szCs w:val="24"/>
          <w:highlight w:val="none"/>
        </w:rPr>
        <w:t>直流输入回路外接抗干扰元件来满足有关电磁兼容标准的要求。</w:t>
      </w:r>
      <w:r>
        <w:rPr>
          <w:rFonts w:hint="eastAsia" w:ascii="宋体"/>
          <w:color w:val="auto"/>
          <w:sz w:val="24"/>
          <w:szCs w:val="24"/>
          <w:highlight w:val="none"/>
        </w:rPr>
        <w:t>所有</w:t>
      </w:r>
      <w:r>
        <w:rPr>
          <w:rFonts w:ascii="宋体"/>
          <w:color w:val="auto"/>
          <w:sz w:val="24"/>
          <w:szCs w:val="24"/>
          <w:highlight w:val="none"/>
        </w:rPr>
        <w:t>I/O测控单元</w:t>
      </w:r>
      <w:r>
        <w:rPr>
          <w:rFonts w:hint="eastAsia" w:ascii="宋体"/>
          <w:color w:val="auto"/>
          <w:sz w:val="24"/>
          <w:szCs w:val="24"/>
          <w:highlight w:val="none"/>
        </w:rPr>
        <w:t>和远动通信装置应至少满足下列抗扰度试验等级要求：（下述标准和规范仅规定了最低要求，只要投标人认为有必要且经招标人认可，即可超越这些标准，采用更好、更经济的设计和材料，以使投标人设备能持续稳定可靠地运行。）</w:t>
      </w:r>
    </w:p>
    <w:p w14:paraId="4149EF8B">
      <w:pPr>
        <w:numPr>
          <w:ilvl w:val="0"/>
          <w:numId w:val="10"/>
        </w:numPr>
        <w:spacing w:line="360" w:lineRule="auto"/>
        <w:rPr>
          <w:rFonts w:ascii="宋体"/>
          <w:color w:val="auto"/>
          <w:sz w:val="24"/>
          <w:szCs w:val="24"/>
          <w:highlight w:val="none"/>
        </w:rPr>
      </w:pPr>
      <w:r>
        <w:rPr>
          <w:rFonts w:hint="eastAsia" w:ascii="宋体"/>
          <w:color w:val="auto"/>
          <w:sz w:val="24"/>
          <w:szCs w:val="24"/>
          <w:highlight w:val="none"/>
        </w:rPr>
        <w:t>高频干扰试验：共模电压</w:t>
      </w:r>
      <w:r>
        <w:rPr>
          <w:rFonts w:ascii="宋体"/>
          <w:color w:val="auto"/>
          <w:sz w:val="24"/>
          <w:szCs w:val="24"/>
          <w:highlight w:val="none"/>
        </w:rPr>
        <w:t>2.5kV</w:t>
      </w:r>
      <w:r>
        <w:rPr>
          <w:rFonts w:hint="eastAsia" w:ascii="宋体"/>
          <w:color w:val="auto"/>
          <w:sz w:val="24"/>
          <w:szCs w:val="24"/>
          <w:highlight w:val="none"/>
        </w:rPr>
        <w:t>，串模电压</w:t>
      </w:r>
      <w:r>
        <w:rPr>
          <w:rFonts w:ascii="宋体"/>
          <w:color w:val="auto"/>
          <w:sz w:val="24"/>
          <w:szCs w:val="24"/>
          <w:highlight w:val="none"/>
        </w:rPr>
        <w:t>1kV</w:t>
      </w:r>
      <w:r>
        <w:rPr>
          <w:rFonts w:hint="eastAsia" w:ascii="宋体"/>
          <w:color w:val="auto"/>
          <w:sz w:val="24"/>
          <w:szCs w:val="24"/>
          <w:highlight w:val="none"/>
        </w:rPr>
        <w:t>，频率</w:t>
      </w:r>
      <w:r>
        <w:rPr>
          <w:rFonts w:ascii="宋体"/>
          <w:color w:val="auto"/>
          <w:sz w:val="24"/>
          <w:szCs w:val="24"/>
          <w:highlight w:val="none"/>
        </w:rPr>
        <w:t>1</w:t>
      </w:r>
      <w:r>
        <w:rPr>
          <w:rFonts w:ascii="宋体"/>
          <w:color w:val="auto"/>
          <w:sz w:val="24"/>
          <w:szCs w:val="24"/>
          <w:highlight w:val="none"/>
        </w:rPr>
        <w:sym w:font="Symbol" w:char="F0B1"/>
      </w:r>
      <w:r>
        <w:rPr>
          <w:rFonts w:ascii="宋体"/>
          <w:color w:val="auto"/>
          <w:sz w:val="24"/>
          <w:szCs w:val="24"/>
          <w:highlight w:val="none"/>
        </w:rPr>
        <w:t>0.1MHZ</w:t>
      </w:r>
      <w:r>
        <w:rPr>
          <w:rFonts w:hint="eastAsia" w:ascii="宋体"/>
          <w:color w:val="auto"/>
          <w:sz w:val="24"/>
          <w:szCs w:val="24"/>
          <w:highlight w:val="none"/>
        </w:rPr>
        <w:t>，衰减振荡波</w:t>
      </w:r>
      <w:r>
        <w:rPr>
          <w:rFonts w:ascii="宋体"/>
          <w:color w:val="auto"/>
          <w:sz w:val="24"/>
          <w:szCs w:val="24"/>
          <w:highlight w:val="none"/>
        </w:rPr>
        <w:t>400</w:t>
      </w:r>
      <w:r>
        <w:rPr>
          <w:rFonts w:hint="eastAsia" w:ascii="宋体"/>
          <w:color w:val="auto"/>
          <w:sz w:val="24"/>
          <w:szCs w:val="24"/>
          <w:highlight w:val="none"/>
        </w:rPr>
        <w:t>次</w:t>
      </w:r>
      <w:r>
        <w:rPr>
          <w:rFonts w:ascii="宋体"/>
          <w:color w:val="auto"/>
          <w:sz w:val="24"/>
          <w:szCs w:val="24"/>
          <w:highlight w:val="none"/>
        </w:rPr>
        <w:t>/S</w:t>
      </w:r>
      <w:r>
        <w:rPr>
          <w:rFonts w:hint="eastAsia" w:ascii="宋体"/>
          <w:color w:val="auto"/>
          <w:sz w:val="24"/>
          <w:szCs w:val="24"/>
          <w:highlight w:val="none"/>
        </w:rPr>
        <w:t>；</w:t>
      </w:r>
    </w:p>
    <w:p w14:paraId="78B2F82D">
      <w:pPr>
        <w:numPr>
          <w:ilvl w:val="0"/>
          <w:numId w:val="10"/>
        </w:numPr>
        <w:spacing w:line="360" w:lineRule="auto"/>
        <w:rPr>
          <w:rFonts w:ascii="宋体"/>
          <w:color w:val="auto"/>
          <w:sz w:val="24"/>
          <w:szCs w:val="24"/>
          <w:highlight w:val="none"/>
        </w:rPr>
      </w:pPr>
      <w:r>
        <w:rPr>
          <w:rFonts w:hint="eastAsia" w:ascii="宋体"/>
          <w:color w:val="auto"/>
          <w:sz w:val="24"/>
          <w:szCs w:val="24"/>
          <w:highlight w:val="none"/>
        </w:rPr>
        <w:t>耐冲击电压试验：</w:t>
      </w:r>
      <w:r>
        <w:rPr>
          <w:rFonts w:ascii="宋体"/>
          <w:color w:val="auto"/>
          <w:sz w:val="24"/>
          <w:szCs w:val="24"/>
          <w:highlight w:val="none"/>
        </w:rPr>
        <w:t>5kV</w:t>
      </w:r>
      <w:r>
        <w:rPr>
          <w:rFonts w:hint="eastAsia" w:ascii="宋体"/>
          <w:color w:val="auto"/>
          <w:sz w:val="24"/>
          <w:szCs w:val="24"/>
          <w:highlight w:val="none"/>
        </w:rPr>
        <w:t>，</w:t>
      </w:r>
      <w:r>
        <w:rPr>
          <w:rFonts w:ascii="宋体"/>
          <w:color w:val="auto"/>
          <w:sz w:val="24"/>
          <w:szCs w:val="24"/>
          <w:highlight w:val="none"/>
        </w:rPr>
        <w:t>1.2/50</w:t>
      </w:r>
      <w:r>
        <w:rPr>
          <w:rFonts w:ascii="宋体"/>
          <w:color w:val="auto"/>
          <w:sz w:val="24"/>
          <w:szCs w:val="24"/>
          <w:highlight w:val="none"/>
        </w:rPr>
        <w:sym w:font="Symbol" w:char="F06D"/>
      </w:r>
      <w:r>
        <w:rPr>
          <w:rFonts w:ascii="宋体"/>
          <w:color w:val="auto"/>
          <w:sz w:val="24"/>
          <w:szCs w:val="24"/>
          <w:highlight w:val="none"/>
        </w:rPr>
        <w:t>s</w:t>
      </w:r>
      <w:r>
        <w:rPr>
          <w:rFonts w:hint="eastAsia" w:ascii="宋体"/>
          <w:color w:val="auto"/>
          <w:sz w:val="24"/>
          <w:szCs w:val="24"/>
          <w:highlight w:val="none"/>
        </w:rPr>
        <w:t>冲击波，三个正脉冲和三个负脉冲</w:t>
      </w:r>
      <w:r>
        <w:rPr>
          <w:rFonts w:ascii="宋体"/>
          <w:color w:val="auto"/>
          <w:sz w:val="24"/>
          <w:szCs w:val="24"/>
          <w:highlight w:val="none"/>
        </w:rPr>
        <w:t>5s</w:t>
      </w:r>
      <w:r>
        <w:rPr>
          <w:rFonts w:hint="eastAsia" w:ascii="宋体"/>
          <w:color w:val="auto"/>
          <w:sz w:val="24"/>
          <w:szCs w:val="24"/>
          <w:highlight w:val="none"/>
        </w:rPr>
        <w:t>；</w:t>
      </w:r>
    </w:p>
    <w:p w14:paraId="5B241A5C">
      <w:pPr>
        <w:numPr>
          <w:ilvl w:val="0"/>
          <w:numId w:val="10"/>
        </w:numPr>
        <w:spacing w:line="360" w:lineRule="auto"/>
        <w:rPr>
          <w:rFonts w:ascii="宋体"/>
          <w:color w:val="auto"/>
          <w:sz w:val="24"/>
          <w:szCs w:val="24"/>
          <w:highlight w:val="none"/>
        </w:rPr>
      </w:pPr>
      <w:r>
        <w:rPr>
          <w:rFonts w:hint="eastAsia" w:ascii="宋体"/>
          <w:color w:val="auto"/>
          <w:sz w:val="24"/>
          <w:szCs w:val="24"/>
          <w:highlight w:val="none"/>
        </w:rPr>
        <w:t>静态干扰：</w:t>
      </w:r>
      <w:r>
        <w:rPr>
          <w:rFonts w:ascii="宋体"/>
          <w:color w:val="auto"/>
          <w:sz w:val="24"/>
          <w:szCs w:val="24"/>
          <w:highlight w:val="none"/>
        </w:rPr>
        <w:t>2kV</w:t>
      </w:r>
      <w:r>
        <w:rPr>
          <w:rFonts w:hint="eastAsia" w:ascii="宋体"/>
          <w:color w:val="auto"/>
          <w:sz w:val="24"/>
          <w:szCs w:val="24"/>
          <w:highlight w:val="none"/>
        </w:rPr>
        <w:t>，</w:t>
      </w:r>
      <w:r>
        <w:rPr>
          <w:rFonts w:ascii="宋体"/>
          <w:color w:val="auto"/>
          <w:sz w:val="24"/>
          <w:szCs w:val="24"/>
          <w:highlight w:val="none"/>
        </w:rPr>
        <w:t>50ns</w:t>
      </w:r>
      <w:r>
        <w:rPr>
          <w:rFonts w:hint="eastAsia" w:ascii="宋体"/>
          <w:color w:val="auto"/>
          <w:sz w:val="24"/>
          <w:szCs w:val="24"/>
          <w:highlight w:val="none"/>
        </w:rPr>
        <w:t>，冲击时间为</w:t>
      </w:r>
      <w:r>
        <w:rPr>
          <w:rFonts w:ascii="宋体"/>
          <w:color w:val="auto"/>
          <w:sz w:val="24"/>
          <w:szCs w:val="24"/>
          <w:highlight w:val="none"/>
        </w:rPr>
        <w:t>15ms/5kHZ</w:t>
      </w:r>
      <w:r>
        <w:rPr>
          <w:rFonts w:hint="eastAsia" w:ascii="宋体"/>
          <w:color w:val="auto"/>
          <w:sz w:val="24"/>
          <w:szCs w:val="24"/>
          <w:highlight w:val="none"/>
        </w:rPr>
        <w:t>；</w:t>
      </w:r>
    </w:p>
    <w:p w14:paraId="5BACD139">
      <w:pPr>
        <w:numPr>
          <w:ilvl w:val="0"/>
          <w:numId w:val="10"/>
        </w:numPr>
        <w:spacing w:line="360" w:lineRule="auto"/>
        <w:rPr>
          <w:rFonts w:ascii="宋体"/>
          <w:color w:val="auto"/>
          <w:sz w:val="24"/>
          <w:szCs w:val="24"/>
          <w:highlight w:val="none"/>
        </w:rPr>
      </w:pPr>
      <w:r>
        <w:rPr>
          <w:rFonts w:hint="eastAsia" w:ascii="宋体"/>
          <w:color w:val="auto"/>
          <w:sz w:val="24"/>
          <w:szCs w:val="24"/>
          <w:highlight w:val="none"/>
        </w:rPr>
        <w:t>电磁场：</w:t>
      </w:r>
      <w:r>
        <w:rPr>
          <w:rFonts w:ascii="宋体"/>
          <w:color w:val="auto"/>
          <w:sz w:val="24"/>
          <w:szCs w:val="24"/>
          <w:highlight w:val="none"/>
        </w:rPr>
        <w:t>10V/m</w:t>
      </w:r>
      <w:r>
        <w:rPr>
          <w:rFonts w:hint="eastAsia" w:ascii="宋体"/>
          <w:color w:val="auto"/>
          <w:sz w:val="24"/>
          <w:szCs w:val="24"/>
          <w:highlight w:val="none"/>
        </w:rPr>
        <w:t>；</w:t>
      </w:r>
    </w:p>
    <w:p w14:paraId="13F50D8B">
      <w:pPr>
        <w:numPr>
          <w:ilvl w:val="0"/>
          <w:numId w:val="10"/>
        </w:numPr>
        <w:spacing w:line="360" w:lineRule="auto"/>
        <w:rPr>
          <w:rFonts w:ascii="宋体"/>
          <w:color w:val="auto"/>
          <w:sz w:val="24"/>
          <w:szCs w:val="24"/>
          <w:highlight w:val="none"/>
        </w:rPr>
      </w:pPr>
      <w:r>
        <w:rPr>
          <w:rFonts w:hint="eastAsia" w:ascii="宋体"/>
          <w:color w:val="auto"/>
          <w:sz w:val="24"/>
          <w:szCs w:val="24"/>
          <w:highlight w:val="none"/>
        </w:rPr>
        <w:t>静电：</w:t>
      </w:r>
      <w:r>
        <w:rPr>
          <w:rFonts w:ascii="宋体"/>
          <w:color w:val="auto"/>
          <w:sz w:val="24"/>
          <w:szCs w:val="24"/>
          <w:highlight w:val="none"/>
        </w:rPr>
        <w:t>15kV</w:t>
      </w:r>
      <w:r>
        <w:rPr>
          <w:rFonts w:hint="eastAsia" w:ascii="宋体"/>
          <w:color w:val="auto"/>
          <w:sz w:val="24"/>
          <w:szCs w:val="24"/>
          <w:highlight w:val="none"/>
        </w:rPr>
        <w:t>；</w:t>
      </w:r>
    </w:p>
    <w:p w14:paraId="12B550E5">
      <w:pPr>
        <w:numPr>
          <w:ilvl w:val="0"/>
          <w:numId w:val="10"/>
        </w:numPr>
        <w:spacing w:line="360" w:lineRule="auto"/>
        <w:rPr>
          <w:rFonts w:ascii="宋体"/>
          <w:color w:val="auto"/>
          <w:sz w:val="24"/>
          <w:szCs w:val="24"/>
          <w:highlight w:val="none"/>
        </w:rPr>
      </w:pPr>
      <w:r>
        <w:rPr>
          <w:rFonts w:hint="eastAsia" w:ascii="宋体"/>
          <w:color w:val="auto"/>
          <w:sz w:val="24"/>
          <w:szCs w:val="24"/>
          <w:highlight w:val="none"/>
        </w:rPr>
        <w:t>无线电干扰：离设备</w:t>
      </w:r>
      <w:r>
        <w:rPr>
          <w:rFonts w:ascii="宋体"/>
          <w:color w:val="auto"/>
          <w:sz w:val="24"/>
          <w:szCs w:val="24"/>
          <w:highlight w:val="none"/>
        </w:rPr>
        <w:t>1.2</w:t>
      </w:r>
      <w:r>
        <w:rPr>
          <w:rFonts w:hint="eastAsia" w:ascii="宋体"/>
          <w:color w:val="auto"/>
          <w:sz w:val="24"/>
          <w:szCs w:val="24"/>
          <w:highlight w:val="none"/>
        </w:rPr>
        <w:t>米，干扰源输出频率</w:t>
      </w:r>
      <w:r>
        <w:rPr>
          <w:rFonts w:ascii="宋体"/>
          <w:color w:val="auto"/>
          <w:sz w:val="24"/>
          <w:szCs w:val="24"/>
          <w:highlight w:val="none"/>
        </w:rPr>
        <w:t>470MHz</w:t>
      </w:r>
      <w:r>
        <w:rPr>
          <w:rFonts w:hint="eastAsia" w:ascii="宋体"/>
          <w:color w:val="auto"/>
          <w:sz w:val="24"/>
          <w:szCs w:val="24"/>
          <w:highlight w:val="none"/>
        </w:rPr>
        <w:t>以内，输出功率</w:t>
      </w:r>
      <w:r>
        <w:rPr>
          <w:rFonts w:ascii="宋体"/>
          <w:color w:val="auto"/>
          <w:sz w:val="24"/>
          <w:szCs w:val="24"/>
          <w:highlight w:val="none"/>
        </w:rPr>
        <w:t>50W</w:t>
      </w:r>
      <w:r>
        <w:rPr>
          <w:rFonts w:hint="eastAsia" w:ascii="宋体"/>
          <w:color w:val="auto"/>
          <w:sz w:val="24"/>
          <w:szCs w:val="24"/>
          <w:highlight w:val="none"/>
        </w:rPr>
        <w:t>，设备应保持持续运行。</w:t>
      </w:r>
    </w:p>
    <w:p w14:paraId="7903D816">
      <w:pPr>
        <w:snapToGrid w:val="0"/>
        <w:spacing w:line="360" w:lineRule="auto"/>
        <w:ind w:firstLine="600" w:firstLineChars="250"/>
        <w:rPr>
          <w:rFonts w:ascii="宋体"/>
          <w:color w:val="auto"/>
          <w:sz w:val="24"/>
          <w:szCs w:val="24"/>
          <w:highlight w:val="none"/>
        </w:rPr>
      </w:pPr>
      <w:r>
        <w:rPr>
          <w:rFonts w:hint="eastAsia" w:ascii="宋体"/>
          <w:color w:val="auto"/>
          <w:sz w:val="24"/>
          <w:szCs w:val="24"/>
          <w:highlight w:val="none"/>
        </w:rPr>
        <w:t>7）对静电放电</w:t>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 xml:space="preserve">   符合</w:t>
      </w:r>
      <w:r>
        <w:rPr>
          <w:rFonts w:ascii="宋体"/>
          <w:color w:val="auto"/>
          <w:sz w:val="24"/>
          <w:szCs w:val="24"/>
          <w:highlight w:val="none"/>
        </w:rPr>
        <w:t>GB/T17626</w:t>
      </w:r>
      <w:r>
        <w:rPr>
          <w:rFonts w:hint="eastAsia" w:ascii="宋体"/>
          <w:color w:val="auto"/>
          <w:sz w:val="24"/>
          <w:szCs w:val="24"/>
          <w:highlight w:val="none"/>
        </w:rPr>
        <w:t>-4-</w:t>
      </w:r>
      <w:r>
        <w:rPr>
          <w:rFonts w:ascii="宋体"/>
          <w:color w:val="auto"/>
          <w:sz w:val="24"/>
          <w:szCs w:val="24"/>
          <w:highlight w:val="none"/>
        </w:rPr>
        <w:t>2</w:t>
      </w:r>
      <w:r>
        <w:rPr>
          <w:rFonts w:ascii="宋体"/>
          <w:color w:val="auto"/>
          <w:sz w:val="24"/>
          <w:szCs w:val="24"/>
          <w:highlight w:val="none"/>
        </w:rPr>
        <w:tab/>
      </w:r>
      <w:r>
        <w:rPr>
          <w:rFonts w:ascii="宋体"/>
          <w:color w:val="auto"/>
          <w:sz w:val="24"/>
          <w:szCs w:val="24"/>
          <w:highlight w:val="none"/>
        </w:rPr>
        <w:tab/>
      </w:r>
      <w:r>
        <w:rPr>
          <w:rFonts w:hint="eastAsia" w:ascii="宋体"/>
          <w:color w:val="auto"/>
          <w:sz w:val="24"/>
          <w:szCs w:val="24"/>
          <w:highlight w:val="none"/>
        </w:rPr>
        <w:t>4级</w:t>
      </w:r>
    </w:p>
    <w:p w14:paraId="0CAFDCB7">
      <w:pPr>
        <w:snapToGrid w:val="0"/>
        <w:spacing w:line="360" w:lineRule="auto"/>
        <w:ind w:firstLine="600" w:firstLineChars="250"/>
        <w:rPr>
          <w:rFonts w:ascii="宋体"/>
          <w:color w:val="auto"/>
          <w:sz w:val="24"/>
          <w:szCs w:val="24"/>
          <w:highlight w:val="none"/>
        </w:rPr>
      </w:pPr>
      <w:r>
        <w:rPr>
          <w:rFonts w:hint="eastAsia" w:ascii="宋体"/>
          <w:color w:val="auto"/>
          <w:sz w:val="24"/>
          <w:szCs w:val="24"/>
          <w:highlight w:val="none"/>
        </w:rPr>
        <w:t>8）对辐射、无线电频率</w:t>
      </w:r>
      <w:r>
        <w:rPr>
          <w:rFonts w:hint="eastAsia" w:ascii="宋体"/>
          <w:color w:val="auto"/>
          <w:sz w:val="24"/>
          <w:szCs w:val="24"/>
          <w:highlight w:val="none"/>
        </w:rPr>
        <w:tab/>
      </w:r>
      <w:r>
        <w:rPr>
          <w:rFonts w:hint="eastAsia" w:ascii="宋体"/>
          <w:color w:val="auto"/>
          <w:sz w:val="24"/>
          <w:szCs w:val="24"/>
          <w:highlight w:val="none"/>
        </w:rPr>
        <w:t>符合</w:t>
      </w:r>
      <w:r>
        <w:rPr>
          <w:rFonts w:ascii="宋体"/>
          <w:color w:val="auto"/>
          <w:sz w:val="24"/>
          <w:szCs w:val="24"/>
          <w:highlight w:val="none"/>
        </w:rPr>
        <w:t>GB/T17626</w:t>
      </w:r>
      <w:r>
        <w:rPr>
          <w:rFonts w:hint="eastAsia" w:ascii="宋体"/>
          <w:color w:val="auto"/>
          <w:sz w:val="24"/>
          <w:szCs w:val="24"/>
          <w:highlight w:val="none"/>
        </w:rPr>
        <w:t>-4-</w:t>
      </w:r>
      <w:r>
        <w:rPr>
          <w:rFonts w:ascii="宋体"/>
          <w:color w:val="auto"/>
          <w:sz w:val="24"/>
          <w:szCs w:val="24"/>
          <w:highlight w:val="none"/>
        </w:rPr>
        <w:t>3</w:t>
      </w:r>
      <w:r>
        <w:rPr>
          <w:rFonts w:ascii="宋体"/>
          <w:color w:val="auto"/>
          <w:sz w:val="24"/>
          <w:szCs w:val="24"/>
          <w:highlight w:val="none"/>
        </w:rPr>
        <w:tab/>
      </w:r>
      <w:r>
        <w:rPr>
          <w:rFonts w:hint="eastAsia" w:ascii="宋体"/>
          <w:color w:val="auto"/>
          <w:sz w:val="24"/>
          <w:szCs w:val="24"/>
          <w:highlight w:val="none"/>
        </w:rPr>
        <w:t xml:space="preserve">    3级</w:t>
      </w:r>
      <w:r>
        <w:rPr>
          <w:rFonts w:ascii="宋体"/>
          <w:color w:val="auto"/>
          <w:sz w:val="24"/>
          <w:szCs w:val="24"/>
          <w:highlight w:val="none"/>
        </w:rPr>
        <w:t>（</w:t>
      </w:r>
      <w:r>
        <w:rPr>
          <w:rFonts w:hint="eastAsia" w:ascii="宋体"/>
          <w:color w:val="auto"/>
          <w:sz w:val="24"/>
          <w:szCs w:val="24"/>
          <w:highlight w:val="none"/>
        </w:rPr>
        <w:t>网络要求5级</w:t>
      </w:r>
      <w:r>
        <w:rPr>
          <w:rFonts w:ascii="宋体"/>
          <w:color w:val="auto"/>
          <w:sz w:val="24"/>
          <w:szCs w:val="24"/>
          <w:highlight w:val="none"/>
        </w:rPr>
        <w:t>）</w:t>
      </w:r>
    </w:p>
    <w:p w14:paraId="3C74E0BB">
      <w:pPr>
        <w:snapToGrid w:val="0"/>
        <w:spacing w:line="360" w:lineRule="auto"/>
        <w:ind w:firstLine="600" w:firstLineChars="250"/>
        <w:rPr>
          <w:rFonts w:ascii="宋体"/>
          <w:color w:val="auto"/>
          <w:sz w:val="24"/>
          <w:szCs w:val="24"/>
          <w:highlight w:val="none"/>
        </w:rPr>
      </w:pPr>
      <w:r>
        <w:rPr>
          <w:rFonts w:hint="eastAsia" w:ascii="宋体"/>
          <w:color w:val="auto"/>
          <w:sz w:val="24"/>
          <w:szCs w:val="24"/>
          <w:highlight w:val="none"/>
        </w:rPr>
        <w:t>9）对快速瞬变电脉冲</w:t>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 xml:space="preserve">   符合</w:t>
      </w:r>
      <w:r>
        <w:rPr>
          <w:rFonts w:ascii="宋体"/>
          <w:color w:val="auto"/>
          <w:sz w:val="24"/>
          <w:szCs w:val="24"/>
          <w:highlight w:val="none"/>
        </w:rPr>
        <w:t>GB/T17626</w:t>
      </w:r>
      <w:r>
        <w:rPr>
          <w:rFonts w:hint="eastAsia" w:ascii="宋体"/>
          <w:color w:val="auto"/>
          <w:sz w:val="24"/>
          <w:szCs w:val="24"/>
          <w:highlight w:val="none"/>
        </w:rPr>
        <w:t>-4-</w:t>
      </w:r>
      <w:r>
        <w:rPr>
          <w:rFonts w:ascii="宋体"/>
          <w:color w:val="auto"/>
          <w:sz w:val="24"/>
          <w:szCs w:val="24"/>
          <w:highlight w:val="none"/>
        </w:rPr>
        <w:t>4</w:t>
      </w:r>
      <w:r>
        <w:rPr>
          <w:rFonts w:ascii="宋体"/>
          <w:color w:val="auto"/>
          <w:sz w:val="24"/>
          <w:szCs w:val="24"/>
          <w:highlight w:val="none"/>
        </w:rPr>
        <w:tab/>
      </w:r>
      <w:r>
        <w:rPr>
          <w:rFonts w:ascii="宋体"/>
          <w:color w:val="auto"/>
          <w:sz w:val="24"/>
          <w:szCs w:val="24"/>
          <w:highlight w:val="none"/>
        </w:rPr>
        <w:tab/>
      </w:r>
      <w:r>
        <w:rPr>
          <w:rFonts w:hint="eastAsia" w:ascii="宋体"/>
          <w:color w:val="auto"/>
          <w:sz w:val="24"/>
          <w:szCs w:val="24"/>
          <w:highlight w:val="none"/>
        </w:rPr>
        <w:t>4级</w:t>
      </w:r>
    </w:p>
    <w:p w14:paraId="3074C19E">
      <w:pPr>
        <w:snapToGrid w:val="0"/>
        <w:spacing w:line="360" w:lineRule="auto"/>
        <w:ind w:firstLine="480" w:firstLineChars="200"/>
        <w:rPr>
          <w:rFonts w:ascii="宋体"/>
          <w:color w:val="auto"/>
          <w:sz w:val="24"/>
          <w:szCs w:val="24"/>
          <w:highlight w:val="none"/>
        </w:rPr>
      </w:pPr>
      <w:r>
        <w:rPr>
          <w:rFonts w:hint="eastAsia" w:ascii="宋体"/>
          <w:color w:val="auto"/>
          <w:sz w:val="24"/>
          <w:szCs w:val="24"/>
          <w:highlight w:val="none"/>
        </w:rPr>
        <w:t>10）对浪涌</w:t>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 xml:space="preserve">   符合</w:t>
      </w:r>
      <w:r>
        <w:rPr>
          <w:rFonts w:ascii="宋体"/>
          <w:color w:val="auto"/>
          <w:sz w:val="24"/>
          <w:szCs w:val="24"/>
          <w:highlight w:val="none"/>
        </w:rPr>
        <w:t>GB/T17626</w:t>
      </w:r>
      <w:r>
        <w:rPr>
          <w:rFonts w:hint="eastAsia" w:ascii="宋体"/>
          <w:color w:val="auto"/>
          <w:sz w:val="24"/>
          <w:szCs w:val="24"/>
          <w:highlight w:val="none"/>
        </w:rPr>
        <w:t>-4-5</w:t>
      </w:r>
      <w:r>
        <w:rPr>
          <w:rFonts w:ascii="宋体"/>
          <w:color w:val="auto"/>
          <w:sz w:val="24"/>
          <w:szCs w:val="24"/>
          <w:highlight w:val="none"/>
        </w:rPr>
        <w:tab/>
      </w:r>
      <w:r>
        <w:rPr>
          <w:rFonts w:ascii="宋体"/>
          <w:color w:val="auto"/>
          <w:sz w:val="24"/>
          <w:szCs w:val="24"/>
          <w:highlight w:val="none"/>
        </w:rPr>
        <w:tab/>
      </w:r>
      <w:r>
        <w:rPr>
          <w:rFonts w:hint="eastAsia" w:ascii="宋体"/>
          <w:color w:val="auto"/>
          <w:sz w:val="24"/>
          <w:szCs w:val="24"/>
          <w:highlight w:val="none"/>
        </w:rPr>
        <w:t>4级</w:t>
      </w:r>
    </w:p>
    <w:p w14:paraId="71F1A4C9">
      <w:pPr>
        <w:snapToGrid w:val="0"/>
        <w:spacing w:line="360" w:lineRule="auto"/>
        <w:ind w:firstLine="480" w:firstLineChars="200"/>
        <w:rPr>
          <w:rFonts w:ascii="宋体"/>
          <w:color w:val="auto"/>
          <w:sz w:val="24"/>
          <w:szCs w:val="24"/>
          <w:highlight w:val="none"/>
        </w:rPr>
      </w:pPr>
      <w:r>
        <w:rPr>
          <w:rFonts w:hint="eastAsia" w:ascii="宋体"/>
          <w:color w:val="auto"/>
          <w:sz w:val="24"/>
          <w:szCs w:val="24"/>
          <w:highlight w:val="none"/>
        </w:rPr>
        <w:t>11）对传导干扰、射频场感应</w:t>
      </w:r>
      <w:r>
        <w:rPr>
          <w:rFonts w:hint="eastAsia" w:ascii="宋体"/>
          <w:color w:val="auto"/>
          <w:sz w:val="24"/>
          <w:szCs w:val="24"/>
          <w:highlight w:val="none"/>
        </w:rPr>
        <w:tab/>
      </w:r>
      <w:r>
        <w:rPr>
          <w:rFonts w:hint="eastAsia" w:ascii="宋体"/>
          <w:color w:val="auto"/>
          <w:sz w:val="24"/>
          <w:szCs w:val="24"/>
          <w:highlight w:val="none"/>
        </w:rPr>
        <w:t>符合</w:t>
      </w:r>
      <w:r>
        <w:rPr>
          <w:rFonts w:ascii="宋体"/>
          <w:color w:val="auto"/>
          <w:sz w:val="24"/>
          <w:szCs w:val="24"/>
          <w:highlight w:val="none"/>
        </w:rPr>
        <w:t>GB/T17626-4-6</w:t>
      </w:r>
      <w:r>
        <w:rPr>
          <w:rFonts w:ascii="宋体"/>
          <w:color w:val="auto"/>
          <w:sz w:val="24"/>
          <w:szCs w:val="24"/>
          <w:highlight w:val="none"/>
        </w:rPr>
        <w:tab/>
      </w:r>
      <w:r>
        <w:rPr>
          <w:rFonts w:hint="eastAsia" w:ascii="宋体"/>
          <w:color w:val="auto"/>
          <w:sz w:val="24"/>
          <w:szCs w:val="24"/>
          <w:highlight w:val="none"/>
        </w:rPr>
        <w:t>4级</w:t>
      </w:r>
    </w:p>
    <w:p w14:paraId="2BA694A7">
      <w:pPr>
        <w:snapToGrid w:val="0"/>
        <w:spacing w:line="360" w:lineRule="auto"/>
        <w:ind w:firstLine="480" w:firstLineChars="200"/>
        <w:rPr>
          <w:rFonts w:ascii="宋体"/>
          <w:color w:val="auto"/>
          <w:sz w:val="24"/>
          <w:szCs w:val="24"/>
          <w:highlight w:val="none"/>
        </w:rPr>
      </w:pPr>
      <w:r>
        <w:rPr>
          <w:rFonts w:hint="eastAsia" w:ascii="宋体"/>
          <w:color w:val="auto"/>
          <w:sz w:val="24"/>
          <w:szCs w:val="24"/>
          <w:highlight w:val="none"/>
        </w:rPr>
        <w:t>12）对电源频率磁场</w:t>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符合</w:t>
      </w:r>
      <w:r>
        <w:rPr>
          <w:rFonts w:ascii="宋体"/>
          <w:color w:val="auto"/>
          <w:sz w:val="24"/>
          <w:szCs w:val="24"/>
          <w:highlight w:val="none"/>
        </w:rPr>
        <w:t>GB/T17626</w:t>
      </w:r>
      <w:r>
        <w:rPr>
          <w:rFonts w:hint="eastAsia" w:ascii="宋体"/>
          <w:color w:val="auto"/>
          <w:sz w:val="24"/>
          <w:szCs w:val="24"/>
          <w:highlight w:val="none"/>
        </w:rPr>
        <w:t>-4-8</w:t>
      </w:r>
      <w:r>
        <w:rPr>
          <w:rFonts w:ascii="宋体"/>
          <w:color w:val="auto"/>
          <w:sz w:val="24"/>
          <w:szCs w:val="24"/>
          <w:highlight w:val="none"/>
        </w:rPr>
        <w:tab/>
      </w:r>
      <w:r>
        <w:rPr>
          <w:rFonts w:ascii="宋体"/>
          <w:color w:val="auto"/>
          <w:sz w:val="24"/>
          <w:szCs w:val="24"/>
          <w:highlight w:val="none"/>
        </w:rPr>
        <w:tab/>
      </w:r>
      <w:r>
        <w:rPr>
          <w:rFonts w:hint="eastAsia" w:ascii="宋体"/>
          <w:color w:val="auto"/>
          <w:sz w:val="24"/>
          <w:szCs w:val="24"/>
          <w:highlight w:val="none"/>
        </w:rPr>
        <w:t>4级</w:t>
      </w:r>
    </w:p>
    <w:p w14:paraId="0BB7882E">
      <w:pPr>
        <w:snapToGrid w:val="0"/>
        <w:spacing w:line="360" w:lineRule="auto"/>
        <w:ind w:firstLine="480" w:firstLineChars="200"/>
        <w:rPr>
          <w:rFonts w:ascii="宋体"/>
          <w:color w:val="auto"/>
          <w:sz w:val="24"/>
          <w:szCs w:val="24"/>
          <w:highlight w:val="none"/>
        </w:rPr>
      </w:pPr>
      <w:r>
        <w:rPr>
          <w:rFonts w:hint="eastAsia" w:ascii="宋体"/>
          <w:color w:val="auto"/>
          <w:sz w:val="24"/>
          <w:szCs w:val="24"/>
          <w:highlight w:val="none"/>
        </w:rPr>
        <w:t>13）对脉冲磁场</w:t>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符合</w:t>
      </w:r>
      <w:r>
        <w:rPr>
          <w:rFonts w:ascii="宋体"/>
          <w:color w:val="auto"/>
          <w:sz w:val="24"/>
          <w:szCs w:val="24"/>
          <w:highlight w:val="none"/>
        </w:rPr>
        <w:t>GB/T17626</w:t>
      </w:r>
      <w:r>
        <w:rPr>
          <w:rFonts w:hint="eastAsia" w:ascii="宋体"/>
          <w:color w:val="auto"/>
          <w:sz w:val="24"/>
          <w:szCs w:val="24"/>
          <w:highlight w:val="none"/>
        </w:rPr>
        <w:t>-4-9</w:t>
      </w:r>
      <w:r>
        <w:rPr>
          <w:rFonts w:ascii="宋体"/>
          <w:color w:val="auto"/>
          <w:sz w:val="24"/>
          <w:szCs w:val="24"/>
          <w:highlight w:val="none"/>
        </w:rPr>
        <w:tab/>
      </w:r>
      <w:r>
        <w:rPr>
          <w:rFonts w:ascii="宋体"/>
          <w:color w:val="auto"/>
          <w:sz w:val="24"/>
          <w:szCs w:val="24"/>
          <w:highlight w:val="none"/>
        </w:rPr>
        <w:tab/>
      </w:r>
      <w:r>
        <w:rPr>
          <w:rFonts w:hint="eastAsia" w:ascii="宋体"/>
          <w:color w:val="auto"/>
          <w:sz w:val="24"/>
          <w:szCs w:val="24"/>
          <w:highlight w:val="none"/>
        </w:rPr>
        <w:t>5级</w:t>
      </w:r>
    </w:p>
    <w:p w14:paraId="7C183248">
      <w:pPr>
        <w:snapToGrid w:val="0"/>
        <w:spacing w:line="360" w:lineRule="auto"/>
        <w:ind w:firstLine="480" w:firstLineChars="200"/>
        <w:rPr>
          <w:rFonts w:ascii="宋体"/>
          <w:color w:val="auto"/>
          <w:sz w:val="24"/>
          <w:szCs w:val="24"/>
          <w:highlight w:val="none"/>
        </w:rPr>
      </w:pPr>
      <w:r>
        <w:rPr>
          <w:rFonts w:hint="eastAsia" w:ascii="宋体"/>
          <w:color w:val="auto"/>
          <w:sz w:val="24"/>
          <w:szCs w:val="24"/>
          <w:highlight w:val="none"/>
        </w:rPr>
        <w:t>14）对衰减振荡磁场</w:t>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符合</w:t>
      </w:r>
      <w:r>
        <w:rPr>
          <w:rFonts w:ascii="宋体"/>
          <w:color w:val="auto"/>
          <w:sz w:val="24"/>
          <w:szCs w:val="24"/>
          <w:highlight w:val="none"/>
        </w:rPr>
        <w:t>GB/T17626</w:t>
      </w:r>
      <w:r>
        <w:rPr>
          <w:rFonts w:hint="eastAsia" w:ascii="宋体"/>
          <w:color w:val="auto"/>
          <w:sz w:val="24"/>
          <w:szCs w:val="24"/>
          <w:highlight w:val="none"/>
        </w:rPr>
        <w:t>-4-10</w:t>
      </w:r>
      <w:r>
        <w:rPr>
          <w:rFonts w:ascii="宋体"/>
          <w:color w:val="auto"/>
          <w:sz w:val="24"/>
          <w:szCs w:val="24"/>
          <w:highlight w:val="none"/>
        </w:rPr>
        <w:tab/>
      </w:r>
      <w:r>
        <w:rPr>
          <w:rFonts w:hint="eastAsia" w:ascii="宋体"/>
          <w:color w:val="auto"/>
          <w:sz w:val="24"/>
          <w:szCs w:val="24"/>
          <w:highlight w:val="none"/>
        </w:rPr>
        <w:t xml:space="preserve"> 5级</w:t>
      </w:r>
    </w:p>
    <w:p w14:paraId="667C2677">
      <w:pPr>
        <w:snapToGrid w:val="0"/>
        <w:spacing w:line="360" w:lineRule="auto"/>
        <w:ind w:firstLine="480" w:firstLineChars="200"/>
        <w:rPr>
          <w:rFonts w:ascii="宋体" w:hAnsi="宋体"/>
          <w:color w:val="auto"/>
          <w:sz w:val="24"/>
          <w:szCs w:val="24"/>
          <w:highlight w:val="none"/>
        </w:rPr>
      </w:pPr>
      <w:r>
        <w:rPr>
          <w:rFonts w:hint="eastAsia" w:ascii="宋体"/>
          <w:color w:val="auto"/>
          <w:sz w:val="24"/>
          <w:szCs w:val="24"/>
          <w:highlight w:val="none"/>
        </w:rPr>
        <w:t>15）对振荡波</w:t>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ab/>
      </w:r>
      <w:r>
        <w:rPr>
          <w:rFonts w:hint="eastAsia" w:ascii="宋体"/>
          <w:color w:val="auto"/>
          <w:sz w:val="24"/>
          <w:szCs w:val="24"/>
          <w:highlight w:val="none"/>
        </w:rPr>
        <w:t xml:space="preserve">       符合</w:t>
      </w:r>
      <w:r>
        <w:rPr>
          <w:rFonts w:ascii="宋体"/>
          <w:color w:val="auto"/>
          <w:sz w:val="24"/>
          <w:szCs w:val="24"/>
          <w:highlight w:val="none"/>
        </w:rPr>
        <w:t>GB/T17626</w:t>
      </w:r>
      <w:r>
        <w:rPr>
          <w:rFonts w:hint="eastAsia" w:ascii="宋体"/>
          <w:color w:val="auto"/>
          <w:sz w:val="24"/>
          <w:szCs w:val="24"/>
          <w:highlight w:val="none"/>
        </w:rPr>
        <w:t>-4-12</w:t>
      </w:r>
      <w:r>
        <w:rPr>
          <w:rFonts w:ascii="宋体"/>
          <w:color w:val="auto"/>
          <w:sz w:val="24"/>
          <w:szCs w:val="24"/>
          <w:highlight w:val="none"/>
        </w:rPr>
        <w:tab/>
      </w:r>
      <w:r>
        <w:rPr>
          <w:rFonts w:hint="eastAsia" w:ascii="宋体"/>
          <w:color w:val="auto"/>
          <w:sz w:val="24"/>
          <w:szCs w:val="24"/>
          <w:highlight w:val="none"/>
        </w:rPr>
        <w:t xml:space="preserve"> 2级</w:t>
      </w:r>
      <w:r>
        <w:rPr>
          <w:rFonts w:ascii="宋体"/>
          <w:color w:val="auto"/>
          <w:sz w:val="24"/>
          <w:szCs w:val="24"/>
          <w:highlight w:val="none"/>
        </w:rPr>
        <w:t>（</w:t>
      </w:r>
      <w:r>
        <w:rPr>
          <w:rFonts w:hint="eastAsia" w:ascii="宋体"/>
          <w:color w:val="auto"/>
          <w:sz w:val="24"/>
          <w:szCs w:val="24"/>
          <w:highlight w:val="none"/>
        </w:rPr>
        <w:t>信号端口</w:t>
      </w:r>
      <w:r>
        <w:rPr>
          <w:rFonts w:ascii="宋体"/>
          <w:color w:val="auto"/>
          <w:sz w:val="24"/>
          <w:szCs w:val="24"/>
          <w:highlight w:val="none"/>
        </w:rPr>
        <w:t>）</w:t>
      </w:r>
    </w:p>
    <w:p w14:paraId="3646D36B">
      <w:pPr>
        <w:spacing w:line="360" w:lineRule="auto"/>
        <w:rPr>
          <w:rFonts w:ascii="宋体"/>
          <w:color w:val="auto"/>
          <w:sz w:val="24"/>
          <w:szCs w:val="24"/>
          <w:highlight w:val="none"/>
        </w:rPr>
      </w:pPr>
      <w:r>
        <w:rPr>
          <w:rFonts w:hint="eastAsia" w:ascii="宋体"/>
          <w:color w:val="auto"/>
          <w:sz w:val="24"/>
          <w:szCs w:val="24"/>
          <w:highlight w:val="none"/>
        </w:rPr>
        <w:t>3.3.4电源</w:t>
      </w:r>
    </w:p>
    <w:p w14:paraId="7EFE09AA">
      <w:pPr>
        <w:spacing w:line="360" w:lineRule="auto"/>
        <w:rPr>
          <w:rFonts w:ascii="宋体"/>
          <w:color w:val="auto"/>
          <w:sz w:val="24"/>
          <w:szCs w:val="24"/>
          <w:highlight w:val="none"/>
        </w:rPr>
      </w:pPr>
      <w:r>
        <w:rPr>
          <w:rFonts w:hint="eastAsia" w:ascii="宋体"/>
          <w:color w:val="auto"/>
          <w:kern w:val="0"/>
          <w:sz w:val="24"/>
          <w:szCs w:val="24"/>
          <w:highlight w:val="none"/>
        </w:rPr>
        <w:tab/>
      </w:r>
      <w:r>
        <w:rPr>
          <w:rFonts w:hint="eastAsia" w:ascii="宋体"/>
          <w:color w:val="auto"/>
          <w:sz w:val="24"/>
          <w:szCs w:val="24"/>
          <w:highlight w:val="none"/>
        </w:rPr>
        <w:t>计算机监控系统的工作电源由招标人提供如下:</w:t>
      </w:r>
    </w:p>
    <w:p w14:paraId="33D5ACE0">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交流不停电电源:（单元机组电气继电器室）</w:t>
      </w:r>
    </w:p>
    <w:p w14:paraId="40BFAE58">
      <w:pPr>
        <w:numPr>
          <w:ilvl w:val="0"/>
          <w:numId w:val="11"/>
        </w:numPr>
        <w:tabs>
          <w:tab w:val="left" w:pos="1120"/>
          <w:tab w:val="clear" w:pos="1494"/>
        </w:tabs>
        <w:spacing w:line="360" w:lineRule="auto"/>
        <w:ind w:left="280" w:firstLine="420"/>
        <w:rPr>
          <w:rFonts w:ascii="宋体"/>
          <w:color w:val="auto"/>
          <w:sz w:val="24"/>
          <w:szCs w:val="24"/>
          <w:highlight w:val="none"/>
        </w:rPr>
      </w:pPr>
      <w:r>
        <w:rPr>
          <w:rFonts w:hint="eastAsia" w:ascii="宋体"/>
          <w:color w:val="auto"/>
          <w:sz w:val="24"/>
          <w:szCs w:val="24"/>
          <w:highlight w:val="none"/>
        </w:rPr>
        <w:t xml:space="preserve">额定电压:  220V </w:t>
      </w:r>
      <w:r>
        <w:rPr>
          <w:rFonts w:ascii="宋体"/>
          <w:color w:val="auto"/>
          <w:sz w:val="24"/>
          <w:szCs w:val="24"/>
          <w:highlight w:val="none"/>
        </w:rPr>
        <w:t>+5%</w:t>
      </w:r>
      <w:r>
        <w:rPr>
          <w:rFonts w:hint="eastAsia" w:ascii="宋体"/>
          <w:color w:val="auto"/>
          <w:sz w:val="24"/>
          <w:szCs w:val="24"/>
          <w:highlight w:val="none"/>
        </w:rPr>
        <w:t>～</w:t>
      </w:r>
      <w:r>
        <w:rPr>
          <w:rFonts w:ascii="宋体"/>
          <w:color w:val="auto"/>
          <w:sz w:val="24"/>
          <w:szCs w:val="24"/>
          <w:highlight w:val="none"/>
        </w:rPr>
        <w:t>-5%  (</w:t>
      </w:r>
      <w:r>
        <w:rPr>
          <w:rFonts w:hint="eastAsia" w:ascii="宋体"/>
          <w:color w:val="auto"/>
          <w:sz w:val="24"/>
          <w:szCs w:val="24"/>
          <w:highlight w:val="none"/>
        </w:rPr>
        <w:t>可两路分别来自于两段UPS母线)</w:t>
      </w:r>
    </w:p>
    <w:p w14:paraId="66E3F1D1">
      <w:pPr>
        <w:numPr>
          <w:ilvl w:val="0"/>
          <w:numId w:val="11"/>
        </w:numPr>
        <w:tabs>
          <w:tab w:val="left" w:pos="1120"/>
          <w:tab w:val="clear" w:pos="1494"/>
        </w:tabs>
        <w:spacing w:line="360" w:lineRule="auto"/>
        <w:ind w:left="280" w:firstLine="420"/>
        <w:rPr>
          <w:rFonts w:ascii="宋体"/>
          <w:color w:val="auto"/>
          <w:sz w:val="24"/>
          <w:szCs w:val="24"/>
          <w:highlight w:val="none"/>
        </w:rPr>
      </w:pPr>
      <w:r>
        <w:rPr>
          <w:rFonts w:hint="eastAsia" w:ascii="宋体"/>
          <w:color w:val="auto"/>
          <w:sz w:val="24"/>
          <w:szCs w:val="24"/>
          <w:highlight w:val="none"/>
        </w:rPr>
        <w:t>频率:      50H</w:t>
      </w:r>
      <w:r>
        <w:rPr>
          <w:rFonts w:ascii="宋体"/>
          <w:color w:val="auto"/>
          <w:sz w:val="24"/>
          <w:szCs w:val="24"/>
          <w:highlight w:val="none"/>
        </w:rPr>
        <w:t>z +0.1</w:t>
      </w:r>
      <w:r>
        <w:rPr>
          <w:rFonts w:hint="eastAsia" w:ascii="宋体"/>
          <w:color w:val="auto"/>
          <w:sz w:val="24"/>
          <w:szCs w:val="24"/>
          <w:highlight w:val="none"/>
        </w:rPr>
        <w:t>～</w:t>
      </w:r>
      <w:r>
        <w:rPr>
          <w:rFonts w:ascii="宋体"/>
          <w:color w:val="auto"/>
          <w:sz w:val="24"/>
          <w:szCs w:val="24"/>
          <w:highlight w:val="none"/>
        </w:rPr>
        <w:t>-0.1Hz</w:t>
      </w:r>
    </w:p>
    <w:p w14:paraId="59E26F3F">
      <w:pPr>
        <w:tabs>
          <w:tab w:val="left" w:pos="1120"/>
        </w:tabs>
        <w:spacing w:line="360" w:lineRule="auto"/>
        <w:ind w:left="280" w:firstLine="420"/>
        <w:rPr>
          <w:rFonts w:ascii="宋体"/>
          <w:color w:val="auto"/>
          <w:kern w:val="0"/>
          <w:sz w:val="24"/>
          <w:szCs w:val="24"/>
          <w:highlight w:val="none"/>
        </w:rPr>
      </w:pPr>
      <w:r>
        <w:rPr>
          <w:rFonts w:hint="eastAsia" w:ascii="宋体"/>
          <w:color w:val="auto"/>
          <w:sz w:val="24"/>
          <w:szCs w:val="24"/>
          <w:highlight w:val="none"/>
        </w:rPr>
        <w:t>直流:（网控继电器室和单元机组电气继电器室）</w:t>
      </w:r>
    </w:p>
    <w:p w14:paraId="34F3F665">
      <w:pPr>
        <w:numPr>
          <w:ilvl w:val="0"/>
          <w:numId w:val="11"/>
        </w:numPr>
        <w:tabs>
          <w:tab w:val="left" w:pos="1120"/>
          <w:tab w:val="clear" w:pos="1494"/>
        </w:tabs>
        <w:spacing w:line="360" w:lineRule="auto"/>
        <w:ind w:left="280" w:firstLine="420"/>
        <w:rPr>
          <w:rFonts w:ascii="宋体"/>
          <w:color w:val="auto"/>
          <w:kern w:val="0"/>
          <w:sz w:val="24"/>
          <w:szCs w:val="24"/>
          <w:highlight w:val="none"/>
        </w:rPr>
      </w:pPr>
      <w:r>
        <w:rPr>
          <w:rFonts w:hint="eastAsia" w:ascii="宋体"/>
          <w:color w:val="auto"/>
          <w:sz w:val="24"/>
          <w:szCs w:val="24"/>
          <w:highlight w:val="none"/>
        </w:rPr>
        <w:t>额定电压:</w:t>
      </w:r>
      <w:r>
        <w:rPr>
          <w:rFonts w:ascii="宋体"/>
          <w:color w:val="auto"/>
          <w:sz w:val="24"/>
          <w:szCs w:val="24"/>
          <w:highlight w:val="none"/>
          <w:u w:val="single"/>
        </w:rPr>
        <w:t xml:space="preserve"> 110V</w:t>
      </w:r>
      <w:r>
        <w:rPr>
          <w:rFonts w:ascii="宋体"/>
          <w:color w:val="auto"/>
          <w:sz w:val="24"/>
          <w:szCs w:val="24"/>
          <w:highlight w:val="none"/>
        </w:rPr>
        <w:t>+10%</w:t>
      </w:r>
      <w:r>
        <w:rPr>
          <w:rFonts w:hint="eastAsia" w:ascii="宋体"/>
          <w:color w:val="auto"/>
          <w:sz w:val="24"/>
          <w:szCs w:val="24"/>
          <w:highlight w:val="none"/>
        </w:rPr>
        <w:t>～</w:t>
      </w:r>
      <w:r>
        <w:rPr>
          <w:rFonts w:ascii="宋体"/>
          <w:color w:val="auto"/>
          <w:sz w:val="24"/>
          <w:szCs w:val="24"/>
          <w:highlight w:val="none"/>
        </w:rPr>
        <w:t>-15%  (</w:t>
      </w:r>
      <w:r>
        <w:rPr>
          <w:rFonts w:hint="eastAsia" w:ascii="宋体"/>
          <w:color w:val="auto"/>
          <w:sz w:val="24"/>
          <w:szCs w:val="24"/>
          <w:highlight w:val="none"/>
        </w:rPr>
        <w:t>可两路分别来自于两段直流母线)</w:t>
      </w:r>
    </w:p>
    <w:p w14:paraId="022B423C">
      <w:pPr>
        <w:tabs>
          <w:tab w:val="left" w:pos="1120"/>
        </w:tabs>
        <w:spacing w:line="360" w:lineRule="auto"/>
        <w:ind w:left="280" w:firstLine="420"/>
        <w:rPr>
          <w:rFonts w:ascii="宋体"/>
          <w:color w:val="auto"/>
          <w:kern w:val="0"/>
          <w:sz w:val="24"/>
          <w:szCs w:val="24"/>
          <w:highlight w:val="none"/>
        </w:rPr>
      </w:pPr>
      <w:r>
        <w:rPr>
          <w:rFonts w:hint="eastAsia" w:ascii="宋体"/>
          <w:color w:val="auto"/>
          <w:sz w:val="24"/>
          <w:szCs w:val="24"/>
          <w:highlight w:val="none"/>
        </w:rPr>
        <w:t>一般交流:（网控继电器室）</w:t>
      </w:r>
    </w:p>
    <w:p w14:paraId="036820C4">
      <w:pPr>
        <w:numPr>
          <w:ilvl w:val="0"/>
          <w:numId w:val="12"/>
        </w:numPr>
        <w:tabs>
          <w:tab w:val="left" w:pos="1120"/>
        </w:tabs>
        <w:spacing w:line="360" w:lineRule="auto"/>
        <w:ind w:left="280" w:firstLine="420"/>
        <w:rPr>
          <w:rFonts w:ascii="宋体"/>
          <w:color w:val="auto"/>
          <w:sz w:val="24"/>
          <w:szCs w:val="24"/>
          <w:highlight w:val="none"/>
        </w:rPr>
      </w:pPr>
      <w:r>
        <w:rPr>
          <w:rFonts w:hint="eastAsia" w:ascii="宋体"/>
          <w:color w:val="auto"/>
          <w:sz w:val="24"/>
          <w:szCs w:val="24"/>
          <w:highlight w:val="none"/>
        </w:rPr>
        <w:t xml:space="preserve">额定电压:  220V </w:t>
      </w:r>
      <w:r>
        <w:rPr>
          <w:rFonts w:ascii="宋体"/>
          <w:color w:val="auto"/>
          <w:sz w:val="24"/>
          <w:szCs w:val="24"/>
          <w:highlight w:val="none"/>
        </w:rPr>
        <w:t>+10%</w:t>
      </w:r>
      <w:r>
        <w:rPr>
          <w:rFonts w:hint="eastAsia" w:ascii="宋体"/>
          <w:color w:val="auto"/>
          <w:sz w:val="24"/>
          <w:szCs w:val="24"/>
          <w:highlight w:val="none"/>
        </w:rPr>
        <w:t>～</w:t>
      </w:r>
      <w:r>
        <w:rPr>
          <w:rFonts w:ascii="宋体"/>
          <w:color w:val="auto"/>
          <w:sz w:val="24"/>
          <w:szCs w:val="24"/>
          <w:highlight w:val="none"/>
        </w:rPr>
        <w:t>-15%  (</w:t>
      </w:r>
      <w:r>
        <w:rPr>
          <w:rFonts w:hint="eastAsia" w:ascii="宋体"/>
          <w:color w:val="auto"/>
          <w:sz w:val="24"/>
          <w:szCs w:val="24"/>
          <w:highlight w:val="none"/>
        </w:rPr>
        <w:t>可两路分别来自于两段交流母线)</w:t>
      </w:r>
    </w:p>
    <w:p w14:paraId="3CD8510B">
      <w:pPr>
        <w:numPr>
          <w:ilvl w:val="0"/>
          <w:numId w:val="12"/>
        </w:numPr>
        <w:tabs>
          <w:tab w:val="left" w:pos="1120"/>
        </w:tabs>
        <w:spacing w:line="360" w:lineRule="auto"/>
        <w:ind w:left="280" w:firstLine="420"/>
        <w:rPr>
          <w:rFonts w:ascii="宋体"/>
          <w:color w:val="auto"/>
          <w:sz w:val="24"/>
          <w:szCs w:val="24"/>
          <w:highlight w:val="none"/>
        </w:rPr>
      </w:pPr>
      <w:r>
        <w:rPr>
          <w:rFonts w:hint="eastAsia" w:ascii="宋体"/>
          <w:color w:val="auto"/>
          <w:sz w:val="24"/>
          <w:szCs w:val="24"/>
          <w:highlight w:val="none"/>
        </w:rPr>
        <w:t>频率:      50H</w:t>
      </w:r>
      <w:r>
        <w:rPr>
          <w:rFonts w:ascii="宋体"/>
          <w:color w:val="auto"/>
          <w:sz w:val="24"/>
          <w:szCs w:val="24"/>
          <w:highlight w:val="none"/>
        </w:rPr>
        <w:t>z +0.5</w:t>
      </w:r>
      <w:r>
        <w:rPr>
          <w:rFonts w:hint="eastAsia" w:ascii="宋体"/>
          <w:color w:val="auto"/>
          <w:sz w:val="24"/>
          <w:szCs w:val="24"/>
          <w:highlight w:val="none"/>
        </w:rPr>
        <w:t xml:space="preserve"> ～ </w:t>
      </w:r>
      <w:r>
        <w:rPr>
          <w:rFonts w:ascii="宋体"/>
          <w:color w:val="auto"/>
          <w:sz w:val="24"/>
          <w:szCs w:val="24"/>
          <w:highlight w:val="none"/>
        </w:rPr>
        <w:t>-0.5Hz</w:t>
      </w:r>
    </w:p>
    <w:p w14:paraId="787B80EE">
      <w:pPr>
        <w:spacing w:line="360" w:lineRule="auto"/>
        <w:rPr>
          <w:rFonts w:ascii="宋体"/>
          <w:b/>
          <w:color w:val="auto"/>
          <w:sz w:val="24"/>
          <w:szCs w:val="24"/>
          <w:highlight w:val="none"/>
        </w:rPr>
      </w:pPr>
      <w:r>
        <w:rPr>
          <w:rFonts w:hint="eastAsia" w:ascii="宋体"/>
          <w:b/>
          <w:color w:val="auto"/>
          <w:sz w:val="24"/>
          <w:szCs w:val="24"/>
          <w:highlight w:val="none"/>
        </w:rPr>
        <w:t>3．4系统配置</w:t>
      </w:r>
    </w:p>
    <w:p w14:paraId="0B6D0783">
      <w:pPr>
        <w:pStyle w:val="18"/>
        <w:numPr>
          <w:ilvl w:val="2"/>
          <w:numId w:val="13"/>
        </w:numPr>
        <w:adjustRightInd/>
        <w:spacing w:line="360" w:lineRule="auto"/>
        <w:textAlignment w:val="auto"/>
        <w:rPr>
          <w:color w:val="auto"/>
          <w:kern w:val="2"/>
          <w:szCs w:val="24"/>
          <w:highlight w:val="none"/>
        </w:rPr>
      </w:pPr>
      <w:r>
        <w:rPr>
          <w:rFonts w:hint="eastAsia"/>
          <w:color w:val="auto"/>
          <w:kern w:val="2"/>
          <w:szCs w:val="24"/>
          <w:highlight w:val="none"/>
        </w:rPr>
        <w:t>概要</w:t>
      </w:r>
    </w:p>
    <w:p w14:paraId="38B2C3B2">
      <w:pPr>
        <w:spacing w:line="360" w:lineRule="auto"/>
        <w:ind w:firstLine="480" w:firstLineChars="200"/>
        <w:rPr>
          <w:rFonts w:ascii="宋体"/>
          <w:color w:val="auto"/>
          <w:kern w:val="0"/>
          <w:sz w:val="24"/>
          <w:szCs w:val="24"/>
          <w:highlight w:val="none"/>
        </w:rPr>
      </w:pPr>
      <w:r>
        <w:rPr>
          <w:rFonts w:ascii="宋体"/>
          <w:color w:val="auto"/>
          <w:sz w:val="24"/>
          <w:szCs w:val="24"/>
          <w:highlight w:val="none"/>
        </w:rPr>
        <w:t>计算机监控系统</w:t>
      </w:r>
      <w:r>
        <w:rPr>
          <w:rFonts w:hint="eastAsia" w:ascii="宋体"/>
          <w:color w:val="auto"/>
          <w:sz w:val="24"/>
          <w:szCs w:val="24"/>
          <w:highlight w:val="none"/>
        </w:rPr>
        <w:t>的结构应基于分散、分布式网络结构。系统应是开放的，硬件设备应可以在不影响系统其余部分正常运行的情况下，采用简单方式进行替换，升级和扩充，而不需对软件作任何修改</w:t>
      </w:r>
      <w:r>
        <w:rPr>
          <w:rFonts w:ascii="宋体"/>
          <w:color w:val="auto"/>
          <w:sz w:val="24"/>
          <w:szCs w:val="24"/>
          <w:highlight w:val="none"/>
        </w:rPr>
        <w:t>，并满足工程扩建的需要</w:t>
      </w:r>
      <w:r>
        <w:rPr>
          <w:rFonts w:hint="eastAsia" w:ascii="宋体"/>
          <w:color w:val="auto"/>
          <w:sz w:val="24"/>
          <w:szCs w:val="24"/>
          <w:highlight w:val="none"/>
        </w:rPr>
        <w:t>。</w:t>
      </w:r>
    </w:p>
    <w:p w14:paraId="02A60008">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本章节所述的技术要求为计算机监控系统的基本要求，投标人应提供在此基础上更为成熟、先进、可靠和完善的系统配置。</w:t>
      </w:r>
    </w:p>
    <w:p w14:paraId="4338F9DF">
      <w:pPr>
        <w:spacing w:line="360" w:lineRule="auto"/>
        <w:ind w:firstLine="480" w:firstLineChars="200"/>
        <w:rPr>
          <w:rFonts w:ascii="宋体"/>
          <w:color w:val="auto"/>
          <w:kern w:val="0"/>
          <w:sz w:val="24"/>
          <w:szCs w:val="24"/>
          <w:highlight w:val="none"/>
        </w:rPr>
      </w:pPr>
      <w:r>
        <w:rPr>
          <w:rFonts w:ascii="宋体"/>
          <w:color w:val="auto"/>
          <w:sz w:val="24"/>
          <w:szCs w:val="24"/>
          <w:highlight w:val="none"/>
        </w:rPr>
        <w:t>计算机监控系统</w:t>
      </w:r>
      <w:r>
        <w:rPr>
          <w:rFonts w:hint="eastAsia" w:ascii="宋体"/>
          <w:color w:val="auto"/>
          <w:sz w:val="24"/>
          <w:szCs w:val="24"/>
          <w:highlight w:val="none"/>
        </w:rPr>
        <w:t>包括两部分：站级控制层和间隔级控制层，网络结构为开放式分层，分布式结构。站级控制层为升压站所有设备监视、测量、控制、管理的中心，通过光缆与间隔级控制层相连。在站控层及网络失效的情况下，间隔级控制层应仍能独立完成监控及远动通信功能。</w:t>
      </w:r>
      <w:r>
        <w:rPr>
          <w:rFonts w:ascii="宋体"/>
          <w:color w:val="auto"/>
          <w:sz w:val="24"/>
          <w:szCs w:val="24"/>
          <w:highlight w:val="none"/>
        </w:rPr>
        <w:t>所有的信息数据均存放在主机的数据库中，通过权限设置任一台计算机都可将采集来的实时数据进行分析运算，分类和处理，并可进行功能组态，软件设置及网络管理</w:t>
      </w:r>
      <w:r>
        <w:rPr>
          <w:rFonts w:hint="eastAsia" w:ascii="宋体"/>
          <w:color w:val="auto"/>
          <w:sz w:val="24"/>
          <w:szCs w:val="24"/>
          <w:highlight w:val="none"/>
        </w:rPr>
        <w:t>。</w:t>
      </w:r>
    </w:p>
    <w:p w14:paraId="66A11FB9">
      <w:pPr>
        <w:spacing w:line="360" w:lineRule="auto"/>
        <w:ind w:firstLine="480" w:firstLineChars="200"/>
        <w:rPr>
          <w:rFonts w:ascii="宋体"/>
          <w:color w:val="auto"/>
          <w:sz w:val="24"/>
          <w:szCs w:val="24"/>
          <w:highlight w:val="none"/>
        </w:rPr>
      </w:pPr>
      <w:r>
        <w:rPr>
          <w:rFonts w:hint="eastAsia" w:ascii="宋体"/>
          <w:color w:val="auto"/>
          <w:sz w:val="24"/>
          <w:szCs w:val="24"/>
          <w:highlight w:val="none"/>
          <w:u w:val="single"/>
        </w:rPr>
        <w:t>《</w:t>
      </w:r>
      <w:r>
        <w:rPr>
          <w:rFonts w:hint="eastAsia" w:ascii="宋体"/>
          <w:color w:val="auto"/>
          <w:sz w:val="24"/>
          <w:szCs w:val="24"/>
          <w:highlight w:val="none"/>
          <w:u w:val="single"/>
          <w:lang w:val="en-US" w:eastAsia="zh-CN"/>
        </w:rPr>
        <w:t>升压站网络监控</w:t>
      </w:r>
      <w:r>
        <w:rPr>
          <w:rFonts w:hint="eastAsia" w:ascii="宋体"/>
          <w:color w:val="auto"/>
          <w:sz w:val="24"/>
          <w:szCs w:val="24"/>
          <w:highlight w:val="none"/>
          <w:u w:val="single"/>
        </w:rPr>
        <w:t>(NCS)</w:t>
      </w:r>
      <w:r>
        <w:rPr>
          <w:rFonts w:hint="eastAsia" w:ascii="宋体"/>
          <w:color w:val="auto"/>
          <w:sz w:val="24"/>
          <w:szCs w:val="24"/>
          <w:highlight w:val="none"/>
          <w:u w:val="single"/>
          <w:lang w:val="en-US" w:eastAsia="zh-CN"/>
        </w:rPr>
        <w:t>系统</w:t>
      </w:r>
      <w:r>
        <w:rPr>
          <w:rFonts w:hint="eastAsia" w:ascii="宋体"/>
          <w:color w:val="auto"/>
          <w:sz w:val="24"/>
          <w:szCs w:val="24"/>
          <w:highlight w:val="none"/>
          <w:u w:val="single"/>
        </w:rPr>
        <w:t>图》参见附图</w:t>
      </w:r>
      <w:r>
        <w:rPr>
          <w:rFonts w:hint="eastAsia" w:ascii="宋体"/>
          <w:color w:val="auto"/>
          <w:sz w:val="24"/>
          <w:szCs w:val="24"/>
          <w:highlight w:val="none"/>
        </w:rPr>
        <w:t>。</w:t>
      </w:r>
    </w:p>
    <w:p w14:paraId="08D06E6D">
      <w:pPr>
        <w:spacing w:line="360" w:lineRule="auto"/>
        <w:rPr>
          <w:rFonts w:ascii="宋体"/>
          <w:color w:val="auto"/>
          <w:sz w:val="24"/>
          <w:szCs w:val="24"/>
          <w:highlight w:val="none"/>
        </w:rPr>
      </w:pPr>
      <w:r>
        <w:rPr>
          <w:rFonts w:hint="eastAsia" w:ascii="宋体"/>
          <w:color w:val="auto"/>
          <w:sz w:val="24"/>
          <w:szCs w:val="24"/>
          <w:highlight w:val="none"/>
        </w:rPr>
        <w:t>3.4.2站级控制层</w:t>
      </w:r>
    </w:p>
    <w:p w14:paraId="596F6A1D">
      <w:pPr>
        <w:spacing w:line="360" w:lineRule="auto"/>
        <w:ind w:firstLine="540" w:firstLineChars="225"/>
        <w:rPr>
          <w:rFonts w:ascii="宋体"/>
          <w:color w:val="auto"/>
          <w:kern w:val="0"/>
          <w:sz w:val="24"/>
          <w:szCs w:val="24"/>
          <w:highlight w:val="none"/>
        </w:rPr>
      </w:pPr>
      <w:r>
        <w:rPr>
          <w:rFonts w:hint="eastAsia" w:ascii="宋体"/>
          <w:color w:val="auto"/>
          <w:sz w:val="24"/>
          <w:szCs w:val="24"/>
          <w:highlight w:val="none"/>
        </w:rPr>
        <w:t>站级控制层包括2台主计算机、2台操作员工作站、1台工程师工作站、1台网关工作站、2台远动通信装置、1台信息管理机(实现站控层与线路保护管理机、系统保护信息管理子站、电能量计费、直流系统等间的通信) 、网络打印机、网络设备等。</w:t>
      </w:r>
    </w:p>
    <w:p w14:paraId="67CB501F">
      <w:pPr>
        <w:spacing w:line="360" w:lineRule="auto"/>
        <w:rPr>
          <w:rFonts w:ascii="宋体"/>
          <w:color w:val="auto"/>
          <w:sz w:val="24"/>
          <w:szCs w:val="24"/>
          <w:highlight w:val="none"/>
        </w:rPr>
      </w:pPr>
      <w:r>
        <w:rPr>
          <w:rFonts w:ascii="宋体"/>
          <w:color w:val="auto"/>
          <w:sz w:val="24"/>
          <w:szCs w:val="24"/>
          <w:highlight w:val="none"/>
        </w:rPr>
        <w:t>3.4.3</w:t>
      </w:r>
      <w:r>
        <w:rPr>
          <w:rFonts w:hint="eastAsia" w:ascii="宋体"/>
          <w:color w:val="auto"/>
          <w:sz w:val="24"/>
          <w:szCs w:val="24"/>
          <w:highlight w:val="none"/>
        </w:rPr>
        <w:t>间隔级控制层</w:t>
      </w:r>
    </w:p>
    <w:p w14:paraId="37FB0DA9">
      <w:pPr>
        <w:spacing w:line="360" w:lineRule="auto"/>
        <w:rPr>
          <w:rFonts w:ascii="宋体"/>
          <w:color w:val="auto"/>
          <w:sz w:val="24"/>
          <w:szCs w:val="24"/>
          <w:highlight w:val="none"/>
        </w:rPr>
      </w:pPr>
      <w:r>
        <w:rPr>
          <w:rFonts w:hint="eastAsia" w:ascii="宋体"/>
          <w:color w:val="auto"/>
          <w:sz w:val="24"/>
          <w:szCs w:val="24"/>
          <w:highlight w:val="none"/>
        </w:rPr>
        <w:t>3.4.3.1间隔层的I/O测控装置品牌采用</w:t>
      </w:r>
      <w:bookmarkStart w:id="141" w:name="_GoBack"/>
      <w:r>
        <w:rPr>
          <w:rFonts w:hint="eastAsia" w:ascii="宋体"/>
          <w:color w:val="auto"/>
          <w:sz w:val="24"/>
          <w:szCs w:val="24"/>
          <w:highlight w:val="none"/>
        </w:rPr>
        <w:t>北京</w:t>
      </w:r>
      <w:r>
        <w:rPr>
          <w:rFonts w:ascii="宋体"/>
          <w:color w:val="auto"/>
          <w:sz w:val="24"/>
          <w:szCs w:val="24"/>
          <w:highlight w:val="none"/>
        </w:rPr>
        <w:t>四方</w:t>
      </w:r>
      <w:bookmarkEnd w:id="141"/>
      <w:r>
        <w:rPr>
          <w:rFonts w:ascii="宋体"/>
          <w:color w:val="auto"/>
          <w:sz w:val="24"/>
          <w:szCs w:val="24"/>
          <w:highlight w:val="none"/>
        </w:rPr>
        <w:t>、</w:t>
      </w:r>
      <w:r>
        <w:rPr>
          <w:rFonts w:hint="eastAsia" w:ascii="宋体"/>
          <w:color w:val="auto"/>
          <w:sz w:val="24"/>
          <w:szCs w:val="24"/>
          <w:highlight w:val="none"/>
        </w:rPr>
        <w:t>国电南自、</w:t>
      </w:r>
      <w:r>
        <w:rPr>
          <w:rFonts w:ascii="宋体"/>
          <w:color w:val="auto"/>
          <w:sz w:val="24"/>
          <w:szCs w:val="24"/>
          <w:highlight w:val="none"/>
        </w:rPr>
        <w:t>南瑞继保</w:t>
      </w:r>
      <w:r>
        <w:rPr>
          <w:rFonts w:hint="eastAsia" w:ascii="宋体"/>
          <w:color w:val="auto"/>
          <w:sz w:val="24"/>
          <w:szCs w:val="24"/>
          <w:highlight w:val="none"/>
          <w:lang w:eastAsia="zh-CN"/>
        </w:rPr>
        <w:t>、</w:t>
      </w:r>
      <w:r>
        <w:rPr>
          <w:rFonts w:hint="eastAsia" w:ascii="宋体"/>
          <w:color w:val="auto"/>
          <w:sz w:val="24"/>
          <w:szCs w:val="24"/>
          <w:highlight w:val="none"/>
        </w:rPr>
        <w:t>上海惠安</w:t>
      </w:r>
      <w:r>
        <w:rPr>
          <w:rFonts w:hint="eastAsia" w:ascii="宋体"/>
          <w:color w:val="auto"/>
          <w:sz w:val="24"/>
          <w:szCs w:val="24"/>
          <w:highlight w:val="none"/>
        </w:rPr>
        <w:t>或相当于。</w:t>
      </w:r>
    </w:p>
    <w:p w14:paraId="1485208B">
      <w:pPr>
        <w:spacing w:line="360" w:lineRule="auto"/>
        <w:rPr>
          <w:color w:val="auto"/>
          <w:spacing w:val="10"/>
          <w:sz w:val="24"/>
          <w:szCs w:val="24"/>
          <w:highlight w:val="none"/>
        </w:rPr>
      </w:pPr>
      <w:r>
        <w:rPr>
          <w:rFonts w:hint="eastAsia" w:ascii="宋体"/>
          <w:color w:val="auto"/>
          <w:sz w:val="24"/>
          <w:szCs w:val="24"/>
          <w:highlight w:val="none"/>
        </w:rPr>
        <w:t>3.4.3.2按电气单元组屏的间隔级控制层由测控部件组成，装置应具有交流采样、遥调、遥控、防误闭锁、同期检测、手动操作和液晶显示等功能，并集中布置在网控继电器室内。</w:t>
      </w:r>
    </w:p>
    <w:p w14:paraId="2DF89E33">
      <w:pPr>
        <w:numPr>
          <w:ilvl w:val="0"/>
          <w:numId w:val="14"/>
        </w:numPr>
        <w:spacing w:line="360" w:lineRule="auto"/>
        <w:ind w:left="0" w:firstLine="566" w:firstLineChars="236"/>
        <w:rPr>
          <w:color w:val="auto"/>
          <w:spacing w:val="10"/>
          <w:sz w:val="24"/>
          <w:szCs w:val="24"/>
          <w:highlight w:val="none"/>
        </w:rPr>
      </w:pPr>
      <w:r>
        <w:rPr>
          <w:rFonts w:ascii="宋体"/>
          <w:color w:val="auto"/>
          <w:sz w:val="24"/>
          <w:szCs w:val="24"/>
          <w:highlight w:val="none"/>
        </w:rPr>
        <w:t>I/O测控单元</w:t>
      </w:r>
      <w:r>
        <w:rPr>
          <w:rFonts w:hint="eastAsia" w:ascii="宋体"/>
          <w:color w:val="auto"/>
          <w:sz w:val="24"/>
          <w:szCs w:val="24"/>
          <w:highlight w:val="none"/>
        </w:rPr>
        <w:t>按每个</w:t>
      </w:r>
      <w:r>
        <w:rPr>
          <w:rFonts w:hint="eastAsia" w:ascii="宋体"/>
          <w:color w:val="auto"/>
          <w:sz w:val="24"/>
          <w:szCs w:val="24"/>
          <w:highlight w:val="none"/>
          <w:lang w:val="en-US" w:eastAsia="zh-CN"/>
        </w:rPr>
        <w:t>750</w:t>
      </w:r>
      <w:r>
        <w:rPr>
          <w:rFonts w:hint="eastAsia" w:ascii="宋体"/>
          <w:color w:val="auto"/>
          <w:sz w:val="24"/>
          <w:szCs w:val="24"/>
          <w:highlight w:val="none"/>
        </w:rPr>
        <w:t>kV断路器配置</w:t>
      </w:r>
      <w:r>
        <w:rPr>
          <w:rFonts w:hint="eastAsia" w:ascii="宋体"/>
          <w:color w:val="auto"/>
          <w:sz w:val="24"/>
          <w:szCs w:val="24"/>
          <w:highlight w:val="none"/>
          <w:lang w:val="en-US" w:eastAsia="zh-CN"/>
        </w:rPr>
        <w:t>1个</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每回出线配置1个，边断路器2个I/O测控单元组成1面I/O测控单元屏，中断路器每1个I/O测控单元组成1面I/O测控单元屏，共计六</w:t>
      </w:r>
      <w:r>
        <w:rPr>
          <w:rFonts w:hint="eastAsia" w:ascii="宋体"/>
          <w:color w:val="auto"/>
          <w:sz w:val="24"/>
          <w:szCs w:val="24"/>
          <w:highlight w:val="none"/>
        </w:rPr>
        <w:t>面</w:t>
      </w:r>
      <w:r>
        <w:rPr>
          <w:rFonts w:ascii="宋体"/>
          <w:color w:val="auto"/>
          <w:sz w:val="24"/>
          <w:szCs w:val="24"/>
          <w:highlight w:val="none"/>
        </w:rPr>
        <w:t>I/O测控单元</w:t>
      </w:r>
      <w:r>
        <w:rPr>
          <w:rFonts w:hint="eastAsia" w:ascii="宋体"/>
          <w:color w:val="auto"/>
          <w:sz w:val="24"/>
          <w:szCs w:val="24"/>
          <w:highlight w:val="none"/>
        </w:rPr>
        <w:t>屏；每个</w:t>
      </w:r>
      <w:r>
        <w:rPr>
          <w:rFonts w:hint="eastAsia" w:ascii="宋体"/>
          <w:color w:val="auto"/>
          <w:sz w:val="24"/>
          <w:szCs w:val="24"/>
          <w:highlight w:val="none"/>
          <w:lang w:val="en-US" w:eastAsia="zh-CN"/>
        </w:rPr>
        <w:t>11</w:t>
      </w:r>
      <w:r>
        <w:rPr>
          <w:rFonts w:hint="eastAsia" w:ascii="宋体"/>
          <w:color w:val="auto"/>
          <w:sz w:val="24"/>
          <w:szCs w:val="24"/>
          <w:highlight w:val="none"/>
        </w:rPr>
        <w:t>0kV断路器配置</w:t>
      </w:r>
      <w:r>
        <w:rPr>
          <w:rFonts w:hint="eastAsia" w:ascii="宋体"/>
          <w:color w:val="auto"/>
          <w:sz w:val="24"/>
          <w:szCs w:val="24"/>
          <w:highlight w:val="none"/>
          <w:lang w:val="en-US" w:eastAsia="zh-CN"/>
        </w:rPr>
        <w:t>1个、每回出线配置1个</w:t>
      </w:r>
      <w:r>
        <w:rPr>
          <w:rFonts w:hint="eastAsia" w:ascii="宋体"/>
          <w:color w:val="auto"/>
          <w:sz w:val="24"/>
          <w:szCs w:val="24"/>
          <w:highlight w:val="none"/>
        </w:rPr>
        <w:t>，</w:t>
      </w:r>
      <w:r>
        <w:rPr>
          <w:rFonts w:hint="eastAsia" w:ascii="宋体"/>
          <w:color w:val="auto"/>
          <w:sz w:val="24"/>
          <w:szCs w:val="24"/>
          <w:highlight w:val="none"/>
          <w:lang w:val="en-US" w:eastAsia="zh-CN"/>
        </w:rPr>
        <w:t>110kV断路器为2个I/O测控单元组成1</w:t>
      </w:r>
      <w:r>
        <w:rPr>
          <w:rFonts w:hint="eastAsia" w:ascii="宋体"/>
          <w:color w:val="auto"/>
          <w:sz w:val="24"/>
          <w:szCs w:val="24"/>
          <w:highlight w:val="none"/>
        </w:rPr>
        <w:t>面</w:t>
      </w:r>
      <w:r>
        <w:rPr>
          <w:rFonts w:ascii="宋体"/>
          <w:color w:val="auto"/>
          <w:sz w:val="24"/>
          <w:szCs w:val="24"/>
          <w:highlight w:val="none"/>
        </w:rPr>
        <w:t>I/O测控单元</w:t>
      </w:r>
      <w:r>
        <w:rPr>
          <w:rFonts w:hint="eastAsia" w:ascii="宋体"/>
          <w:color w:val="auto"/>
          <w:sz w:val="24"/>
          <w:szCs w:val="24"/>
          <w:highlight w:val="none"/>
        </w:rPr>
        <w:t>屏。</w:t>
      </w:r>
      <w:r>
        <w:rPr>
          <w:rFonts w:ascii="宋体"/>
          <w:color w:val="auto"/>
          <w:sz w:val="24"/>
          <w:szCs w:val="24"/>
          <w:highlight w:val="none"/>
        </w:rPr>
        <w:t>I/O测控单元</w:t>
      </w:r>
      <w:r>
        <w:rPr>
          <w:rFonts w:hint="eastAsia" w:ascii="宋体"/>
          <w:color w:val="auto"/>
          <w:sz w:val="24"/>
          <w:szCs w:val="24"/>
          <w:highlight w:val="none"/>
        </w:rPr>
        <w:t>的部件应可带电插拔，检修某一断路器电气单元的</w:t>
      </w:r>
      <w:r>
        <w:rPr>
          <w:rFonts w:ascii="宋体"/>
          <w:color w:val="auto"/>
          <w:sz w:val="24"/>
          <w:szCs w:val="24"/>
          <w:highlight w:val="none"/>
        </w:rPr>
        <w:t>I/O</w:t>
      </w:r>
      <w:r>
        <w:rPr>
          <w:rFonts w:hint="eastAsia" w:ascii="宋体"/>
          <w:color w:val="auto"/>
          <w:sz w:val="24"/>
          <w:szCs w:val="24"/>
          <w:highlight w:val="none"/>
        </w:rPr>
        <w:t>测控部件，不影响相邻电气单元</w:t>
      </w:r>
      <w:r>
        <w:rPr>
          <w:rFonts w:ascii="宋体"/>
          <w:color w:val="auto"/>
          <w:sz w:val="24"/>
          <w:szCs w:val="24"/>
          <w:highlight w:val="none"/>
        </w:rPr>
        <w:t>I/O</w:t>
      </w:r>
      <w:r>
        <w:rPr>
          <w:rFonts w:hint="eastAsia" w:ascii="宋体"/>
          <w:color w:val="auto"/>
          <w:sz w:val="24"/>
          <w:szCs w:val="24"/>
          <w:highlight w:val="none"/>
        </w:rPr>
        <w:t>测控部件的正常运行。在间隔级控制层与站级控制层网络失效的情况下</w:t>
      </w:r>
      <w:r>
        <w:rPr>
          <w:rFonts w:ascii="宋体"/>
          <w:color w:val="auto"/>
          <w:sz w:val="24"/>
          <w:szCs w:val="24"/>
          <w:highlight w:val="none"/>
        </w:rPr>
        <w:t>I/O测控单元</w:t>
      </w:r>
      <w:r>
        <w:rPr>
          <w:rFonts w:hint="eastAsia" w:ascii="宋体"/>
          <w:color w:val="auto"/>
          <w:sz w:val="24"/>
          <w:szCs w:val="24"/>
          <w:highlight w:val="none"/>
        </w:rPr>
        <w:t>应维持正常运行。</w:t>
      </w:r>
    </w:p>
    <w:p w14:paraId="7132D278">
      <w:pPr>
        <w:numPr>
          <w:ilvl w:val="0"/>
          <w:numId w:val="14"/>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lang w:val="en-US" w:eastAsia="zh-CN"/>
        </w:rPr>
        <w:t>75</w:t>
      </w:r>
      <w:r>
        <w:rPr>
          <w:rFonts w:hint="eastAsia" w:ascii="宋体"/>
          <w:color w:val="auto"/>
          <w:sz w:val="24"/>
          <w:szCs w:val="24"/>
          <w:highlight w:val="none"/>
        </w:rPr>
        <w:t>0kV母线设备、其它公用设备组成二面</w:t>
      </w:r>
      <w:r>
        <w:rPr>
          <w:rFonts w:ascii="宋体"/>
          <w:color w:val="auto"/>
          <w:sz w:val="24"/>
          <w:szCs w:val="24"/>
          <w:highlight w:val="none"/>
        </w:rPr>
        <w:t>I/O测控单元</w:t>
      </w:r>
      <w:r>
        <w:rPr>
          <w:rFonts w:hint="eastAsia" w:ascii="宋体"/>
          <w:color w:val="auto"/>
          <w:sz w:val="24"/>
          <w:szCs w:val="24"/>
          <w:highlight w:val="none"/>
        </w:rPr>
        <w:t>屏，采用交流、直流采样。</w:t>
      </w:r>
    </w:p>
    <w:p w14:paraId="278267DC">
      <w:pPr>
        <w:numPr>
          <w:ilvl w:val="0"/>
          <w:numId w:val="14"/>
        </w:numPr>
        <w:spacing w:line="360" w:lineRule="auto"/>
        <w:ind w:left="0" w:firstLine="566" w:firstLineChars="236"/>
        <w:rPr>
          <w:color w:val="auto"/>
          <w:spacing w:val="10"/>
          <w:sz w:val="24"/>
          <w:szCs w:val="24"/>
          <w:highlight w:val="none"/>
        </w:rPr>
      </w:pPr>
      <w:r>
        <w:rPr>
          <w:rFonts w:hint="eastAsia" w:ascii="宋体"/>
          <w:color w:val="auto"/>
          <w:sz w:val="24"/>
          <w:szCs w:val="24"/>
          <w:highlight w:val="none"/>
        </w:rPr>
        <w:t>每台机组的AGC组成一面</w:t>
      </w:r>
      <w:r>
        <w:rPr>
          <w:rFonts w:ascii="宋体"/>
          <w:color w:val="auto"/>
          <w:sz w:val="24"/>
          <w:szCs w:val="24"/>
          <w:highlight w:val="none"/>
        </w:rPr>
        <w:t>I/O测控单元</w:t>
      </w:r>
      <w:r>
        <w:rPr>
          <w:rFonts w:hint="eastAsia" w:ascii="宋体"/>
          <w:color w:val="auto"/>
          <w:sz w:val="24"/>
          <w:szCs w:val="24"/>
          <w:highlight w:val="none"/>
        </w:rPr>
        <w:t>屏（按每台机组1面布置在每个单元机组继电器室），采用交流、直流采样。AGC的遥调控制输出在本间隔内完成。</w:t>
      </w:r>
    </w:p>
    <w:p w14:paraId="1898096C">
      <w:pPr>
        <w:numPr>
          <w:ilvl w:val="0"/>
          <w:numId w:val="14"/>
        </w:numPr>
        <w:spacing w:line="360" w:lineRule="auto"/>
        <w:ind w:left="0" w:firstLine="566" w:firstLineChars="236"/>
        <w:rPr>
          <w:color w:val="auto"/>
          <w:spacing w:val="10"/>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kV母线电压切换装置组屏在</w:t>
      </w:r>
      <w:r>
        <w:rPr>
          <w:rFonts w:hint="eastAsia" w:ascii="宋体"/>
          <w:color w:val="auto"/>
          <w:sz w:val="24"/>
          <w:szCs w:val="24"/>
          <w:highlight w:val="none"/>
          <w:lang w:val="en-US" w:eastAsia="zh-CN"/>
        </w:rPr>
        <w:t>75</w:t>
      </w:r>
      <w:r>
        <w:rPr>
          <w:rFonts w:hint="eastAsia" w:ascii="宋体"/>
          <w:color w:val="auto"/>
          <w:sz w:val="24"/>
          <w:szCs w:val="24"/>
          <w:highlight w:val="none"/>
        </w:rPr>
        <w:t xml:space="preserve">0kV </w:t>
      </w:r>
      <w:r>
        <w:rPr>
          <w:rFonts w:hint="eastAsia" w:ascii="宋体"/>
          <w:color w:val="auto"/>
          <w:sz w:val="24"/>
          <w:szCs w:val="24"/>
          <w:highlight w:val="none"/>
          <w:lang w:val="en-US" w:eastAsia="zh-CN"/>
        </w:rPr>
        <w:t>中断路器</w:t>
      </w:r>
      <w:r>
        <w:rPr>
          <w:rFonts w:ascii="宋体"/>
          <w:color w:val="auto"/>
          <w:sz w:val="24"/>
          <w:szCs w:val="24"/>
          <w:highlight w:val="none"/>
        </w:rPr>
        <w:t>I/O测控单元</w:t>
      </w:r>
      <w:r>
        <w:rPr>
          <w:rFonts w:hint="eastAsia" w:ascii="宋体"/>
          <w:color w:val="auto"/>
          <w:sz w:val="24"/>
          <w:szCs w:val="24"/>
          <w:highlight w:val="none"/>
        </w:rPr>
        <w:t>屏中。</w:t>
      </w:r>
    </w:p>
    <w:p w14:paraId="159A918F">
      <w:pPr>
        <w:spacing w:line="360" w:lineRule="auto"/>
        <w:rPr>
          <w:rFonts w:ascii="宋体"/>
          <w:color w:val="auto"/>
          <w:sz w:val="24"/>
          <w:szCs w:val="24"/>
          <w:highlight w:val="none"/>
        </w:rPr>
      </w:pPr>
      <w:r>
        <w:rPr>
          <w:rFonts w:hint="eastAsia" w:ascii="宋体"/>
          <w:color w:val="auto"/>
          <w:sz w:val="24"/>
          <w:szCs w:val="24"/>
          <w:highlight w:val="none"/>
        </w:rPr>
        <w:t>3.4.4计算机监控系统的通信</w:t>
      </w:r>
    </w:p>
    <w:p w14:paraId="2E590C0A">
      <w:pPr>
        <w:spacing w:line="360" w:lineRule="auto"/>
        <w:ind w:firstLine="425"/>
        <w:rPr>
          <w:rFonts w:ascii="宋体"/>
          <w:color w:val="auto"/>
          <w:sz w:val="24"/>
          <w:szCs w:val="24"/>
          <w:highlight w:val="none"/>
        </w:rPr>
      </w:pPr>
      <w:r>
        <w:rPr>
          <w:rFonts w:hint="eastAsia" w:ascii="宋体"/>
          <w:color w:val="auto"/>
          <w:sz w:val="24"/>
          <w:szCs w:val="24"/>
          <w:highlight w:val="none"/>
        </w:rPr>
        <w:t>间隔级控制层与站级控制层之间的通信直接通过双网通讯相连实现。站级控制层和间隔层的各设备之间通过以太网交换机进行通信，以太网采用冗余双网结构，网络上所有设备都配置独立双网卡，连接在冗余的网络交换机上。远动通信装置所需信息直接来自间隔层设备，站控层计算机故障时不影响远动通信装置的通信功能。站控层设备网络通讯介质采用屏蔽五类双绞线，继电小室内间隔层设备网络通讯介质采用屏蔽五类双绞线，间隔层与站控层间通过光纤百兆以太网通讯接口相连，其中室外部分采用铠装光缆。</w:t>
      </w:r>
    </w:p>
    <w:p w14:paraId="2568A07D">
      <w:pPr>
        <w:spacing w:line="360" w:lineRule="auto"/>
        <w:ind w:firstLine="425"/>
        <w:rPr>
          <w:rFonts w:ascii="宋体"/>
          <w:color w:val="auto"/>
          <w:kern w:val="0"/>
          <w:sz w:val="24"/>
          <w:szCs w:val="24"/>
          <w:highlight w:val="none"/>
        </w:rPr>
      </w:pPr>
      <w:r>
        <w:rPr>
          <w:snapToGrid w:val="0"/>
          <w:color w:val="auto"/>
          <w:sz w:val="24"/>
          <w:highlight w:val="none"/>
        </w:rPr>
        <w:t>站控层和间隔层网络交换机必须采用无风扇</w:t>
      </w:r>
      <w:r>
        <w:rPr>
          <w:rFonts w:hint="eastAsia"/>
          <w:snapToGrid w:val="0"/>
          <w:color w:val="auto"/>
          <w:sz w:val="24"/>
          <w:highlight w:val="none"/>
        </w:rPr>
        <w:t>知名品牌工业级以太网交换机，并经国家工信部入网测试认证，</w:t>
      </w:r>
      <w:r>
        <w:rPr>
          <w:rFonts w:hint="eastAsia" w:ascii="宋体"/>
          <w:color w:val="auto"/>
          <w:sz w:val="24"/>
          <w:szCs w:val="24"/>
          <w:highlight w:val="none"/>
        </w:rPr>
        <w:t>以太网交换机采用华为、华三、东土或“相当于”品牌工业级交换机。</w:t>
      </w:r>
      <w:r>
        <w:rPr>
          <w:rFonts w:hint="eastAsia" w:ascii="宋体"/>
          <w:color w:val="auto"/>
          <w:sz w:val="24"/>
          <w:szCs w:val="24"/>
          <w:highlight w:val="none"/>
        </w:rPr>
        <w:t>每个以太网交换机至少提供24个端口，光口及电口数量满足工程实际需要，并至少留有20%的备用（不足1个按1个计），同时必须有两个镜像口。如果交换机需要级联，须采用千兆级联。继电器小室的以太网交换机采用与机组集控室内的以太网交换机同系列产品。以太网速率：</w:t>
      </w:r>
      <w:r>
        <w:rPr>
          <w:rFonts w:hint="eastAsia" w:ascii="宋体"/>
          <w:color w:val="auto"/>
          <w:sz w:val="24"/>
          <w:szCs w:val="24"/>
          <w:highlight w:val="none"/>
          <w:u w:val="single"/>
        </w:rPr>
        <w:t>≥100MBps</w:t>
      </w:r>
      <w:r>
        <w:rPr>
          <w:rFonts w:hint="eastAsia" w:ascii="宋体"/>
          <w:color w:val="auto"/>
          <w:sz w:val="24"/>
          <w:szCs w:val="24"/>
          <w:highlight w:val="none"/>
        </w:rPr>
        <w:t>。</w:t>
      </w:r>
    </w:p>
    <w:p w14:paraId="5B509A74">
      <w:pPr>
        <w:spacing w:line="360" w:lineRule="auto"/>
        <w:rPr>
          <w:rFonts w:ascii="宋体"/>
          <w:color w:val="auto"/>
          <w:sz w:val="24"/>
          <w:szCs w:val="24"/>
          <w:highlight w:val="none"/>
        </w:rPr>
      </w:pPr>
      <w:r>
        <w:rPr>
          <w:rFonts w:hint="eastAsia"/>
          <w:color w:val="auto"/>
          <w:sz w:val="24"/>
          <w:szCs w:val="24"/>
          <w:highlight w:val="none"/>
        </w:rPr>
        <w:t>3.4.5切换</w:t>
      </w:r>
    </w:p>
    <w:p w14:paraId="7FAAC9EC">
      <w:pPr>
        <w:spacing w:line="360" w:lineRule="auto"/>
        <w:rPr>
          <w:rFonts w:ascii="宋体"/>
          <w:color w:val="auto"/>
          <w:sz w:val="24"/>
          <w:szCs w:val="24"/>
          <w:highlight w:val="none"/>
        </w:rPr>
      </w:pPr>
      <w:r>
        <w:rPr>
          <w:rFonts w:hint="eastAsia" w:ascii="宋体"/>
          <w:color w:val="auto"/>
          <w:sz w:val="24"/>
          <w:szCs w:val="24"/>
          <w:highlight w:val="none"/>
        </w:rPr>
        <w:t xml:space="preserve">    在正常情况下，2台主计算机互为热备用，软硬件的冗余结构将确保数据可靠，程序安全，且不影响系统的实时性。当其中一台主机发生故障时，备用机无扰切换投入运行，不发生任何数据丢失。2台远动通信装置独立工作，能同时与调度端系统进行通信。</w:t>
      </w:r>
    </w:p>
    <w:p w14:paraId="25213895">
      <w:pPr>
        <w:pStyle w:val="18"/>
        <w:spacing w:line="360" w:lineRule="auto"/>
        <w:rPr>
          <w:color w:val="auto"/>
          <w:kern w:val="2"/>
          <w:szCs w:val="24"/>
          <w:highlight w:val="none"/>
        </w:rPr>
      </w:pPr>
      <w:r>
        <w:rPr>
          <w:rFonts w:hint="eastAsia"/>
          <w:color w:val="auto"/>
          <w:kern w:val="2"/>
          <w:szCs w:val="24"/>
          <w:highlight w:val="none"/>
        </w:rPr>
        <w:t>3.4.6与其他设备的通讯接口</w:t>
      </w:r>
    </w:p>
    <w:p w14:paraId="02F01EA9">
      <w:pPr>
        <w:spacing w:line="360" w:lineRule="auto"/>
        <w:ind w:firstLine="420"/>
        <w:rPr>
          <w:rFonts w:ascii="宋体"/>
          <w:color w:val="auto"/>
          <w:sz w:val="24"/>
          <w:szCs w:val="24"/>
          <w:highlight w:val="none"/>
        </w:rPr>
      </w:pPr>
      <w:r>
        <w:rPr>
          <w:rFonts w:hint="eastAsia" w:ascii="宋体"/>
          <w:color w:val="auto"/>
          <w:sz w:val="24"/>
          <w:szCs w:val="24"/>
          <w:highlight w:val="none"/>
        </w:rPr>
        <w:t>通过网关工作站与SIS等其它系统进行通讯,通过站内信息管理机（装置型，无风扇无硬盘设备）与线路保护管理机等通信,接口范围见3.2.3，关于站内计算机监控系统与其它设备和系统的接口，投标人应负责接入工作。</w:t>
      </w:r>
    </w:p>
    <w:p w14:paraId="2F178458">
      <w:pPr>
        <w:spacing w:line="360" w:lineRule="auto"/>
        <w:rPr>
          <w:rFonts w:ascii="宋体"/>
          <w:color w:val="auto"/>
          <w:sz w:val="24"/>
          <w:szCs w:val="24"/>
          <w:highlight w:val="none"/>
        </w:rPr>
      </w:pPr>
      <w:r>
        <w:rPr>
          <w:rFonts w:hint="eastAsia" w:ascii="宋体"/>
          <w:color w:val="auto"/>
          <w:sz w:val="24"/>
          <w:szCs w:val="24"/>
          <w:highlight w:val="none"/>
        </w:rPr>
        <w:t>3.4.6.1系统继电保护装置的动作信号除了用硬接线送I/O装置外，还通过继电保护及故障信息管理子站通信接入站内监控系统。通讯规约采用IEC60870－5－103。监控系统可对保护装置进行监测，但不能对保护装置进行定值修改、投/退等控制。</w:t>
      </w:r>
    </w:p>
    <w:p w14:paraId="11E3C4A5">
      <w:pPr>
        <w:spacing w:line="360" w:lineRule="auto"/>
        <w:rPr>
          <w:rFonts w:ascii="宋体"/>
          <w:color w:val="auto"/>
          <w:sz w:val="24"/>
          <w:szCs w:val="24"/>
          <w:highlight w:val="none"/>
        </w:rPr>
      </w:pPr>
      <w:r>
        <w:rPr>
          <w:rFonts w:hint="eastAsia" w:ascii="宋体"/>
          <w:color w:val="auto"/>
          <w:sz w:val="24"/>
          <w:szCs w:val="24"/>
          <w:highlight w:val="none"/>
        </w:rPr>
        <w:t>3.4.6.2</w:t>
      </w:r>
      <w:bookmarkStart w:id="24" w:name="OLE_LINK7"/>
      <w:r>
        <w:rPr>
          <w:rFonts w:hint="eastAsia" w:ascii="宋体"/>
          <w:color w:val="auto"/>
          <w:sz w:val="24"/>
          <w:szCs w:val="24"/>
          <w:highlight w:val="none"/>
        </w:rPr>
        <w:t>站内信息管理机</w:t>
      </w:r>
      <w:bookmarkEnd w:id="24"/>
      <w:r>
        <w:rPr>
          <w:rFonts w:hint="eastAsia" w:ascii="宋体"/>
          <w:color w:val="auto"/>
          <w:sz w:val="24"/>
          <w:szCs w:val="24"/>
          <w:highlight w:val="none"/>
        </w:rPr>
        <w:t>还提供串行接口，分别与升压站辅助设备（如直流系统等）的供货商协调通讯接口问题，一般采用RS485串行口。投标人主动与这些辅助设备供货商进行接口协调，并完成NCS侧软硬件。</w:t>
      </w:r>
    </w:p>
    <w:p w14:paraId="30F19F36">
      <w:pPr>
        <w:spacing w:line="360" w:lineRule="auto"/>
        <w:rPr>
          <w:rFonts w:ascii="宋体"/>
          <w:color w:val="auto"/>
          <w:sz w:val="24"/>
          <w:szCs w:val="24"/>
          <w:highlight w:val="none"/>
        </w:rPr>
      </w:pPr>
      <w:r>
        <w:rPr>
          <w:rFonts w:hint="eastAsia" w:ascii="宋体"/>
          <w:color w:val="auto"/>
          <w:sz w:val="24"/>
          <w:szCs w:val="24"/>
          <w:highlight w:val="none"/>
        </w:rPr>
        <w:t>3.4.6.3配置的软件与系统的硬件资源相适应，除系统软件、应用软件外，还配置在线故障诊断软件，数据库考虑具有在线修改运行参数、在线修改屏幕显示画面等功能。软件设计遵循模块化和兼容的原则。软件技术规范、字型等都符合相应的中国国家标准。</w:t>
      </w:r>
    </w:p>
    <w:p w14:paraId="1B53381D">
      <w:pPr>
        <w:spacing w:line="360" w:lineRule="auto"/>
        <w:rPr>
          <w:rFonts w:ascii="宋体"/>
          <w:color w:val="auto"/>
          <w:sz w:val="24"/>
          <w:szCs w:val="24"/>
          <w:highlight w:val="none"/>
        </w:rPr>
      </w:pPr>
      <w:r>
        <w:rPr>
          <w:rFonts w:hint="eastAsia" w:ascii="宋体"/>
          <w:color w:val="auto"/>
          <w:sz w:val="24"/>
          <w:szCs w:val="24"/>
          <w:highlight w:val="none"/>
        </w:rPr>
        <w:t>3.4.6.5投标人提供的设备和系统须满足公安部《信息系统安全等级保护基本要求》规定的</w:t>
      </w:r>
      <w:r>
        <w:rPr>
          <w:rFonts w:hint="eastAsia" w:ascii="宋体"/>
          <w:color w:val="auto"/>
          <w:sz w:val="24"/>
          <w:szCs w:val="24"/>
          <w:highlight w:val="none"/>
          <w:u w:val="single"/>
        </w:rPr>
        <w:t>第三级</w:t>
      </w:r>
      <w:r>
        <w:rPr>
          <w:rFonts w:hint="eastAsia" w:ascii="宋体"/>
          <w:color w:val="auto"/>
          <w:sz w:val="24"/>
          <w:szCs w:val="24"/>
          <w:highlight w:val="none"/>
        </w:rPr>
        <w:t>等级系统对安全保护技术措施的要求。</w:t>
      </w:r>
    </w:p>
    <w:p w14:paraId="6EA0B3BD">
      <w:pPr>
        <w:spacing w:line="360" w:lineRule="auto"/>
        <w:rPr>
          <w:rFonts w:ascii="宋体" w:hAnsi="宋体"/>
          <w:snapToGrid w:val="0"/>
          <w:color w:val="auto"/>
          <w:sz w:val="24"/>
          <w:szCs w:val="24"/>
          <w:highlight w:val="none"/>
        </w:rPr>
      </w:pPr>
      <w:r>
        <w:rPr>
          <w:rFonts w:hint="eastAsia" w:ascii="宋体" w:hAnsi="宋体"/>
          <w:snapToGrid w:val="0"/>
          <w:color w:val="auto"/>
          <w:sz w:val="24"/>
          <w:szCs w:val="24"/>
          <w:highlight w:val="none"/>
        </w:rPr>
        <w:t>3.4.7远动设备功能描述：</w:t>
      </w:r>
    </w:p>
    <w:p w14:paraId="1D1C6C82">
      <w:pPr>
        <w:numPr>
          <w:ilvl w:val="0"/>
          <w:numId w:val="15"/>
        </w:numPr>
        <w:tabs>
          <w:tab w:val="clear" w:pos="927"/>
        </w:tabs>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远动通信装置：双主机工作模式。</w:t>
      </w:r>
      <w:r>
        <w:rPr>
          <w:rFonts w:hint="eastAsia" w:ascii="宋体"/>
          <w:color w:val="auto"/>
          <w:sz w:val="24"/>
          <w:szCs w:val="24"/>
          <w:highlight w:val="none"/>
          <w:lang w:val="en-US" w:eastAsia="zh-CN"/>
        </w:rPr>
        <w:t>品牌采用北京四方、国电南自、南瑞继保、上海惠安或相当于。</w:t>
      </w:r>
    </w:p>
    <w:p w14:paraId="1DFCBCAC">
      <w:pPr>
        <w:numPr>
          <w:ilvl w:val="0"/>
          <w:numId w:val="15"/>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采用104规约分别接入省调接入网、网调接入网或地调接入网，每台远动通信装置至少提供4个独立的数据网通信接口。逻辑地址的绑定须满足至少16个调度端的访问。</w:t>
      </w:r>
    </w:p>
    <w:p w14:paraId="5F9A3FAA">
      <w:pPr>
        <w:numPr>
          <w:ilvl w:val="0"/>
          <w:numId w:val="15"/>
        </w:numPr>
        <w:spacing w:line="360" w:lineRule="auto"/>
        <w:rPr>
          <w:rFonts w:ascii="宋体"/>
          <w:color w:val="auto"/>
          <w:sz w:val="24"/>
          <w:szCs w:val="24"/>
          <w:highlight w:val="none"/>
        </w:rPr>
      </w:pPr>
      <w:r>
        <w:rPr>
          <w:rFonts w:hint="eastAsia" w:ascii="宋体"/>
          <w:color w:val="auto"/>
          <w:sz w:val="24"/>
          <w:szCs w:val="24"/>
          <w:highlight w:val="none"/>
        </w:rPr>
        <w:t>采用标准通讯规约实现AGC控制功能。</w:t>
      </w:r>
    </w:p>
    <w:p w14:paraId="3BCF36C9">
      <w:pPr>
        <w:pStyle w:val="18"/>
        <w:spacing w:line="360" w:lineRule="auto"/>
        <w:rPr>
          <w:color w:val="auto"/>
          <w:kern w:val="2"/>
          <w:szCs w:val="24"/>
          <w:highlight w:val="none"/>
        </w:rPr>
      </w:pPr>
      <w:r>
        <w:rPr>
          <w:rFonts w:hint="eastAsia"/>
          <w:color w:val="auto"/>
          <w:kern w:val="2"/>
          <w:szCs w:val="24"/>
          <w:highlight w:val="none"/>
        </w:rPr>
        <w:t>3.4.8电源配置</w:t>
      </w:r>
    </w:p>
    <w:p w14:paraId="72BC9637">
      <w:pPr>
        <w:numPr>
          <w:ilvl w:val="0"/>
          <w:numId w:val="16"/>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I/O</w:t>
      </w:r>
      <w:r>
        <w:rPr>
          <w:rFonts w:ascii="宋体"/>
          <w:color w:val="auto"/>
          <w:sz w:val="24"/>
          <w:szCs w:val="24"/>
          <w:highlight w:val="none"/>
        </w:rPr>
        <w:t>测控</w:t>
      </w:r>
      <w:r>
        <w:rPr>
          <w:rFonts w:hint="eastAsia" w:ascii="宋体"/>
          <w:color w:val="auto"/>
          <w:sz w:val="24"/>
          <w:szCs w:val="24"/>
          <w:highlight w:val="none"/>
        </w:rPr>
        <w:t>屏采用两路</w:t>
      </w:r>
      <w:r>
        <w:rPr>
          <w:rFonts w:ascii="宋体"/>
          <w:color w:val="auto"/>
          <w:sz w:val="24"/>
          <w:szCs w:val="24"/>
          <w:highlight w:val="none"/>
          <w:u w:val="single"/>
        </w:rPr>
        <w:t>110V DC</w:t>
      </w:r>
      <w:r>
        <w:rPr>
          <w:rFonts w:hint="eastAsia" w:ascii="宋体"/>
          <w:color w:val="auto"/>
          <w:sz w:val="24"/>
          <w:szCs w:val="24"/>
          <w:highlight w:val="none"/>
        </w:rPr>
        <w:t>供电方式，要求两路</w:t>
      </w:r>
      <w:r>
        <w:rPr>
          <w:rFonts w:hint="eastAsia" w:ascii="宋体"/>
          <w:color w:val="auto"/>
          <w:sz w:val="24"/>
          <w:szCs w:val="24"/>
          <w:highlight w:val="none"/>
        </w:rPr>
        <w:t>电源具有手动切换功能</w:t>
      </w:r>
      <w:r>
        <w:rPr>
          <w:rFonts w:hint="eastAsia" w:ascii="宋体"/>
          <w:color w:val="auto"/>
          <w:sz w:val="24"/>
          <w:szCs w:val="24"/>
          <w:highlight w:val="none"/>
        </w:rPr>
        <w:t>。每个I/O测控单元需配置独立的电源装置，任一电源装置退出运行时应不影响其它I/O测控单元的运行。各装置应具有直流快速小开关，与装置安装在同一面柜上。应对监测屏上整个直流电压回路进行监视，当在该直流回路中任何一处发生断线或短路时，相关设备不应误动，同时应发告警信号至监控系统，并能指明哪个回路发生故障。直流电源电压在</w:t>
      </w:r>
      <w:r>
        <w:rPr>
          <w:rFonts w:ascii="宋体"/>
          <w:color w:val="auto"/>
          <w:sz w:val="24"/>
          <w:szCs w:val="24"/>
          <w:highlight w:val="none"/>
        </w:rPr>
        <w:t>80%</w:t>
      </w:r>
      <w:r>
        <w:rPr>
          <w:rFonts w:hint="eastAsia" w:ascii="宋体"/>
          <w:color w:val="auto"/>
          <w:sz w:val="24"/>
          <w:szCs w:val="24"/>
          <w:highlight w:val="none"/>
        </w:rPr>
        <w:t>～</w:t>
      </w:r>
      <w:r>
        <w:rPr>
          <w:rFonts w:ascii="宋体"/>
          <w:color w:val="auto"/>
          <w:sz w:val="24"/>
          <w:szCs w:val="24"/>
          <w:highlight w:val="none"/>
        </w:rPr>
        <w:t>115%</w:t>
      </w:r>
      <w:r>
        <w:rPr>
          <w:rFonts w:hint="eastAsia" w:ascii="宋体"/>
          <w:color w:val="auto"/>
          <w:sz w:val="24"/>
          <w:szCs w:val="24"/>
          <w:highlight w:val="none"/>
        </w:rPr>
        <w:t>额定值范围内变化或直流电源纹波系数</w:t>
      </w:r>
      <w:r>
        <w:rPr>
          <w:rFonts w:ascii="宋体"/>
          <w:color w:val="auto"/>
          <w:sz w:val="24"/>
          <w:szCs w:val="24"/>
          <w:highlight w:val="none"/>
        </w:rPr>
        <w:sym w:font="Symbol" w:char="F0A3"/>
      </w:r>
      <w:r>
        <w:rPr>
          <w:rFonts w:ascii="宋体"/>
          <w:color w:val="auto"/>
          <w:sz w:val="24"/>
          <w:szCs w:val="24"/>
          <w:highlight w:val="none"/>
        </w:rPr>
        <w:t>5%</w:t>
      </w:r>
      <w:r>
        <w:rPr>
          <w:rFonts w:hint="eastAsia" w:ascii="宋体"/>
          <w:color w:val="auto"/>
          <w:sz w:val="24"/>
          <w:szCs w:val="24"/>
          <w:highlight w:val="none"/>
        </w:rPr>
        <w:t>时，装置应正确工作。装置电源小开关与信号电源小开关应独立配置。</w:t>
      </w:r>
      <w:r>
        <w:rPr>
          <w:rFonts w:hint="eastAsia" w:ascii="宋体" w:hAnsi="宋体"/>
          <w:color w:val="auto"/>
          <w:sz w:val="24"/>
          <w:szCs w:val="24"/>
          <w:highlight w:val="none"/>
        </w:rPr>
        <w:t>直流空气开关采用ABB、施耐德、西门子或“相当于”的B特性直流空气开关。</w:t>
      </w:r>
    </w:p>
    <w:p w14:paraId="0BB77857">
      <w:pPr>
        <w:numPr>
          <w:ilvl w:val="0"/>
          <w:numId w:val="16"/>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拉合直流电源以及插拔熔丝发生重复击穿火花时，装置不应误动作。直流电源回路出现各种异常情况</w:t>
      </w:r>
      <w:r>
        <w:rPr>
          <w:rFonts w:ascii="宋体"/>
          <w:color w:val="auto"/>
          <w:sz w:val="24"/>
          <w:szCs w:val="24"/>
          <w:highlight w:val="none"/>
        </w:rPr>
        <w:t>(</w:t>
      </w:r>
      <w:r>
        <w:rPr>
          <w:rFonts w:hint="eastAsia" w:ascii="宋体"/>
          <w:color w:val="auto"/>
          <w:sz w:val="24"/>
          <w:szCs w:val="24"/>
          <w:highlight w:val="none"/>
        </w:rPr>
        <w:t>如短路、断线、接地等</w:t>
      </w:r>
      <w:r>
        <w:rPr>
          <w:rFonts w:ascii="宋体"/>
          <w:color w:val="auto"/>
          <w:sz w:val="24"/>
          <w:szCs w:val="24"/>
          <w:highlight w:val="none"/>
        </w:rPr>
        <w:t>)</w:t>
      </w:r>
      <w:r>
        <w:rPr>
          <w:rFonts w:hint="eastAsia" w:ascii="宋体"/>
          <w:color w:val="auto"/>
          <w:sz w:val="24"/>
          <w:szCs w:val="24"/>
          <w:highlight w:val="none"/>
        </w:rPr>
        <w:t>时装置不应误动作。</w:t>
      </w:r>
    </w:p>
    <w:p w14:paraId="7A154388">
      <w:pPr>
        <w:numPr>
          <w:ilvl w:val="0"/>
          <w:numId w:val="16"/>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各装置的逻辑回路应由独立的直流</w:t>
      </w:r>
      <w:r>
        <w:rPr>
          <w:rFonts w:ascii="宋体"/>
          <w:color w:val="auto"/>
          <w:sz w:val="24"/>
          <w:szCs w:val="24"/>
          <w:highlight w:val="none"/>
        </w:rPr>
        <w:t>/</w:t>
      </w:r>
      <w:r>
        <w:rPr>
          <w:rFonts w:hint="eastAsia" w:ascii="宋体"/>
          <w:color w:val="auto"/>
          <w:sz w:val="24"/>
          <w:szCs w:val="24"/>
          <w:highlight w:val="none"/>
        </w:rPr>
        <w:t>直流变换器供电，在直流电源恢复</w:t>
      </w:r>
      <w:r>
        <w:rPr>
          <w:rFonts w:ascii="宋体"/>
          <w:color w:val="auto"/>
          <w:sz w:val="24"/>
          <w:szCs w:val="24"/>
          <w:highlight w:val="none"/>
        </w:rPr>
        <w:t>(</w:t>
      </w:r>
      <w:r>
        <w:rPr>
          <w:rFonts w:hint="eastAsia" w:ascii="宋体"/>
          <w:color w:val="auto"/>
          <w:sz w:val="24"/>
          <w:szCs w:val="24"/>
          <w:highlight w:val="none"/>
        </w:rPr>
        <w:t>包括缓慢恢复</w:t>
      </w:r>
      <w:r>
        <w:rPr>
          <w:rFonts w:ascii="宋体"/>
          <w:color w:val="auto"/>
          <w:sz w:val="24"/>
          <w:szCs w:val="24"/>
          <w:highlight w:val="none"/>
        </w:rPr>
        <w:t>)</w:t>
      </w:r>
      <w:r>
        <w:rPr>
          <w:rFonts w:hint="eastAsia" w:ascii="宋体"/>
          <w:color w:val="auto"/>
          <w:sz w:val="24"/>
          <w:szCs w:val="24"/>
          <w:highlight w:val="none"/>
        </w:rPr>
        <w:t>至额定电压的</w:t>
      </w:r>
      <w:r>
        <w:rPr>
          <w:rFonts w:ascii="宋体"/>
          <w:color w:val="auto"/>
          <w:sz w:val="24"/>
          <w:szCs w:val="24"/>
          <w:highlight w:val="none"/>
        </w:rPr>
        <w:t>80%</w:t>
      </w:r>
      <w:r>
        <w:rPr>
          <w:rFonts w:hint="eastAsia" w:ascii="宋体"/>
          <w:color w:val="auto"/>
          <w:sz w:val="24"/>
          <w:szCs w:val="24"/>
          <w:highlight w:val="none"/>
        </w:rPr>
        <w:t>时，装置的直流变换电源应能可靠自起动。</w:t>
      </w:r>
    </w:p>
    <w:p w14:paraId="598A4C0F">
      <w:pPr>
        <w:numPr>
          <w:ilvl w:val="0"/>
          <w:numId w:val="16"/>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站级控制层设备采用两路交流不停电电源供电，当任一电源中断时不影响该设备的正常运行。当交流电源电压在</w:t>
      </w:r>
      <w:r>
        <w:rPr>
          <w:rFonts w:ascii="宋体"/>
          <w:color w:val="auto"/>
          <w:sz w:val="24"/>
          <w:szCs w:val="24"/>
          <w:highlight w:val="none"/>
        </w:rPr>
        <w:t>85%</w:t>
      </w:r>
      <w:r>
        <w:rPr>
          <w:rFonts w:hint="eastAsia" w:ascii="宋体"/>
          <w:color w:val="auto"/>
          <w:sz w:val="24"/>
          <w:szCs w:val="24"/>
          <w:highlight w:val="none"/>
        </w:rPr>
        <w:t xml:space="preserve"> ～</w:t>
      </w:r>
      <w:r>
        <w:rPr>
          <w:rFonts w:ascii="宋体"/>
          <w:color w:val="auto"/>
          <w:sz w:val="24"/>
          <w:szCs w:val="24"/>
          <w:highlight w:val="none"/>
        </w:rPr>
        <w:t>110%</w:t>
      </w:r>
      <w:r>
        <w:rPr>
          <w:rFonts w:hint="eastAsia" w:ascii="宋体"/>
          <w:color w:val="auto"/>
          <w:sz w:val="24"/>
          <w:szCs w:val="24"/>
          <w:highlight w:val="none"/>
        </w:rPr>
        <w:t>额定值范围内，谐波分量不大于</w:t>
      </w:r>
      <w:r>
        <w:rPr>
          <w:rFonts w:ascii="宋体"/>
          <w:color w:val="auto"/>
          <w:sz w:val="24"/>
          <w:szCs w:val="24"/>
          <w:highlight w:val="none"/>
        </w:rPr>
        <w:t>5%</w:t>
      </w:r>
      <w:r>
        <w:rPr>
          <w:rFonts w:hint="eastAsia" w:ascii="宋体"/>
          <w:color w:val="auto"/>
          <w:sz w:val="24"/>
          <w:szCs w:val="24"/>
          <w:highlight w:val="none"/>
        </w:rPr>
        <w:t>，频率在</w:t>
      </w:r>
      <w:r>
        <w:rPr>
          <w:rFonts w:ascii="宋体"/>
          <w:color w:val="auto"/>
          <w:sz w:val="24"/>
          <w:szCs w:val="24"/>
          <w:highlight w:val="none"/>
        </w:rPr>
        <w:t>47.5</w:t>
      </w:r>
      <w:r>
        <w:rPr>
          <w:rFonts w:hint="eastAsia" w:ascii="宋体"/>
          <w:color w:val="auto"/>
          <w:sz w:val="24"/>
          <w:szCs w:val="24"/>
          <w:highlight w:val="none"/>
        </w:rPr>
        <w:t>～</w:t>
      </w:r>
      <w:r>
        <w:rPr>
          <w:rFonts w:ascii="宋体"/>
          <w:color w:val="auto"/>
          <w:sz w:val="24"/>
          <w:szCs w:val="24"/>
          <w:highlight w:val="none"/>
        </w:rPr>
        <w:t>52.5Hz</w:t>
      </w:r>
      <w:r>
        <w:rPr>
          <w:rFonts w:hint="eastAsia" w:ascii="宋体"/>
          <w:color w:val="auto"/>
          <w:sz w:val="24"/>
          <w:szCs w:val="24"/>
          <w:highlight w:val="none"/>
        </w:rPr>
        <w:t>之间变化时，设备应能正常工作。</w:t>
      </w:r>
    </w:p>
    <w:p w14:paraId="10B67CD5">
      <w:pPr>
        <w:pStyle w:val="18"/>
        <w:spacing w:line="360" w:lineRule="auto"/>
        <w:rPr>
          <w:rFonts w:hint="default" w:eastAsia="宋体"/>
          <w:color w:val="auto"/>
          <w:kern w:val="2"/>
          <w:szCs w:val="24"/>
          <w:highlight w:val="none"/>
          <w:lang w:val="en-US" w:eastAsia="zh-CN"/>
        </w:rPr>
      </w:pPr>
      <w:r>
        <w:rPr>
          <w:rFonts w:hint="eastAsia"/>
          <w:color w:val="auto"/>
          <w:kern w:val="2"/>
          <w:szCs w:val="24"/>
          <w:highlight w:val="none"/>
        </w:rPr>
        <w:t>3.4.</w:t>
      </w:r>
      <w:r>
        <w:rPr>
          <w:rFonts w:hint="eastAsia"/>
          <w:color w:val="auto"/>
          <w:kern w:val="2"/>
          <w:szCs w:val="24"/>
          <w:highlight w:val="none"/>
          <w:lang w:val="en-US" w:eastAsia="zh-CN"/>
        </w:rPr>
        <w:t>9 系统安全</w:t>
      </w:r>
    </w:p>
    <w:p w14:paraId="07A4F57C">
      <w:pPr>
        <w:numPr>
          <w:ilvl w:val="-1"/>
          <w:numId w:val="0"/>
        </w:numPr>
        <w:spacing w:line="360" w:lineRule="auto"/>
        <w:ind w:left="0" w:leftChars="0" w:firstLine="660" w:firstLineChars="275"/>
        <w:rPr>
          <w:rFonts w:hint="eastAsia" w:ascii="宋体"/>
          <w:color w:val="auto"/>
          <w:sz w:val="24"/>
          <w:szCs w:val="24"/>
          <w:highlight w:val="none"/>
          <w:lang w:eastAsia="zh-CN"/>
        </w:rPr>
      </w:pPr>
      <w:r>
        <w:rPr>
          <w:rFonts w:hint="eastAsia" w:ascii="宋体"/>
          <w:color w:val="auto"/>
          <w:sz w:val="24"/>
          <w:szCs w:val="24"/>
          <w:highlight w:val="none"/>
          <w:lang w:val="en-US" w:eastAsia="zh-CN"/>
        </w:rPr>
        <w:t>投标人</w:t>
      </w:r>
      <w:r>
        <w:rPr>
          <w:rFonts w:hint="eastAsia" w:ascii="宋体"/>
          <w:color w:val="auto"/>
          <w:sz w:val="24"/>
          <w:szCs w:val="24"/>
          <w:highlight w:val="none"/>
        </w:rPr>
        <w:t>提供的产品和服务</w:t>
      </w:r>
      <w:r>
        <w:rPr>
          <w:rFonts w:hint="eastAsia" w:ascii="宋体"/>
          <w:color w:val="auto"/>
          <w:sz w:val="24"/>
          <w:szCs w:val="24"/>
          <w:highlight w:val="none"/>
          <w:lang w:val="en-US" w:eastAsia="zh-CN"/>
        </w:rPr>
        <w:t>应保证</w:t>
      </w:r>
      <w:r>
        <w:rPr>
          <w:rFonts w:hint="eastAsia" w:ascii="宋体"/>
          <w:color w:val="auto"/>
          <w:sz w:val="24"/>
          <w:szCs w:val="24"/>
          <w:highlight w:val="none"/>
        </w:rPr>
        <w:t>未设置恶意程序、不存在已知安全缺陷和漏洞，并在产品和服务的全生命周期内负责；当产品和服务存在安全缺陷、漏洞等风险时，立即采取补救措施，并及时告知</w:t>
      </w:r>
      <w:r>
        <w:rPr>
          <w:rFonts w:hint="eastAsia" w:ascii="宋体"/>
          <w:color w:val="auto"/>
          <w:sz w:val="24"/>
          <w:szCs w:val="24"/>
          <w:highlight w:val="none"/>
          <w:lang w:val="en-US" w:eastAsia="zh-CN"/>
        </w:rPr>
        <w:t>招标人；</w:t>
      </w:r>
      <w:r>
        <w:rPr>
          <w:rFonts w:hint="eastAsia" w:ascii="宋体"/>
          <w:color w:val="auto"/>
          <w:sz w:val="24"/>
          <w:szCs w:val="24"/>
          <w:highlight w:val="none"/>
        </w:rPr>
        <w:t>当存在重大漏洞隐患时，及时向国家能源局及其派出机构报告</w:t>
      </w:r>
      <w:r>
        <w:rPr>
          <w:rFonts w:hint="eastAsia" w:ascii="宋体"/>
          <w:color w:val="auto"/>
          <w:sz w:val="24"/>
          <w:szCs w:val="24"/>
          <w:highlight w:val="none"/>
          <w:lang w:eastAsia="zh-CN"/>
        </w:rPr>
        <w:t>。</w:t>
      </w:r>
    </w:p>
    <w:p w14:paraId="6A941C33">
      <w:pPr>
        <w:spacing w:line="360" w:lineRule="auto"/>
        <w:rPr>
          <w:rFonts w:ascii="宋体"/>
          <w:b/>
          <w:color w:val="auto"/>
          <w:sz w:val="24"/>
          <w:szCs w:val="24"/>
          <w:highlight w:val="none"/>
        </w:rPr>
      </w:pPr>
      <w:bookmarkStart w:id="25" w:name="_Toc61442366"/>
      <w:bookmarkStart w:id="26" w:name="_Toc320606846"/>
      <w:r>
        <w:rPr>
          <w:rFonts w:hint="eastAsia" w:ascii="宋体"/>
          <w:b/>
          <w:color w:val="auto"/>
          <w:sz w:val="24"/>
          <w:szCs w:val="24"/>
          <w:highlight w:val="none"/>
        </w:rPr>
        <w:t>3.5   系统功能</w:t>
      </w:r>
      <w:bookmarkEnd w:id="25"/>
      <w:bookmarkEnd w:id="26"/>
    </w:p>
    <w:p w14:paraId="1DBAF1AA">
      <w:pPr>
        <w:spacing w:line="360" w:lineRule="auto"/>
        <w:rPr>
          <w:rFonts w:ascii="宋体"/>
          <w:color w:val="auto"/>
          <w:sz w:val="24"/>
          <w:szCs w:val="24"/>
          <w:highlight w:val="none"/>
        </w:rPr>
      </w:pPr>
      <w:r>
        <w:rPr>
          <w:rFonts w:hint="eastAsia" w:ascii="宋体"/>
          <w:color w:val="auto"/>
          <w:sz w:val="24"/>
          <w:szCs w:val="24"/>
          <w:highlight w:val="none"/>
        </w:rPr>
        <w:t>3.5.1实时数据采集</w:t>
      </w:r>
    </w:p>
    <w:p w14:paraId="130D4698">
      <w:pPr>
        <w:numPr>
          <w:ilvl w:val="0"/>
          <w:numId w:val="17"/>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通过</w:t>
      </w:r>
      <w:r>
        <w:rPr>
          <w:rFonts w:ascii="宋体"/>
          <w:color w:val="auto"/>
          <w:sz w:val="24"/>
          <w:szCs w:val="24"/>
          <w:highlight w:val="none"/>
        </w:rPr>
        <w:t>I/O</w:t>
      </w:r>
      <w:r>
        <w:rPr>
          <w:rFonts w:hint="eastAsia" w:ascii="宋体"/>
          <w:color w:val="auto"/>
          <w:sz w:val="24"/>
          <w:szCs w:val="24"/>
          <w:highlight w:val="none"/>
        </w:rPr>
        <w:t>测控单元实时采集来自升压站和单元机组的运行工况，主要设备包括：</w:t>
      </w:r>
    </w:p>
    <w:p w14:paraId="4C4BB1BC">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lang w:val="en-US" w:eastAsia="zh-CN"/>
        </w:rPr>
        <w:t>750</w:t>
      </w:r>
      <w:r>
        <w:rPr>
          <w:rFonts w:ascii="宋体"/>
          <w:color w:val="auto"/>
          <w:sz w:val="24"/>
          <w:szCs w:val="24"/>
          <w:highlight w:val="none"/>
        </w:rPr>
        <w:t>kV</w:t>
      </w:r>
      <w:r>
        <w:rPr>
          <w:rFonts w:hint="eastAsia" w:ascii="宋体"/>
          <w:color w:val="auto"/>
          <w:sz w:val="24"/>
          <w:szCs w:val="24"/>
          <w:highlight w:val="none"/>
          <w:lang w:val="en-US" w:eastAsia="zh-CN"/>
        </w:rPr>
        <w:t>两回主变进线间隔</w:t>
      </w:r>
    </w:p>
    <w:p w14:paraId="58DD5DD7">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lang w:val="en-US" w:eastAsia="zh-CN"/>
        </w:rPr>
        <w:t>750</w:t>
      </w:r>
      <w:r>
        <w:rPr>
          <w:rFonts w:ascii="宋体"/>
          <w:color w:val="auto"/>
          <w:sz w:val="24"/>
          <w:szCs w:val="24"/>
          <w:highlight w:val="none"/>
        </w:rPr>
        <w:t>kV</w:t>
      </w:r>
      <w:r>
        <w:rPr>
          <w:rFonts w:hint="eastAsia" w:ascii="宋体"/>
          <w:color w:val="auto"/>
          <w:sz w:val="24"/>
          <w:szCs w:val="24"/>
          <w:highlight w:val="none"/>
          <w:lang w:val="en-US" w:eastAsia="zh-CN"/>
        </w:rPr>
        <w:t>两回换流站出线间隔</w:t>
      </w:r>
    </w:p>
    <w:p w14:paraId="7CACD824">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lang w:val="en-US" w:eastAsia="zh-CN"/>
        </w:rPr>
        <w:t>2台750kV高压并联电抗器</w:t>
      </w:r>
    </w:p>
    <w:p w14:paraId="542097C9">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lang w:val="en-US" w:eastAsia="zh-CN"/>
        </w:rPr>
        <w:t>750</w:t>
      </w:r>
      <w:r>
        <w:rPr>
          <w:rFonts w:ascii="宋体"/>
          <w:color w:val="auto"/>
          <w:sz w:val="24"/>
          <w:szCs w:val="24"/>
          <w:highlight w:val="none"/>
        </w:rPr>
        <w:t>kV母线设备</w:t>
      </w:r>
    </w:p>
    <w:p w14:paraId="3EE280CC">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lang w:val="en-US" w:eastAsia="zh-CN"/>
        </w:rPr>
        <w:t>起备变间隔</w:t>
      </w:r>
    </w:p>
    <w:p w14:paraId="175B8359">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全站断路器、隔离开关及接地闸刀</w:t>
      </w:r>
    </w:p>
    <w:p w14:paraId="0CABE0C2">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全站</w:t>
      </w:r>
      <w:r>
        <w:rPr>
          <w:rFonts w:ascii="宋体"/>
          <w:color w:val="auto"/>
          <w:sz w:val="24"/>
          <w:szCs w:val="24"/>
          <w:highlight w:val="none"/>
        </w:rPr>
        <w:t>CT</w:t>
      </w:r>
      <w:r>
        <w:rPr>
          <w:rFonts w:hint="eastAsia" w:ascii="宋体"/>
          <w:color w:val="auto"/>
          <w:sz w:val="24"/>
          <w:szCs w:val="24"/>
          <w:highlight w:val="none"/>
        </w:rPr>
        <w:t>和</w:t>
      </w:r>
      <w:r>
        <w:rPr>
          <w:rFonts w:ascii="宋体"/>
          <w:color w:val="auto"/>
          <w:sz w:val="24"/>
          <w:szCs w:val="24"/>
          <w:highlight w:val="none"/>
        </w:rPr>
        <w:t xml:space="preserve">PT </w:t>
      </w:r>
    </w:p>
    <w:p w14:paraId="7F5874C2">
      <w:pPr>
        <w:pStyle w:val="55"/>
        <w:numPr>
          <w:ilvl w:val="0"/>
          <w:numId w:val="18"/>
        </w:numPr>
        <w:tabs>
          <w:tab w:val="left" w:pos="1632"/>
        </w:tabs>
        <w:spacing w:line="360" w:lineRule="auto"/>
        <w:ind w:firstLineChars="0"/>
        <w:rPr>
          <w:rFonts w:ascii="宋体"/>
          <w:color w:val="auto"/>
          <w:sz w:val="24"/>
          <w:szCs w:val="24"/>
          <w:highlight w:val="none"/>
        </w:rPr>
      </w:pPr>
      <w:r>
        <w:rPr>
          <w:rFonts w:ascii="宋体"/>
          <w:color w:val="auto"/>
          <w:sz w:val="24"/>
          <w:szCs w:val="24"/>
          <w:highlight w:val="none"/>
          <w:u w:val="single"/>
        </w:rPr>
        <w:t>110V</w:t>
      </w:r>
      <w:r>
        <w:rPr>
          <w:rFonts w:hint="eastAsia" w:ascii="宋体"/>
          <w:color w:val="auto"/>
          <w:sz w:val="24"/>
          <w:szCs w:val="24"/>
          <w:highlight w:val="none"/>
        </w:rPr>
        <w:t>直流和</w:t>
      </w:r>
      <w:r>
        <w:rPr>
          <w:rFonts w:hint="eastAsia" w:ascii="宋体"/>
          <w:color w:val="auto"/>
          <w:sz w:val="24"/>
          <w:szCs w:val="24"/>
          <w:highlight w:val="none"/>
          <w:u w:val="single"/>
        </w:rPr>
        <w:t>220V</w:t>
      </w:r>
      <w:r>
        <w:rPr>
          <w:rFonts w:hint="eastAsia" w:ascii="宋体"/>
          <w:color w:val="auto"/>
          <w:sz w:val="24"/>
          <w:szCs w:val="24"/>
          <w:highlight w:val="none"/>
        </w:rPr>
        <w:t>交流配电系统</w:t>
      </w:r>
    </w:p>
    <w:p w14:paraId="7C56B156">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lang w:val="en-US" w:eastAsia="zh-CN"/>
        </w:rPr>
        <w:t>网控UPS系统</w:t>
      </w:r>
    </w:p>
    <w:p w14:paraId="21F54494">
      <w:pPr>
        <w:pStyle w:val="55"/>
        <w:numPr>
          <w:ilvl w:val="0"/>
          <w:numId w:val="18"/>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同步时钟对时系统</w:t>
      </w:r>
      <w:r>
        <w:rPr>
          <w:rFonts w:ascii="宋体"/>
          <w:color w:val="auto"/>
          <w:sz w:val="24"/>
          <w:szCs w:val="24"/>
          <w:highlight w:val="none"/>
        </w:rPr>
        <w:t>等</w:t>
      </w:r>
    </w:p>
    <w:p w14:paraId="2797A213">
      <w:pPr>
        <w:numPr>
          <w:ilvl w:val="0"/>
          <w:numId w:val="17"/>
        </w:numPr>
        <w:spacing w:line="360" w:lineRule="auto"/>
        <w:ind w:left="0" w:firstLine="566" w:firstLineChars="236"/>
        <w:rPr>
          <w:color w:val="auto"/>
          <w:spacing w:val="10"/>
          <w:sz w:val="24"/>
          <w:szCs w:val="24"/>
          <w:highlight w:val="none"/>
        </w:rPr>
      </w:pPr>
      <w:r>
        <w:rPr>
          <w:rFonts w:ascii="宋体"/>
          <w:color w:val="auto"/>
          <w:sz w:val="24"/>
          <w:szCs w:val="24"/>
          <w:highlight w:val="none"/>
        </w:rPr>
        <w:t>I/O</w:t>
      </w:r>
      <w:r>
        <w:rPr>
          <w:rFonts w:hint="eastAsia" w:ascii="宋体"/>
          <w:color w:val="auto"/>
          <w:sz w:val="24"/>
          <w:szCs w:val="24"/>
          <w:highlight w:val="none"/>
        </w:rPr>
        <w:t>测控单元对所采集的交流输入量进行数字滤波、有效性检查，工程值转换、故障判断、刻度计算等加工，从而产生出可供应用的电流、电压、双向有功功率、双向无功功率、频率、功率因数等各种实时数据，并将这些实时数据传送至主计算机的数据库内进行存储。</w:t>
      </w:r>
    </w:p>
    <w:p w14:paraId="4352320A">
      <w:pPr>
        <w:spacing w:line="360" w:lineRule="auto"/>
        <w:rPr>
          <w:rFonts w:ascii="宋体"/>
          <w:color w:val="auto"/>
          <w:sz w:val="24"/>
          <w:szCs w:val="24"/>
          <w:highlight w:val="none"/>
        </w:rPr>
      </w:pPr>
      <w:r>
        <w:rPr>
          <w:rFonts w:hint="eastAsia" w:ascii="宋体"/>
          <w:color w:val="auto"/>
          <w:sz w:val="24"/>
          <w:szCs w:val="24"/>
          <w:highlight w:val="none"/>
        </w:rPr>
        <w:t>3.5.2数据处理功能</w:t>
      </w:r>
    </w:p>
    <w:p w14:paraId="144737AC">
      <w:pPr>
        <w:numPr>
          <w:ilvl w:val="0"/>
          <w:numId w:val="19"/>
        </w:numPr>
        <w:spacing w:line="360" w:lineRule="auto"/>
        <w:rPr>
          <w:rFonts w:ascii="宋体"/>
          <w:color w:val="auto"/>
          <w:sz w:val="24"/>
          <w:szCs w:val="24"/>
          <w:highlight w:val="none"/>
        </w:rPr>
      </w:pPr>
      <w:r>
        <w:rPr>
          <w:rFonts w:hint="eastAsia" w:ascii="宋体"/>
          <w:color w:val="auto"/>
          <w:sz w:val="24"/>
          <w:szCs w:val="24"/>
          <w:highlight w:val="none"/>
        </w:rPr>
        <w:t>状态量处理</w:t>
      </w:r>
    </w:p>
    <w:p w14:paraId="5D90EE53">
      <w:pPr>
        <w:pStyle w:val="55"/>
        <w:numPr>
          <w:ilvl w:val="0"/>
          <w:numId w:val="20"/>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状态量包括开关量、设备运行状态等信息。</w:t>
      </w:r>
    </w:p>
    <w:p w14:paraId="351DE80A">
      <w:pPr>
        <w:pStyle w:val="55"/>
        <w:numPr>
          <w:ilvl w:val="0"/>
          <w:numId w:val="20"/>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系统应具有判断状态量是否变位，并在状态量变位时启动事故报警或预告报警处理。</w:t>
      </w:r>
    </w:p>
    <w:p w14:paraId="50675442">
      <w:pPr>
        <w:pStyle w:val="55"/>
        <w:numPr>
          <w:ilvl w:val="0"/>
          <w:numId w:val="20"/>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系统应具有事件顺序记录功能</w:t>
      </w:r>
      <w:r>
        <w:rPr>
          <w:rFonts w:ascii="宋体"/>
          <w:color w:val="auto"/>
          <w:sz w:val="24"/>
          <w:szCs w:val="24"/>
          <w:highlight w:val="none"/>
        </w:rPr>
        <w:t>,</w:t>
      </w:r>
      <w:r>
        <w:rPr>
          <w:rFonts w:hint="eastAsia" w:ascii="宋体"/>
          <w:color w:val="auto"/>
          <w:sz w:val="24"/>
          <w:szCs w:val="24"/>
          <w:highlight w:val="none"/>
        </w:rPr>
        <w:t>其分辨率&lt;2</w:t>
      </w:r>
      <w:r>
        <w:rPr>
          <w:rFonts w:ascii="宋体"/>
          <w:color w:val="auto"/>
          <w:sz w:val="24"/>
          <w:szCs w:val="24"/>
          <w:highlight w:val="none"/>
        </w:rPr>
        <w:t>ms</w:t>
      </w:r>
      <w:r>
        <w:rPr>
          <w:rFonts w:hint="eastAsia" w:ascii="宋体"/>
          <w:color w:val="auto"/>
          <w:sz w:val="24"/>
          <w:szCs w:val="24"/>
          <w:highlight w:val="none"/>
        </w:rPr>
        <w:t>。</w:t>
      </w:r>
    </w:p>
    <w:p w14:paraId="33EB0CEB">
      <w:pPr>
        <w:numPr>
          <w:ilvl w:val="0"/>
          <w:numId w:val="19"/>
        </w:numPr>
        <w:spacing w:line="360" w:lineRule="auto"/>
        <w:rPr>
          <w:rFonts w:ascii="宋体"/>
          <w:color w:val="auto"/>
          <w:sz w:val="24"/>
          <w:szCs w:val="24"/>
          <w:highlight w:val="none"/>
        </w:rPr>
      </w:pPr>
      <w:r>
        <w:rPr>
          <w:rFonts w:hint="eastAsia" w:ascii="宋体"/>
          <w:color w:val="auto"/>
          <w:sz w:val="24"/>
          <w:szCs w:val="24"/>
          <w:highlight w:val="none"/>
        </w:rPr>
        <w:t>模拟量处理</w:t>
      </w:r>
    </w:p>
    <w:p w14:paraId="3E42F723">
      <w:pPr>
        <w:pStyle w:val="55"/>
        <w:numPr>
          <w:ilvl w:val="0"/>
          <w:numId w:val="21"/>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每个模拟量在存入数据库之前，应将数据转换为工程量。</w:t>
      </w:r>
    </w:p>
    <w:p w14:paraId="18329D48">
      <w:pPr>
        <w:pStyle w:val="55"/>
        <w:numPr>
          <w:ilvl w:val="0"/>
          <w:numId w:val="21"/>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每个模拟量可以设置多个限值，分别对应告警状态、紧急状态或其他状态指示要求，模拟量越限和返回时都应启动事故报警或预告报警处理功能。</w:t>
      </w:r>
    </w:p>
    <w:p w14:paraId="34F1F496">
      <w:pPr>
        <w:numPr>
          <w:ilvl w:val="0"/>
          <w:numId w:val="21"/>
        </w:numPr>
        <w:spacing w:line="360" w:lineRule="auto"/>
        <w:rPr>
          <w:rFonts w:ascii="宋体"/>
          <w:color w:val="auto"/>
          <w:sz w:val="24"/>
          <w:szCs w:val="24"/>
          <w:highlight w:val="none"/>
        </w:rPr>
      </w:pPr>
      <w:r>
        <w:rPr>
          <w:rFonts w:hint="eastAsia" w:ascii="宋体"/>
          <w:color w:val="auto"/>
          <w:sz w:val="24"/>
          <w:szCs w:val="24"/>
          <w:highlight w:val="none"/>
        </w:rPr>
        <w:t>计算功能</w:t>
      </w:r>
    </w:p>
    <w:p w14:paraId="42C53BAF">
      <w:pPr>
        <w:pStyle w:val="55"/>
        <w:numPr>
          <w:ilvl w:val="0"/>
          <w:numId w:val="21"/>
        </w:numPr>
        <w:spacing w:line="360" w:lineRule="auto"/>
        <w:ind w:firstLineChars="0"/>
        <w:rPr>
          <w:rFonts w:ascii="宋体"/>
          <w:color w:val="auto"/>
          <w:sz w:val="24"/>
          <w:szCs w:val="24"/>
          <w:highlight w:val="none"/>
        </w:rPr>
      </w:pPr>
      <w:r>
        <w:rPr>
          <w:rFonts w:hint="eastAsia" w:ascii="宋体"/>
          <w:color w:val="auto"/>
          <w:sz w:val="24"/>
          <w:szCs w:val="24"/>
          <w:highlight w:val="none"/>
        </w:rPr>
        <w:t>系统应向操作人员提供方便的实时计算功能。</w:t>
      </w:r>
    </w:p>
    <w:p w14:paraId="64D7FA2E">
      <w:pPr>
        <w:pStyle w:val="55"/>
        <w:numPr>
          <w:ilvl w:val="0"/>
          <w:numId w:val="21"/>
        </w:numPr>
        <w:spacing w:line="360" w:lineRule="auto"/>
        <w:ind w:firstLineChars="0"/>
        <w:rPr>
          <w:rFonts w:ascii="宋体"/>
          <w:color w:val="auto"/>
          <w:sz w:val="24"/>
          <w:szCs w:val="24"/>
          <w:highlight w:val="none"/>
        </w:rPr>
      </w:pPr>
      <w:r>
        <w:rPr>
          <w:rFonts w:hint="eastAsia" w:ascii="宋体"/>
          <w:color w:val="auto"/>
          <w:sz w:val="24"/>
          <w:szCs w:val="24"/>
          <w:highlight w:val="none"/>
        </w:rPr>
        <w:t>应具有加、减、乘、除、积分、求平均值、求最大最小值和逻辑判断，以及 进行功率总加、电量分时累计等计算功能。</w:t>
      </w:r>
    </w:p>
    <w:p w14:paraId="66A72B32">
      <w:pPr>
        <w:pStyle w:val="55"/>
        <w:numPr>
          <w:ilvl w:val="0"/>
          <w:numId w:val="21"/>
        </w:numPr>
        <w:spacing w:line="360" w:lineRule="auto"/>
        <w:ind w:firstLineChars="0"/>
        <w:rPr>
          <w:rFonts w:ascii="宋体"/>
          <w:color w:val="auto"/>
          <w:sz w:val="24"/>
          <w:szCs w:val="24"/>
          <w:highlight w:val="none"/>
        </w:rPr>
      </w:pPr>
      <w:r>
        <w:rPr>
          <w:rFonts w:hint="eastAsia" w:ascii="宋体"/>
          <w:color w:val="auto"/>
          <w:sz w:val="24"/>
          <w:szCs w:val="24"/>
          <w:highlight w:val="none"/>
        </w:rPr>
        <w:t>供计算的值可以是采集量、人工输入量或前次计算量，这些计算从数据库取变量数据，并把计算结果返送数据库。</w:t>
      </w:r>
    </w:p>
    <w:p w14:paraId="429E9CFD">
      <w:pPr>
        <w:pStyle w:val="55"/>
        <w:numPr>
          <w:ilvl w:val="0"/>
          <w:numId w:val="21"/>
        </w:numPr>
        <w:spacing w:line="360" w:lineRule="auto"/>
        <w:ind w:firstLineChars="0"/>
        <w:rPr>
          <w:rFonts w:ascii="宋体"/>
          <w:color w:val="auto"/>
          <w:sz w:val="24"/>
          <w:szCs w:val="24"/>
          <w:highlight w:val="none"/>
        </w:rPr>
      </w:pPr>
      <w:r>
        <w:rPr>
          <w:rFonts w:hint="eastAsia" w:ascii="宋体"/>
          <w:color w:val="auto"/>
          <w:sz w:val="24"/>
          <w:szCs w:val="24"/>
          <w:highlight w:val="none"/>
        </w:rPr>
        <w:t>计算结果应可以处理和显示，并可以对计算结果进行合理性检查。</w:t>
      </w:r>
    </w:p>
    <w:p w14:paraId="4DF01D3B">
      <w:pPr>
        <w:pStyle w:val="55"/>
        <w:numPr>
          <w:ilvl w:val="0"/>
          <w:numId w:val="21"/>
        </w:numPr>
        <w:spacing w:line="360" w:lineRule="auto"/>
        <w:ind w:firstLineChars="0"/>
        <w:rPr>
          <w:rFonts w:ascii="宋体"/>
          <w:color w:val="auto"/>
          <w:sz w:val="24"/>
          <w:szCs w:val="24"/>
          <w:highlight w:val="none"/>
        </w:rPr>
      </w:pPr>
      <w:r>
        <w:rPr>
          <w:rFonts w:hint="eastAsia" w:ascii="宋体"/>
          <w:color w:val="auto"/>
          <w:sz w:val="24"/>
          <w:szCs w:val="24"/>
          <w:highlight w:val="none"/>
        </w:rPr>
        <w:t>应可以由用户用人机交互方式或编程方式定义一些特殊公式，并按用户要求的周期进行计算。</w:t>
      </w:r>
    </w:p>
    <w:p w14:paraId="58519BC3">
      <w:pPr>
        <w:pStyle w:val="55"/>
        <w:numPr>
          <w:ilvl w:val="0"/>
          <w:numId w:val="21"/>
        </w:numPr>
        <w:spacing w:line="360" w:lineRule="auto"/>
        <w:ind w:firstLineChars="0"/>
        <w:rPr>
          <w:rFonts w:ascii="宋体"/>
          <w:color w:val="auto"/>
          <w:sz w:val="24"/>
          <w:szCs w:val="24"/>
          <w:highlight w:val="none"/>
        </w:rPr>
      </w:pPr>
      <w:r>
        <w:rPr>
          <w:rFonts w:hint="eastAsia" w:ascii="宋体"/>
          <w:color w:val="auto"/>
          <w:sz w:val="24"/>
          <w:szCs w:val="24"/>
          <w:highlight w:val="none"/>
        </w:rPr>
        <w:t>系统应能够按设定的时间间隔存储、显示电度量累计值，所有电度量数据至少能够按日统计峰、谷、平电量存储</w:t>
      </w:r>
      <w:r>
        <w:rPr>
          <w:rFonts w:ascii="宋体"/>
          <w:color w:val="auto"/>
          <w:sz w:val="24"/>
          <w:szCs w:val="24"/>
          <w:highlight w:val="none"/>
        </w:rPr>
        <w:t>1</w:t>
      </w:r>
      <w:r>
        <w:rPr>
          <w:rFonts w:hint="eastAsia" w:ascii="宋体"/>
          <w:color w:val="auto"/>
          <w:sz w:val="24"/>
          <w:szCs w:val="24"/>
          <w:highlight w:val="none"/>
        </w:rPr>
        <w:t>年。</w:t>
      </w:r>
    </w:p>
    <w:p w14:paraId="15CBAE9B">
      <w:pPr>
        <w:numPr>
          <w:ilvl w:val="0"/>
          <w:numId w:val="19"/>
        </w:numPr>
        <w:spacing w:line="360" w:lineRule="auto"/>
        <w:rPr>
          <w:rFonts w:ascii="宋体"/>
          <w:color w:val="auto"/>
          <w:sz w:val="24"/>
          <w:szCs w:val="24"/>
          <w:highlight w:val="none"/>
        </w:rPr>
      </w:pPr>
      <w:r>
        <w:rPr>
          <w:rFonts w:hint="eastAsia" w:ascii="宋体"/>
          <w:color w:val="auto"/>
          <w:sz w:val="24"/>
          <w:szCs w:val="24"/>
          <w:highlight w:val="none"/>
        </w:rPr>
        <w:t>历史数据处理与统计功能</w:t>
      </w:r>
    </w:p>
    <w:p w14:paraId="14A56A7E">
      <w:pPr>
        <w:pStyle w:val="55"/>
        <w:numPr>
          <w:ilvl w:val="0"/>
          <w:numId w:val="22"/>
        </w:numPr>
        <w:tabs>
          <w:tab w:val="left" w:pos="1260"/>
        </w:tabs>
        <w:spacing w:line="360" w:lineRule="auto"/>
        <w:ind w:firstLineChars="0"/>
        <w:rPr>
          <w:rFonts w:ascii="宋体"/>
          <w:color w:val="auto"/>
          <w:kern w:val="0"/>
          <w:sz w:val="24"/>
          <w:szCs w:val="24"/>
          <w:highlight w:val="none"/>
        </w:rPr>
      </w:pPr>
      <w:r>
        <w:rPr>
          <w:rFonts w:hint="eastAsia" w:ascii="宋体"/>
          <w:color w:val="auto"/>
          <w:sz w:val="24"/>
          <w:szCs w:val="24"/>
          <w:highlight w:val="none"/>
        </w:rPr>
        <w:t>对实时数据库中的每一个检测点，都可以由用户事先定义并按设定的周期，以秒、分、时、日、月、年等时间间隔转存入历史数据库。</w:t>
      </w:r>
    </w:p>
    <w:p w14:paraId="17841A67">
      <w:pPr>
        <w:pStyle w:val="55"/>
        <w:numPr>
          <w:ilvl w:val="0"/>
          <w:numId w:val="22"/>
        </w:numPr>
        <w:tabs>
          <w:tab w:val="left" w:pos="1260"/>
        </w:tabs>
        <w:spacing w:line="360" w:lineRule="auto"/>
        <w:ind w:firstLineChars="0"/>
        <w:rPr>
          <w:rFonts w:ascii="宋体"/>
          <w:color w:val="auto"/>
          <w:sz w:val="24"/>
          <w:szCs w:val="24"/>
          <w:highlight w:val="none"/>
        </w:rPr>
      </w:pPr>
      <w:r>
        <w:rPr>
          <w:rFonts w:hint="eastAsia" w:ascii="宋体"/>
          <w:color w:val="auto"/>
          <w:sz w:val="24"/>
          <w:szCs w:val="24"/>
          <w:highlight w:val="none"/>
        </w:rPr>
        <w:t>应能利用历史数据库生成各种日、月、年报表、趋势曲线和用户自定义的各种不同时间间隔的累计、最大、最小、平均值等统计表。</w:t>
      </w:r>
    </w:p>
    <w:p w14:paraId="38155A24">
      <w:pPr>
        <w:pStyle w:val="55"/>
        <w:numPr>
          <w:ilvl w:val="0"/>
          <w:numId w:val="22"/>
        </w:numPr>
        <w:tabs>
          <w:tab w:val="left" w:pos="1260"/>
          <w:tab w:val="left" w:pos="1680"/>
        </w:tabs>
        <w:spacing w:line="360" w:lineRule="auto"/>
        <w:ind w:firstLineChars="0"/>
        <w:rPr>
          <w:rFonts w:ascii="宋体"/>
          <w:color w:val="auto"/>
          <w:sz w:val="24"/>
          <w:szCs w:val="24"/>
          <w:highlight w:val="none"/>
        </w:rPr>
      </w:pPr>
      <w:r>
        <w:rPr>
          <w:rFonts w:hint="eastAsia" w:ascii="宋体"/>
          <w:color w:val="auto"/>
          <w:sz w:val="24"/>
          <w:szCs w:val="24"/>
          <w:highlight w:val="none"/>
        </w:rPr>
        <w:t>对于状态量变位、事件、越限等信息，应按时间顺序分类保存在历史事件库中，保存时间可由用户自定义为几个月、几年等。</w:t>
      </w:r>
    </w:p>
    <w:p w14:paraId="7053436A">
      <w:pPr>
        <w:pStyle w:val="55"/>
        <w:numPr>
          <w:ilvl w:val="0"/>
          <w:numId w:val="22"/>
        </w:numPr>
        <w:tabs>
          <w:tab w:val="left" w:pos="1260"/>
        </w:tabs>
        <w:spacing w:line="360" w:lineRule="auto"/>
        <w:ind w:firstLineChars="0"/>
        <w:rPr>
          <w:rFonts w:ascii="宋体"/>
          <w:color w:val="auto"/>
          <w:sz w:val="24"/>
          <w:szCs w:val="24"/>
          <w:highlight w:val="none"/>
        </w:rPr>
      </w:pPr>
      <w:r>
        <w:rPr>
          <w:rFonts w:hint="eastAsia" w:ascii="宋体"/>
          <w:color w:val="auto"/>
          <w:sz w:val="24"/>
          <w:szCs w:val="24"/>
          <w:highlight w:val="none"/>
        </w:rPr>
        <w:t>历史数据应能够在线存储</w:t>
      </w:r>
      <w:r>
        <w:rPr>
          <w:rFonts w:ascii="宋体"/>
          <w:color w:val="auto"/>
          <w:sz w:val="24"/>
          <w:szCs w:val="24"/>
          <w:highlight w:val="none"/>
        </w:rPr>
        <w:t xml:space="preserve">1 </w:t>
      </w:r>
      <w:r>
        <w:rPr>
          <w:rFonts w:hint="eastAsia" w:ascii="宋体"/>
          <w:color w:val="auto"/>
          <w:sz w:val="24"/>
          <w:szCs w:val="24"/>
          <w:highlight w:val="none"/>
        </w:rPr>
        <w:t>年，所有的历史数据应能够转存到光盘等大容量存储设备上作为长期存档。</w:t>
      </w:r>
    </w:p>
    <w:p w14:paraId="56640394">
      <w:pPr>
        <w:pStyle w:val="55"/>
        <w:numPr>
          <w:ilvl w:val="0"/>
          <w:numId w:val="22"/>
        </w:numPr>
        <w:tabs>
          <w:tab w:val="left" w:pos="1260"/>
        </w:tabs>
        <w:spacing w:line="360" w:lineRule="auto"/>
        <w:ind w:firstLineChars="0"/>
        <w:rPr>
          <w:rFonts w:ascii="宋体"/>
          <w:color w:val="auto"/>
          <w:kern w:val="0"/>
          <w:sz w:val="24"/>
          <w:szCs w:val="24"/>
          <w:highlight w:val="none"/>
        </w:rPr>
      </w:pPr>
      <w:r>
        <w:rPr>
          <w:rFonts w:hint="eastAsia" w:ascii="宋体"/>
          <w:color w:val="auto"/>
          <w:sz w:val="24"/>
          <w:szCs w:val="24"/>
          <w:highlight w:val="none"/>
        </w:rPr>
        <w:t>设备正常</w:t>
      </w:r>
      <w:r>
        <w:rPr>
          <w:rFonts w:ascii="宋体"/>
          <w:color w:val="auto"/>
          <w:sz w:val="24"/>
          <w:szCs w:val="24"/>
          <w:highlight w:val="none"/>
        </w:rPr>
        <w:t>/</w:t>
      </w:r>
      <w:r>
        <w:rPr>
          <w:rFonts w:hint="eastAsia" w:ascii="宋体"/>
          <w:color w:val="auto"/>
          <w:sz w:val="24"/>
          <w:szCs w:val="24"/>
          <w:highlight w:val="none"/>
        </w:rPr>
        <w:t>异常及断路器分合闸次数均应有存储记录。</w:t>
      </w:r>
    </w:p>
    <w:p w14:paraId="7C6F76CE">
      <w:pPr>
        <w:spacing w:line="360" w:lineRule="auto"/>
        <w:rPr>
          <w:rFonts w:ascii="宋体"/>
          <w:color w:val="auto"/>
          <w:sz w:val="24"/>
          <w:szCs w:val="24"/>
          <w:highlight w:val="none"/>
        </w:rPr>
      </w:pPr>
      <w:r>
        <w:rPr>
          <w:rFonts w:hint="eastAsia" w:ascii="宋体"/>
          <w:color w:val="auto"/>
          <w:sz w:val="24"/>
          <w:szCs w:val="24"/>
          <w:highlight w:val="none"/>
        </w:rPr>
        <w:t>3.5.3画面显示</w:t>
      </w:r>
    </w:p>
    <w:p w14:paraId="1A675375">
      <w:pPr>
        <w:spacing w:line="360" w:lineRule="auto"/>
        <w:ind w:left="566"/>
        <w:rPr>
          <w:rFonts w:ascii="宋体"/>
          <w:color w:val="auto"/>
          <w:sz w:val="24"/>
          <w:szCs w:val="24"/>
          <w:highlight w:val="none"/>
        </w:rPr>
      </w:pPr>
      <w:r>
        <w:rPr>
          <w:rFonts w:hint="eastAsia" w:ascii="宋体"/>
          <w:color w:val="auto"/>
          <w:sz w:val="24"/>
          <w:szCs w:val="24"/>
          <w:highlight w:val="none"/>
        </w:rPr>
        <w:t>1)计算机监控系统通过操作员工作站实现画面显示功能，具有电网拓扑识别功能，实现带电设备的颜色标识。所有静态和动态画面应存储在画面数据库内。</w:t>
      </w:r>
    </w:p>
    <w:p w14:paraId="3606761A">
      <w:pPr>
        <w:spacing w:line="360" w:lineRule="auto"/>
        <w:ind w:left="566"/>
        <w:rPr>
          <w:rFonts w:ascii="宋体"/>
          <w:color w:val="auto"/>
          <w:sz w:val="24"/>
          <w:szCs w:val="24"/>
          <w:highlight w:val="none"/>
        </w:rPr>
      </w:pPr>
      <w:r>
        <w:rPr>
          <w:rFonts w:hint="eastAsia" w:ascii="宋体"/>
          <w:color w:val="auto"/>
          <w:sz w:val="24"/>
          <w:szCs w:val="24"/>
          <w:highlight w:val="none"/>
        </w:rPr>
        <w:t>2) 应符合国产安全操作系统相关标准，窗口的颜色、大小、生成、撤除、移动、缩放、选择可以由操作人员设置和修改。</w:t>
      </w:r>
    </w:p>
    <w:p w14:paraId="3F790F2C">
      <w:pPr>
        <w:numPr>
          <w:ilvl w:val="0"/>
          <w:numId w:val="17"/>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图形管理系统应具有动态棒型图、动态曲线、历史曲线制作功能。屏幕显示用中文，打印制表均用中文。</w:t>
      </w:r>
    </w:p>
    <w:p w14:paraId="222E68DA">
      <w:pPr>
        <w:numPr>
          <w:ilvl w:val="0"/>
          <w:numId w:val="17"/>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应具有编辑图形制作功能，使用户能够在主计算机或任一台操作员工作站上均能方便直观的完成实时画面的在线编辑、修改、定义、生成、删除、调用和实时数据库连接等功能，并且对画面的生成和修改应能够为其他工作站共享使用。</w:t>
      </w:r>
    </w:p>
    <w:p w14:paraId="09D11680">
      <w:pPr>
        <w:numPr>
          <w:ilvl w:val="0"/>
          <w:numId w:val="17"/>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图形画面包括主接线图、母线电压和其他测量值的趋势图、曲线图、棒图、系统工况图等，图中的画面名称、设备名称、告警提示信息等应用中文显示。</w:t>
      </w:r>
    </w:p>
    <w:p w14:paraId="5B8F4C74">
      <w:pPr>
        <w:numPr>
          <w:ilvl w:val="0"/>
          <w:numId w:val="17"/>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应具有表格显示、生成、编辑等功能。表格包括事件</w:t>
      </w:r>
      <w:r>
        <w:rPr>
          <w:rFonts w:ascii="宋体"/>
          <w:color w:val="auto"/>
          <w:sz w:val="24"/>
          <w:szCs w:val="24"/>
          <w:highlight w:val="none"/>
        </w:rPr>
        <w:t>/</w:t>
      </w:r>
      <w:r>
        <w:rPr>
          <w:rFonts w:hint="eastAsia" w:ascii="宋体"/>
          <w:color w:val="auto"/>
          <w:sz w:val="24"/>
          <w:szCs w:val="24"/>
          <w:highlight w:val="none"/>
        </w:rPr>
        <w:t>告警顺序记录表、事故追忆表、电量表、各种限值表、运行计划表、操作记录表、系统配置表、系统运行状况统计表、历史记录表和运行参数表等。</w:t>
      </w:r>
    </w:p>
    <w:p w14:paraId="7A1CC79C">
      <w:pPr>
        <w:numPr>
          <w:ilvl w:val="0"/>
          <w:numId w:val="17"/>
        </w:numPr>
        <w:tabs>
          <w:tab w:val="left" w:pos="980"/>
        </w:tabs>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用户可以根据需要能够灵活的生成新的表格，在表格中可以定义实时数据、计算数据、模拟显示并打印输出。</w:t>
      </w:r>
    </w:p>
    <w:p w14:paraId="2820BA84">
      <w:pPr>
        <w:pStyle w:val="55"/>
        <w:numPr>
          <w:ilvl w:val="0"/>
          <w:numId w:val="17"/>
        </w:numPr>
        <w:spacing w:line="360" w:lineRule="auto"/>
        <w:ind w:firstLineChars="0"/>
        <w:rPr>
          <w:rFonts w:ascii="宋体"/>
          <w:color w:val="auto"/>
          <w:sz w:val="24"/>
          <w:szCs w:val="24"/>
          <w:highlight w:val="none"/>
        </w:rPr>
      </w:pPr>
      <w:r>
        <w:rPr>
          <w:rFonts w:hint="eastAsia" w:ascii="宋体"/>
          <w:color w:val="auto"/>
          <w:sz w:val="24"/>
          <w:szCs w:val="24"/>
          <w:highlight w:val="none"/>
        </w:rPr>
        <w:t>画面显示的形式</w:t>
      </w:r>
    </w:p>
    <w:p w14:paraId="044DABCC">
      <w:pPr>
        <w:pStyle w:val="55"/>
        <w:numPr>
          <w:ilvl w:val="0"/>
          <w:numId w:val="23"/>
        </w:numPr>
        <w:spacing w:line="360" w:lineRule="auto"/>
        <w:ind w:firstLineChars="0"/>
        <w:rPr>
          <w:rFonts w:ascii="宋体"/>
          <w:color w:val="auto"/>
          <w:sz w:val="24"/>
          <w:szCs w:val="24"/>
          <w:highlight w:val="none"/>
        </w:rPr>
      </w:pPr>
      <w:r>
        <w:rPr>
          <w:rFonts w:hint="eastAsia" w:ascii="宋体"/>
          <w:color w:val="auto"/>
          <w:sz w:val="24"/>
          <w:szCs w:val="24"/>
          <w:highlight w:val="none"/>
        </w:rPr>
        <w:t>报告显示</w:t>
      </w:r>
    </w:p>
    <w:p w14:paraId="38465EFE">
      <w:pPr>
        <w:spacing w:line="360" w:lineRule="auto"/>
        <w:ind w:firstLine="698" w:firstLineChars="291"/>
        <w:rPr>
          <w:rFonts w:ascii="宋体"/>
          <w:color w:val="auto"/>
          <w:sz w:val="24"/>
          <w:szCs w:val="24"/>
          <w:highlight w:val="none"/>
        </w:rPr>
      </w:pPr>
      <w:r>
        <w:rPr>
          <w:rFonts w:ascii="宋体"/>
          <w:color w:val="auto"/>
          <w:sz w:val="24"/>
          <w:szCs w:val="24"/>
          <w:highlight w:val="none"/>
        </w:rPr>
        <w:tab/>
      </w:r>
      <w:r>
        <w:rPr>
          <w:rFonts w:hint="eastAsia" w:ascii="宋体"/>
          <w:color w:val="auto"/>
          <w:sz w:val="24"/>
          <w:szCs w:val="24"/>
          <w:highlight w:val="none"/>
        </w:rPr>
        <w:t>报告显示内容包括报警、事故和常规运行数据。具体项目和内容待设计联络会上最后确定。报告内容有状态变化、控制操作、测量值、测量值越限、计算机监控系统设备异常等。显示信息应按其发生的先后时序进行，显示条文的内容应包括监测时间、设备名称、状态变化内容、实时数据等。</w:t>
      </w:r>
    </w:p>
    <w:p w14:paraId="0F943279">
      <w:pPr>
        <w:pStyle w:val="55"/>
        <w:numPr>
          <w:ilvl w:val="0"/>
          <w:numId w:val="23"/>
        </w:numPr>
        <w:tabs>
          <w:tab w:val="left" w:pos="1120"/>
        </w:tabs>
        <w:spacing w:line="360" w:lineRule="auto"/>
        <w:ind w:firstLineChars="0"/>
        <w:rPr>
          <w:rFonts w:ascii="宋体"/>
          <w:color w:val="auto"/>
          <w:sz w:val="24"/>
          <w:szCs w:val="24"/>
          <w:highlight w:val="none"/>
        </w:rPr>
      </w:pPr>
      <w:r>
        <w:rPr>
          <w:rFonts w:hint="eastAsia" w:ascii="宋体"/>
          <w:color w:val="auto"/>
          <w:sz w:val="24"/>
          <w:szCs w:val="24"/>
          <w:highlight w:val="none"/>
        </w:rPr>
        <w:t>图形显示</w:t>
      </w:r>
    </w:p>
    <w:p w14:paraId="75D3A4B8">
      <w:pPr>
        <w:spacing w:line="360" w:lineRule="auto"/>
        <w:ind w:firstLine="698" w:firstLineChars="291"/>
        <w:rPr>
          <w:rFonts w:ascii="宋体"/>
          <w:color w:val="auto"/>
          <w:sz w:val="24"/>
          <w:szCs w:val="24"/>
          <w:highlight w:val="none"/>
        </w:rPr>
      </w:pPr>
      <w:r>
        <w:rPr>
          <w:rFonts w:ascii="宋体"/>
          <w:color w:val="auto"/>
          <w:kern w:val="0"/>
          <w:sz w:val="24"/>
          <w:szCs w:val="24"/>
          <w:highlight w:val="none"/>
        </w:rPr>
        <w:tab/>
      </w:r>
      <w:r>
        <w:rPr>
          <w:rFonts w:hint="eastAsia" w:ascii="宋体"/>
          <w:color w:val="auto"/>
          <w:sz w:val="24"/>
          <w:szCs w:val="24"/>
          <w:highlight w:val="none"/>
        </w:rPr>
        <w:t>图形显示分为过程图形、趋势图形和表格等。图形由图形元素、对象标号、特性参数、文字和便笺等组成。</w:t>
      </w:r>
    </w:p>
    <w:p w14:paraId="6C9C6DE4">
      <w:pPr>
        <w:pStyle w:val="55"/>
        <w:numPr>
          <w:ilvl w:val="0"/>
          <w:numId w:val="23"/>
        </w:numPr>
        <w:spacing w:line="360" w:lineRule="auto"/>
        <w:ind w:firstLineChars="0"/>
        <w:rPr>
          <w:rFonts w:ascii="宋体"/>
          <w:color w:val="auto"/>
          <w:sz w:val="24"/>
          <w:szCs w:val="24"/>
          <w:highlight w:val="none"/>
        </w:rPr>
      </w:pPr>
      <w:r>
        <w:rPr>
          <w:rFonts w:hint="eastAsia" w:ascii="宋体"/>
          <w:color w:val="auto"/>
          <w:sz w:val="24"/>
          <w:szCs w:val="24"/>
          <w:highlight w:val="none"/>
        </w:rPr>
        <w:t>电气主接线图</w:t>
      </w:r>
    </w:p>
    <w:p w14:paraId="3A66BCD7">
      <w:pPr>
        <w:spacing w:line="360" w:lineRule="auto"/>
        <w:ind w:firstLine="840" w:firstLineChars="350"/>
        <w:rPr>
          <w:rFonts w:ascii="宋体"/>
          <w:color w:val="auto"/>
          <w:kern w:val="0"/>
          <w:sz w:val="24"/>
          <w:szCs w:val="24"/>
          <w:highlight w:val="none"/>
        </w:rPr>
      </w:pPr>
      <w:r>
        <w:rPr>
          <w:rFonts w:hint="eastAsia" w:ascii="宋体"/>
          <w:color w:val="auto"/>
          <w:sz w:val="24"/>
          <w:szCs w:val="24"/>
          <w:highlight w:val="none"/>
        </w:rPr>
        <w:t>以移屏和分幅显示方式显示升压站电气主接线图或局部接线图，并可按不同的详细程度多层显示。内容包括出线、母线及其有关的断路器、隔离闸刀、接地开关和发变组等监测对象的实时状态和有关的实时参数值，例如有功、无功、电流、电压、频率等，并指明潮流方向。</w:t>
      </w:r>
    </w:p>
    <w:p w14:paraId="6F64806E">
      <w:pPr>
        <w:pStyle w:val="55"/>
        <w:numPr>
          <w:ilvl w:val="0"/>
          <w:numId w:val="24"/>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保护设备配置图。图中能表示出各套保护设备的投切情况、整定值等。</w:t>
      </w:r>
      <w:r>
        <w:rPr>
          <w:rFonts w:hint="eastAsia" w:ascii="宋体"/>
          <w:color w:val="auto"/>
          <w:sz w:val="24"/>
          <w:szCs w:val="24"/>
          <w:highlight w:val="none"/>
        </w:rPr>
        <w:tab/>
      </w:r>
    </w:p>
    <w:p w14:paraId="68C29CA1">
      <w:pPr>
        <w:pStyle w:val="55"/>
        <w:numPr>
          <w:ilvl w:val="0"/>
          <w:numId w:val="24"/>
        </w:numPr>
        <w:spacing w:line="360" w:lineRule="auto"/>
        <w:ind w:firstLineChars="0"/>
        <w:rPr>
          <w:rFonts w:ascii="宋体"/>
          <w:color w:val="auto"/>
          <w:sz w:val="24"/>
          <w:szCs w:val="24"/>
          <w:highlight w:val="none"/>
        </w:rPr>
      </w:pPr>
      <w:r>
        <w:rPr>
          <w:rFonts w:ascii="宋体"/>
          <w:color w:val="auto"/>
          <w:sz w:val="24"/>
          <w:szCs w:val="24"/>
          <w:highlight w:val="none"/>
        </w:rPr>
        <w:t>直流系统/UPS状态图、显示实时运行数据</w:t>
      </w:r>
    </w:p>
    <w:p w14:paraId="0984B094">
      <w:pPr>
        <w:pStyle w:val="55"/>
        <w:numPr>
          <w:ilvl w:val="0"/>
          <w:numId w:val="24"/>
        </w:numPr>
        <w:spacing w:line="360" w:lineRule="auto"/>
        <w:ind w:firstLineChars="0"/>
        <w:rPr>
          <w:rFonts w:ascii="宋体"/>
          <w:color w:val="auto"/>
          <w:sz w:val="24"/>
          <w:szCs w:val="24"/>
          <w:highlight w:val="none"/>
        </w:rPr>
      </w:pPr>
      <w:r>
        <w:rPr>
          <w:rFonts w:hint="eastAsia" w:ascii="宋体"/>
          <w:color w:val="auto"/>
          <w:sz w:val="24"/>
          <w:szCs w:val="24"/>
          <w:highlight w:val="none"/>
        </w:rPr>
        <w:t>报警显示，具有模拟光字牌分类告警画面和确认功能</w:t>
      </w:r>
    </w:p>
    <w:p w14:paraId="311DEF4E">
      <w:pPr>
        <w:pStyle w:val="55"/>
        <w:numPr>
          <w:ilvl w:val="0"/>
          <w:numId w:val="24"/>
        </w:numPr>
        <w:spacing w:line="360" w:lineRule="auto"/>
        <w:ind w:firstLineChars="0"/>
        <w:rPr>
          <w:rFonts w:ascii="宋体"/>
          <w:color w:val="auto"/>
          <w:sz w:val="24"/>
          <w:szCs w:val="24"/>
          <w:highlight w:val="none"/>
        </w:rPr>
      </w:pPr>
      <w:r>
        <w:rPr>
          <w:rFonts w:hint="eastAsia" w:ascii="宋体"/>
          <w:color w:val="auto"/>
          <w:sz w:val="24"/>
          <w:szCs w:val="24"/>
          <w:highlight w:val="none"/>
        </w:rPr>
        <w:t>定时报表。站内运行的实时信息按运行需要的时间间隔记录并按报表格式显示。</w:t>
      </w:r>
    </w:p>
    <w:p w14:paraId="0B8EE43B">
      <w:pPr>
        <w:pStyle w:val="55"/>
        <w:numPr>
          <w:ilvl w:val="0"/>
          <w:numId w:val="24"/>
        </w:numPr>
        <w:spacing w:line="360" w:lineRule="auto"/>
        <w:ind w:firstLineChars="0"/>
        <w:rPr>
          <w:rFonts w:ascii="宋体"/>
          <w:color w:val="auto"/>
          <w:sz w:val="24"/>
          <w:szCs w:val="24"/>
          <w:highlight w:val="none"/>
        </w:rPr>
      </w:pPr>
      <w:r>
        <w:rPr>
          <w:rFonts w:hint="eastAsia" w:ascii="宋体"/>
          <w:color w:val="auto"/>
          <w:sz w:val="24"/>
          <w:szCs w:val="24"/>
          <w:highlight w:val="none"/>
        </w:rPr>
        <w:t>日报表。按升压站要求的日报表格式显示全天运行的实时数据的统计值，并能查询</w:t>
      </w:r>
      <w:r>
        <w:rPr>
          <w:rFonts w:ascii="宋体"/>
          <w:color w:val="auto"/>
          <w:sz w:val="24"/>
          <w:szCs w:val="24"/>
          <w:highlight w:val="none"/>
        </w:rPr>
        <w:t>2</w:t>
      </w:r>
      <w:r>
        <w:rPr>
          <w:rFonts w:hint="eastAsia" w:ascii="宋体"/>
          <w:color w:val="auto"/>
          <w:sz w:val="24"/>
          <w:szCs w:val="24"/>
          <w:highlight w:val="none"/>
        </w:rPr>
        <w:t>年内的日报表。</w:t>
      </w:r>
    </w:p>
    <w:p w14:paraId="6DD7620F">
      <w:pPr>
        <w:pStyle w:val="55"/>
        <w:numPr>
          <w:ilvl w:val="0"/>
          <w:numId w:val="24"/>
        </w:numPr>
        <w:spacing w:line="360" w:lineRule="auto"/>
        <w:ind w:firstLineChars="0"/>
        <w:rPr>
          <w:rFonts w:ascii="宋体"/>
          <w:color w:val="auto"/>
          <w:sz w:val="24"/>
          <w:szCs w:val="24"/>
          <w:highlight w:val="none"/>
        </w:rPr>
      </w:pPr>
      <w:r>
        <w:rPr>
          <w:rFonts w:hint="eastAsia" w:ascii="宋体"/>
          <w:color w:val="auto"/>
          <w:sz w:val="24"/>
          <w:szCs w:val="24"/>
          <w:highlight w:val="none"/>
        </w:rPr>
        <w:t>月报表。以全月</w:t>
      </w:r>
      <w:r>
        <w:rPr>
          <w:rFonts w:hint="eastAsia" w:ascii="宋体"/>
          <w:color w:val="auto"/>
          <w:sz w:val="24"/>
          <w:szCs w:val="24"/>
          <w:highlight w:val="none"/>
          <w:lang w:val="en-US" w:eastAsia="zh-CN"/>
        </w:rPr>
        <w:t>750</w:t>
      </w:r>
      <w:r>
        <w:rPr>
          <w:rFonts w:ascii="宋体"/>
          <w:color w:val="auto"/>
          <w:sz w:val="24"/>
          <w:szCs w:val="24"/>
          <w:highlight w:val="none"/>
        </w:rPr>
        <w:t>kV</w:t>
      </w:r>
      <w:r>
        <w:rPr>
          <w:rFonts w:hint="eastAsia" w:ascii="宋体"/>
          <w:color w:val="auto"/>
          <w:sz w:val="24"/>
          <w:szCs w:val="24"/>
          <w:highlight w:val="none"/>
        </w:rPr>
        <w:t>进线及出线的负荷数据记录及断路器操作记录构成月报表。月报表在月末形成，并能查询</w:t>
      </w:r>
      <w:r>
        <w:rPr>
          <w:rFonts w:ascii="宋体"/>
          <w:color w:val="auto"/>
          <w:sz w:val="24"/>
          <w:szCs w:val="24"/>
          <w:highlight w:val="none"/>
        </w:rPr>
        <w:t>3</w:t>
      </w:r>
      <w:r>
        <w:rPr>
          <w:rFonts w:hint="eastAsia" w:ascii="宋体"/>
          <w:color w:val="auto"/>
          <w:sz w:val="24"/>
          <w:szCs w:val="24"/>
          <w:highlight w:val="none"/>
        </w:rPr>
        <w:t>年内的月报表。</w:t>
      </w:r>
    </w:p>
    <w:p w14:paraId="38E2D837">
      <w:pPr>
        <w:pStyle w:val="55"/>
        <w:numPr>
          <w:ilvl w:val="0"/>
          <w:numId w:val="24"/>
        </w:numPr>
        <w:spacing w:line="360" w:lineRule="auto"/>
        <w:ind w:firstLineChars="0"/>
        <w:rPr>
          <w:rFonts w:ascii="宋体"/>
          <w:color w:val="auto"/>
          <w:sz w:val="24"/>
          <w:szCs w:val="24"/>
          <w:highlight w:val="none"/>
        </w:rPr>
      </w:pPr>
      <w:r>
        <w:rPr>
          <w:rFonts w:hint="eastAsia" w:ascii="宋体"/>
          <w:color w:val="auto"/>
          <w:sz w:val="24"/>
          <w:szCs w:val="24"/>
          <w:highlight w:val="none"/>
        </w:rPr>
        <w:t>趋势曲线</w:t>
      </w:r>
    </w:p>
    <w:p w14:paraId="3229ABEF">
      <w:pPr>
        <w:spacing w:line="360" w:lineRule="auto"/>
        <w:ind w:firstLine="559" w:firstLineChars="233"/>
        <w:rPr>
          <w:rFonts w:ascii="宋体"/>
          <w:color w:val="auto"/>
          <w:sz w:val="24"/>
          <w:szCs w:val="24"/>
          <w:highlight w:val="none"/>
        </w:rPr>
      </w:pPr>
      <w:r>
        <w:rPr>
          <w:rFonts w:hint="eastAsia" w:ascii="宋体"/>
          <w:color w:val="auto"/>
          <w:sz w:val="24"/>
          <w:szCs w:val="24"/>
          <w:highlight w:val="none"/>
        </w:rPr>
        <w:t>对指定测量值，可按特定的周期采集数据，并予以保留。保留范围为</w:t>
      </w:r>
      <w:r>
        <w:rPr>
          <w:rFonts w:ascii="宋体"/>
          <w:color w:val="auto"/>
          <w:sz w:val="24"/>
          <w:szCs w:val="24"/>
          <w:highlight w:val="none"/>
        </w:rPr>
        <w:t>30</w:t>
      </w:r>
      <w:r>
        <w:rPr>
          <w:rFonts w:hint="eastAsia" w:ascii="宋体"/>
          <w:color w:val="auto"/>
          <w:sz w:val="24"/>
          <w:szCs w:val="24"/>
          <w:highlight w:val="none"/>
        </w:rPr>
        <w:t>天，并可按运行人员选择的显示间隔和区间显示趋势曲线。同时，画面上还应给出该测量值允许变化的最大、最小范围。每幅图可按运行人员的要求显示某四个测量值的当前趋势曲线。</w:t>
      </w:r>
    </w:p>
    <w:p w14:paraId="57663321">
      <w:pPr>
        <w:pStyle w:val="55"/>
        <w:numPr>
          <w:ilvl w:val="0"/>
          <w:numId w:val="25"/>
        </w:numPr>
        <w:spacing w:line="360" w:lineRule="auto"/>
        <w:ind w:firstLineChars="0"/>
        <w:rPr>
          <w:rFonts w:ascii="宋体"/>
          <w:color w:val="auto"/>
          <w:sz w:val="24"/>
          <w:szCs w:val="24"/>
          <w:highlight w:val="none"/>
        </w:rPr>
      </w:pPr>
      <w:r>
        <w:rPr>
          <w:rFonts w:hint="eastAsia" w:ascii="宋体"/>
          <w:color w:val="auto"/>
          <w:sz w:val="24"/>
          <w:szCs w:val="24"/>
          <w:highlight w:val="none"/>
        </w:rPr>
        <w:t>操作票</w:t>
      </w:r>
    </w:p>
    <w:p w14:paraId="4FD7DCCF">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可显示编制好的操作票。根据运行人员的要求进行检索。</w:t>
      </w:r>
    </w:p>
    <w:p w14:paraId="7A4C57B0">
      <w:pPr>
        <w:pStyle w:val="55"/>
        <w:numPr>
          <w:ilvl w:val="0"/>
          <w:numId w:val="25"/>
        </w:numPr>
        <w:spacing w:line="360" w:lineRule="auto"/>
        <w:ind w:firstLineChars="0"/>
        <w:rPr>
          <w:rFonts w:ascii="宋体"/>
          <w:color w:val="auto"/>
          <w:sz w:val="24"/>
          <w:szCs w:val="24"/>
          <w:highlight w:val="none"/>
        </w:rPr>
      </w:pPr>
      <w:r>
        <w:rPr>
          <w:rFonts w:hint="eastAsia" w:ascii="宋体"/>
          <w:color w:val="auto"/>
          <w:sz w:val="24"/>
          <w:szCs w:val="24"/>
          <w:highlight w:val="none"/>
        </w:rPr>
        <w:t>统计结果的显示计算机监控系统硬件配置图及运行工况图。用图形方式</w:t>
      </w:r>
    </w:p>
    <w:p w14:paraId="36DFE5BF">
      <w:pPr>
        <w:spacing w:line="360" w:lineRule="auto"/>
        <w:rPr>
          <w:rFonts w:ascii="宋体"/>
          <w:color w:val="auto"/>
          <w:sz w:val="24"/>
          <w:szCs w:val="24"/>
          <w:highlight w:val="none"/>
        </w:rPr>
      </w:pPr>
      <w:r>
        <w:rPr>
          <w:rFonts w:hint="eastAsia" w:ascii="宋体"/>
          <w:color w:val="auto"/>
          <w:sz w:val="24"/>
          <w:szCs w:val="24"/>
          <w:highlight w:val="none"/>
        </w:rPr>
        <w:t>显示出计算机监控系统设备的配置的连接。应用不同颜色表示出设备状态的变化，如打印机处于脱机或联机，通信通道处于故障或正常等。</w:t>
      </w:r>
    </w:p>
    <w:p w14:paraId="516B15EE">
      <w:pPr>
        <w:numPr>
          <w:ilvl w:val="0"/>
          <w:numId w:val="17"/>
        </w:numPr>
        <w:spacing w:line="360" w:lineRule="auto"/>
        <w:rPr>
          <w:rFonts w:ascii="宋体"/>
          <w:color w:val="auto"/>
          <w:sz w:val="24"/>
          <w:szCs w:val="24"/>
          <w:highlight w:val="none"/>
        </w:rPr>
      </w:pPr>
      <w:r>
        <w:rPr>
          <w:rFonts w:hint="eastAsia" w:ascii="宋体"/>
          <w:color w:val="auto"/>
          <w:sz w:val="24"/>
          <w:szCs w:val="24"/>
          <w:highlight w:val="none"/>
        </w:rPr>
        <w:t>显示画面的调用</w:t>
      </w:r>
    </w:p>
    <w:p w14:paraId="59B2CDBB">
      <w:pPr>
        <w:spacing w:line="360" w:lineRule="auto"/>
        <w:ind w:left="0" w:leftChars="0" w:firstLine="480" w:firstLineChars="200"/>
        <w:rPr>
          <w:rFonts w:ascii="宋体"/>
          <w:color w:val="auto"/>
          <w:sz w:val="24"/>
          <w:szCs w:val="24"/>
          <w:highlight w:val="none"/>
        </w:rPr>
      </w:pPr>
      <w:r>
        <w:rPr>
          <w:rFonts w:hint="eastAsia" w:ascii="宋体"/>
          <w:color w:val="auto"/>
          <w:sz w:val="24"/>
          <w:szCs w:val="24"/>
          <w:highlight w:val="none"/>
        </w:rPr>
        <w:t>运行人员在操作员工作站上通过控制键盘，鼠标实现对监视画面的调用。调用方式力求简单，最好手动操作一次完成，最多不超过三次。</w:t>
      </w:r>
    </w:p>
    <w:p w14:paraId="66A7C91A">
      <w:pPr>
        <w:spacing w:line="360" w:lineRule="auto"/>
        <w:rPr>
          <w:rFonts w:ascii="宋体"/>
          <w:color w:val="auto"/>
          <w:sz w:val="24"/>
          <w:szCs w:val="24"/>
          <w:highlight w:val="none"/>
        </w:rPr>
      </w:pPr>
      <w:r>
        <w:rPr>
          <w:rFonts w:hint="eastAsia" w:ascii="宋体"/>
          <w:color w:val="auto"/>
          <w:sz w:val="24"/>
          <w:szCs w:val="24"/>
          <w:highlight w:val="none"/>
        </w:rPr>
        <w:t xml:space="preserve">     10）上位机的画面显示中，每个信号能根据实际状态显示其相关品质位，如非法位、替换位、无效位等相关标志位。</w:t>
      </w:r>
    </w:p>
    <w:p w14:paraId="6D08C1CE">
      <w:pPr>
        <w:spacing w:line="360" w:lineRule="auto"/>
        <w:rPr>
          <w:rFonts w:ascii="宋体"/>
          <w:color w:val="auto"/>
          <w:sz w:val="24"/>
          <w:szCs w:val="24"/>
          <w:highlight w:val="none"/>
        </w:rPr>
      </w:pPr>
      <w:r>
        <w:rPr>
          <w:rFonts w:hint="eastAsia" w:ascii="宋体"/>
          <w:color w:val="auto"/>
          <w:sz w:val="24"/>
          <w:szCs w:val="24"/>
          <w:highlight w:val="none"/>
        </w:rPr>
        <w:t>3.5.</w:t>
      </w:r>
      <w:r>
        <w:rPr>
          <w:rFonts w:ascii="宋体"/>
          <w:color w:val="auto"/>
          <w:sz w:val="24"/>
          <w:szCs w:val="24"/>
          <w:highlight w:val="none"/>
        </w:rPr>
        <w:t>4</w:t>
      </w:r>
      <w:r>
        <w:rPr>
          <w:rFonts w:hint="eastAsia" w:ascii="宋体"/>
          <w:color w:val="auto"/>
          <w:sz w:val="24"/>
          <w:szCs w:val="24"/>
          <w:highlight w:val="none"/>
        </w:rPr>
        <w:t>记录和打印功能</w:t>
      </w:r>
    </w:p>
    <w:p w14:paraId="33E06CD3">
      <w:pPr>
        <w:numPr>
          <w:ilvl w:val="0"/>
          <w:numId w:val="26"/>
        </w:numPr>
        <w:spacing w:line="360" w:lineRule="auto"/>
        <w:rPr>
          <w:rFonts w:ascii="宋体"/>
          <w:color w:val="auto"/>
          <w:sz w:val="24"/>
          <w:szCs w:val="24"/>
          <w:highlight w:val="none"/>
        </w:rPr>
      </w:pPr>
      <w:r>
        <w:rPr>
          <w:rFonts w:hint="eastAsia" w:ascii="宋体"/>
          <w:color w:val="auto"/>
          <w:sz w:val="24"/>
          <w:szCs w:val="24"/>
          <w:highlight w:val="none"/>
        </w:rPr>
        <w:t>打印输出</w:t>
      </w:r>
    </w:p>
    <w:p w14:paraId="6C545DD4">
      <w:pPr>
        <w:spacing w:line="360" w:lineRule="auto"/>
        <w:ind w:firstLine="660" w:firstLineChars="275"/>
        <w:rPr>
          <w:rFonts w:ascii="宋体"/>
          <w:color w:val="auto"/>
          <w:sz w:val="24"/>
          <w:szCs w:val="24"/>
          <w:highlight w:val="none"/>
        </w:rPr>
      </w:pPr>
      <w:r>
        <w:rPr>
          <w:rFonts w:hint="eastAsia" w:ascii="宋体"/>
          <w:color w:val="auto"/>
          <w:sz w:val="24"/>
          <w:szCs w:val="24"/>
          <w:highlight w:val="none"/>
        </w:rPr>
        <w:t>配置二台网络打印机。一台打印机专门设置为事件打印机，用于实时打印事件、报警信号。一台打印机用于召唤或定时打印，进行各种常规打印，打印图形画面等。</w:t>
      </w:r>
    </w:p>
    <w:p w14:paraId="7F8F202B">
      <w:pPr>
        <w:numPr>
          <w:ilvl w:val="0"/>
          <w:numId w:val="26"/>
        </w:numPr>
        <w:spacing w:line="360" w:lineRule="auto"/>
        <w:rPr>
          <w:rFonts w:ascii="宋体"/>
          <w:color w:val="auto"/>
          <w:sz w:val="24"/>
          <w:szCs w:val="24"/>
          <w:highlight w:val="none"/>
        </w:rPr>
      </w:pPr>
      <w:r>
        <w:rPr>
          <w:rFonts w:hint="eastAsia" w:ascii="宋体"/>
          <w:color w:val="auto"/>
          <w:sz w:val="24"/>
          <w:szCs w:val="24"/>
          <w:highlight w:val="none"/>
        </w:rPr>
        <w:t>事件顺序记录</w:t>
      </w:r>
    </w:p>
    <w:p w14:paraId="27B50CFF">
      <w:pPr>
        <w:spacing w:line="360" w:lineRule="auto"/>
        <w:ind w:left="0" w:firstLine="480" w:firstLineChars="200"/>
        <w:rPr>
          <w:rFonts w:ascii="宋体" w:hAnsi="宋体"/>
          <w:color w:val="auto"/>
          <w:spacing w:val="10"/>
          <w:sz w:val="24"/>
          <w:szCs w:val="24"/>
          <w:highlight w:val="none"/>
        </w:rPr>
      </w:pPr>
      <w:r>
        <w:rPr>
          <w:rFonts w:hint="eastAsia" w:ascii="宋体"/>
          <w:color w:val="auto"/>
          <w:sz w:val="24"/>
          <w:szCs w:val="24"/>
          <w:highlight w:val="none"/>
        </w:rPr>
        <w:t>事件顺序记录的内容为快速发生的设备状态变化记录，时间分辨率应不大于2毫秒，并按要求的报告形式通过事件打印机打印输出及在LCD上显示。</w:t>
      </w:r>
    </w:p>
    <w:p w14:paraId="0E5869BF">
      <w:pPr>
        <w:numPr>
          <w:ilvl w:val="0"/>
          <w:numId w:val="26"/>
        </w:numPr>
        <w:spacing w:line="360" w:lineRule="auto"/>
        <w:rPr>
          <w:rFonts w:ascii="宋体"/>
          <w:color w:val="auto"/>
          <w:sz w:val="24"/>
          <w:szCs w:val="24"/>
          <w:highlight w:val="none"/>
        </w:rPr>
      </w:pPr>
      <w:r>
        <w:rPr>
          <w:rFonts w:hint="eastAsia" w:ascii="宋体"/>
          <w:color w:val="auto"/>
          <w:sz w:val="24"/>
          <w:szCs w:val="24"/>
          <w:highlight w:val="none"/>
        </w:rPr>
        <w:t>状态变化记录</w:t>
      </w:r>
    </w:p>
    <w:p w14:paraId="4237C35B">
      <w:pPr>
        <w:spacing w:line="360" w:lineRule="auto"/>
        <w:ind w:left="0" w:firstLine="480" w:firstLineChars="200"/>
        <w:rPr>
          <w:color w:val="auto"/>
          <w:kern w:val="0"/>
          <w:sz w:val="24"/>
          <w:szCs w:val="24"/>
          <w:highlight w:val="none"/>
        </w:rPr>
      </w:pPr>
      <w:r>
        <w:rPr>
          <w:rFonts w:hint="eastAsia" w:ascii="宋体"/>
          <w:color w:val="auto"/>
          <w:sz w:val="24"/>
          <w:szCs w:val="24"/>
          <w:highlight w:val="none"/>
        </w:rPr>
        <w:t>状态变化记录包括事故状态变化记录，响应状态变化记录和计算机监控系统异常状态记录。当状态发生变化时，应立即通过事件打印机打印出变化时间和变化信息。</w:t>
      </w:r>
    </w:p>
    <w:p w14:paraId="5B65A987">
      <w:pPr>
        <w:numPr>
          <w:ilvl w:val="0"/>
          <w:numId w:val="26"/>
        </w:numPr>
        <w:spacing w:line="360" w:lineRule="auto"/>
        <w:rPr>
          <w:rFonts w:ascii="宋体"/>
          <w:color w:val="auto"/>
          <w:sz w:val="24"/>
          <w:szCs w:val="24"/>
          <w:highlight w:val="none"/>
        </w:rPr>
      </w:pPr>
      <w:r>
        <w:rPr>
          <w:rFonts w:hint="eastAsia" w:ascii="宋体"/>
          <w:color w:val="auto"/>
          <w:sz w:val="24"/>
          <w:szCs w:val="24"/>
          <w:highlight w:val="none"/>
        </w:rPr>
        <w:t>数据记录</w:t>
      </w:r>
    </w:p>
    <w:p w14:paraId="10EDDD37">
      <w:pPr>
        <w:spacing w:line="360" w:lineRule="auto"/>
        <w:ind w:left="567"/>
        <w:rPr>
          <w:rFonts w:ascii="宋体"/>
          <w:color w:val="auto"/>
          <w:kern w:val="0"/>
          <w:sz w:val="24"/>
          <w:szCs w:val="24"/>
          <w:highlight w:val="none"/>
        </w:rPr>
      </w:pPr>
      <w:r>
        <w:rPr>
          <w:rFonts w:hint="eastAsia" w:ascii="宋体"/>
          <w:color w:val="auto"/>
          <w:sz w:val="24"/>
          <w:szCs w:val="24"/>
          <w:highlight w:val="none"/>
        </w:rPr>
        <w:t>将测量值按随机、定时、日报、月报等不同形式打印输出。</w:t>
      </w:r>
    </w:p>
    <w:p w14:paraId="7DD085D4">
      <w:pPr>
        <w:numPr>
          <w:ilvl w:val="0"/>
          <w:numId w:val="26"/>
        </w:numPr>
        <w:spacing w:line="360" w:lineRule="auto"/>
        <w:rPr>
          <w:rFonts w:ascii="宋体"/>
          <w:color w:val="auto"/>
          <w:sz w:val="24"/>
          <w:szCs w:val="24"/>
          <w:highlight w:val="none"/>
        </w:rPr>
      </w:pPr>
      <w:r>
        <w:rPr>
          <w:rFonts w:hint="eastAsia" w:ascii="宋体"/>
          <w:color w:val="auto"/>
          <w:sz w:val="24"/>
          <w:szCs w:val="24"/>
          <w:highlight w:val="none"/>
        </w:rPr>
        <w:t>事故追忆记录</w:t>
      </w:r>
    </w:p>
    <w:p w14:paraId="71ECE003">
      <w:pPr>
        <w:spacing w:line="360" w:lineRule="auto"/>
        <w:ind w:left="0" w:firstLine="480" w:firstLineChars="200"/>
        <w:rPr>
          <w:rFonts w:ascii="宋体"/>
          <w:color w:val="auto"/>
          <w:kern w:val="0"/>
          <w:sz w:val="24"/>
          <w:szCs w:val="24"/>
          <w:highlight w:val="none"/>
        </w:rPr>
      </w:pPr>
      <w:r>
        <w:rPr>
          <w:rFonts w:hint="eastAsia" w:ascii="宋体"/>
          <w:color w:val="auto"/>
          <w:sz w:val="24"/>
          <w:szCs w:val="24"/>
          <w:highlight w:val="none"/>
        </w:rPr>
        <w:t>事故追忆记录用于分析在事故前后的一段时间里，重要实时参数在特定时刻的变化情况，并存入事故追忆表中，按用户要求打印输出，便于事故分析。事故追忆表的容量应至少能记录事故前</w:t>
      </w:r>
      <w:r>
        <w:rPr>
          <w:rFonts w:ascii="宋体"/>
          <w:color w:val="auto"/>
          <w:sz w:val="24"/>
          <w:szCs w:val="24"/>
          <w:highlight w:val="none"/>
        </w:rPr>
        <w:t>1</w:t>
      </w:r>
      <w:r>
        <w:rPr>
          <w:rFonts w:hint="eastAsia" w:ascii="宋体"/>
          <w:color w:val="auto"/>
          <w:sz w:val="24"/>
          <w:szCs w:val="24"/>
          <w:highlight w:val="none"/>
        </w:rPr>
        <w:t>分钟至事故后2分钟全站的模拟量。事故追忆表可以自动或手动产生，可以根据不同的触发条件选择必要的模拟量进行记录，并且当数个触发点同时发生时不影响数据记录的可靠性，系统应该能够同时存放</w:t>
      </w:r>
      <w:r>
        <w:rPr>
          <w:rFonts w:ascii="宋体"/>
          <w:color w:val="auto"/>
          <w:sz w:val="24"/>
          <w:szCs w:val="24"/>
          <w:highlight w:val="none"/>
        </w:rPr>
        <w:t>5</w:t>
      </w:r>
      <w:r>
        <w:rPr>
          <w:rFonts w:hint="eastAsia" w:ascii="宋体"/>
          <w:color w:val="auto"/>
          <w:sz w:val="24"/>
          <w:szCs w:val="24"/>
          <w:highlight w:val="none"/>
        </w:rPr>
        <w:t>个事故追忆表。</w:t>
      </w:r>
    </w:p>
    <w:p w14:paraId="45DE89AE">
      <w:pPr>
        <w:spacing w:line="360" w:lineRule="auto"/>
        <w:rPr>
          <w:rFonts w:ascii="宋体"/>
          <w:color w:val="auto"/>
          <w:sz w:val="24"/>
          <w:szCs w:val="24"/>
          <w:highlight w:val="none"/>
        </w:rPr>
      </w:pPr>
      <w:r>
        <w:rPr>
          <w:rFonts w:hint="eastAsia" w:ascii="宋体"/>
          <w:color w:val="auto"/>
          <w:sz w:val="24"/>
          <w:szCs w:val="24"/>
          <w:highlight w:val="none"/>
        </w:rPr>
        <w:t>3.5.5报警处理</w:t>
      </w:r>
    </w:p>
    <w:p w14:paraId="53A312F1">
      <w:pPr>
        <w:spacing w:line="360" w:lineRule="auto"/>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报警处理分两种方式，一种是事故报警，另一种是预告报警。前者包括非操作引起的断路器跳闸和保护装置动作信号，后者包括一般设备变位、状态异常信息、模拟量或温度量越限、计算机监控系统的软、硬件的状态异常等。</w:t>
      </w:r>
    </w:p>
    <w:p w14:paraId="24255719">
      <w:pPr>
        <w:numPr>
          <w:ilvl w:val="0"/>
          <w:numId w:val="27"/>
        </w:numPr>
        <w:spacing w:line="360" w:lineRule="auto"/>
        <w:rPr>
          <w:rFonts w:ascii="宋体"/>
          <w:color w:val="auto"/>
          <w:sz w:val="24"/>
          <w:szCs w:val="24"/>
          <w:highlight w:val="none"/>
        </w:rPr>
      </w:pPr>
      <w:r>
        <w:rPr>
          <w:rFonts w:hint="eastAsia" w:ascii="宋体"/>
          <w:color w:val="auto"/>
          <w:sz w:val="24"/>
          <w:szCs w:val="24"/>
          <w:highlight w:val="none"/>
        </w:rPr>
        <w:t>事故报警</w:t>
      </w:r>
    </w:p>
    <w:p w14:paraId="087E1E2A">
      <w:pPr>
        <w:numPr>
          <w:ilvl w:val="0"/>
          <w:numId w:val="12"/>
        </w:numPr>
        <w:tabs>
          <w:tab w:val="left" w:pos="1120"/>
        </w:tabs>
        <w:spacing w:line="360" w:lineRule="auto"/>
        <w:ind w:left="0" w:firstLine="698" w:firstLineChars="291"/>
        <w:rPr>
          <w:rFonts w:ascii="宋体"/>
          <w:color w:val="auto"/>
          <w:sz w:val="24"/>
          <w:szCs w:val="24"/>
          <w:highlight w:val="none"/>
        </w:rPr>
      </w:pPr>
      <w:r>
        <w:rPr>
          <w:rFonts w:hint="eastAsia" w:ascii="宋体"/>
          <w:color w:val="auto"/>
          <w:sz w:val="24"/>
          <w:szCs w:val="24"/>
          <w:highlight w:val="none"/>
        </w:rPr>
        <w:t>事故状态方式时，应立即发出音响报警</w:t>
      </w:r>
      <w:r>
        <w:rPr>
          <w:rFonts w:ascii="宋体"/>
          <w:color w:val="auto"/>
          <w:sz w:val="24"/>
          <w:szCs w:val="24"/>
          <w:highlight w:val="none"/>
        </w:rPr>
        <w:t>(</w:t>
      </w:r>
      <w:r>
        <w:rPr>
          <w:rFonts w:hint="eastAsia" w:ascii="宋体"/>
          <w:color w:val="auto"/>
          <w:sz w:val="24"/>
          <w:szCs w:val="24"/>
          <w:highlight w:val="none"/>
        </w:rPr>
        <w:t>报警音量可调</w:t>
      </w:r>
      <w:r>
        <w:rPr>
          <w:rFonts w:ascii="宋体"/>
          <w:color w:val="auto"/>
          <w:sz w:val="24"/>
          <w:szCs w:val="24"/>
          <w:highlight w:val="none"/>
        </w:rPr>
        <w:t>)</w:t>
      </w:r>
      <w:r>
        <w:rPr>
          <w:rFonts w:hint="eastAsia" w:ascii="宋体"/>
          <w:color w:val="auto"/>
          <w:sz w:val="24"/>
          <w:szCs w:val="24"/>
          <w:highlight w:val="none"/>
        </w:rPr>
        <w:t>，操作员工作站的</w:t>
      </w:r>
      <w:r>
        <w:rPr>
          <w:rFonts w:ascii="宋体"/>
          <w:color w:val="auto"/>
          <w:sz w:val="24"/>
          <w:szCs w:val="24"/>
          <w:highlight w:val="none"/>
        </w:rPr>
        <w:t xml:space="preserve">LCD </w:t>
      </w:r>
      <w:r>
        <w:rPr>
          <w:rFonts w:hint="eastAsia" w:ascii="宋体"/>
          <w:color w:val="auto"/>
          <w:sz w:val="24"/>
          <w:szCs w:val="24"/>
          <w:highlight w:val="none"/>
        </w:rPr>
        <w:t>画面上用颜色改变并闪烁表示该设备变位，同时显示红色报警条文，报警条文可以选择随机打印或召唤打印。</w:t>
      </w:r>
    </w:p>
    <w:p w14:paraId="1295AD88">
      <w:pPr>
        <w:numPr>
          <w:ilvl w:val="0"/>
          <w:numId w:val="12"/>
        </w:numPr>
        <w:tabs>
          <w:tab w:val="left" w:pos="1120"/>
        </w:tabs>
        <w:spacing w:line="360" w:lineRule="auto"/>
        <w:ind w:left="0" w:firstLine="698" w:firstLineChars="291"/>
        <w:rPr>
          <w:rFonts w:ascii="宋体"/>
          <w:color w:val="auto"/>
          <w:sz w:val="24"/>
          <w:szCs w:val="24"/>
          <w:highlight w:val="none"/>
        </w:rPr>
      </w:pPr>
      <w:r>
        <w:rPr>
          <w:rFonts w:hint="eastAsia" w:ascii="宋体"/>
          <w:color w:val="auto"/>
          <w:sz w:val="24"/>
          <w:szCs w:val="24"/>
          <w:highlight w:val="none"/>
        </w:rPr>
        <w:t>事故报警通过手动或自动方式确认，每次确认一次报警，自动确认时间可调。报警一旦确认，声音、闪光即停止，报警条文由红色变为黄色。报警条件消失后，报警条文颜色消失，声音、闪光停止，报警信息保存。</w:t>
      </w:r>
    </w:p>
    <w:p w14:paraId="6E40FC10">
      <w:pPr>
        <w:numPr>
          <w:ilvl w:val="0"/>
          <w:numId w:val="12"/>
        </w:numPr>
        <w:tabs>
          <w:tab w:val="left" w:pos="1120"/>
        </w:tabs>
        <w:spacing w:line="360" w:lineRule="auto"/>
        <w:ind w:left="0" w:firstLine="698" w:firstLineChars="291"/>
        <w:rPr>
          <w:rFonts w:ascii="宋体"/>
          <w:color w:val="auto"/>
          <w:sz w:val="24"/>
          <w:szCs w:val="24"/>
          <w:highlight w:val="none"/>
        </w:rPr>
      </w:pPr>
      <w:r>
        <w:rPr>
          <w:rFonts w:hint="eastAsia" w:ascii="宋体"/>
          <w:color w:val="auto"/>
          <w:sz w:val="24"/>
          <w:szCs w:val="24"/>
          <w:highlight w:val="none"/>
        </w:rPr>
        <w:t xml:space="preserve">第一次事故报警发生阶段，若发生第二次报警，应同样处理，不覆盖第一次。 </w:t>
      </w:r>
    </w:p>
    <w:p w14:paraId="69D8E226">
      <w:pPr>
        <w:numPr>
          <w:ilvl w:val="0"/>
          <w:numId w:val="12"/>
        </w:numPr>
        <w:tabs>
          <w:tab w:val="left" w:pos="1120"/>
        </w:tabs>
        <w:spacing w:line="360" w:lineRule="auto"/>
        <w:ind w:left="700" w:firstLine="0"/>
        <w:rPr>
          <w:rFonts w:ascii="宋体"/>
          <w:color w:val="auto"/>
          <w:kern w:val="0"/>
          <w:sz w:val="24"/>
          <w:szCs w:val="24"/>
          <w:highlight w:val="none"/>
        </w:rPr>
      </w:pPr>
      <w:r>
        <w:rPr>
          <w:rFonts w:hint="eastAsia" w:ascii="宋体"/>
          <w:color w:val="auto"/>
          <w:sz w:val="24"/>
          <w:szCs w:val="24"/>
          <w:highlight w:val="none"/>
        </w:rPr>
        <w:t>事故报警可在任何时间进行手动试验，试验信息不予传送、记录。</w:t>
      </w:r>
    </w:p>
    <w:p w14:paraId="4B9FB10B">
      <w:pPr>
        <w:numPr>
          <w:ilvl w:val="0"/>
          <w:numId w:val="12"/>
        </w:numPr>
        <w:tabs>
          <w:tab w:val="left" w:pos="1120"/>
        </w:tabs>
        <w:spacing w:line="360" w:lineRule="auto"/>
        <w:ind w:left="700" w:firstLine="0"/>
        <w:rPr>
          <w:rFonts w:ascii="宋体"/>
          <w:color w:val="auto"/>
          <w:sz w:val="24"/>
          <w:szCs w:val="24"/>
          <w:highlight w:val="none"/>
        </w:rPr>
      </w:pPr>
      <w:r>
        <w:rPr>
          <w:rFonts w:hint="eastAsia" w:ascii="宋体"/>
          <w:color w:val="auto"/>
          <w:sz w:val="24"/>
          <w:szCs w:val="24"/>
          <w:highlight w:val="none"/>
        </w:rPr>
        <w:t>事故报警应可按照等级存储和查询。</w:t>
      </w:r>
    </w:p>
    <w:p w14:paraId="7E04D92C">
      <w:pPr>
        <w:numPr>
          <w:ilvl w:val="0"/>
          <w:numId w:val="12"/>
        </w:numPr>
        <w:tabs>
          <w:tab w:val="left" w:pos="1120"/>
        </w:tabs>
        <w:spacing w:line="360" w:lineRule="auto"/>
        <w:ind w:left="700" w:firstLine="0"/>
        <w:rPr>
          <w:rFonts w:ascii="宋体"/>
          <w:color w:val="auto"/>
          <w:sz w:val="24"/>
          <w:szCs w:val="24"/>
          <w:highlight w:val="none"/>
        </w:rPr>
      </w:pPr>
      <w:r>
        <w:rPr>
          <w:rFonts w:hint="eastAsia" w:ascii="宋体"/>
          <w:color w:val="auto"/>
          <w:sz w:val="24"/>
          <w:szCs w:val="24"/>
          <w:highlight w:val="none"/>
        </w:rPr>
        <w:t>事故报警处理可以在主计算机上予以定义或退出。</w:t>
      </w:r>
    </w:p>
    <w:p w14:paraId="3E63DEB6">
      <w:pPr>
        <w:numPr>
          <w:ilvl w:val="0"/>
          <w:numId w:val="12"/>
        </w:numPr>
        <w:tabs>
          <w:tab w:val="left" w:pos="1120"/>
        </w:tabs>
        <w:spacing w:line="360" w:lineRule="auto"/>
        <w:ind w:left="700" w:firstLine="0"/>
        <w:rPr>
          <w:rFonts w:ascii="宋体"/>
          <w:color w:val="auto"/>
          <w:kern w:val="0"/>
          <w:sz w:val="24"/>
          <w:szCs w:val="24"/>
          <w:highlight w:val="none"/>
        </w:rPr>
      </w:pPr>
      <w:r>
        <w:rPr>
          <w:rFonts w:hint="eastAsia" w:ascii="宋体"/>
          <w:color w:val="auto"/>
          <w:sz w:val="24"/>
          <w:szCs w:val="24"/>
          <w:highlight w:val="none"/>
        </w:rPr>
        <w:t>事故报警应有自动推画面功能。</w:t>
      </w:r>
    </w:p>
    <w:p w14:paraId="35E6D412">
      <w:pPr>
        <w:numPr>
          <w:ilvl w:val="0"/>
          <w:numId w:val="27"/>
        </w:numPr>
        <w:spacing w:line="360" w:lineRule="auto"/>
        <w:rPr>
          <w:rFonts w:ascii="宋体"/>
          <w:color w:val="auto"/>
          <w:sz w:val="24"/>
          <w:szCs w:val="24"/>
          <w:highlight w:val="none"/>
        </w:rPr>
      </w:pPr>
      <w:r>
        <w:rPr>
          <w:rFonts w:hint="eastAsia" w:ascii="宋体"/>
          <w:color w:val="auto"/>
          <w:sz w:val="24"/>
          <w:szCs w:val="24"/>
          <w:highlight w:val="none"/>
        </w:rPr>
        <w:t>预告报警</w:t>
      </w:r>
    </w:p>
    <w:p w14:paraId="47CA1344">
      <w:pPr>
        <w:spacing w:line="360" w:lineRule="auto"/>
        <w:ind w:left="2"/>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预告报警发生时，其处理方式与上述事故报警处理相同</w:t>
      </w:r>
      <w:r>
        <w:rPr>
          <w:rFonts w:ascii="宋体"/>
          <w:color w:val="auto"/>
          <w:sz w:val="24"/>
          <w:szCs w:val="24"/>
          <w:highlight w:val="none"/>
        </w:rPr>
        <w:t>(</w:t>
      </w:r>
      <w:r>
        <w:rPr>
          <w:rFonts w:hint="eastAsia" w:ascii="宋体"/>
          <w:color w:val="auto"/>
          <w:sz w:val="24"/>
          <w:szCs w:val="24"/>
          <w:highlight w:val="none"/>
        </w:rPr>
        <w:t>音响和提示信息颜色应区别于事故报警</w:t>
      </w:r>
      <w:r>
        <w:rPr>
          <w:rFonts w:ascii="宋体"/>
          <w:color w:val="auto"/>
          <w:sz w:val="24"/>
          <w:szCs w:val="24"/>
          <w:highlight w:val="none"/>
        </w:rPr>
        <w:t>)</w:t>
      </w:r>
      <w:r>
        <w:rPr>
          <w:rFonts w:hint="eastAsia" w:ascii="宋体"/>
          <w:color w:val="auto"/>
          <w:sz w:val="24"/>
          <w:szCs w:val="24"/>
          <w:highlight w:val="none"/>
        </w:rPr>
        <w:t>。部分预告信号应具有延时触发功能，延时时间：</w:t>
      </w:r>
      <w:r>
        <w:rPr>
          <w:rFonts w:ascii="宋体"/>
          <w:color w:val="auto"/>
          <w:sz w:val="24"/>
          <w:szCs w:val="24"/>
          <w:highlight w:val="none"/>
        </w:rPr>
        <w:t>0.0</w:t>
      </w:r>
      <w:r>
        <w:rPr>
          <w:rFonts w:hint="eastAsia" w:ascii="宋体"/>
          <w:color w:val="auto"/>
          <w:sz w:val="24"/>
          <w:szCs w:val="24"/>
          <w:highlight w:val="none"/>
        </w:rPr>
        <w:t>～</w:t>
      </w:r>
      <w:r>
        <w:rPr>
          <w:rFonts w:ascii="宋体"/>
          <w:color w:val="auto"/>
          <w:sz w:val="24"/>
          <w:szCs w:val="24"/>
          <w:highlight w:val="none"/>
        </w:rPr>
        <w:t>10.0s</w:t>
      </w:r>
      <w:r>
        <w:rPr>
          <w:rFonts w:hint="eastAsia" w:ascii="宋体"/>
          <w:color w:val="auto"/>
          <w:sz w:val="24"/>
          <w:szCs w:val="24"/>
          <w:highlight w:val="none"/>
        </w:rPr>
        <w:t xml:space="preserve"> 可调。</w:t>
      </w:r>
    </w:p>
    <w:p w14:paraId="627D27C1">
      <w:pPr>
        <w:spacing w:line="360" w:lineRule="auto"/>
        <w:ind w:left="3" w:leftChars="1" w:firstLine="480" w:firstLineChars="200"/>
        <w:rPr>
          <w:rFonts w:ascii="宋体"/>
          <w:color w:val="auto"/>
          <w:kern w:val="0"/>
          <w:sz w:val="24"/>
          <w:szCs w:val="24"/>
          <w:highlight w:val="none"/>
        </w:rPr>
      </w:pPr>
      <w:r>
        <w:rPr>
          <w:rFonts w:hint="eastAsia" w:ascii="宋体"/>
          <w:color w:val="auto"/>
          <w:kern w:val="0"/>
          <w:sz w:val="24"/>
          <w:szCs w:val="24"/>
          <w:highlight w:val="none"/>
        </w:rPr>
        <w:t>对每一测量值</w:t>
      </w:r>
      <w:r>
        <w:rPr>
          <w:rFonts w:ascii="宋体"/>
          <w:color w:val="auto"/>
          <w:kern w:val="0"/>
          <w:sz w:val="24"/>
          <w:szCs w:val="24"/>
          <w:highlight w:val="none"/>
        </w:rPr>
        <w:t>(</w:t>
      </w:r>
      <w:r>
        <w:rPr>
          <w:rFonts w:hint="eastAsia" w:ascii="宋体"/>
          <w:color w:val="auto"/>
          <w:kern w:val="0"/>
          <w:sz w:val="24"/>
          <w:szCs w:val="24"/>
          <w:highlight w:val="none"/>
        </w:rPr>
        <w:t>包括计算量值</w:t>
      </w:r>
      <w:r>
        <w:rPr>
          <w:rFonts w:ascii="宋体"/>
          <w:color w:val="auto"/>
          <w:kern w:val="0"/>
          <w:sz w:val="24"/>
          <w:szCs w:val="24"/>
          <w:highlight w:val="none"/>
        </w:rPr>
        <w:t>)</w:t>
      </w:r>
      <w:r>
        <w:rPr>
          <w:rFonts w:hint="eastAsia" w:ascii="宋体"/>
          <w:color w:val="auto"/>
          <w:kern w:val="0"/>
          <w:sz w:val="24"/>
          <w:szCs w:val="24"/>
          <w:highlight w:val="none"/>
        </w:rPr>
        <w:t>，可由用户设置四种规定的运行限值</w:t>
      </w:r>
      <w:r>
        <w:rPr>
          <w:rFonts w:ascii="宋体"/>
          <w:color w:val="auto"/>
          <w:kern w:val="0"/>
          <w:sz w:val="24"/>
          <w:szCs w:val="24"/>
          <w:highlight w:val="none"/>
        </w:rPr>
        <w:t>(</w:t>
      </w:r>
      <w:r>
        <w:rPr>
          <w:rFonts w:hint="eastAsia" w:ascii="宋体"/>
          <w:color w:val="auto"/>
          <w:kern w:val="0"/>
          <w:sz w:val="24"/>
          <w:szCs w:val="24"/>
          <w:highlight w:val="none"/>
        </w:rPr>
        <w:t>低低限、低限、高限、高高限</w:t>
      </w:r>
      <w:r>
        <w:rPr>
          <w:rFonts w:ascii="宋体"/>
          <w:color w:val="auto"/>
          <w:kern w:val="0"/>
          <w:sz w:val="24"/>
          <w:szCs w:val="24"/>
          <w:highlight w:val="none"/>
        </w:rPr>
        <w:t>)</w:t>
      </w:r>
      <w:r>
        <w:rPr>
          <w:rFonts w:hint="eastAsia" w:ascii="宋体"/>
          <w:color w:val="auto"/>
          <w:kern w:val="0"/>
          <w:sz w:val="24"/>
          <w:szCs w:val="24"/>
          <w:highlight w:val="none"/>
        </w:rPr>
        <w:t>，分别可以定义作为预告报警和事故报警。四个限值均设有越</w:t>
      </w:r>
      <w:r>
        <w:rPr>
          <w:rFonts w:ascii="宋体"/>
          <w:color w:val="auto"/>
          <w:kern w:val="0"/>
          <w:sz w:val="24"/>
          <w:szCs w:val="24"/>
          <w:highlight w:val="none"/>
        </w:rPr>
        <w:t>/</w:t>
      </w:r>
      <w:r>
        <w:rPr>
          <w:rFonts w:hint="eastAsia" w:ascii="宋体"/>
          <w:color w:val="auto"/>
          <w:kern w:val="0"/>
          <w:sz w:val="24"/>
          <w:szCs w:val="24"/>
          <w:highlight w:val="none"/>
        </w:rPr>
        <w:t>复限死区，以避免实测值处于限值附近频繁报警。</w:t>
      </w:r>
    </w:p>
    <w:p w14:paraId="6676A6EF">
      <w:pPr>
        <w:spacing w:line="360" w:lineRule="auto"/>
        <w:rPr>
          <w:rFonts w:ascii="宋体"/>
          <w:color w:val="auto"/>
          <w:sz w:val="24"/>
          <w:szCs w:val="24"/>
          <w:highlight w:val="none"/>
        </w:rPr>
      </w:pPr>
      <w:r>
        <w:rPr>
          <w:rFonts w:hint="eastAsia" w:ascii="宋体"/>
          <w:color w:val="auto"/>
          <w:sz w:val="24"/>
          <w:szCs w:val="24"/>
          <w:highlight w:val="none"/>
        </w:rPr>
        <w:t>3.5.6管理功能</w:t>
      </w:r>
    </w:p>
    <w:p w14:paraId="4DB9E254">
      <w:pPr>
        <w:spacing w:line="360" w:lineRule="auto"/>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管理功能主要指操作票和一些设备工况报告及设备档案的编制和调用。</w:t>
      </w:r>
    </w:p>
    <w:p w14:paraId="62134304">
      <w:pPr>
        <w:numPr>
          <w:ilvl w:val="0"/>
          <w:numId w:val="28"/>
        </w:numPr>
        <w:spacing w:line="360" w:lineRule="auto"/>
        <w:rPr>
          <w:rFonts w:ascii="宋体"/>
          <w:color w:val="auto"/>
          <w:sz w:val="24"/>
          <w:szCs w:val="24"/>
          <w:highlight w:val="none"/>
        </w:rPr>
      </w:pPr>
      <w:r>
        <w:rPr>
          <w:rFonts w:hint="eastAsia" w:ascii="宋体"/>
          <w:color w:val="auto"/>
          <w:sz w:val="24"/>
          <w:szCs w:val="24"/>
          <w:highlight w:val="none"/>
        </w:rPr>
        <w:t>操作票的编制</w:t>
      </w:r>
    </w:p>
    <w:p w14:paraId="7C9DB1E5">
      <w:pPr>
        <w:numPr>
          <w:ilvl w:val="0"/>
          <w:numId w:val="12"/>
        </w:numPr>
        <w:tabs>
          <w:tab w:val="clear" w:pos="927"/>
        </w:tabs>
        <w:spacing w:line="360" w:lineRule="auto"/>
        <w:ind w:left="0" w:firstLine="560"/>
        <w:rPr>
          <w:rFonts w:ascii="宋体"/>
          <w:color w:val="auto"/>
          <w:sz w:val="24"/>
          <w:szCs w:val="24"/>
          <w:highlight w:val="none"/>
        </w:rPr>
      </w:pPr>
      <w:r>
        <w:rPr>
          <w:rFonts w:hint="eastAsia" w:ascii="宋体"/>
          <w:color w:val="auto"/>
          <w:sz w:val="24"/>
          <w:szCs w:val="24"/>
          <w:highlight w:val="none"/>
        </w:rPr>
        <w:t>能通过在计算机显示屏上的一次接线图上进行模拟操作后自动生成操作票，也可以交互式编辑生成。</w:t>
      </w:r>
    </w:p>
    <w:p w14:paraId="06AF839A">
      <w:pPr>
        <w:numPr>
          <w:ilvl w:val="0"/>
          <w:numId w:val="12"/>
        </w:numPr>
        <w:tabs>
          <w:tab w:val="left" w:pos="700"/>
        </w:tabs>
        <w:spacing w:line="360" w:lineRule="auto"/>
        <w:ind w:left="840" w:hanging="280"/>
        <w:rPr>
          <w:rFonts w:ascii="宋体"/>
          <w:color w:val="auto"/>
          <w:sz w:val="24"/>
          <w:szCs w:val="24"/>
          <w:highlight w:val="none"/>
        </w:rPr>
      </w:pPr>
      <w:r>
        <w:rPr>
          <w:rFonts w:hint="eastAsia" w:ascii="宋体"/>
          <w:color w:val="auto"/>
          <w:sz w:val="24"/>
          <w:szCs w:val="24"/>
          <w:highlight w:val="none"/>
          <w:lang w:val="en-US" w:eastAsia="zh-CN"/>
        </w:rPr>
        <w:t xml:space="preserve"> </w:t>
      </w:r>
      <w:r>
        <w:rPr>
          <w:rFonts w:hint="eastAsia" w:ascii="宋体"/>
          <w:color w:val="auto"/>
          <w:sz w:val="24"/>
          <w:szCs w:val="24"/>
          <w:highlight w:val="none"/>
        </w:rPr>
        <w:t>操作票的内容包括标题，编号，时间等一般信息和操作执行条文。</w:t>
      </w:r>
    </w:p>
    <w:p w14:paraId="140CC680">
      <w:pPr>
        <w:numPr>
          <w:ilvl w:val="0"/>
          <w:numId w:val="12"/>
        </w:numPr>
        <w:tabs>
          <w:tab w:val="left" w:pos="700"/>
          <w:tab w:val="clear" w:pos="927"/>
        </w:tabs>
        <w:spacing w:line="360" w:lineRule="auto"/>
        <w:ind w:left="0" w:firstLine="560"/>
        <w:rPr>
          <w:rFonts w:ascii="宋体"/>
          <w:color w:val="auto"/>
          <w:sz w:val="24"/>
          <w:szCs w:val="24"/>
          <w:highlight w:val="none"/>
        </w:rPr>
      </w:pPr>
      <w:r>
        <w:rPr>
          <w:rFonts w:hint="eastAsia" w:ascii="宋体"/>
          <w:color w:val="auto"/>
          <w:sz w:val="24"/>
          <w:szCs w:val="24"/>
          <w:highlight w:val="none"/>
          <w:lang w:val="en-US" w:eastAsia="zh-CN"/>
        </w:rPr>
        <w:t xml:space="preserve"> </w:t>
      </w:r>
      <w:r>
        <w:rPr>
          <w:rFonts w:hint="eastAsia" w:ascii="宋体"/>
          <w:color w:val="auto"/>
          <w:sz w:val="24"/>
          <w:szCs w:val="24"/>
          <w:highlight w:val="none"/>
        </w:rPr>
        <w:t>操作执行条文由命令，设备名，操作信息等构成。它可由运行人员通过键盘输入的交互方式进行编辑，修改，删减、更新。并能存储、检索、显示、打印。</w:t>
      </w:r>
    </w:p>
    <w:p w14:paraId="1B970FD8">
      <w:pPr>
        <w:numPr>
          <w:ilvl w:val="0"/>
          <w:numId w:val="28"/>
        </w:numPr>
        <w:spacing w:line="360" w:lineRule="auto"/>
        <w:rPr>
          <w:rFonts w:ascii="宋体"/>
          <w:color w:val="auto"/>
          <w:sz w:val="24"/>
          <w:szCs w:val="24"/>
          <w:highlight w:val="none"/>
        </w:rPr>
      </w:pPr>
      <w:r>
        <w:rPr>
          <w:rFonts w:hint="eastAsia" w:ascii="宋体"/>
          <w:color w:val="auto"/>
          <w:sz w:val="24"/>
          <w:szCs w:val="24"/>
          <w:highlight w:val="none"/>
        </w:rPr>
        <w:t>设备工况报告编制</w:t>
      </w:r>
    </w:p>
    <w:p w14:paraId="3A750BCA">
      <w:pPr>
        <w:spacing w:line="360" w:lineRule="auto"/>
        <w:ind w:left="0" w:leftChars="0"/>
        <w:rPr>
          <w:rFonts w:ascii="宋体"/>
          <w:color w:val="auto"/>
          <w:sz w:val="24"/>
          <w:szCs w:val="24"/>
          <w:highlight w:val="none"/>
        </w:rPr>
      </w:pPr>
      <w:r>
        <w:rPr>
          <w:rFonts w:ascii="宋体"/>
          <w:color w:val="auto"/>
          <w:kern w:val="0"/>
          <w:sz w:val="24"/>
          <w:szCs w:val="24"/>
          <w:highlight w:val="none"/>
        </w:rPr>
        <w:tab/>
      </w:r>
      <w:r>
        <w:rPr>
          <w:rFonts w:hint="eastAsia" w:ascii="宋体"/>
          <w:color w:val="auto"/>
          <w:kern w:val="0"/>
          <w:sz w:val="24"/>
          <w:szCs w:val="24"/>
          <w:highlight w:val="none"/>
          <w:lang w:val="en-US" w:eastAsia="zh-CN"/>
        </w:rPr>
        <w:t xml:space="preserve">  </w:t>
      </w:r>
      <w:r>
        <w:rPr>
          <w:rFonts w:hint="eastAsia" w:ascii="宋体"/>
          <w:color w:val="auto"/>
          <w:sz w:val="24"/>
          <w:szCs w:val="24"/>
          <w:highlight w:val="none"/>
        </w:rPr>
        <w:t>运行人员以键盘输入的交互方式编辑各设备的运行、测试、接地、锁定等工况报告。对这些报告可以进行修改、检索、显示、打印。</w:t>
      </w:r>
    </w:p>
    <w:p w14:paraId="342BC56B">
      <w:pPr>
        <w:numPr>
          <w:ilvl w:val="0"/>
          <w:numId w:val="28"/>
        </w:numPr>
        <w:spacing w:line="360" w:lineRule="auto"/>
        <w:rPr>
          <w:rFonts w:ascii="宋体"/>
          <w:color w:val="auto"/>
          <w:sz w:val="24"/>
          <w:szCs w:val="24"/>
          <w:highlight w:val="none"/>
        </w:rPr>
      </w:pPr>
      <w:r>
        <w:rPr>
          <w:rFonts w:hint="eastAsia" w:ascii="宋体"/>
          <w:color w:val="auto"/>
          <w:sz w:val="24"/>
          <w:szCs w:val="24"/>
          <w:highlight w:val="none"/>
        </w:rPr>
        <w:t>设备档案的管理</w:t>
      </w:r>
    </w:p>
    <w:p w14:paraId="06386CB7">
      <w:pPr>
        <w:spacing w:line="360" w:lineRule="auto"/>
        <w:ind w:left="0" w:leftChars="0"/>
        <w:rPr>
          <w:rFonts w:ascii="宋体"/>
          <w:color w:val="auto"/>
          <w:sz w:val="24"/>
          <w:szCs w:val="24"/>
          <w:highlight w:val="none"/>
        </w:rPr>
      </w:pPr>
      <w:r>
        <w:rPr>
          <w:rFonts w:ascii="宋体"/>
          <w:color w:val="auto"/>
          <w:kern w:val="0"/>
          <w:sz w:val="24"/>
          <w:szCs w:val="24"/>
          <w:highlight w:val="none"/>
        </w:rPr>
        <w:tab/>
      </w:r>
      <w:r>
        <w:rPr>
          <w:rFonts w:hint="eastAsia" w:ascii="宋体"/>
          <w:color w:val="auto"/>
          <w:sz w:val="24"/>
          <w:szCs w:val="24"/>
          <w:highlight w:val="none"/>
        </w:rPr>
        <w:t>对各种设备的资料、参数、运行历史，可用文件方式予以保存，并能由用户修改、检索、显示、打印。</w:t>
      </w:r>
    </w:p>
    <w:p w14:paraId="684A2801">
      <w:pPr>
        <w:spacing w:line="360" w:lineRule="auto"/>
        <w:rPr>
          <w:rFonts w:ascii="宋体"/>
          <w:color w:val="auto"/>
          <w:sz w:val="24"/>
          <w:szCs w:val="24"/>
          <w:highlight w:val="none"/>
        </w:rPr>
      </w:pPr>
      <w:r>
        <w:rPr>
          <w:rFonts w:hint="eastAsia" w:ascii="宋体"/>
          <w:color w:val="auto"/>
          <w:sz w:val="24"/>
          <w:szCs w:val="24"/>
          <w:highlight w:val="none"/>
        </w:rPr>
        <w:t>3.5.7  操作预演功能</w:t>
      </w:r>
    </w:p>
    <w:p w14:paraId="2237B690">
      <w:pPr>
        <w:numPr>
          <w:ilvl w:val="0"/>
          <w:numId w:val="29"/>
        </w:numPr>
        <w:spacing w:line="360" w:lineRule="auto"/>
        <w:ind w:left="7" w:firstLine="559" w:firstLineChars="233"/>
        <w:rPr>
          <w:color w:val="auto"/>
          <w:spacing w:val="10"/>
          <w:sz w:val="24"/>
          <w:szCs w:val="24"/>
          <w:highlight w:val="none"/>
        </w:rPr>
      </w:pPr>
      <w:r>
        <w:rPr>
          <w:rFonts w:hint="eastAsia" w:ascii="宋体"/>
          <w:color w:val="auto"/>
          <w:sz w:val="24"/>
          <w:szCs w:val="24"/>
          <w:highlight w:val="none"/>
        </w:rPr>
        <w:t>应具有操作指导功能，操作人员应能够交互的进行操作，在操作前，根据不同的操作对象，</w:t>
      </w:r>
      <w:r>
        <w:rPr>
          <w:rFonts w:ascii="宋体"/>
          <w:color w:val="auto"/>
          <w:sz w:val="24"/>
          <w:szCs w:val="24"/>
          <w:highlight w:val="none"/>
        </w:rPr>
        <w:t>计算机监控</w:t>
      </w:r>
      <w:r>
        <w:rPr>
          <w:rFonts w:hint="eastAsia" w:ascii="宋体"/>
          <w:color w:val="auto"/>
          <w:sz w:val="24"/>
          <w:szCs w:val="24"/>
          <w:highlight w:val="none"/>
        </w:rPr>
        <w:t>系统应可打印出操作票。当操作不正确时，应显示出错提示信息。</w:t>
      </w:r>
    </w:p>
    <w:p w14:paraId="48418B3B">
      <w:pPr>
        <w:numPr>
          <w:ilvl w:val="0"/>
          <w:numId w:val="29"/>
        </w:numPr>
        <w:spacing w:line="360" w:lineRule="auto"/>
        <w:ind w:left="7" w:firstLine="559" w:firstLineChars="233"/>
        <w:rPr>
          <w:rFonts w:hint="eastAsia" w:ascii="宋体"/>
          <w:color w:val="auto"/>
          <w:spacing w:val="0"/>
          <w:sz w:val="24"/>
          <w:szCs w:val="24"/>
          <w:highlight w:val="none"/>
        </w:rPr>
      </w:pPr>
      <w:r>
        <w:rPr>
          <w:rFonts w:hint="eastAsia" w:ascii="宋体"/>
          <w:color w:val="auto"/>
          <w:sz w:val="24"/>
          <w:szCs w:val="24"/>
          <w:highlight w:val="none"/>
        </w:rPr>
        <w:t>状态显示功能，操作人员可以通过该功能了解系统的总体状态，查阅画面和报表并发送打印命令。</w:t>
      </w:r>
    </w:p>
    <w:p w14:paraId="31DB6EFD">
      <w:pPr>
        <w:numPr>
          <w:ilvl w:val="0"/>
          <w:numId w:val="29"/>
        </w:numPr>
        <w:spacing w:line="360" w:lineRule="auto"/>
        <w:rPr>
          <w:rFonts w:ascii="宋体"/>
          <w:color w:val="auto"/>
          <w:sz w:val="24"/>
          <w:szCs w:val="24"/>
          <w:highlight w:val="none"/>
        </w:rPr>
      </w:pPr>
      <w:r>
        <w:rPr>
          <w:rFonts w:hint="eastAsia" w:ascii="宋体"/>
          <w:color w:val="auto"/>
          <w:sz w:val="24"/>
          <w:szCs w:val="24"/>
          <w:highlight w:val="none"/>
        </w:rPr>
        <w:t>操作权限</w:t>
      </w:r>
    </w:p>
    <w:p w14:paraId="71054035">
      <w:pPr>
        <w:spacing w:line="360" w:lineRule="auto"/>
        <w:ind w:firstLine="559" w:firstLineChars="233"/>
        <w:rPr>
          <w:color w:val="auto"/>
          <w:sz w:val="24"/>
          <w:szCs w:val="24"/>
          <w:highlight w:val="none"/>
        </w:rPr>
      </w:pPr>
      <w:r>
        <w:rPr>
          <w:rFonts w:hint="eastAsia" w:ascii="宋体"/>
          <w:color w:val="auto"/>
          <w:sz w:val="24"/>
          <w:szCs w:val="24"/>
          <w:highlight w:val="none"/>
        </w:rPr>
        <w:t xml:space="preserve"> 计算机监控系统的操作权限分为观察、控制、工程处理和系统管理。</w:t>
      </w:r>
    </w:p>
    <w:p w14:paraId="568A5280">
      <w:pPr>
        <w:pStyle w:val="55"/>
        <w:numPr>
          <w:ilvl w:val="0"/>
          <w:numId w:val="25"/>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具有观察权限的操作员只允许观察当前的运行状态。</w:t>
      </w:r>
    </w:p>
    <w:p w14:paraId="5E8F1C23">
      <w:pPr>
        <w:pStyle w:val="55"/>
        <w:numPr>
          <w:ilvl w:val="0"/>
          <w:numId w:val="25"/>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控制权限操作人员允许进行控制操作等。</w:t>
      </w:r>
    </w:p>
    <w:p w14:paraId="6D48328E">
      <w:pPr>
        <w:pStyle w:val="55"/>
        <w:numPr>
          <w:ilvl w:val="0"/>
          <w:numId w:val="25"/>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工程处理权限操作人员除了用户管理之外，有权观察和操作。</w:t>
      </w:r>
    </w:p>
    <w:p w14:paraId="60408DBB">
      <w:pPr>
        <w:pStyle w:val="55"/>
        <w:numPr>
          <w:ilvl w:val="0"/>
          <w:numId w:val="25"/>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系统管理权限操作人员，包括用户管理内所有权利都允许的。</w:t>
      </w:r>
    </w:p>
    <w:p w14:paraId="2813AD8F">
      <w:pPr>
        <w:pStyle w:val="13"/>
        <w:spacing w:line="360" w:lineRule="auto"/>
        <w:ind w:left="0" w:leftChars="0" w:firstLine="480" w:firstLineChars="200"/>
        <w:rPr>
          <w:color w:val="auto"/>
          <w:sz w:val="24"/>
          <w:szCs w:val="24"/>
          <w:highlight w:val="none"/>
        </w:rPr>
      </w:pPr>
      <w:r>
        <w:rPr>
          <w:rFonts w:hint="eastAsia"/>
          <w:color w:val="auto"/>
          <w:sz w:val="24"/>
          <w:szCs w:val="24"/>
          <w:highlight w:val="none"/>
        </w:rPr>
        <w:t>对设备的操作，除操作窗口外，应有确认窗口，只有当二者输入都正确时，该次操作才能生效。</w:t>
      </w:r>
    </w:p>
    <w:p w14:paraId="17956B14">
      <w:pPr>
        <w:numPr>
          <w:ilvl w:val="0"/>
          <w:numId w:val="29"/>
        </w:numPr>
        <w:spacing w:line="360" w:lineRule="auto"/>
        <w:rPr>
          <w:rFonts w:ascii="宋体"/>
          <w:color w:val="auto"/>
          <w:sz w:val="24"/>
          <w:szCs w:val="24"/>
          <w:highlight w:val="none"/>
        </w:rPr>
      </w:pPr>
      <w:r>
        <w:rPr>
          <w:rFonts w:hint="eastAsia" w:ascii="宋体"/>
          <w:color w:val="auto"/>
          <w:sz w:val="24"/>
          <w:szCs w:val="24"/>
          <w:highlight w:val="none"/>
        </w:rPr>
        <w:t>标牌功能</w:t>
      </w:r>
    </w:p>
    <w:p w14:paraId="0E052FBA">
      <w:pPr>
        <w:pStyle w:val="13"/>
        <w:spacing w:line="360" w:lineRule="auto"/>
        <w:ind w:left="0" w:leftChars="0" w:firstLine="559" w:firstLineChars="233"/>
        <w:rPr>
          <w:color w:val="auto"/>
          <w:sz w:val="24"/>
          <w:szCs w:val="24"/>
          <w:highlight w:val="none"/>
        </w:rPr>
      </w:pPr>
      <w:r>
        <w:rPr>
          <w:rFonts w:hint="eastAsia"/>
          <w:color w:val="auto"/>
          <w:sz w:val="24"/>
          <w:szCs w:val="24"/>
          <w:highlight w:val="none"/>
        </w:rPr>
        <w:t>计算机可以为监测对象加上反映其特征或内容的标牌，用于系统的画面显示和操作控制中，并参与联闭锁功能。</w:t>
      </w:r>
    </w:p>
    <w:p w14:paraId="07584C42">
      <w:pPr>
        <w:numPr>
          <w:ilvl w:val="0"/>
          <w:numId w:val="29"/>
        </w:numPr>
        <w:spacing w:line="360" w:lineRule="auto"/>
        <w:rPr>
          <w:rFonts w:ascii="宋体"/>
          <w:color w:val="auto"/>
          <w:sz w:val="24"/>
          <w:szCs w:val="24"/>
          <w:highlight w:val="none"/>
        </w:rPr>
      </w:pPr>
      <w:r>
        <w:rPr>
          <w:rFonts w:hint="eastAsia" w:ascii="宋体"/>
          <w:color w:val="auto"/>
          <w:sz w:val="24"/>
          <w:szCs w:val="24"/>
          <w:highlight w:val="none"/>
        </w:rPr>
        <w:t>数据输入功能</w:t>
      </w:r>
    </w:p>
    <w:p w14:paraId="0D16A767">
      <w:pPr>
        <w:pStyle w:val="13"/>
        <w:spacing w:line="360" w:lineRule="auto"/>
        <w:ind w:left="560"/>
        <w:rPr>
          <w:color w:val="auto"/>
          <w:sz w:val="24"/>
          <w:szCs w:val="24"/>
          <w:highlight w:val="none"/>
        </w:rPr>
      </w:pPr>
      <w:r>
        <w:rPr>
          <w:color w:val="auto"/>
          <w:sz w:val="24"/>
          <w:szCs w:val="24"/>
          <w:highlight w:val="none"/>
        </w:rPr>
        <w:tab/>
      </w:r>
      <w:r>
        <w:rPr>
          <w:rFonts w:hint="eastAsia"/>
          <w:color w:val="auto"/>
          <w:sz w:val="24"/>
          <w:szCs w:val="24"/>
          <w:highlight w:val="none"/>
        </w:rPr>
        <w:t>操作人员可以在线输入数据，修改报表和编辑画面及参数数据</w:t>
      </w:r>
      <w:r>
        <w:rPr>
          <w:rFonts w:hint="eastAsia"/>
          <w:color w:val="auto"/>
          <w:sz w:val="24"/>
          <w:szCs w:val="24"/>
          <w:highlight w:val="none"/>
        </w:rPr>
        <w:t>。</w:t>
      </w:r>
    </w:p>
    <w:p w14:paraId="7218E93D">
      <w:pPr>
        <w:spacing w:line="360" w:lineRule="auto"/>
        <w:rPr>
          <w:rFonts w:ascii="宋体"/>
          <w:color w:val="auto"/>
          <w:sz w:val="24"/>
          <w:szCs w:val="24"/>
          <w:highlight w:val="none"/>
        </w:rPr>
      </w:pPr>
      <w:r>
        <w:rPr>
          <w:rFonts w:hint="eastAsia" w:ascii="宋体"/>
          <w:color w:val="auto"/>
          <w:sz w:val="24"/>
          <w:szCs w:val="24"/>
          <w:highlight w:val="none"/>
        </w:rPr>
        <w:t>3.5.8  控制功能</w:t>
      </w:r>
    </w:p>
    <w:p w14:paraId="05B943E9">
      <w:pPr>
        <w:spacing w:line="360" w:lineRule="auto"/>
        <w:ind w:firstLine="480" w:firstLineChars="200"/>
        <w:rPr>
          <w:rFonts w:hint="eastAsia" w:ascii="宋体"/>
          <w:color w:val="auto"/>
          <w:sz w:val="24"/>
          <w:szCs w:val="24"/>
          <w:highlight w:val="none"/>
        </w:rPr>
      </w:pPr>
      <w:r>
        <w:rPr>
          <w:rFonts w:hint="eastAsia" w:ascii="宋体"/>
          <w:color w:val="auto"/>
          <w:sz w:val="24"/>
          <w:szCs w:val="24"/>
          <w:highlight w:val="none"/>
        </w:rPr>
        <w:t>控制功能分为三种：调度中心远方控制，电厂运行人员操作控制（站级控制层），后备手动控制（间隔级控制层）。间隔级控制层操作优于站级控制层操作，站级控制层操作优于调度中心远方操作。同一时间内，被控设备只接收一个操作命令。</w:t>
      </w:r>
    </w:p>
    <w:p w14:paraId="13797AEE">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此外，</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110kV</w:t>
      </w:r>
      <w:r>
        <w:rPr>
          <w:rFonts w:hint="eastAsia" w:ascii="宋体"/>
          <w:color w:val="auto"/>
          <w:sz w:val="24"/>
          <w:szCs w:val="24"/>
          <w:highlight w:val="none"/>
        </w:rPr>
        <w:t>断路器就地控制柜上的操作为检修操作，当断路器和隔离开关操作时应有就地操作信号发至计算机监控系统，</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hint="eastAsia" w:ascii="宋体"/>
          <w:color w:val="auto"/>
          <w:sz w:val="24"/>
          <w:szCs w:val="24"/>
          <w:highlight w:val="none"/>
        </w:rPr>
        <w:t>kV断路器就地柜上操作时的防误操作闭锁逻辑由断路器供货厂家负责提供。</w:t>
      </w:r>
    </w:p>
    <w:p w14:paraId="7BABB74C">
      <w:pPr>
        <w:spacing w:line="360" w:lineRule="auto"/>
        <w:ind w:firstLine="425"/>
        <w:rPr>
          <w:rFonts w:ascii="宋体"/>
          <w:color w:val="auto"/>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hint="eastAsia" w:ascii="宋体"/>
          <w:color w:val="auto"/>
          <w:sz w:val="24"/>
          <w:szCs w:val="24"/>
          <w:highlight w:val="none"/>
        </w:rPr>
        <w:t>kV断路器送至I/O测控单元的位置状态量为单相状态量。</w:t>
      </w:r>
    </w:p>
    <w:p w14:paraId="273AAA97">
      <w:pPr>
        <w:spacing w:line="360" w:lineRule="auto"/>
        <w:rPr>
          <w:color w:val="auto"/>
          <w:kern w:val="0"/>
          <w:sz w:val="24"/>
          <w:szCs w:val="24"/>
          <w:highlight w:val="none"/>
        </w:rPr>
      </w:pPr>
      <w:r>
        <w:rPr>
          <w:color w:val="auto"/>
          <w:sz w:val="24"/>
          <w:szCs w:val="24"/>
          <w:highlight w:val="none"/>
        </w:rPr>
        <w:tab/>
      </w:r>
      <w:r>
        <w:rPr>
          <w:rFonts w:hint="eastAsia" w:ascii="宋体"/>
          <w:color w:val="auto"/>
          <w:sz w:val="24"/>
          <w:szCs w:val="24"/>
          <w:highlight w:val="none"/>
        </w:rPr>
        <w:t>为了防止误操作，在任何一种控制方式下都采用分步操作，即选择、校核、执行，每步操作有时间限制，并在站级控制层设置操作员口令和监护员口令及设备代码。</w:t>
      </w:r>
    </w:p>
    <w:p w14:paraId="5624FEE8">
      <w:pPr>
        <w:numPr>
          <w:ilvl w:val="0"/>
          <w:numId w:val="30"/>
        </w:numPr>
        <w:spacing w:line="360" w:lineRule="auto"/>
        <w:rPr>
          <w:rFonts w:ascii="宋体"/>
          <w:color w:val="auto"/>
          <w:sz w:val="24"/>
          <w:szCs w:val="24"/>
          <w:highlight w:val="none"/>
        </w:rPr>
      </w:pPr>
      <w:r>
        <w:rPr>
          <w:rFonts w:hint="eastAsia" w:ascii="宋体"/>
          <w:color w:val="auto"/>
          <w:sz w:val="24"/>
          <w:szCs w:val="24"/>
          <w:highlight w:val="none"/>
        </w:rPr>
        <w:t>调度中心远方控制</w:t>
      </w:r>
    </w:p>
    <w:p w14:paraId="5475E267">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调度中心应能直接通过计算机监控系统的远动通信装置对升压站</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断路器进行远方遥控分、合闸。计算机监控系统应能通过简单的操作来选择对升压站</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断路器的控制是由调度中心遥控还是由电厂运行人员操作控制。</w:t>
      </w:r>
    </w:p>
    <w:p w14:paraId="49F86CA8">
      <w:pPr>
        <w:spacing w:line="360" w:lineRule="auto"/>
        <w:ind w:firstLine="480" w:firstLineChars="200"/>
        <w:rPr>
          <w:snapToGrid w:val="0"/>
          <w:color w:val="auto"/>
          <w:sz w:val="24"/>
          <w:szCs w:val="24"/>
          <w:highlight w:val="none"/>
        </w:rPr>
      </w:pPr>
      <w:r>
        <w:rPr>
          <w:rFonts w:hint="eastAsia" w:ascii="宋体"/>
          <w:color w:val="auto"/>
          <w:sz w:val="24"/>
          <w:szCs w:val="24"/>
          <w:highlight w:val="none"/>
        </w:rPr>
        <w:t>调度中心应能直接通过计算机监控系统的远动通信装置对发电机进行AGC调节控制（发AGC调节控制命令至DCS对发电机有功进行调节）。</w:t>
      </w:r>
    </w:p>
    <w:p w14:paraId="4B5DAE30">
      <w:pPr>
        <w:numPr>
          <w:ilvl w:val="0"/>
          <w:numId w:val="30"/>
        </w:numPr>
        <w:spacing w:line="360" w:lineRule="auto"/>
        <w:rPr>
          <w:rFonts w:ascii="宋体"/>
          <w:color w:val="auto"/>
          <w:sz w:val="24"/>
          <w:szCs w:val="24"/>
          <w:highlight w:val="none"/>
        </w:rPr>
      </w:pPr>
      <w:r>
        <w:rPr>
          <w:rFonts w:hint="eastAsia" w:ascii="宋体"/>
          <w:color w:val="auto"/>
          <w:sz w:val="24"/>
          <w:szCs w:val="24"/>
          <w:highlight w:val="none"/>
        </w:rPr>
        <w:t>计算机监控系统站级控制层操作控制</w:t>
      </w:r>
    </w:p>
    <w:p w14:paraId="0AE1819B">
      <w:pPr>
        <w:spacing w:line="360" w:lineRule="auto"/>
        <w:ind w:firstLine="480" w:firstLineChars="200"/>
        <w:rPr>
          <w:color w:val="auto"/>
          <w:spacing w:val="10"/>
          <w:sz w:val="24"/>
          <w:szCs w:val="24"/>
          <w:highlight w:val="none"/>
        </w:rPr>
      </w:pPr>
      <w:r>
        <w:rPr>
          <w:rFonts w:hint="eastAsia" w:ascii="宋体"/>
          <w:color w:val="auto"/>
          <w:sz w:val="24"/>
          <w:szCs w:val="24"/>
          <w:highlight w:val="none"/>
        </w:rPr>
        <w:t>操作控制指运行人员在单元控制室操作员工作站上调出操作相关的设备图后，通过操作键盘或鼠标，就可对需要控制的电气设备发出操作指令，实现对设备运行状态的变位控制。计算机监控系统应提供必要的操作步骤和足够的监督功能，以确保操作的合法性、合理性、安全性和正确性。纳入控制的设备有：</w:t>
      </w:r>
    </w:p>
    <w:p w14:paraId="21CD17F3">
      <w:pPr>
        <w:pStyle w:val="55"/>
        <w:numPr>
          <w:ilvl w:val="0"/>
          <w:numId w:val="31"/>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升压站</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断路器的分、合闸</w:t>
      </w:r>
    </w:p>
    <w:p w14:paraId="70E6E07A">
      <w:pPr>
        <w:pStyle w:val="55"/>
        <w:numPr>
          <w:ilvl w:val="0"/>
          <w:numId w:val="31"/>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隔离开关的分、合闸</w:t>
      </w:r>
    </w:p>
    <w:p w14:paraId="33036517">
      <w:pPr>
        <w:pStyle w:val="55"/>
        <w:numPr>
          <w:ilvl w:val="0"/>
          <w:numId w:val="31"/>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接地闸刀分、合闸</w:t>
      </w:r>
    </w:p>
    <w:p w14:paraId="31E63DC1">
      <w:pPr>
        <w:spacing w:line="360" w:lineRule="auto"/>
        <w:ind w:firstLine="600" w:firstLineChars="250"/>
        <w:rPr>
          <w:rFonts w:ascii="宋体"/>
          <w:color w:val="auto"/>
          <w:kern w:val="0"/>
          <w:sz w:val="24"/>
          <w:szCs w:val="24"/>
          <w:highlight w:val="none"/>
        </w:rPr>
      </w:pPr>
      <w:r>
        <w:rPr>
          <w:rFonts w:hint="eastAsia" w:ascii="宋体"/>
          <w:color w:val="auto"/>
          <w:sz w:val="24"/>
          <w:szCs w:val="24"/>
          <w:highlight w:val="none"/>
        </w:rPr>
        <w:t>操作控制的执行结果应反馈到相关设备图上。其执行情况也应产生正常</w:t>
      </w:r>
      <w:r>
        <w:rPr>
          <w:rFonts w:ascii="宋体"/>
          <w:color w:val="auto"/>
          <w:sz w:val="24"/>
          <w:szCs w:val="24"/>
          <w:highlight w:val="none"/>
        </w:rPr>
        <w:t>(</w:t>
      </w:r>
      <w:r>
        <w:rPr>
          <w:rFonts w:hint="eastAsia" w:ascii="宋体"/>
          <w:color w:val="auto"/>
          <w:sz w:val="24"/>
          <w:szCs w:val="24"/>
          <w:highlight w:val="none"/>
        </w:rPr>
        <w:t>或异常</w:t>
      </w:r>
      <w:r>
        <w:rPr>
          <w:rFonts w:ascii="宋体"/>
          <w:color w:val="auto"/>
          <w:sz w:val="24"/>
          <w:szCs w:val="24"/>
          <w:highlight w:val="none"/>
        </w:rPr>
        <w:t>)</w:t>
      </w:r>
      <w:r>
        <w:rPr>
          <w:rFonts w:hint="eastAsia" w:ascii="宋体"/>
          <w:color w:val="auto"/>
          <w:sz w:val="24"/>
          <w:szCs w:val="24"/>
          <w:highlight w:val="none"/>
        </w:rPr>
        <w:t>执行报告。执行报告在操作员工作站上予以显示并打印输出。</w:t>
      </w:r>
    </w:p>
    <w:p w14:paraId="290716F9">
      <w:pPr>
        <w:numPr>
          <w:ilvl w:val="0"/>
          <w:numId w:val="30"/>
        </w:numPr>
        <w:spacing w:line="360" w:lineRule="auto"/>
        <w:rPr>
          <w:rFonts w:ascii="宋体"/>
          <w:color w:val="auto"/>
          <w:sz w:val="24"/>
          <w:szCs w:val="24"/>
          <w:highlight w:val="none"/>
        </w:rPr>
      </w:pPr>
      <w:r>
        <w:rPr>
          <w:rFonts w:hint="eastAsia" w:ascii="宋体"/>
          <w:color w:val="auto"/>
          <w:sz w:val="24"/>
          <w:szCs w:val="24"/>
          <w:highlight w:val="none"/>
        </w:rPr>
        <w:t>计算机监控系统间隔级控制层控制</w:t>
      </w:r>
    </w:p>
    <w:p w14:paraId="7A4F5B72">
      <w:pPr>
        <w:spacing w:line="360" w:lineRule="auto"/>
        <w:ind w:firstLine="560"/>
        <w:rPr>
          <w:rFonts w:ascii="宋体"/>
          <w:color w:val="auto"/>
          <w:sz w:val="24"/>
          <w:szCs w:val="24"/>
          <w:highlight w:val="none"/>
        </w:rPr>
      </w:pPr>
      <w:r>
        <w:rPr>
          <w:rFonts w:hint="eastAsia" w:ascii="宋体"/>
          <w:color w:val="auto"/>
          <w:sz w:val="24"/>
          <w:szCs w:val="24"/>
          <w:highlight w:val="none"/>
        </w:rPr>
        <w:t>当计算机监控系统站级控制层停运或故障时，间隔级控制层应能独立于站级控制层控制。站级控制层和间隔级控制层的控制不得同时进行，应在软件作相应的闭锁配置，并应设有远方/就地切换开关以禁止间隔级控制层的操作，只有在站级控制层故障或紧急情况下将远方/就地切换开关切至“就地”位置时才能操作。后备手动控制装置与</w:t>
      </w:r>
      <w:r>
        <w:rPr>
          <w:rFonts w:ascii="宋体"/>
          <w:color w:val="auto"/>
          <w:sz w:val="24"/>
          <w:szCs w:val="24"/>
          <w:highlight w:val="none"/>
        </w:rPr>
        <w:t>I/O测控单元</w:t>
      </w:r>
      <w:r>
        <w:rPr>
          <w:rFonts w:hint="eastAsia" w:ascii="宋体"/>
          <w:color w:val="auto"/>
          <w:sz w:val="24"/>
          <w:szCs w:val="24"/>
          <w:highlight w:val="none"/>
        </w:rPr>
        <w:t>组成一面屏。</w:t>
      </w:r>
    </w:p>
    <w:p w14:paraId="54D092A2">
      <w:pPr>
        <w:spacing w:line="360" w:lineRule="auto"/>
        <w:ind w:firstLine="560"/>
        <w:rPr>
          <w:rFonts w:ascii="宋体"/>
          <w:color w:val="auto"/>
          <w:sz w:val="24"/>
          <w:szCs w:val="24"/>
          <w:highlight w:val="none"/>
        </w:rPr>
      </w:pPr>
      <w:r>
        <w:rPr>
          <w:rFonts w:hint="eastAsia" w:ascii="宋体"/>
          <w:color w:val="auto"/>
          <w:sz w:val="24"/>
          <w:szCs w:val="24"/>
          <w:highlight w:val="none"/>
        </w:rPr>
        <w:t>对升压站设备的控制操作在功能和设计上是安全可靠的，在操作前及操作的整个过程中都必须保证所有开关位置的精确监测，且所有监测信息是实时、有效的。如在操作前及操作过程中发生任何干扰，如开关故障、数据传送通道故障等情况下，必须对控制调节设备进行闭锁。在任何操作方式下，保证下一步操作的实现只有在上一步操作完全完成以后才能进行。计算机操作与手动控制不得同时进行。设置手动/计算机操作切换开关。</w:t>
      </w:r>
    </w:p>
    <w:p w14:paraId="5FB44416">
      <w:pPr>
        <w:spacing w:line="360" w:lineRule="auto"/>
        <w:ind w:firstLine="559" w:firstLineChars="233"/>
        <w:rPr>
          <w:rFonts w:ascii="宋体"/>
          <w:color w:val="auto"/>
          <w:sz w:val="24"/>
          <w:szCs w:val="24"/>
          <w:highlight w:val="none"/>
        </w:rPr>
      </w:pPr>
      <w:r>
        <w:rPr>
          <w:rFonts w:hint="eastAsia" w:ascii="宋体"/>
          <w:color w:val="auto"/>
          <w:sz w:val="24"/>
          <w:szCs w:val="24"/>
          <w:highlight w:val="none"/>
        </w:rPr>
        <w:t>对于</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断路器，</w:t>
      </w:r>
      <w:r>
        <w:rPr>
          <w:rFonts w:ascii="宋体"/>
          <w:color w:val="auto"/>
          <w:sz w:val="24"/>
          <w:szCs w:val="24"/>
          <w:highlight w:val="none"/>
        </w:rPr>
        <w:t>I/O测控单元</w:t>
      </w:r>
      <w:r>
        <w:rPr>
          <w:rFonts w:hint="eastAsia" w:ascii="宋体"/>
          <w:color w:val="auto"/>
          <w:sz w:val="24"/>
          <w:szCs w:val="24"/>
          <w:highlight w:val="none"/>
        </w:rPr>
        <w:t>提供用于断路器分、合闸的控制命令输出接点应保持有足够长时间，维持可靠执行命令，提供足够多的接点数量，以满足断路器分相合闸，分闸（包括双跳圈）的回路的要求。应提供两付特殊接点用于线路保护：其中一付接点当</w:t>
      </w:r>
      <w:r>
        <w:rPr>
          <w:rFonts w:ascii="宋体"/>
          <w:color w:val="auto"/>
          <w:sz w:val="24"/>
          <w:szCs w:val="24"/>
          <w:highlight w:val="none"/>
        </w:rPr>
        <w:t>I/O测控单元</w:t>
      </w:r>
      <w:r>
        <w:rPr>
          <w:rFonts w:hint="eastAsia" w:ascii="宋体"/>
          <w:color w:val="auto"/>
          <w:sz w:val="24"/>
          <w:szCs w:val="24"/>
          <w:highlight w:val="none"/>
        </w:rPr>
        <w:t>发出合闸命令时闭合并保持到</w:t>
      </w:r>
      <w:r>
        <w:rPr>
          <w:rFonts w:ascii="宋体"/>
          <w:color w:val="auto"/>
          <w:sz w:val="24"/>
          <w:szCs w:val="24"/>
          <w:highlight w:val="none"/>
        </w:rPr>
        <w:t>I/O测控单元</w:t>
      </w:r>
      <w:r>
        <w:rPr>
          <w:rFonts w:hint="eastAsia" w:ascii="宋体"/>
          <w:color w:val="auto"/>
          <w:sz w:val="24"/>
          <w:szCs w:val="24"/>
          <w:highlight w:val="none"/>
        </w:rPr>
        <w:t>再发出跳闸命令后自动返回，另一付接点则当</w:t>
      </w:r>
      <w:r>
        <w:rPr>
          <w:rFonts w:ascii="宋体"/>
          <w:color w:val="auto"/>
          <w:sz w:val="24"/>
          <w:szCs w:val="24"/>
          <w:highlight w:val="none"/>
        </w:rPr>
        <w:t>I/O测控单元</w:t>
      </w:r>
      <w:r>
        <w:rPr>
          <w:rFonts w:hint="eastAsia" w:ascii="宋体"/>
          <w:color w:val="auto"/>
          <w:sz w:val="24"/>
          <w:szCs w:val="24"/>
          <w:highlight w:val="none"/>
        </w:rPr>
        <w:t>发出分闸命令时闭合并保持至</w:t>
      </w:r>
      <w:r>
        <w:rPr>
          <w:rFonts w:ascii="宋体"/>
          <w:color w:val="auto"/>
          <w:sz w:val="24"/>
          <w:szCs w:val="24"/>
          <w:highlight w:val="none"/>
        </w:rPr>
        <w:t>I/O测控单元</w:t>
      </w:r>
      <w:r>
        <w:rPr>
          <w:rFonts w:hint="eastAsia" w:ascii="宋体"/>
          <w:color w:val="auto"/>
          <w:sz w:val="24"/>
          <w:szCs w:val="24"/>
          <w:highlight w:val="none"/>
        </w:rPr>
        <w:t>再发出合闸命令后自动返回。</w:t>
      </w:r>
      <w:r>
        <w:rPr>
          <w:rFonts w:ascii="宋体"/>
          <w:color w:val="auto"/>
          <w:sz w:val="24"/>
          <w:szCs w:val="24"/>
          <w:highlight w:val="none"/>
        </w:rPr>
        <w:t>I/O测控单元</w:t>
      </w:r>
      <w:r>
        <w:rPr>
          <w:rFonts w:hint="eastAsia" w:ascii="宋体"/>
          <w:color w:val="auto"/>
          <w:sz w:val="24"/>
          <w:szCs w:val="24"/>
          <w:highlight w:val="none"/>
        </w:rPr>
        <w:t>提供的命令输出应经过中间继电器进行隔离，此中间继电器应具有足够的接点容量。输出回路应有控制回路完整性监视功能，发生故障时可发预告报警。即使非人为或非保护动作所引起的偷跳也能发报警信号。</w:t>
      </w:r>
    </w:p>
    <w:p w14:paraId="57219F5C">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所有断路器遥控分闸驱动继电器有出口动作接点信号返回I/O单元。</w:t>
      </w:r>
    </w:p>
    <w:p w14:paraId="56E781F9">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所有断路器，隔离开关，接地闸刀的操作具有反校的功能。</w:t>
      </w:r>
    </w:p>
    <w:p w14:paraId="06149A5B">
      <w:pPr>
        <w:spacing w:line="360" w:lineRule="auto"/>
        <w:rPr>
          <w:rFonts w:ascii="宋体"/>
          <w:color w:val="auto"/>
          <w:sz w:val="24"/>
          <w:szCs w:val="24"/>
          <w:highlight w:val="none"/>
        </w:rPr>
      </w:pPr>
      <w:r>
        <w:rPr>
          <w:rFonts w:hint="eastAsia" w:ascii="宋体"/>
          <w:color w:val="auto"/>
          <w:sz w:val="24"/>
          <w:szCs w:val="24"/>
          <w:highlight w:val="none"/>
        </w:rPr>
        <w:t>3.5.9同期检测及操作</w:t>
      </w:r>
    </w:p>
    <w:p w14:paraId="455137BC">
      <w:pPr>
        <w:spacing w:line="360" w:lineRule="auto"/>
        <w:rPr>
          <w:rFonts w:ascii="宋体"/>
          <w:color w:val="auto"/>
          <w:sz w:val="24"/>
          <w:szCs w:val="24"/>
          <w:highlight w:val="none"/>
        </w:rPr>
      </w:pPr>
      <w:r>
        <w:rPr>
          <w:rFonts w:hint="eastAsia" w:ascii="宋体"/>
          <w:color w:val="auto"/>
          <w:kern w:val="0"/>
          <w:sz w:val="24"/>
          <w:szCs w:val="24"/>
          <w:highlight w:val="none"/>
        </w:rPr>
        <w:tab/>
      </w:r>
      <w:r>
        <w:rPr>
          <w:rFonts w:hint="eastAsia" w:ascii="宋体"/>
          <w:color w:val="auto"/>
          <w:sz w:val="24"/>
          <w:szCs w:val="24"/>
          <w:highlight w:val="none"/>
        </w:rPr>
        <w:t>计算机监控系统应有单相同期功能（取AN相电压），应具有“检同期”、“ 检无压”和“同频合环”三个功能，断路器任一侧无电压时可选择“检无压”并由操作员确认后实现断路器合闸操作；当“检同期”和“同频合环”合闸不成功时，应显示原因。在站级控制层和间隔级</w:t>
      </w:r>
      <w:r>
        <w:rPr>
          <w:rFonts w:ascii="宋体"/>
          <w:color w:val="auto"/>
          <w:sz w:val="24"/>
          <w:szCs w:val="24"/>
          <w:highlight w:val="none"/>
        </w:rPr>
        <w:t>I/</w:t>
      </w:r>
      <w:r>
        <w:rPr>
          <w:rFonts w:hint="eastAsia" w:ascii="宋体"/>
          <w:color w:val="auto"/>
          <w:sz w:val="24"/>
          <w:szCs w:val="24"/>
          <w:highlight w:val="none"/>
        </w:rPr>
        <w:t>O测控单元应具有软件实现对同期检测监督的功能，该软件对运行人员的操作步骤进行监测、判断和分析，以确定该操作是否合法、安全。若发生不合法操作，应对该操作进行闭锁、并告警和打印信息。应提供选择同期断路器、取消选择同期断路器命令，用以选择升压站内的同期点。同期检测功能包含在每一个间隔单元中，每条母线的电压以及进出线路电压都被固定接入到间隔单元。所选用同期用电压与测量用电压进行比较，以防止因断线而导致判断无电压合闸的情况。整个检测期间，当同期断路器两侧的电压，相位角与频率的差值保持在整定范围之内时，同期检测功能就处于允许合闸状态；或当判断属于单侧无电压时，也处于允许合闸状态。当其主站遥控命令下达时，I/O单元同时进行同期，闭锁条件、远方就地控制状态等条件来判定。若条件成立，则执行相应的控制操作方式，若条件不满足，闭锁出口，并提供所缺条件提示。I/O柜能根据电气接线状态，自动选择同期检测的对象。同一时间仅允许选择一个断路器作为同期点，并可随时将选择复归。</w:t>
      </w:r>
    </w:p>
    <w:p w14:paraId="48ADB393">
      <w:pPr>
        <w:spacing w:line="360" w:lineRule="auto"/>
        <w:rPr>
          <w:rFonts w:ascii="宋体"/>
          <w:color w:val="auto"/>
          <w:sz w:val="24"/>
          <w:szCs w:val="24"/>
          <w:highlight w:val="none"/>
        </w:rPr>
      </w:pPr>
      <w:r>
        <w:rPr>
          <w:rFonts w:ascii="宋体"/>
          <w:color w:val="auto"/>
          <w:sz w:val="24"/>
          <w:szCs w:val="24"/>
          <w:highlight w:val="none"/>
        </w:rPr>
        <w:tab/>
      </w:r>
      <w:r>
        <w:rPr>
          <w:rFonts w:hint="eastAsia" w:ascii="宋体"/>
          <w:color w:val="auto"/>
          <w:sz w:val="24"/>
          <w:szCs w:val="24"/>
          <w:highlight w:val="none"/>
        </w:rPr>
        <w:t>所有的</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断路器都必须经过同期检测后才能合闸。</w:t>
      </w:r>
    </w:p>
    <w:p w14:paraId="58806648">
      <w:pPr>
        <w:spacing w:line="360" w:lineRule="auto"/>
        <w:rPr>
          <w:rFonts w:ascii="宋体"/>
          <w:color w:val="auto"/>
          <w:kern w:val="0"/>
          <w:sz w:val="24"/>
          <w:szCs w:val="24"/>
          <w:highlight w:val="none"/>
        </w:rPr>
      </w:pPr>
      <w:r>
        <w:rPr>
          <w:rFonts w:hint="eastAsia" w:ascii="宋体"/>
          <w:color w:val="auto"/>
          <w:sz w:val="24"/>
          <w:szCs w:val="24"/>
          <w:highlight w:val="none"/>
        </w:rPr>
        <w:tab/>
      </w:r>
      <w:r>
        <w:rPr>
          <w:rFonts w:hint="eastAsia" w:ascii="宋体"/>
          <w:color w:val="auto"/>
          <w:sz w:val="24"/>
          <w:szCs w:val="24"/>
          <w:highlight w:val="none"/>
        </w:rPr>
        <w:t>同期功能检测应在间隔级控制层内完成。</w:t>
      </w:r>
    </w:p>
    <w:p w14:paraId="1B7414CD">
      <w:pPr>
        <w:spacing w:line="360" w:lineRule="auto"/>
        <w:rPr>
          <w:rFonts w:ascii="宋体"/>
          <w:color w:val="auto"/>
          <w:sz w:val="24"/>
          <w:szCs w:val="24"/>
          <w:highlight w:val="none"/>
        </w:rPr>
      </w:pPr>
      <w:r>
        <w:rPr>
          <w:rFonts w:ascii="宋体"/>
          <w:color w:val="auto"/>
          <w:kern w:val="0"/>
          <w:sz w:val="24"/>
          <w:szCs w:val="24"/>
          <w:highlight w:val="none"/>
        </w:rPr>
        <w:tab/>
      </w:r>
      <w:r>
        <w:rPr>
          <w:rFonts w:hint="eastAsia" w:ascii="宋体"/>
          <w:color w:val="auto"/>
          <w:sz w:val="24"/>
          <w:szCs w:val="24"/>
          <w:highlight w:val="none"/>
        </w:rPr>
        <w:t>为了便于操作人员的监视，在</w:t>
      </w:r>
      <w:r>
        <w:rPr>
          <w:rFonts w:ascii="宋体"/>
          <w:color w:val="auto"/>
          <w:sz w:val="24"/>
          <w:szCs w:val="24"/>
          <w:highlight w:val="none"/>
        </w:rPr>
        <w:t>LCD</w:t>
      </w:r>
      <w:r>
        <w:rPr>
          <w:rFonts w:hint="eastAsia" w:ascii="宋体"/>
          <w:color w:val="auto"/>
          <w:sz w:val="24"/>
          <w:szCs w:val="24"/>
          <w:highlight w:val="none"/>
        </w:rPr>
        <w:t>屏幕上必须设有同期表的软画面。</w:t>
      </w:r>
    </w:p>
    <w:p w14:paraId="057C131A">
      <w:pPr>
        <w:spacing w:line="360" w:lineRule="auto"/>
        <w:rPr>
          <w:rFonts w:ascii="宋体"/>
          <w:color w:val="auto"/>
          <w:kern w:val="0"/>
          <w:sz w:val="24"/>
          <w:szCs w:val="24"/>
          <w:highlight w:val="none"/>
        </w:rPr>
      </w:pPr>
      <w:r>
        <w:rPr>
          <w:rFonts w:ascii="宋体"/>
          <w:color w:val="auto"/>
          <w:sz w:val="24"/>
          <w:szCs w:val="24"/>
          <w:highlight w:val="none"/>
        </w:rPr>
        <w:tab/>
      </w:r>
      <w:r>
        <w:rPr>
          <w:rFonts w:hint="eastAsia" w:ascii="宋体"/>
          <w:color w:val="auto"/>
          <w:sz w:val="24"/>
          <w:szCs w:val="24"/>
          <w:highlight w:val="none"/>
        </w:rPr>
        <w:t>主要技术条件如下：</w:t>
      </w:r>
    </w:p>
    <w:p w14:paraId="3A3B40D0">
      <w:pPr>
        <w:pStyle w:val="55"/>
        <w:numPr>
          <w:ilvl w:val="0"/>
          <w:numId w:val="32"/>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断路器合闸时间</w:t>
      </w:r>
      <w:r>
        <w:rPr>
          <w:rFonts w:ascii="宋体"/>
          <w:color w:val="auto"/>
          <w:sz w:val="24"/>
          <w:szCs w:val="24"/>
          <w:highlight w:val="none"/>
        </w:rPr>
        <w:t>(</w:t>
      </w:r>
      <w:r>
        <w:rPr>
          <w:rFonts w:hint="eastAsia" w:ascii="宋体"/>
          <w:color w:val="auto"/>
          <w:sz w:val="24"/>
          <w:szCs w:val="24"/>
          <w:highlight w:val="none"/>
        </w:rPr>
        <w:t>毫秒</w:t>
      </w:r>
      <w:r>
        <w:rPr>
          <w:rFonts w:ascii="宋体"/>
          <w:color w:val="auto"/>
          <w:sz w:val="24"/>
          <w:szCs w:val="24"/>
          <w:highlight w:val="none"/>
        </w:rPr>
        <w:t>)</w:t>
      </w:r>
      <w:r>
        <w:rPr>
          <w:rFonts w:hint="eastAsia" w:ascii="宋体"/>
          <w:color w:val="auto"/>
          <w:sz w:val="24"/>
          <w:szCs w:val="24"/>
          <w:highlight w:val="none"/>
        </w:rPr>
        <w:t>整定范围为</w:t>
      </w:r>
      <w:r>
        <w:rPr>
          <w:rFonts w:ascii="宋体"/>
          <w:color w:val="auto"/>
          <w:sz w:val="24"/>
          <w:szCs w:val="24"/>
          <w:highlight w:val="none"/>
        </w:rPr>
        <w:t>20</w:t>
      </w:r>
      <w:r>
        <w:rPr>
          <w:rFonts w:hint="eastAsia" w:ascii="宋体"/>
          <w:color w:val="auto"/>
          <w:sz w:val="24"/>
          <w:szCs w:val="24"/>
          <w:highlight w:val="none"/>
        </w:rPr>
        <w:t>～</w:t>
      </w:r>
      <w:r>
        <w:rPr>
          <w:rFonts w:ascii="宋体"/>
          <w:color w:val="auto"/>
          <w:sz w:val="24"/>
          <w:szCs w:val="24"/>
          <w:highlight w:val="none"/>
        </w:rPr>
        <w:t>999</w:t>
      </w:r>
      <w:r>
        <w:rPr>
          <w:rFonts w:hint="eastAsia" w:ascii="宋体"/>
          <w:color w:val="auto"/>
          <w:sz w:val="24"/>
          <w:szCs w:val="24"/>
          <w:highlight w:val="none"/>
        </w:rPr>
        <w:t>毫秒</w:t>
      </w:r>
    </w:p>
    <w:p w14:paraId="66B26D53">
      <w:pPr>
        <w:pStyle w:val="55"/>
        <w:numPr>
          <w:ilvl w:val="0"/>
          <w:numId w:val="32"/>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合闸的允许频差</w:t>
      </w:r>
      <w:r>
        <w:rPr>
          <w:rFonts w:ascii="宋体"/>
          <w:color w:val="auto"/>
          <w:sz w:val="24"/>
          <w:szCs w:val="24"/>
          <w:highlight w:val="none"/>
        </w:rPr>
        <w:t>(</w:t>
      </w:r>
      <w:r>
        <w:rPr>
          <w:rFonts w:hint="eastAsia" w:ascii="宋体"/>
          <w:color w:val="auto"/>
          <w:sz w:val="24"/>
          <w:szCs w:val="24"/>
          <w:highlight w:val="none"/>
        </w:rPr>
        <w:t>赫</w:t>
      </w:r>
      <w:r>
        <w:rPr>
          <w:rFonts w:ascii="宋体"/>
          <w:color w:val="auto"/>
          <w:sz w:val="24"/>
          <w:szCs w:val="24"/>
          <w:highlight w:val="none"/>
        </w:rPr>
        <w:t>)</w:t>
      </w:r>
      <w:r>
        <w:rPr>
          <w:rFonts w:hint="eastAsia" w:ascii="宋体"/>
          <w:color w:val="auto"/>
          <w:sz w:val="24"/>
          <w:szCs w:val="24"/>
          <w:highlight w:val="none"/>
        </w:rPr>
        <w:t>整定范围为</w:t>
      </w:r>
      <w:r>
        <w:rPr>
          <w:rFonts w:ascii="宋体"/>
          <w:color w:val="auto"/>
          <w:sz w:val="24"/>
          <w:szCs w:val="24"/>
          <w:highlight w:val="none"/>
        </w:rPr>
        <w:t>0.05</w:t>
      </w:r>
      <w:r>
        <w:rPr>
          <w:rFonts w:hint="eastAsia" w:ascii="宋体"/>
          <w:color w:val="auto"/>
          <w:sz w:val="24"/>
          <w:szCs w:val="24"/>
          <w:highlight w:val="none"/>
        </w:rPr>
        <w:t>～</w:t>
      </w:r>
      <w:r>
        <w:rPr>
          <w:rFonts w:ascii="宋体"/>
          <w:color w:val="auto"/>
          <w:sz w:val="24"/>
          <w:szCs w:val="24"/>
          <w:highlight w:val="none"/>
        </w:rPr>
        <w:t>0.5</w:t>
      </w:r>
      <w:r>
        <w:rPr>
          <w:rFonts w:hint="eastAsia" w:ascii="宋体"/>
          <w:color w:val="auto"/>
          <w:sz w:val="24"/>
          <w:szCs w:val="24"/>
          <w:highlight w:val="none"/>
        </w:rPr>
        <w:t>赫</w:t>
      </w:r>
    </w:p>
    <w:p w14:paraId="1DAF55B9">
      <w:pPr>
        <w:pStyle w:val="55"/>
        <w:numPr>
          <w:ilvl w:val="0"/>
          <w:numId w:val="32"/>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合闸时的允许电压差</w:t>
      </w:r>
      <w:r>
        <w:rPr>
          <w:rFonts w:ascii="宋体"/>
          <w:color w:val="auto"/>
          <w:sz w:val="24"/>
          <w:szCs w:val="24"/>
          <w:highlight w:val="none"/>
        </w:rPr>
        <w:t>(Ve%)</w:t>
      </w:r>
      <w:r>
        <w:rPr>
          <w:rFonts w:hint="eastAsia" w:ascii="宋体"/>
          <w:color w:val="auto"/>
          <w:sz w:val="24"/>
          <w:szCs w:val="24"/>
          <w:highlight w:val="none"/>
        </w:rPr>
        <w:t>整定范围为1</w:t>
      </w:r>
      <w:r>
        <w:rPr>
          <w:rFonts w:ascii="宋体"/>
          <w:color w:val="auto"/>
          <w:sz w:val="24"/>
          <w:szCs w:val="24"/>
          <w:highlight w:val="none"/>
        </w:rPr>
        <w:t>%</w:t>
      </w:r>
      <w:r>
        <w:rPr>
          <w:rFonts w:hint="eastAsia" w:ascii="宋体"/>
          <w:color w:val="auto"/>
          <w:sz w:val="24"/>
          <w:szCs w:val="24"/>
          <w:highlight w:val="none"/>
        </w:rPr>
        <w:t>～</w:t>
      </w:r>
      <w:r>
        <w:rPr>
          <w:rFonts w:ascii="宋体"/>
          <w:color w:val="auto"/>
          <w:sz w:val="24"/>
          <w:szCs w:val="24"/>
          <w:highlight w:val="none"/>
        </w:rPr>
        <w:t>30%</w:t>
      </w:r>
    </w:p>
    <w:p w14:paraId="2C2602CF">
      <w:pPr>
        <w:pStyle w:val="55"/>
        <w:numPr>
          <w:ilvl w:val="0"/>
          <w:numId w:val="32"/>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允许功角</w:t>
      </w:r>
      <w:r>
        <w:rPr>
          <w:rFonts w:ascii="宋体"/>
          <w:color w:val="auto"/>
          <w:sz w:val="24"/>
          <w:szCs w:val="24"/>
          <w:highlight w:val="none"/>
        </w:rPr>
        <w:t>(</w:t>
      </w:r>
      <w:r>
        <w:rPr>
          <w:rFonts w:hint="eastAsia" w:ascii="宋体"/>
          <w:color w:val="auto"/>
          <w:sz w:val="24"/>
          <w:szCs w:val="24"/>
          <w:highlight w:val="none"/>
        </w:rPr>
        <w:t>度</w:t>
      </w:r>
      <w:r>
        <w:rPr>
          <w:rFonts w:ascii="宋体"/>
          <w:color w:val="auto"/>
          <w:sz w:val="24"/>
          <w:szCs w:val="24"/>
          <w:highlight w:val="none"/>
        </w:rPr>
        <w:t>)</w:t>
      </w:r>
      <w:r>
        <w:rPr>
          <w:rFonts w:hint="eastAsia" w:ascii="宋体"/>
          <w:color w:val="auto"/>
          <w:sz w:val="24"/>
          <w:szCs w:val="24"/>
          <w:highlight w:val="none"/>
        </w:rPr>
        <w:t>整定范围为</w:t>
      </w:r>
      <w:r>
        <w:rPr>
          <w:rFonts w:ascii="宋体"/>
          <w:color w:val="auto"/>
          <w:sz w:val="24"/>
          <w:szCs w:val="24"/>
          <w:highlight w:val="none"/>
        </w:rPr>
        <w:t>0</w:t>
      </w:r>
      <w:r>
        <w:rPr>
          <w:color w:val="auto"/>
          <w:highlight w:val="none"/>
        </w:rPr>
        <w:sym w:font="Symbol" w:char="F0B0"/>
      </w:r>
      <w:r>
        <w:rPr>
          <w:rFonts w:hint="eastAsia" w:ascii="宋体"/>
          <w:color w:val="auto"/>
          <w:sz w:val="24"/>
          <w:szCs w:val="24"/>
          <w:highlight w:val="none"/>
        </w:rPr>
        <w:t>～</w:t>
      </w:r>
      <w:r>
        <w:rPr>
          <w:rFonts w:ascii="宋体"/>
          <w:color w:val="auto"/>
          <w:sz w:val="24"/>
          <w:szCs w:val="24"/>
          <w:highlight w:val="none"/>
        </w:rPr>
        <w:t>50</w:t>
      </w:r>
      <w:r>
        <w:rPr>
          <w:color w:val="auto"/>
          <w:highlight w:val="none"/>
        </w:rPr>
        <w:sym w:font="Symbol" w:char="F0B0"/>
      </w:r>
    </w:p>
    <w:p w14:paraId="205519FB">
      <w:pPr>
        <w:spacing w:line="360" w:lineRule="auto"/>
        <w:rPr>
          <w:rFonts w:ascii="宋体"/>
          <w:color w:val="auto"/>
          <w:sz w:val="24"/>
          <w:szCs w:val="24"/>
          <w:highlight w:val="none"/>
        </w:rPr>
      </w:pPr>
      <w:r>
        <w:rPr>
          <w:rFonts w:hint="eastAsia" w:ascii="宋体"/>
          <w:color w:val="auto"/>
          <w:sz w:val="24"/>
          <w:szCs w:val="24"/>
          <w:highlight w:val="none"/>
        </w:rPr>
        <w:t>3.5.10  断路器和隔离开关防误操作闭锁</w:t>
      </w:r>
    </w:p>
    <w:p w14:paraId="3EB01C0B">
      <w:pPr>
        <w:spacing w:line="360" w:lineRule="auto"/>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操作闭锁的实现原则为：在计算机监控系统内的任何一种操作都应有防误操作闭锁，防误操作闭锁应在间隔级控制层内实现。在站级控制层和间隔级</w:t>
      </w:r>
      <w:r>
        <w:rPr>
          <w:rFonts w:ascii="宋体"/>
          <w:color w:val="auto"/>
          <w:sz w:val="24"/>
          <w:szCs w:val="24"/>
          <w:highlight w:val="none"/>
        </w:rPr>
        <w:t>I/</w:t>
      </w:r>
      <w:r>
        <w:rPr>
          <w:rFonts w:hint="eastAsia" w:ascii="宋体"/>
          <w:color w:val="auto"/>
          <w:sz w:val="24"/>
          <w:szCs w:val="24"/>
          <w:highlight w:val="none"/>
        </w:rPr>
        <w:t>O测控单元应具有软件实现电气防误操作监督的功能，该软件对运行人员的操作步骤进行监测、判断和分析，以确定该操作是否合法、安全。若发生不合法操作，应对该操作进行闭锁、并告警和打印信息。主要的闭锁条件如下</w:t>
      </w:r>
      <w:r>
        <w:rPr>
          <w:rFonts w:ascii="宋体"/>
          <w:color w:val="auto"/>
          <w:sz w:val="24"/>
          <w:szCs w:val="24"/>
          <w:highlight w:val="none"/>
        </w:rPr>
        <w:t>,</w:t>
      </w:r>
      <w:r>
        <w:rPr>
          <w:rFonts w:hint="eastAsia" w:ascii="宋体"/>
          <w:color w:val="auto"/>
          <w:sz w:val="24"/>
          <w:szCs w:val="24"/>
          <w:highlight w:val="none"/>
        </w:rPr>
        <w:t>但不限于此：</w:t>
      </w:r>
    </w:p>
    <w:p w14:paraId="5584869A">
      <w:pPr>
        <w:numPr>
          <w:ilvl w:val="0"/>
          <w:numId w:val="12"/>
        </w:numPr>
        <w:tabs>
          <w:tab w:val="left" w:pos="560"/>
        </w:tabs>
        <w:spacing w:line="360" w:lineRule="auto"/>
        <w:ind w:left="563" w:hanging="3"/>
        <w:rPr>
          <w:rFonts w:ascii="宋体"/>
          <w:color w:val="auto"/>
          <w:kern w:val="0"/>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隔离开关，如果相应的接地开关合上，则不能操作，反之也一样；</w:t>
      </w:r>
    </w:p>
    <w:p w14:paraId="0CCD9C0B">
      <w:pPr>
        <w:numPr>
          <w:ilvl w:val="0"/>
          <w:numId w:val="12"/>
        </w:numPr>
        <w:tabs>
          <w:tab w:val="left" w:pos="560"/>
          <w:tab w:val="left" w:pos="1120"/>
        </w:tabs>
        <w:spacing w:line="360" w:lineRule="auto"/>
        <w:ind w:left="563" w:hanging="3"/>
        <w:rPr>
          <w:rFonts w:ascii="宋体"/>
          <w:color w:val="auto"/>
          <w:sz w:val="24"/>
          <w:szCs w:val="24"/>
          <w:highlight w:val="none"/>
        </w:rPr>
      </w:pPr>
      <w:r>
        <w:rPr>
          <w:rFonts w:hint="eastAsia" w:ascii="宋体"/>
          <w:color w:val="auto"/>
          <w:sz w:val="24"/>
          <w:szCs w:val="24"/>
          <w:highlight w:val="none"/>
        </w:rPr>
        <w:t>如果相应的断路器合上，则隔离开关和接地开关都不能操作。</w:t>
      </w:r>
    </w:p>
    <w:p w14:paraId="3387888A">
      <w:pPr>
        <w:numPr>
          <w:ilvl w:val="0"/>
          <w:numId w:val="12"/>
        </w:numPr>
        <w:tabs>
          <w:tab w:val="left" w:pos="560"/>
          <w:tab w:val="left" w:pos="1120"/>
        </w:tabs>
        <w:spacing w:line="360" w:lineRule="auto"/>
        <w:ind w:left="560" w:firstLine="0"/>
        <w:rPr>
          <w:rFonts w:ascii="宋体"/>
          <w:color w:val="auto"/>
          <w:kern w:val="0"/>
          <w:sz w:val="24"/>
          <w:szCs w:val="24"/>
          <w:highlight w:val="none"/>
        </w:rPr>
      </w:pPr>
      <w:r>
        <w:rPr>
          <w:rFonts w:hint="eastAsia" w:ascii="宋体"/>
          <w:color w:val="auto"/>
          <w:sz w:val="24"/>
          <w:szCs w:val="24"/>
          <w:highlight w:val="none"/>
        </w:rPr>
        <w:t>任何</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母线侧隔离开关，当其该母线侧的接地开关合上，则不能操作，反之也一样。</w:t>
      </w:r>
    </w:p>
    <w:p w14:paraId="0C8C2F42">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如</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线路有电压，则线路接地开关不能合上，判别可采用二种方法：</w:t>
      </w:r>
    </w:p>
    <w:p w14:paraId="4B90601B">
      <w:pPr>
        <w:spacing w:line="360" w:lineRule="auto"/>
        <w:ind w:firstLine="720" w:firstLineChars="300"/>
        <w:rPr>
          <w:rFonts w:ascii="宋体"/>
          <w:color w:val="auto"/>
          <w:sz w:val="24"/>
          <w:szCs w:val="24"/>
          <w:highlight w:val="none"/>
        </w:rPr>
      </w:pPr>
      <w:r>
        <w:rPr>
          <w:rFonts w:hint="eastAsia" w:ascii="宋体"/>
          <w:color w:val="auto"/>
          <w:sz w:val="24"/>
          <w:szCs w:val="24"/>
          <w:highlight w:val="none"/>
        </w:rPr>
        <w:t>a.采用模拟量（电压）作为闭锁条件；</w:t>
      </w:r>
    </w:p>
    <w:p w14:paraId="552EE034">
      <w:pPr>
        <w:spacing w:line="360" w:lineRule="auto"/>
        <w:ind w:firstLine="720" w:firstLineChars="300"/>
        <w:rPr>
          <w:rFonts w:ascii="宋体"/>
          <w:color w:val="auto"/>
          <w:sz w:val="24"/>
          <w:szCs w:val="24"/>
          <w:highlight w:val="none"/>
        </w:rPr>
      </w:pPr>
      <w:r>
        <w:rPr>
          <w:rFonts w:hint="eastAsia" w:ascii="宋体"/>
          <w:color w:val="auto"/>
          <w:sz w:val="24"/>
          <w:szCs w:val="24"/>
          <w:highlight w:val="none"/>
        </w:rPr>
        <w:t>b.采用检无压继电器接点闭锁。具体的闭锁条件由</w:t>
      </w:r>
      <w:r>
        <w:rPr>
          <w:rFonts w:ascii="宋体"/>
          <w:color w:val="auto"/>
          <w:sz w:val="24"/>
          <w:szCs w:val="24"/>
          <w:highlight w:val="none"/>
        </w:rPr>
        <w:t>投标人</w:t>
      </w:r>
      <w:r>
        <w:rPr>
          <w:rFonts w:hint="eastAsia" w:ascii="宋体"/>
          <w:color w:val="auto"/>
          <w:sz w:val="24"/>
          <w:szCs w:val="24"/>
          <w:highlight w:val="none"/>
        </w:rPr>
        <w:t>在第一次设计联络会上提出</w:t>
      </w:r>
      <w:r>
        <w:rPr>
          <w:rFonts w:ascii="宋体"/>
          <w:color w:val="auto"/>
          <w:sz w:val="24"/>
          <w:szCs w:val="24"/>
          <w:highlight w:val="none"/>
        </w:rPr>
        <w:t>,</w:t>
      </w:r>
      <w:r>
        <w:rPr>
          <w:rFonts w:hint="eastAsia" w:ascii="宋体"/>
          <w:color w:val="auto"/>
          <w:sz w:val="24"/>
          <w:szCs w:val="24"/>
          <w:highlight w:val="none"/>
        </w:rPr>
        <w:t>并由</w:t>
      </w:r>
      <w:r>
        <w:rPr>
          <w:rFonts w:ascii="宋体"/>
          <w:color w:val="auto"/>
          <w:sz w:val="24"/>
          <w:szCs w:val="24"/>
          <w:highlight w:val="none"/>
        </w:rPr>
        <w:t>投标人</w:t>
      </w:r>
      <w:r>
        <w:rPr>
          <w:rFonts w:hint="eastAsia" w:ascii="宋体"/>
          <w:color w:val="auto"/>
          <w:sz w:val="24"/>
          <w:szCs w:val="24"/>
          <w:highlight w:val="none"/>
        </w:rPr>
        <w:t>和招标人共同确定。</w:t>
      </w:r>
    </w:p>
    <w:p w14:paraId="2F40A484">
      <w:pPr>
        <w:tabs>
          <w:tab w:val="left" w:pos="855"/>
        </w:tabs>
        <w:spacing w:line="360" w:lineRule="auto"/>
        <w:rPr>
          <w:rFonts w:ascii="宋体"/>
          <w:color w:val="auto"/>
          <w:sz w:val="24"/>
          <w:szCs w:val="24"/>
          <w:highlight w:val="none"/>
        </w:rPr>
      </w:pPr>
      <w:r>
        <w:rPr>
          <w:rFonts w:hint="eastAsia" w:ascii="宋体"/>
          <w:color w:val="auto"/>
          <w:sz w:val="24"/>
          <w:szCs w:val="24"/>
          <w:highlight w:val="none"/>
        </w:rPr>
        <w:t>3.5.11接口继电器的配置</w:t>
      </w:r>
    </w:p>
    <w:p w14:paraId="7B709E0D">
      <w:pPr>
        <w:tabs>
          <w:tab w:val="left" w:pos="855"/>
        </w:tabs>
        <w:spacing w:line="360" w:lineRule="auto"/>
        <w:ind w:firstLine="480"/>
        <w:rPr>
          <w:rFonts w:ascii="宋体"/>
          <w:color w:val="auto"/>
          <w:sz w:val="24"/>
          <w:szCs w:val="24"/>
          <w:highlight w:val="none"/>
        </w:rPr>
      </w:pPr>
      <w:r>
        <w:rPr>
          <w:rFonts w:hint="eastAsia" w:ascii="宋体"/>
          <w:color w:val="auto"/>
          <w:sz w:val="24"/>
          <w:szCs w:val="24"/>
          <w:highlight w:val="none"/>
        </w:rPr>
        <w:t>接口继电器用于断路器控制中</w:t>
      </w: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hint="eastAsia" w:ascii="宋体"/>
          <w:color w:val="auto"/>
          <w:sz w:val="24"/>
          <w:szCs w:val="24"/>
          <w:highlight w:val="none"/>
        </w:rPr>
        <w:t>kV</w:t>
      </w:r>
      <w:r>
        <w:rPr>
          <w:rFonts w:hint="eastAsia" w:ascii="宋体"/>
          <w:color w:val="auto"/>
          <w:sz w:val="24"/>
          <w:szCs w:val="24"/>
          <w:highlight w:val="none"/>
        </w:rPr>
        <w:t xml:space="preserve"> 就地控制柜</w:t>
      </w:r>
      <w:r>
        <w:rPr>
          <w:rFonts w:hint="eastAsia" w:ascii="宋体"/>
          <w:color w:val="auto"/>
          <w:sz w:val="24"/>
          <w:szCs w:val="24"/>
          <w:highlight w:val="none"/>
        </w:rPr>
        <w:t>、计算机监控系统之间的硬接线接口。</w:t>
      </w:r>
    </w:p>
    <w:p w14:paraId="42A1F2E0">
      <w:pPr>
        <w:tabs>
          <w:tab w:val="left" w:pos="855"/>
        </w:tabs>
        <w:spacing w:line="360" w:lineRule="auto"/>
        <w:rPr>
          <w:rFonts w:ascii="宋体"/>
          <w:color w:val="auto"/>
          <w:sz w:val="24"/>
          <w:szCs w:val="24"/>
          <w:highlight w:val="none"/>
        </w:rPr>
      </w:pPr>
      <w:r>
        <w:rPr>
          <w:rFonts w:hint="eastAsia" w:ascii="宋体"/>
          <w:color w:val="auto"/>
          <w:sz w:val="24"/>
          <w:szCs w:val="24"/>
          <w:highlight w:val="none"/>
        </w:rPr>
        <w:t>3.5.12时钟同步</w:t>
      </w:r>
    </w:p>
    <w:p w14:paraId="23EBAC9C">
      <w:pPr>
        <w:spacing w:line="360" w:lineRule="auto"/>
        <w:rPr>
          <w:rFonts w:ascii="宋体"/>
          <w:color w:val="auto"/>
          <w:sz w:val="24"/>
          <w:szCs w:val="24"/>
          <w:highlight w:val="none"/>
        </w:rPr>
      </w:pPr>
      <w:r>
        <w:rPr>
          <w:rFonts w:ascii="宋体"/>
          <w:color w:val="auto"/>
          <w:kern w:val="0"/>
          <w:sz w:val="24"/>
          <w:szCs w:val="24"/>
          <w:highlight w:val="none"/>
        </w:rPr>
        <w:tab/>
      </w:r>
      <w:r>
        <w:rPr>
          <w:rFonts w:hint="eastAsia" w:ascii="宋体"/>
          <w:color w:val="auto"/>
          <w:sz w:val="24"/>
          <w:szCs w:val="24"/>
          <w:highlight w:val="none"/>
        </w:rPr>
        <w:t>主计算机各工作站及</w:t>
      </w:r>
      <w:r>
        <w:rPr>
          <w:rFonts w:ascii="宋体"/>
          <w:color w:val="auto"/>
          <w:sz w:val="24"/>
          <w:szCs w:val="24"/>
          <w:highlight w:val="none"/>
        </w:rPr>
        <w:t>I/</w:t>
      </w:r>
      <w:r>
        <w:rPr>
          <w:rFonts w:hint="eastAsia" w:ascii="宋体"/>
          <w:color w:val="auto"/>
          <w:sz w:val="24"/>
          <w:szCs w:val="24"/>
          <w:highlight w:val="none"/>
        </w:rPr>
        <w:t>O测控单元接受</w:t>
      </w:r>
      <w:r>
        <w:rPr>
          <w:rFonts w:hint="eastAsia" w:ascii="宋体"/>
          <w:color w:val="auto"/>
          <w:sz w:val="24"/>
          <w:szCs w:val="24"/>
          <w:highlight w:val="none"/>
        </w:rPr>
        <w:t>北斗标</w:t>
      </w:r>
      <w:r>
        <w:rPr>
          <w:rFonts w:hint="eastAsia" w:ascii="宋体"/>
          <w:color w:val="auto"/>
          <w:sz w:val="24"/>
          <w:szCs w:val="24"/>
          <w:highlight w:val="none"/>
        </w:rPr>
        <w:t>准授时信号，保证与时钟同步系统同步。计算机监控系统的设备与同步时钟系统标准时钟间的误差小于1</w:t>
      </w:r>
      <w:r>
        <w:rPr>
          <w:rFonts w:ascii="宋体"/>
          <w:color w:val="auto"/>
          <w:sz w:val="24"/>
          <w:szCs w:val="24"/>
          <w:highlight w:val="none"/>
        </w:rPr>
        <w:t>ms</w:t>
      </w:r>
      <w:r>
        <w:rPr>
          <w:rFonts w:hint="eastAsia" w:ascii="宋体"/>
          <w:color w:val="auto"/>
          <w:sz w:val="24"/>
          <w:szCs w:val="24"/>
          <w:highlight w:val="none"/>
        </w:rPr>
        <w:t>，当时钟失去同步时，应自动告警并记录事件。优先采用IRIG-B（DC，485）对时；主机、远动通信装置原则采用SNTP网络对时。</w:t>
      </w:r>
    </w:p>
    <w:p w14:paraId="1C6E889E">
      <w:pPr>
        <w:spacing w:line="360" w:lineRule="auto"/>
        <w:rPr>
          <w:rFonts w:ascii="宋体"/>
          <w:color w:val="auto"/>
          <w:sz w:val="24"/>
          <w:szCs w:val="24"/>
          <w:highlight w:val="none"/>
        </w:rPr>
      </w:pPr>
      <w:r>
        <w:rPr>
          <w:rFonts w:hint="eastAsia" w:ascii="宋体"/>
          <w:color w:val="auto"/>
          <w:sz w:val="24"/>
          <w:szCs w:val="24"/>
          <w:highlight w:val="none"/>
        </w:rPr>
        <w:t>3.5.13与线路保护、系统信息保护管理子站、电能量计费系统、直流系统的数字接口。</w:t>
      </w:r>
    </w:p>
    <w:p w14:paraId="469089CC">
      <w:pPr>
        <w:spacing w:line="360" w:lineRule="auto"/>
        <w:ind w:firstLine="360" w:firstLineChars="150"/>
        <w:rPr>
          <w:rFonts w:ascii="宋体"/>
          <w:color w:val="auto"/>
          <w:sz w:val="24"/>
          <w:szCs w:val="24"/>
          <w:highlight w:val="none"/>
        </w:rPr>
      </w:pPr>
      <w:r>
        <w:rPr>
          <w:rFonts w:hint="eastAsia" w:ascii="宋体"/>
          <w:color w:val="auto"/>
          <w:sz w:val="24"/>
          <w:szCs w:val="24"/>
          <w:highlight w:val="none"/>
        </w:rPr>
        <w:tab/>
      </w:r>
      <w:r>
        <w:rPr>
          <w:rFonts w:hint="eastAsia" w:ascii="宋体"/>
          <w:color w:val="auto"/>
          <w:sz w:val="24"/>
          <w:szCs w:val="24"/>
          <w:highlight w:val="none"/>
        </w:rPr>
        <w:t>线路保护其动作信号除了用硬接线送I/O测控单元外，其软报文信息经保护信息管理子站上送至监控系统站控层。</w:t>
      </w:r>
    </w:p>
    <w:p w14:paraId="36786ACE">
      <w:pPr>
        <w:spacing w:line="360" w:lineRule="auto"/>
        <w:rPr>
          <w:rFonts w:ascii="宋体"/>
          <w:color w:val="auto"/>
          <w:kern w:val="0"/>
          <w:sz w:val="24"/>
          <w:szCs w:val="24"/>
          <w:highlight w:val="none"/>
        </w:rPr>
      </w:pPr>
      <w:r>
        <w:rPr>
          <w:rFonts w:hint="eastAsia" w:ascii="宋体"/>
          <w:color w:val="auto"/>
          <w:kern w:val="0"/>
          <w:sz w:val="24"/>
          <w:szCs w:val="24"/>
          <w:highlight w:val="none"/>
        </w:rPr>
        <w:tab/>
      </w:r>
      <w:r>
        <w:rPr>
          <w:rFonts w:hint="eastAsia" w:ascii="宋体"/>
          <w:color w:val="auto"/>
          <w:sz w:val="24"/>
          <w:szCs w:val="24"/>
          <w:highlight w:val="none"/>
        </w:rPr>
        <w:t>招标人提供的系统信息保护管理子站、电能量计费系统、 直流系统的串行接口均接入信息管理机，将系统信息保护管理子站、电量数据和直流系统参数传入站内计算机监控系统。</w:t>
      </w:r>
    </w:p>
    <w:p w14:paraId="719A4058">
      <w:pPr>
        <w:spacing w:line="360" w:lineRule="auto"/>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投标人应提供与该信息管理机连接的接口的硬件设备和电缆。投标人在投标书中应列出所提供的设备能适配的各种通信规约，如果通信规约不能适配则投标人需进行相关的规约开发。</w:t>
      </w:r>
    </w:p>
    <w:p w14:paraId="76A84000">
      <w:pPr>
        <w:spacing w:line="360" w:lineRule="auto"/>
        <w:rPr>
          <w:rFonts w:ascii="宋体"/>
          <w:color w:val="auto"/>
          <w:sz w:val="24"/>
          <w:szCs w:val="24"/>
          <w:highlight w:val="none"/>
        </w:rPr>
      </w:pPr>
      <w:r>
        <w:rPr>
          <w:rFonts w:hint="eastAsia" w:ascii="宋体"/>
          <w:color w:val="auto"/>
          <w:sz w:val="24"/>
          <w:szCs w:val="24"/>
          <w:highlight w:val="none"/>
        </w:rPr>
        <w:t>3.5.14远动通信装置的功能要求</w:t>
      </w:r>
    </w:p>
    <w:p w14:paraId="5B9EEFCD">
      <w:pPr>
        <w:numPr>
          <w:ilvl w:val="0"/>
          <w:numId w:val="33"/>
        </w:numPr>
        <w:spacing w:line="360" w:lineRule="auto"/>
        <w:ind w:left="0" w:firstLine="566" w:firstLineChars="236"/>
        <w:rPr>
          <w:color w:val="auto"/>
          <w:spacing w:val="10"/>
          <w:sz w:val="24"/>
          <w:szCs w:val="24"/>
          <w:highlight w:val="none"/>
        </w:rPr>
      </w:pPr>
      <w:r>
        <w:rPr>
          <w:rFonts w:hint="eastAsia" w:ascii="宋体"/>
          <w:color w:val="auto"/>
          <w:sz w:val="24"/>
          <w:szCs w:val="24"/>
          <w:highlight w:val="none"/>
        </w:rPr>
        <w:t>应采用专用装置，配置两台同时在线工作的远动通信装置与站级控制层的以太网相连，采集间隔层I/O单元的数据。</w:t>
      </w:r>
    </w:p>
    <w:p w14:paraId="309B2980">
      <w:pPr>
        <w:numPr>
          <w:ilvl w:val="0"/>
          <w:numId w:val="33"/>
        </w:numPr>
        <w:spacing w:line="360" w:lineRule="auto"/>
        <w:ind w:left="0" w:firstLine="566" w:firstLineChars="236"/>
        <w:rPr>
          <w:color w:val="auto"/>
          <w:spacing w:val="10"/>
          <w:sz w:val="24"/>
          <w:szCs w:val="24"/>
          <w:highlight w:val="none"/>
        </w:rPr>
      </w:pPr>
      <w:r>
        <w:rPr>
          <w:rFonts w:hint="eastAsia" w:ascii="宋体"/>
          <w:color w:val="auto"/>
          <w:sz w:val="24"/>
          <w:szCs w:val="24"/>
          <w:highlight w:val="none"/>
        </w:rPr>
        <w:t>经远动通信装置，与远方的调度中心</w:t>
      </w:r>
      <w:r>
        <w:rPr>
          <w:rFonts w:ascii="宋体"/>
          <w:color w:val="auto"/>
          <w:sz w:val="24"/>
          <w:szCs w:val="24"/>
          <w:highlight w:val="none"/>
        </w:rPr>
        <w:t>EMS</w:t>
      </w:r>
      <w:r>
        <w:rPr>
          <w:rFonts w:hint="eastAsia" w:ascii="宋体"/>
          <w:color w:val="auto"/>
          <w:sz w:val="24"/>
          <w:szCs w:val="24"/>
          <w:highlight w:val="none"/>
        </w:rPr>
        <w:t>系统通信，采用</w:t>
      </w:r>
      <w:r>
        <w:rPr>
          <w:rFonts w:ascii="宋体"/>
          <w:color w:val="auto"/>
          <w:sz w:val="24"/>
          <w:szCs w:val="24"/>
          <w:highlight w:val="none"/>
        </w:rPr>
        <w:t>IEC870-5</w:t>
      </w:r>
      <w:r>
        <w:rPr>
          <w:rFonts w:hint="eastAsia" w:ascii="宋体"/>
          <w:color w:val="auto"/>
          <w:sz w:val="24"/>
          <w:szCs w:val="24"/>
          <w:highlight w:val="none"/>
        </w:rPr>
        <w:t>-104和</w:t>
      </w:r>
      <w:r>
        <w:rPr>
          <w:rFonts w:ascii="宋体"/>
          <w:color w:val="auto"/>
          <w:sz w:val="24"/>
          <w:szCs w:val="24"/>
          <w:highlight w:val="none"/>
        </w:rPr>
        <w:t>IEC870-5</w:t>
      </w:r>
      <w:r>
        <w:rPr>
          <w:rFonts w:hint="eastAsia" w:ascii="宋体"/>
          <w:color w:val="auto"/>
          <w:sz w:val="24"/>
          <w:szCs w:val="24"/>
          <w:highlight w:val="none"/>
        </w:rPr>
        <w:t>-101国际标准通信规约分别与</w:t>
      </w:r>
      <w:r>
        <w:rPr>
          <w:rFonts w:hint="eastAsia" w:ascii="宋体"/>
          <w:color w:val="auto"/>
          <w:sz w:val="24"/>
          <w:szCs w:val="24"/>
          <w:highlight w:val="none"/>
          <w:lang w:val="en-US" w:eastAsia="zh-CN"/>
        </w:rPr>
        <w:t>西北</w:t>
      </w:r>
      <w:r>
        <w:rPr>
          <w:rFonts w:hint="eastAsia" w:ascii="宋体"/>
          <w:color w:val="auto"/>
          <w:sz w:val="24"/>
          <w:szCs w:val="24"/>
          <w:highlight w:val="none"/>
          <w:u w:val="single"/>
        </w:rPr>
        <w:t>网调</w:t>
      </w:r>
      <w:r>
        <w:rPr>
          <w:rFonts w:hint="eastAsia" w:ascii="宋体"/>
          <w:color w:val="auto"/>
          <w:sz w:val="24"/>
          <w:szCs w:val="24"/>
          <w:highlight w:val="none"/>
        </w:rPr>
        <w:t>和</w:t>
      </w:r>
      <w:r>
        <w:rPr>
          <w:rFonts w:hint="eastAsia" w:ascii="宋体"/>
          <w:color w:val="auto"/>
          <w:sz w:val="24"/>
          <w:szCs w:val="24"/>
          <w:highlight w:val="none"/>
          <w:u w:val="single"/>
          <w:lang w:val="en-US" w:eastAsia="zh-CN"/>
        </w:rPr>
        <w:t>甘肃</w:t>
      </w:r>
      <w:r>
        <w:rPr>
          <w:rFonts w:hint="eastAsia" w:ascii="宋体"/>
          <w:color w:val="auto"/>
          <w:sz w:val="24"/>
          <w:szCs w:val="24"/>
          <w:highlight w:val="none"/>
          <w:u w:val="single"/>
        </w:rPr>
        <w:t>省调</w:t>
      </w:r>
      <w:r>
        <w:rPr>
          <w:rFonts w:hint="eastAsia" w:ascii="宋体"/>
          <w:color w:val="auto"/>
          <w:sz w:val="24"/>
          <w:szCs w:val="24"/>
          <w:highlight w:val="none"/>
        </w:rPr>
        <w:t>的EMS通信。</w:t>
      </w:r>
    </w:p>
    <w:p w14:paraId="19A0D15E">
      <w:pPr>
        <w:numPr>
          <w:ilvl w:val="0"/>
          <w:numId w:val="33"/>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为简化设备配置，提高可靠性，两台远动通信装置可同时完成与调度中心的网络通信功能。</w:t>
      </w:r>
    </w:p>
    <w:p w14:paraId="3F1F345D">
      <w:pPr>
        <w:numPr>
          <w:ilvl w:val="0"/>
          <w:numId w:val="33"/>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能正确接收、处理、执行一个调度中心的遥控、遥调命令。</w:t>
      </w:r>
    </w:p>
    <w:p w14:paraId="3C789CD5">
      <w:pPr>
        <w:numPr>
          <w:ilvl w:val="0"/>
          <w:numId w:val="33"/>
        </w:numPr>
        <w:spacing w:line="360" w:lineRule="auto"/>
        <w:ind w:left="0" w:firstLine="566" w:firstLineChars="236"/>
        <w:rPr>
          <w:color w:val="auto"/>
          <w:spacing w:val="10"/>
          <w:sz w:val="24"/>
          <w:szCs w:val="24"/>
          <w:highlight w:val="none"/>
        </w:rPr>
      </w:pPr>
      <w:r>
        <w:rPr>
          <w:rFonts w:hint="eastAsia" w:ascii="宋体"/>
          <w:color w:val="auto"/>
          <w:sz w:val="24"/>
          <w:szCs w:val="24"/>
          <w:highlight w:val="none"/>
        </w:rPr>
        <w:t>能就地或远方</w:t>
      </w:r>
      <w:r>
        <w:rPr>
          <w:rFonts w:ascii="宋体"/>
          <w:color w:val="auto"/>
          <w:sz w:val="24"/>
          <w:szCs w:val="24"/>
          <w:highlight w:val="none"/>
        </w:rPr>
        <w:t>(</w:t>
      </w:r>
      <w:r>
        <w:rPr>
          <w:rFonts w:hint="eastAsia" w:ascii="宋体"/>
          <w:color w:val="auto"/>
          <w:sz w:val="24"/>
          <w:szCs w:val="24"/>
          <w:highlight w:val="none"/>
        </w:rPr>
        <w:t>通过拔号</w:t>
      </w:r>
      <w:r>
        <w:rPr>
          <w:rFonts w:ascii="宋体"/>
          <w:color w:val="auto"/>
          <w:sz w:val="24"/>
          <w:szCs w:val="24"/>
          <w:highlight w:val="none"/>
        </w:rPr>
        <w:t>MODEM</w:t>
      </w:r>
      <w:r>
        <w:rPr>
          <w:rFonts w:hint="eastAsia" w:ascii="宋体"/>
          <w:color w:val="auto"/>
          <w:sz w:val="24"/>
          <w:szCs w:val="24"/>
          <w:highlight w:val="none"/>
        </w:rPr>
        <w:t>)进行数据库查询、软件组态、参数修改等维护。</w:t>
      </w:r>
    </w:p>
    <w:p w14:paraId="1107CB3C">
      <w:pPr>
        <w:numPr>
          <w:ilvl w:val="0"/>
          <w:numId w:val="33"/>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远动通信装置应采用模块化、无硬盘及无风扇结构工的业级专用控制机，且有高可靠性、高抗干扰和稳定性的特点，电磁兼容应满足标书要求。</w:t>
      </w:r>
    </w:p>
    <w:p w14:paraId="56BE163B">
      <w:pPr>
        <w:numPr>
          <w:ilvl w:val="0"/>
          <w:numId w:val="33"/>
        </w:numPr>
        <w:spacing w:line="360" w:lineRule="auto"/>
        <w:ind w:left="0" w:firstLine="566" w:firstLineChars="236"/>
        <w:rPr>
          <w:rFonts w:ascii="宋体"/>
          <w:color w:val="auto"/>
          <w:sz w:val="24"/>
          <w:szCs w:val="24"/>
          <w:highlight w:val="none"/>
        </w:rPr>
      </w:pPr>
      <w:r>
        <w:rPr>
          <w:rFonts w:hint="eastAsia" w:ascii="宋体"/>
          <w:color w:val="auto"/>
          <w:sz w:val="24"/>
          <w:szCs w:val="24"/>
          <w:highlight w:val="none"/>
        </w:rPr>
        <w:t>远动通信装置由两路110V直流电源供电。</w:t>
      </w:r>
    </w:p>
    <w:p w14:paraId="408627C9">
      <w:pPr>
        <w:numPr>
          <w:ilvl w:val="0"/>
          <w:numId w:val="33"/>
        </w:numPr>
        <w:spacing w:line="360" w:lineRule="auto"/>
        <w:rPr>
          <w:rFonts w:ascii="宋体"/>
          <w:color w:val="auto"/>
          <w:sz w:val="24"/>
          <w:szCs w:val="24"/>
          <w:highlight w:val="none"/>
        </w:rPr>
      </w:pPr>
      <w:r>
        <w:rPr>
          <w:rFonts w:hint="eastAsia" w:ascii="宋体"/>
          <w:color w:val="auto"/>
          <w:sz w:val="24"/>
          <w:szCs w:val="24"/>
          <w:highlight w:val="none"/>
        </w:rPr>
        <w:t>需要向与远方调度中心交换的实时信息有：</w:t>
      </w:r>
    </w:p>
    <w:p w14:paraId="572E6C26">
      <w:pPr>
        <w:pStyle w:val="55"/>
        <w:numPr>
          <w:ilvl w:val="0"/>
          <w:numId w:val="34"/>
        </w:numPr>
        <w:tabs>
          <w:tab w:val="left" w:pos="1632"/>
        </w:tabs>
        <w:spacing w:line="360" w:lineRule="auto"/>
        <w:ind w:firstLineChars="0"/>
        <w:rPr>
          <w:rFonts w:ascii="宋体"/>
          <w:color w:val="auto"/>
          <w:sz w:val="24"/>
          <w:szCs w:val="24"/>
          <w:highlight w:val="none"/>
        </w:rPr>
      </w:pPr>
      <w:r>
        <w:rPr>
          <w:rFonts w:hint="eastAsia" w:ascii="宋体"/>
          <w:color w:val="auto"/>
          <w:sz w:val="24"/>
          <w:szCs w:val="24"/>
          <w:highlight w:val="none"/>
        </w:rPr>
        <w:t>遥测量</w:t>
      </w:r>
    </w:p>
    <w:p w14:paraId="552DB5C0">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发电厂发电总有功功率、总无功功率</w:t>
      </w:r>
    </w:p>
    <w:p w14:paraId="6F424981">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全部线路的有功功率、无功功率</w:t>
      </w:r>
    </w:p>
    <w:p w14:paraId="21D9CCA3">
      <w:pPr>
        <w:spacing w:line="360" w:lineRule="auto"/>
        <w:ind w:left="839" w:leftChars="171" w:hanging="360" w:hangingChars="150"/>
        <w:rPr>
          <w:rFonts w:ascii="宋体"/>
          <w:color w:val="auto"/>
          <w:kern w:val="0"/>
          <w:sz w:val="24"/>
          <w:szCs w:val="24"/>
          <w:highlight w:val="none"/>
        </w:rPr>
      </w:pPr>
      <w:r>
        <w:rPr>
          <w:rFonts w:ascii="宋体"/>
          <w:color w:val="auto"/>
          <w:kern w:val="0"/>
          <w:sz w:val="24"/>
          <w:szCs w:val="24"/>
          <w:highlight w:val="none"/>
        </w:rPr>
        <w:t>—</w:t>
      </w:r>
      <w:r>
        <w:rPr>
          <w:rFonts w:hint="eastAsia" w:ascii="宋体"/>
          <w:color w:val="auto"/>
          <w:sz w:val="24"/>
          <w:szCs w:val="24"/>
          <w:highlight w:val="none"/>
        </w:rPr>
        <w:t>机组有功功率、无功功率、机端电压</w:t>
      </w:r>
    </w:p>
    <w:p w14:paraId="074E2C8D">
      <w:pPr>
        <w:spacing w:line="360" w:lineRule="auto"/>
        <w:ind w:left="839" w:leftChars="171" w:hanging="360" w:hangingChars="150"/>
        <w:rPr>
          <w:rFonts w:ascii="宋体"/>
          <w:color w:val="auto"/>
          <w:kern w:val="0"/>
          <w:sz w:val="24"/>
          <w:szCs w:val="24"/>
          <w:highlight w:val="none"/>
        </w:rPr>
      </w:pPr>
      <w:r>
        <w:rPr>
          <w:rFonts w:hint="eastAsia" w:ascii="宋体"/>
          <w:color w:val="auto"/>
          <w:kern w:val="0"/>
          <w:sz w:val="24"/>
          <w:szCs w:val="24"/>
          <w:highlight w:val="none"/>
        </w:rPr>
        <w:t>—  各母线电压及频率、各段AVC电压目标返回值</w:t>
      </w:r>
    </w:p>
    <w:p w14:paraId="03C42504">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机组运行上限，下限，容量上限，下限</w:t>
      </w:r>
    </w:p>
    <w:p w14:paraId="4F8D2120">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电厂</w:t>
      </w:r>
      <w:r>
        <w:rPr>
          <w:rFonts w:ascii="宋体"/>
          <w:color w:val="auto"/>
          <w:sz w:val="24"/>
          <w:szCs w:val="24"/>
          <w:highlight w:val="none"/>
        </w:rPr>
        <w:t>AGC</w:t>
      </w:r>
      <w:r>
        <w:rPr>
          <w:rFonts w:hint="eastAsia" w:ascii="宋体"/>
          <w:color w:val="auto"/>
          <w:sz w:val="24"/>
          <w:szCs w:val="24"/>
          <w:highlight w:val="none"/>
        </w:rPr>
        <w:t>设定值（AO）</w:t>
      </w:r>
    </w:p>
    <w:p w14:paraId="63103044">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机组最大持续变化率（</w:t>
      </w:r>
      <w:r>
        <w:rPr>
          <w:rFonts w:ascii="宋体"/>
          <w:color w:val="auto"/>
          <w:sz w:val="24"/>
          <w:szCs w:val="24"/>
          <w:highlight w:val="none"/>
        </w:rPr>
        <w:t>MW/MIN</w:t>
      </w:r>
      <w:r>
        <w:rPr>
          <w:rFonts w:hint="eastAsia" w:ascii="宋体"/>
          <w:color w:val="auto"/>
          <w:sz w:val="24"/>
          <w:szCs w:val="24"/>
          <w:highlight w:val="none"/>
        </w:rPr>
        <w:t>）</w:t>
      </w:r>
    </w:p>
    <w:p w14:paraId="23D920D0">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脱硝装置的效率</w:t>
      </w:r>
    </w:p>
    <w:p w14:paraId="38E91B1E">
      <w:pPr>
        <w:pStyle w:val="55"/>
        <w:numPr>
          <w:ilvl w:val="0"/>
          <w:numId w:val="36"/>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遥信量</w:t>
      </w:r>
    </w:p>
    <w:p w14:paraId="5B392FAC">
      <w:pPr>
        <w:pStyle w:val="55"/>
        <w:numPr>
          <w:ilvl w:val="0"/>
          <w:numId w:val="36"/>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遥测量</w:t>
      </w:r>
    </w:p>
    <w:p w14:paraId="16A72F94">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脱硫装置的效率</w:t>
      </w:r>
    </w:p>
    <w:p w14:paraId="7A122112">
      <w:pPr>
        <w:pStyle w:val="55"/>
        <w:numPr>
          <w:ilvl w:val="0"/>
          <w:numId w:val="37"/>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遥信量</w:t>
      </w:r>
    </w:p>
    <w:p w14:paraId="37E302E2">
      <w:pPr>
        <w:pStyle w:val="55"/>
        <w:numPr>
          <w:ilvl w:val="0"/>
          <w:numId w:val="37"/>
        </w:numPr>
        <w:tabs>
          <w:tab w:val="left" w:pos="1632"/>
        </w:tabs>
        <w:spacing w:line="360" w:lineRule="auto"/>
        <w:ind w:firstLineChars="0"/>
        <w:rPr>
          <w:rFonts w:ascii="宋体"/>
          <w:color w:val="auto"/>
          <w:kern w:val="0"/>
          <w:sz w:val="24"/>
          <w:szCs w:val="24"/>
          <w:highlight w:val="none"/>
        </w:rPr>
      </w:pPr>
      <w:r>
        <w:rPr>
          <w:rFonts w:hint="eastAsia" w:ascii="宋体"/>
          <w:color w:val="auto"/>
          <w:sz w:val="24"/>
          <w:szCs w:val="24"/>
          <w:highlight w:val="none"/>
        </w:rPr>
        <w:t>遥测量</w:t>
      </w:r>
    </w:p>
    <w:p w14:paraId="026363CB">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机组机炉协调状态信号</w:t>
      </w:r>
    </w:p>
    <w:p w14:paraId="1154B8A6">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机组</w:t>
      </w:r>
      <w:r>
        <w:rPr>
          <w:rFonts w:ascii="宋体"/>
          <w:color w:val="auto"/>
          <w:sz w:val="24"/>
          <w:szCs w:val="24"/>
          <w:highlight w:val="none"/>
        </w:rPr>
        <w:t>AGC</w:t>
      </w:r>
      <w:r>
        <w:rPr>
          <w:rFonts w:hint="eastAsia" w:ascii="宋体"/>
          <w:color w:val="auto"/>
          <w:sz w:val="24"/>
          <w:szCs w:val="24"/>
          <w:highlight w:val="none"/>
        </w:rPr>
        <w:t>投入/退出信号</w:t>
      </w:r>
    </w:p>
    <w:p w14:paraId="7ABBABE5">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机组</w:t>
      </w:r>
      <w:r>
        <w:rPr>
          <w:rFonts w:ascii="宋体"/>
          <w:color w:val="auto"/>
          <w:sz w:val="24"/>
          <w:szCs w:val="24"/>
          <w:highlight w:val="none"/>
        </w:rPr>
        <w:t>AGC</w:t>
      </w:r>
      <w:r>
        <w:rPr>
          <w:rFonts w:hint="eastAsia" w:ascii="宋体"/>
          <w:color w:val="auto"/>
          <w:sz w:val="24"/>
          <w:szCs w:val="24"/>
          <w:highlight w:val="none"/>
        </w:rPr>
        <w:t>上限越限告警信号</w:t>
      </w:r>
    </w:p>
    <w:p w14:paraId="5CE587C0">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机组</w:t>
      </w:r>
      <w:r>
        <w:rPr>
          <w:rFonts w:ascii="宋体"/>
          <w:color w:val="auto"/>
          <w:sz w:val="24"/>
          <w:szCs w:val="24"/>
          <w:highlight w:val="none"/>
        </w:rPr>
        <w:t>AGC</w:t>
      </w:r>
      <w:r>
        <w:rPr>
          <w:rFonts w:hint="eastAsia" w:ascii="宋体"/>
          <w:color w:val="auto"/>
          <w:sz w:val="24"/>
          <w:szCs w:val="24"/>
          <w:highlight w:val="none"/>
        </w:rPr>
        <w:t>下限越限告警信号</w:t>
      </w:r>
    </w:p>
    <w:p w14:paraId="4BB8460B">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机组</w:t>
      </w:r>
      <w:r>
        <w:rPr>
          <w:rFonts w:ascii="宋体"/>
          <w:color w:val="auto"/>
          <w:sz w:val="24"/>
          <w:szCs w:val="24"/>
          <w:highlight w:val="none"/>
        </w:rPr>
        <w:t>AGC</w:t>
      </w:r>
      <w:r>
        <w:rPr>
          <w:rFonts w:hint="eastAsia" w:ascii="宋体"/>
          <w:color w:val="auto"/>
          <w:sz w:val="24"/>
          <w:szCs w:val="24"/>
          <w:highlight w:val="none"/>
        </w:rPr>
        <w:t>请求保持信号</w:t>
      </w:r>
    </w:p>
    <w:p w14:paraId="6D5E7EAB">
      <w:pPr>
        <w:numPr>
          <w:ilvl w:val="0"/>
          <w:numId w:val="35"/>
        </w:numPr>
        <w:spacing w:line="360" w:lineRule="auto"/>
        <w:rPr>
          <w:rFonts w:ascii="宋体"/>
          <w:color w:val="auto"/>
          <w:kern w:val="0"/>
          <w:sz w:val="24"/>
          <w:szCs w:val="24"/>
          <w:highlight w:val="none"/>
        </w:rPr>
      </w:pPr>
      <w:bookmarkStart w:id="27" w:name="OLE_LINK1"/>
      <w:r>
        <w:rPr>
          <w:rFonts w:hint="eastAsia" w:ascii="宋体"/>
          <w:color w:val="auto"/>
          <w:sz w:val="24"/>
          <w:szCs w:val="24"/>
          <w:highlight w:val="none"/>
        </w:rPr>
        <w:t>机组的一次调频投入/退出信号</w:t>
      </w:r>
      <w:bookmarkEnd w:id="27"/>
    </w:p>
    <w:p w14:paraId="3EEB4053">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rPr>
        <w:t>机组的AGC可投信号</w:t>
      </w:r>
    </w:p>
    <w:p w14:paraId="58D9E950">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断路器位置信号</w:t>
      </w:r>
    </w:p>
    <w:p w14:paraId="49D5CDE2">
      <w:pPr>
        <w:numPr>
          <w:ilvl w:val="0"/>
          <w:numId w:val="35"/>
        </w:numPr>
        <w:spacing w:line="360" w:lineRule="auto"/>
        <w:rPr>
          <w:rFonts w:ascii="宋体"/>
          <w:color w:val="auto"/>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隔离开关位置信号</w:t>
      </w:r>
    </w:p>
    <w:p w14:paraId="56C776B4">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发变组、母线、线路继电器保护动作信号</w:t>
      </w:r>
      <w:r>
        <w:rPr>
          <w:rFonts w:ascii="宋体"/>
          <w:color w:val="auto"/>
          <w:sz w:val="24"/>
          <w:szCs w:val="24"/>
          <w:highlight w:val="none"/>
        </w:rPr>
        <w:t>(</w:t>
      </w:r>
      <w:r>
        <w:rPr>
          <w:rFonts w:hint="eastAsia" w:ascii="宋体"/>
          <w:color w:val="auto"/>
          <w:sz w:val="24"/>
          <w:szCs w:val="24"/>
          <w:highlight w:val="none"/>
        </w:rPr>
        <w:t>包括重合闸动作</w:t>
      </w:r>
      <w:r>
        <w:rPr>
          <w:rFonts w:ascii="宋体"/>
          <w:color w:val="auto"/>
          <w:sz w:val="24"/>
          <w:szCs w:val="24"/>
          <w:highlight w:val="none"/>
        </w:rPr>
        <w:t>)</w:t>
      </w:r>
    </w:p>
    <w:p w14:paraId="75B958BD">
      <w:pPr>
        <w:numPr>
          <w:ilvl w:val="0"/>
          <w:numId w:val="35"/>
        </w:numPr>
        <w:spacing w:line="360" w:lineRule="auto"/>
        <w:rPr>
          <w:rFonts w:ascii="宋体"/>
          <w:color w:val="auto"/>
          <w:kern w:val="0"/>
          <w:sz w:val="24"/>
          <w:szCs w:val="24"/>
          <w:highlight w:val="none"/>
        </w:rPr>
      </w:pPr>
      <w:r>
        <w:rPr>
          <w:rFonts w:hint="eastAsia" w:ascii="宋体"/>
          <w:color w:val="auto"/>
          <w:sz w:val="24"/>
          <w:szCs w:val="24"/>
          <w:highlight w:val="none"/>
          <w:lang w:val="en-US" w:eastAsia="zh-CN"/>
        </w:rPr>
        <w:t>750</w:t>
      </w:r>
      <w:r>
        <w:rPr>
          <w:rFonts w:hint="eastAsia" w:ascii="宋体"/>
          <w:color w:val="auto"/>
          <w:sz w:val="24"/>
          <w:szCs w:val="24"/>
          <w:highlight w:val="none"/>
        </w:rPr>
        <w:t xml:space="preserve">kV </w:t>
      </w:r>
      <w:r>
        <w:rPr>
          <w:rFonts w:hint="eastAsia" w:ascii="宋体"/>
          <w:color w:val="auto"/>
          <w:sz w:val="24"/>
          <w:szCs w:val="24"/>
          <w:highlight w:val="none"/>
          <w:lang w:eastAsia="zh-CN"/>
        </w:rPr>
        <w:t>、</w:t>
      </w:r>
      <w:r>
        <w:rPr>
          <w:rFonts w:hint="eastAsia" w:ascii="宋体"/>
          <w:color w:val="auto"/>
          <w:sz w:val="24"/>
          <w:szCs w:val="24"/>
          <w:highlight w:val="none"/>
          <w:lang w:val="en-US" w:eastAsia="zh-CN"/>
        </w:rPr>
        <w:t>110</w:t>
      </w:r>
      <w:r>
        <w:rPr>
          <w:rFonts w:ascii="宋体"/>
          <w:color w:val="auto"/>
          <w:sz w:val="24"/>
          <w:szCs w:val="24"/>
          <w:highlight w:val="none"/>
        </w:rPr>
        <w:t>kV</w:t>
      </w:r>
      <w:r>
        <w:rPr>
          <w:rFonts w:hint="eastAsia" w:ascii="宋体"/>
          <w:color w:val="auto"/>
          <w:sz w:val="24"/>
          <w:szCs w:val="24"/>
          <w:highlight w:val="none"/>
        </w:rPr>
        <w:t>断路器重合闸、失灵保护动作信号、遥控、遥调</w:t>
      </w:r>
    </w:p>
    <w:p w14:paraId="05854348">
      <w:pPr>
        <w:numPr>
          <w:ilvl w:val="0"/>
          <w:numId w:val="35"/>
        </w:numPr>
        <w:tabs>
          <w:tab w:val="left" w:pos="420"/>
        </w:tabs>
        <w:spacing w:line="360" w:lineRule="auto"/>
        <w:rPr>
          <w:snapToGrid w:val="0"/>
          <w:color w:val="auto"/>
          <w:sz w:val="24"/>
          <w:szCs w:val="24"/>
          <w:highlight w:val="none"/>
        </w:rPr>
      </w:pPr>
      <w:r>
        <w:rPr>
          <w:rFonts w:hint="eastAsia"/>
          <w:snapToGrid w:val="0"/>
          <w:color w:val="auto"/>
          <w:sz w:val="24"/>
          <w:szCs w:val="24"/>
          <w:highlight w:val="none"/>
        </w:rPr>
        <w:t>AVC子站远方/就地信号</w:t>
      </w:r>
    </w:p>
    <w:p w14:paraId="38D763F4">
      <w:pPr>
        <w:numPr>
          <w:ilvl w:val="0"/>
          <w:numId w:val="35"/>
        </w:numPr>
        <w:tabs>
          <w:tab w:val="left" w:pos="420"/>
        </w:tabs>
        <w:spacing w:line="360" w:lineRule="auto"/>
        <w:rPr>
          <w:snapToGrid w:val="0"/>
          <w:color w:val="auto"/>
          <w:sz w:val="24"/>
          <w:szCs w:val="24"/>
          <w:highlight w:val="none"/>
        </w:rPr>
      </w:pPr>
      <w:r>
        <w:rPr>
          <w:rFonts w:hint="eastAsia"/>
          <w:snapToGrid w:val="0"/>
          <w:color w:val="auto"/>
          <w:sz w:val="24"/>
          <w:szCs w:val="24"/>
          <w:highlight w:val="none"/>
        </w:rPr>
        <w:t>同步时钟系统故障信号</w:t>
      </w:r>
    </w:p>
    <w:p w14:paraId="221219C4">
      <w:pPr>
        <w:numPr>
          <w:ilvl w:val="0"/>
          <w:numId w:val="35"/>
        </w:numPr>
        <w:tabs>
          <w:tab w:val="left" w:pos="420"/>
        </w:tabs>
        <w:spacing w:line="360" w:lineRule="auto"/>
        <w:rPr>
          <w:rFonts w:ascii="宋体"/>
          <w:color w:val="auto"/>
          <w:sz w:val="24"/>
          <w:szCs w:val="24"/>
          <w:highlight w:val="none"/>
        </w:rPr>
      </w:pPr>
      <w:r>
        <w:rPr>
          <w:rFonts w:hint="eastAsia"/>
          <w:snapToGrid w:val="0"/>
          <w:color w:val="auto"/>
          <w:sz w:val="24"/>
          <w:szCs w:val="24"/>
          <w:highlight w:val="none"/>
        </w:rPr>
        <w:t>同步时钟系统天脉冲信号</w:t>
      </w:r>
    </w:p>
    <w:p w14:paraId="60682325">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断路器遥控</w:t>
      </w:r>
    </w:p>
    <w:p w14:paraId="7E1395C9">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全厂有功下发的设定值（通过与SIS接口进行）</w:t>
      </w:r>
    </w:p>
    <w:p w14:paraId="024D887A">
      <w:pPr>
        <w:numPr>
          <w:ilvl w:val="0"/>
          <w:numId w:val="35"/>
        </w:numPr>
        <w:spacing w:line="360" w:lineRule="auto"/>
        <w:rPr>
          <w:rFonts w:ascii="宋体"/>
          <w:color w:val="auto"/>
          <w:sz w:val="24"/>
          <w:szCs w:val="24"/>
          <w:highlight w:val="none"/>
        </w:rPr>
      </w:pPr>
      <w:r>
        <w:rPr>
          <w:rFonts w:hint="eastAsia" w:ascii="宋体"/>
          <w:color w:val="auto"/>
          <w:sz w:val="24"/>
          <w:szCs w:val="24"/>
          <w:highlight w:val="none"/>
        </w:rPr>
        <w:t>各机组AGC设定值（通过与DCS接口进行）</w:t>
      </w:r>
    </w:p>
    <w:p w14:paraId="1B378E7A">
      <w:pPr>
        <w:spacing w:line="360" w:lineRule="auto"/>
        <w:ind w:left="560" w:leftChars="200" w:firstLine="240" w:firstLineChars="100"/>
        <w:rPr>
          <w:rFonts w:ascii="宋体"/>
          <w:color w:val="auto"/>
          <w:sz w:val="24"/>
          <w:szCs w:val="24"/>
          <w:highlight w:val="none"/>
        </w:rPr>
      </w:pPr>
      <w:r>
        <w:rPr>
          <w:rFonts w:hint="eastAsia" w:ascii="宋体"/>
          <w:color w:val="auto"/>
          <w:sz w:val="24"/>
          <w:szCs w:val="24"/>
          <w:highlight w:val="none"/>
        </w:rPr>
        <w:t>可在软件上设定和闭锁控制地点。</w:t>
      </w:r>
    </w:p>
    <w:p w14:paraId="5CCD9A17">
      <w:pPr>
        <w:spacing w:line="360" w:lineRule="auto"/>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对于以上各种信息，用户可自行定义需要的数据集。</w:t>
      </w:r>
    </w:p>
    <w:p w14:paraId="38B3E735">
      <w:pPr>
        <w:spacing w:line="360" w:lineRule="auto"/>
        <w:rPr>
          <w:rFonts w:ascii="宋体"/>
          <w:color w:val="auto"/>
          <w:sz w:val="24"/>
          <w:szCs w:val="24"/>
          <w:highlight w:val="none"/>
        </w:rPr>
      </w:pPr>
      <w:r>
        <w:rPr>
          <w:rFonts w:hint="eastAsia"/>
          <w:color w:val="auto"/>
          <w:kern w:val="0"/>
          <w:sz w:val="24"/>
          <w:szCs w:val="24"/>
          <w:highlight w:val="none"/>
        </w:rPr>
        <w:t>3.5.15</w:t>
      </w:r>
      <w:r>
        <w:rPr>
          <w:rFonts w:hint="eastAsia" w:ascii="宋体"/>
          <w:color w:val="auto"/>
          <w:sz w:val="24"/>
          <w:szCs w:val="24"/>
          <w:highlight w:val="none"/>
        </w:rPr>
        <w:t>维护功能</w:t>
      </w:r>
    </w:p>
    <w:p w14:paraId="04594C6D">
      <w:pPr>
        <w:spacing w:line="360" w:lineRule="auto"/>
        <w:rPr>
          <w:rFonts w:ascii="宋体"/>
          <w:color w:val="auto"/>
          <w:kern w:val="0"/>
          <w:sz w:val="24"/>
          <w:szCs w:val="24"/>
          <w:highlight w:val="none"/>
        </w:rPr>
      </w:pPr>
      <w:r>
        <w:rPr>
          <w:rFonts w:ascii="宋体"/>
          <w:color w:val="auto"/>
          <w:kern w:val="0"/>
          <w:sz w:val="24"/>
          <w:szCs w:val="24"/>
          <w:highlight w:val="none"/>
        </w:rPr>
        <w:tab/>
      </w:r>
      <w:r>
        <w:rPr>
          <w:rFonts w:hint="eastAsia" w:ascii="宋体"/>
          <w:color w:val="auto"/>
          <w:sz w:val="24"/>
          <w:szCs w:val="24"/>
          <w:highlight w:val="none"/>
        </w:rPr>
        <w:t>维护功能指升压站负责管理计算机监控系统的工程师通过主计算机对系统进行的诊断、管理、维护、扩充等工作。</w:t>
      </w:r>
    </w:p>
    <w:p w14:paraId="4ABCF890">
      <w:pPr>
        <w:numPr>
          <w:ilvl w:val="0"/>
          <w:numId w:val="38"/>
        </w:numPr>
        <w:spacing w:line="360" w:lineRule="auto"/>
        <w:rPr>
          <w:rFonts w:ascii="宋体"/>
          <w:color w:val="auto"/>
          <w:sz w:val="24"/>
          <w:szCs w:val="24"/>
          <w:highlight w:val="none"/>
        </w:rPr>
      </w:pPr>
      <w:r>
        <w:rPr>
          <w:rFonts w:hint="eastAsia" w:ascii="宋体"/>
          <w:color w:val="auto"/>
          <w:sz w:val="24"/>
          <w:szCs w:val="24"/>
          <w:highlight w:val="none"/>
        </w:rPr>
        <w:t>功能维护</w:t>
      </w:r>
    </w:p>
    <w:p w14:paraId="0DBFA59C">
      <w:pPr>
        <w:spacing w:line="360" w:lineRule="auto"/>
        <w:ind w:left="567"/>
        <w:rPr>
          <w:color w:val="auto"/>
          <w:spacing w:val="10"/>
          <w:sz w:val="24"/>
          <w:szCs w:val="24"/>
          <w:highlight w:val="none"/>
        </w:rPr>
      </w:pPr>
      <w:r>
        <w:rPr>
          <w:rFonts w:hint="eastAsia" w:ascii="宋体"/>
          <w:color w:val="auto"/>
          <w:sz w:val="24"/>
          <w:szCs w:val="24"/>
          <w:highlight w:val="none"/>
        </w:rPr>
        <w:t>自动控制功能的启动停止，对各种应用功能运行状态的监测。各种报表的生成和显示画面的在线编辑。</w:t>
      </w:r>
    </w:p>
    <w:p w14:paraId="2545BC3B">
      <w:pPr>
        <w:numPr>
          <w:ilvl w:val="0"/>
          <w:numId w:val="38"/>
        </w:numPr>
        <w:spacing w:line="360" w:lineRule="auto"/>
        <w:rPr>
          <w:rFonts w:ascii="宋体"/>
          <w:color w:val="auto"/>
          <w:sz w:val="24"/>
          <w:szCs w:val="24"/>
          <w:highlight w:val="none"/>
        </w:rPr>
      </w:pPr>
      <w:r>
        <w:rPr>
          <w:rFonts w:hint="eastAsia" w:ascii="宋体"/>
          <w:color w:val="auto"/>
          <w:sz w:val="24"/>
          <w:szCs w:val="24"/>
          <w:highlight w:val="none"/>
        </w:rPr>
        <w:t>远方登录服务</w:t>
      </w:r>
    </w:p>
    <w:p w14:paraId="46F45CBA">
      <w:pPr>
        <w:spacing w:line="360" w:lineRule="auto"/>
        <w:ind w:left="567"/>
        <w:rPr>
          <w:color w:val="auto"/>
          <w:spacing w:val="10"/>
          <w:sz w:val="24"/>
          <w:szCs w:val="24"/>
          <w:highlight w:val="none"/>
        </w:rPr>
      </w:pPr>
      <w:r>
        <w:rPr>
          <w:rFonts w:hint="eastAsia" w:ascii="宋体"/>
          <w:color w:val="auto"/>
          <w:sz w:val="24"/>
          <w:szCs w:val="24"/>
          <w:highlight w:val="none"/>
        </w:rPr>
        <w:t>允许远方维护中心工程师授权登录，进行远程故障诊断分析、维护服务。</w:t>
      </w:r>
    </w:p>
    <w:p w14:paraId="23C13608">
      <w:pPr>
        <w:numPr>
          <w:ilvl w:val="0"/>
          <w:numId w:val="38"/>
        </w:numPr>
        <w:spacing w:line="360" w:lineRule="auto"/>
        <w:rPr>
          <w:rFonts w:ascii="宋体"/>
          <w:color w:val="auto"/>
          <w:sz w:val="24"/>
          <w:szCs w:val="24"/>
          <w:highlight w:val="none"/>
        </w:rPr>
      </w:pPr>
      <w:r>
        <w:rPr>
          <w:rFonts w:hint="eastAsia" w:ascii="宋体"/>
          <w:color w:val="auto"/>
          <w:sz w:val="24"/>
          <w:szCs w:val="24"/>
          <w:highlight w:val="none"/>
        </w:rPr>
        <w:t>系统的可维护性</w:t>
      </w:r>
    </w:p>
    <w:p w14:paraId="6F1D973B">
      <w:pPr>
        <w:spacing w:line="360" w:lineRule="auto"/>
        <w:ind w:left="0" w:firstLine="480" w:firstLineChars="200"/>
        <w:rPr>
          <w:rFonts w:ascii="宋体"/>
          <w:color w:val="auto"/>
          <w:sz w:val="24"/>
          <w:szCs w:val="24"/>
          <w:highlight w:val="none"/>
        </w:rPr>
      </w:pPr>
      <w:r>
        <w:rPr>
          <w:rFonts w:hint="eastAsia" w:ascii="宋体"/>
          <w:color w:val="auto"/>
          <w:sz w:val="24"/>
          <w:szCs w:val="24"/>
          <w:highlight w:val="none"/>
        </w:rPr>
        <w:t>系统的硬件，软件设备应便于维护，各部件都应具有自检和联机诊断校对能力。应为工程师提供完善的监测维护手段，包括在线的和离线的，以便准确、快速进行故障定位。一般性故障应能由工程师在现场自行处理，应充分考虑在中国所具有技术支持条件，保证即使发生严重故障也能及时排除。</w:t>
      </w:r>
    </w:p>
    <w:p w14:paraId="0E7C359A">
      <w:pPr>
        <w:spacing w:line="360" w:lineRule="auto"/>
        <w:ind w:left="0" w:firstLine="480" w:firstLineChars="200"/>
        <w:rPr>
          <w:color w:val="auto"/>
          <w:spacing w:val="10"/>
          <w:sz w:val="24"/>
          <w:szCs w:val="24"/>
          <w:highlight w:val="none"/>
        </w:rPr>
      </w:pPr>
      <w:r>
        <w:rPr>
          <w:rFonts w:hint="eastAsia" w:ascii="宋体"/>
          <w:color w:val="auto"/>
          <w:sz w:val="24"/>
          <w:szCs w:val="24"/>
          <w:highlight w:val="none"/>
        </w:rPr>
        <w:t>软件应有备份，便于工程师安装启动。应用程序应易于扩充，数据库应为用户程序留有接口，便于用户自行编制的程序加入系统中运行。</w:t>
      </w:r>
    </w:p>
    <w:p w14:paraId="1FEC68C2">
      <w:pPr>
        <w:numPr>
          <w:ilvl w:val="0"/>
          <w:numId w:val="38"/>
        </w:numPr>
        <w:spacing w:line="360" w:lineRule="auto"/>
        <w:rPr>
          <w:rFonts w:ascii="宋体"/>
          <w:color w:val="auto"/>
          <w:sz w:val="24"/>
          <w:szCs w:val="24"/>
          <w:highlight w:val="none"/>
        </w:rPr>
      </w:pPr>
      <w:r>
        <w:rPr>
          <w:rFonts w:hint="eastAsia" w:ascii="宋体"/>
          <w:color w:val="auto"/>
          <w:sz w:val="24"/>
          <w:szCs w:val="24"/>
          <w:highlight w:val="none"/>
        </w:rPr>
        <w:t>系统的容错能力</w:t>
      </w:r>
    </w:p>
    <w:p w14:paraId="1B1C7EB4">
      <w:pPr>
        <w:spacing w:line="360" w:lineRule="auto"/>
        <w:ind w:left="0" w:firstLine="480" w:firstLineChars="200"/>
        <w:rPr>
          <w:color w:val="auto"/>
          <w:spacing w:val="10"/>
          <w:sz w:val="24"/>
          <w:szCs w:val="24"/>
          <w:highlight w:val="none"/>
        </w:rPr>
      </w:pPr>
      <w:r>
        <w:rPr>
          <w:rFonts w:hint="eastAsia" w:ascii="宋体"/>
          <w:color w:val="auto"/>
          <w:sz w:val="24"/>
          <w:szCs w:val="24"/>
          <w:highlight w:val="none"/>
        </w:rPr>
        <w:t>软、硬件设备应具有良好的容错能力。当各种软、硬件功能与数据采集处理系统的通讯出错时不引起系统的任何功能丧失或影响系统的正常运行。</w:t>
      </w:r>
    </w:p>
    <w:p w14:paraId="0DD3BEEA">
      <w:pPr>
        <w:numPr>
          <w:ilvl w:val="-1"/>
          <w:numId w:val="0"/>
        </w:numPr>
        <w:spacing w:line="360" w:lineRule="auto"/>
        <w:ind w:left="-7" w:firstLine="480" w:firstLineChars="200"/>
        <w:rPr>
          <w:color w:val="auto"/>
          <w:spacing w:val="10"/>
          <w:sz w:val="24"/>
          <w:szCs w:val="24"/>
          <w:highlight w:val="none"/>
        </w:rPr>
      </w:pPr>
      <w:r>
        <w:rPr>
          <w:rFonts w:hint="eastAsia" w:ascii="宋体"/>
          <w:color w:val="auto"/>
          <w:sz w:val="24"/>
          <w:szCs w:val="24"/>
          <w:highlight w:val="none"/>
          <w:lang w:val="en-US" w:eastAsia="zh-CN"/>
        </w:rPr>
        <w:t>5）</w:t>
      </w:r>
      <w:r>
        <w:rPr>
          <w:rFonts w:hint="eastAsia" w:ascii="宋体"/>
          <w:color w:val="auto"/>
          <w:sz w:val="24"/>
          <w:szCs w:val="24"/>
          <w:highlight w:val="none"/>
        </w:rPr>
        <w:t>系统应遵循开放的原则，应选用国际上标准化的、通用化的、成熟的和先进的计算机产品，同时系统应符合中国华东电网的实际情况，使系统具有良好的兼容性和可扩充性。</w:t>
      </w:r>
    </w:p>
    <w:p w14:paraId="637875EF">
      <w:pPr>
        <w:spacing w:line="360" w:lineRule="auto"/>
        <w:rPr>
          <w:rFonts w:ascii="宋体"/>
          <w:color w:val="auto"/>
          <w:sz w:val="24"/>
          <w:szCs w:val="24"/>
          <w:highlight w:val="none"/>
        </w:rPr>
      </w:pPr>
      <w:r>
        <w:rPr>
          <w:rFonts w:hint="eastAsia"/>
          <w:color w:val="auto"/>
          <w:kern w:val="0"/>
          <w:sz w:val="24"/>
          <w:szCs w:val="24"/>
          <w:highlight w:val="none"/>
        </w:rPr>
        <w:t>3.5.16</w:t>
      </w:r>
      <w:r>
        <w:rPr>
          <w:rFonts w:hint="eastAsia" w:ascii="宋体"/>
          <w:color w:val="auto"/>
          <w:sz w:val="24"/>
          <w:szCs w:val="24"/>
          <w:highlight w:val="none"/>
        </w:rPr>
        <w:t>监控系统的自诊断和自恢复</w:t>
      </w:r>
    </w:p>
    <w:p w14:paraId="4CC709D2">
      <w:pPr>
        <w:numPr>
          <w:ilvl w:val="0"/>
          <w:numId w:val="39"/>
        </w:numPr>
        <w:spacing w:line="360" w:lineRule="auto"/>
        <w:rPr>
          <w:color w:val="auto"/>
          <w:spacing w:val="10"/>
          <w:sz w:val="24"/>
          <w:szCs w:val="24"/>
          <w:highlight w:val="none"/>
        </w:rPr>
      </w:pPr>
      <w:r>
        <w:rPr>
          <w:rFonts w:hint="eastAsia" w:ascii="宋体"/>
          <w:color w:val="auto"/>
          <w:sz w:val="24"/>
          <w:szCs w:val="24"/>
          <w:highlight w:val="none"/>
        </w:rPr>
        <w:t>计算机监控系统的两台操作员工作站可并行运行。它们都能独立执行各项功能，但运行人员不能同时进行操作。一台机的障碍不应影响另一台机。一台操作员退出运行时，另一台机仍能执行全部监控功能。</w:t>
      </w:r>
    </w:p>
    <w:p w14:paraId="3948253D">
      <w:pPr>
        <w:numPr>
          <w:ilvl w:val="0"/>
          <w:numId w:val="39"/>
        </w:numPr>
        <w:spacing w:line="360" w:lineRule="auto"/>
        <w:rPr>
          <w:color w:val="auto"/>
          <w:spacing w:val="10"/>
          <w:sz w:val="24"/>
          <w:szCs w:val="24"/>
          <w:highlight w:val="none"/>
        </w:rPr>
      </w:pPr>
      <w:r>
        <w:rPr>
          <w:rFonts w:hint="eastAsia" w:ascii="宋体"/>
          <w:color w:val="auto"/>
          <w:sz w:val="24"/>
          <w:szCs w:val="24"/>
          <w:highlight w:val="none"/>
        </w:rPr>
        <w:t>系统应具有自监测的功能，应提供相应的软件给操作人员对计算机网络的安全与稳定进行在线监控。</w:t>
      </w:r>
    </w:p>
    <w:p w14:paraId="56108974">
      <w:pPr>
        <w:numPr>
          <w:ilvl w:val="0"/>
          <w:numId w:val="39"/>
        </w:numPr>
        <w:spacing w:line="360" w:lineRule="auto"/>
        <w:rPr>
          <w:color w:val="auto"/>
          <w:spacing w:val="10"/>
          <w:sz w:val="24"/>
          <w:szCs w:val="24"/>
          <w:highlight w:val="none"/>
        </w:rPr>
      </w:pPr>
      <w:r>
        <w:rPr>
          <w:rFonts w:hint="eastAsia" w:ascii="宋体"/>
          <w:color w:val="auto"/>
          <w:sz w:val="24"/>
          <w:szCs w:val="24"/>
          <w:highlight w:val="none"/>
        </w:rPr>
        <w:t>系统应能够在线诊断系统硬件、软件及网络的运行情况，一旦发生异常或故障应立即发出告警信号并在LCD上提供相关信息。</w:t>
      </w:r>
    </w:p>
    <w:p w14:paraId="49568F71">
      <w:pPr>
        <w:numPr>
          <w:ilvl w:val="0"/>
          <w:numId w:val="39"/>
        </w:numPr>
        <w:spacing w:line="360" w:lineRule="auto"/>
        <w:rPr>
          <w:color w:val="auto"/>
          <w:spacing w:val="10"/>
          <w:sz w:val="24"/>
          <w:szCs w:val="24"/>
          <w:highlight w:val="none"/>
        </w:rPr>
      </w:pPr>
      <w:r>
        <w:rPr>
          <w:rFonts w:hint="eastAsia" w:ascii="宋体"/>
          <w:color w:val="auto"/>
          <w:sz w:val="24"/>
          <w:szCs w:val="24"/>
          <w:highlight w:val="none"/>
        </w:rPr>
        <w:t>应具有用于软件、硬件和电源监测的自诊断系统，系统在软件死锁、硬件出错或电源掉电时，能够自动保护实时数据库。在故障排除后，能够重新启动并自动恢复正常的运行。</w:t>
      </w:r>
    </w:p>
    <w:p w14:paraId="2BB4916F">
      <w:pPr>
        <w:numPr>
          <w:ilvl w:val="0"/>
          <w:numId w:val="39"/>
        </w:numPr>
        <w:spacing w:line="360" w:lineRule="auto"/>
        <w:rPr>
          <w:color w:val="auto"/>
          <w:spacing w:val="10"/>
          <w:sz w:val="24"/>
          <w:szCs w:val="24"/>
          <w:highlight w:val="none"/>
        </w:rPr>
      </w:pPr>
      <w:r>
        <w:rPr>
          <w:rFonts w:hint="eastAsia" w:ascii="宋体"/>
          <w:color w:val="auto"/>
          <w:sz w:val="24"/>
          <w:szCs w:val="24"/>
          <w:highlight w:val="none"/>
        </w:rPr>
        <w:t>某个设备的换修和故障以及主备设备切换，应不会影响其他设备的正常运行。</w:t>
      </w:r>
    </w:p>
    <w:p w14:paraId="6D93825A">
      <w:pPr>
        <w:numPr>
          <w:ilvl w:val="0"/>
          <w:numId w:val="39"/>
        </w:numPr>
        <w:spacing w:line="360" w:lineRule="auto"/>
        <w:rPr>
          <w:rFonts w:ascii="宋体"/>
          <w:color w:val="auto"/>
          <w:kern w:val="0"/>
          <w:sz w:val="24"/>
          <w:szCs w:val="24"/>
          <w:highlight w:val="none"/>
        </w:rPr>
      </w:pPr>
      <w:r>
        <w:rPr>
          <w:rFonts w:ascii="宋体"/>
          <w:color w:val="auto"/>
          <w:sz w:val="24"/>
          <w:szCs w:val="24"/>
          <w:highlight w:val="none"/>
        </w:rPr>
        <w:t>各套装置的主要电路、装置异常及交直流消失等有经常监视及自诊断功能，装置本身也有LED信号指示。</w:t>
      </w:r>
      <w:r>
        <w:rPr>
          <w:rFonts w:ascii="宋体"/>
          <w:color w:val="auto"/>
          <w:kern w:val="0"/>
          <w:sz w:val="24"/>
          <w:szCs w:val="24"/>
          <w:highlight w:val="none"/>
        </w:rPr>
        <w:tab/>
      </w:r>
    </w:p>
    <w:p w14:paraId="1D27DEDF">
      <w:pPr>
        <w:spacing w:line="360" w:lineRule="auto"/>
        <w:rPr>
          <w:rFonts w:hint="eastAsia"/>
          <w:color w:val="auto"/>
          <w:kern w:val="0"/>
          <w:sz w:val="24"/>
          <w:szCs w:val="24"/>
          <w:highlight w:val="none"/>
        </w:rPr>
      </w:pPr>
      <w:r>
        <w:rPr>
          <w:color w:val="auto"/>
          <w:kern w:val="0"/>
          <w:sz w:val="24"/>
          <w:szCs w:val="24"/>
          <w:highlight w:val="none"/>
        </w:rPr>
        <w:t>3.5.17</w:t>
      </w:r>
      <w:r>
        <w:rPr>
          <w:rFonts w:hint="eastAsia"/>
          <w:color w:val="auto"/>
          <w:kern w:val="0"/>
          <w:sz w:val="24"/>
          <w:szCs w:val="24"/>
          <w:highlight w:val="none"/>
        </w:rPr>
        <w:t>需具备机组一次调频在线测试功能，能实现相关顺序控制流程。</w:t>
      </w:r>
    </w:p>
    <w:p w14:paraId="00F63F49">
      <w:pPr>
        <w:spacing w:line="360" w:lineRule="auto"/>
        <w:ind w:firstLine="480" w:firstLineChars="200"/>
        <w:rPr>
          <w:rFonts w:hint="default"/>
          <w:color w:val="auto"/>
          <w:kern w:val="0"/>
          <w:sz w:val="24"/>
          <w:szCs w:val="24"/>
          <w:highlight w:val="none"/>
        </w:rPr>
      </w:pPr>
      <w:r>
        <w:rPr>
          <w:rFonts w:hint="default" w:ascii="宋体" w:hAnsi="Times New Roman" w:cs="Times New Roman"/>
          <w:bCs w:val="0"/>
          <w:snapToGrid/>
          <w:color w:val="auto"/>
          <w:sz w:val="24"/>
          <w:szCs w:val="24"/>
          <w:highlight w:val="none"/>
        </w:rPr>
        <w:t>AGC和一次调频在线测试指令通过机组的同一台测控装置下发给DCS。</w:t>
      </w:r>
      <w:r>
        <w:rPr>
          <w:rFonts w:hint="default" w:ascii="宋体" w:hAnsi="Times New Roman" w:cs="Times New Roman"/>
          <w:bCs w:val="0"/>
          <w:snapToGrid/>
          <w:color w:val="auto"/>
          <w:sz w:val="24"/>
          <w:szCs w:val="24"/>
          <w:highlight w:val="none"/>
        </w:rPr>
        <w:t>每台机组</w:t>
      </w:r>
      <w:r>
        <w:rPr>
          <w:rFonts w:hint="eastAsia" w:ascii="宋体" w:cs="Times New Roman"/>
          <w:bCs w:val="0"/>
          <w:snapToGrid/>
          <w:color w:val="auto"/>
          <w:sz w:val="24"/>
          <w:szCs w:val="24"/>
          <w:highlight w:val="none"/>
          <w:lang w:val="en-US" w:eastAsia="zh-CN"/>
        </w:rPr>
        <w:t>设置1面机组AGC测控屏，每面屏内含</w:t>
      </w:r>
      <w:r>
        <w:rPr>
          <w:rFonts w:hint="default" w:ascii="宋体" w:hAnsi="Times New Roman" w:cs="Times New Roman"/>
          <w:bCs w:val="0"/>
          <w:snapToGrid/>
          <w:color w:val="auto"/>
          <w:sz w:val="24"/>
          <w:szCs w:val="24"/>
          <w:highlight w:val="none"/>
        </w:rPr>
        <w:t>2台</w:t>
      </w:r>
      <w:r>
        <w:rPr>
          <w:rFonts w:hint="eastAsia" w:ascii="宋体" w:cs="Times New Roman"/>
          <w:bCs w:val="0"/>
          <w:snapToGrid/>
          <w:color w:val="auto"/>
          <w:sz w:val="24"/>
          <w:szCs w:val="24"/>
          <w:highlight w:val="none"/>
          <w:lang w:val="en-US" w:eastAsia="zh-CN"/>
        </w:rPr>
        <w:t>测控</w:t>
      </w:r>
      <w:r>
        <w:rPr>
          <w:rFonts w:hint="default" w:ascii="宋体" w:hAnsi="Times New Roman" w:cs="Times New Roman"/>
          <w:bCs w:val="0"/>
          <w:snapToGrid/>
          <w:color w:val="auto"/>
          <w:sz w:val="24"/>
          <w:szCs w:val="24"/>
          <w:highlight w:val="none"/>
        </w:rPr>
        <w:t>装置，</w:t>
      </w:r>
      <w:r>
        <w:rPr>
          <w:rFonts w:hint="eastAsia" w:ascii="宋体" w:cs="Times New Roman"/>
          <w:bCs w:val="0"/>
          <w:snapToGrid/>
          <w:color w:val="auto"/>
          <w:sz w:val="24"/>
          <w:szCs w:val="24"/>
          <w:highlight w:val="none"/>
          <w:lang w:val="en-US" w:eastAsia="zh-CN"/>
        </w:rPr>
        <w:t>其中</w:t>
      </w:r>
      <w:r>
        <w:rPr>
          <w:rFonts w:hint="default" w:ascii="宋体" w:hAnsi="Times New Roman" w:cs="Times New Roman"/>
          <w:bCs w:val="0"/>
          <w:snapToGrid/>
          <w:color w:val="auto"/>
          <w:sz w:val="24"/>
          <w:szCs w:val="24"/>
          <w:highlight w:val="none"/>
        </w:rPr>
        <w:t>1台采集</w:t>
      </w:r>
      <w:r>
        <w:rPr>
          <w:rFonts w:hint="eastAsia" w:ascii="宋体" w:cs="Times New Roman"/>
          <w:bCs w:val="0"/>
          <w:snapToGrid/>
          <w:color w:val="auto"/>
          <w:sz w:val="24"/>
          <w:szCs w:val="24"/>
          <w:highlight w:val="none"/>
          <w:lang w:val="en-US" w:eastAsia="zh-CN"/>
        </w:rPr>
        <w:t>装置</w:t>
      </w:r>
      <w:r>
        <w:rPr>
          <w:rFonts w:hint="default" w:ascii="宋体" w:hAnsi="Times New Roman" w:cs="Times New Roman"/>
          <w:bCs w:val="0"/>
          <w:snapToGrid/>
          <w:color w:val="auto"/>
          <w:sz w:val="24"/>
          <w:szCs w:val="24"/>
          <w:highlight w:val="none"/>
        </w:rPr>
        <w:t>，1台控制。</w:t>
      </w:r>
      <w:r>
        <w:rPr>
          <w:rFonts w:hint="eastAsia"/>
          <w:color w:val="auto"/>
          <w:sz w:val="24"/>
          <w:szCs w:val="24"/>
          <w:highlight w:val="none"/>
          <w:lang w:val="en-US" w:eastAsia="zh-CN"/>
        </w:rPr>
        <w:t>AGC装置品牌采用北京四方、国电南自、南瑞继保、上海惠安或相当于。</w:t>
      </w:r>
    </w:p>
    <w:p w14:paraId="470B728B">
      <w:pPr>
        <w:spacing w:line="360" w:lineRule="auto"/>
        <w:rPr>
          <w:color w:val="auto"/>
          <w:kern w:val="0"/>
          <w:sz w:val="24"/>
          <w:szCs w:val="24"/>
          <w:highlight w:val="none"/>
        </w:rPr>
      </w:pPr>
      <w:r>
        <w:rPr>
          <w:color w:val="auto"/>
          <w:kern w:val="0"/>
          <w:sz w:val="24"/>
          <w:szCs w:val="24"/>
          <w:highlight w:val="none"/>
        </w:rPr>
        <w:t>3.5.1</w:t>
      </w:r>
      <w:r>
        <w:rPr>
          <w:rFonts w:hint="eastAsia"/>
          <w:color w:val="auto"/>
          <w:kern w:val="0"/>
          <w:sz w:val="24"/>
          <w:szCs w:val="24"/>
          <w:highlight w:val="none"/>
        </w:rPr>
        <w:t>8</w:t>
      </w:r>
      <w:r>
        <w:rPr>
          <w:rFonts w:hint="eastAsia"/>
          <w:color w:val="auto"/>
          <w:kern w:val="0"/>
          <w:sz w:val="24"/>
          <w:szCs w:val="24"/>
          <w:highlight w:val="none"/>
          <w:lang w:val="en-US" w:eastAsia="zh-CN"/>
        </w:rPr>
        <w:t xml:space="preserve"> </w:t>
      </w:r>
      <w:r>
        <w:rPr>
          <w:color w:val="auto"/>
          <w:kern w:val="0"/>
          <w:sz w:val="24"/>
          <w:szCs w:val="24"/>
          <w:highlight w:val="none"/>
        </w:rPr>
        <w:t>NCS</w:t>
      </w:r>
      <w:r>
        <w:rPr>
          <w:rFonts w:hint="eastAsia"/>
          <w:color w:val="auto"/>
          <w:kern w:val="0"/>
          <w:sz w:val="24"/>
          <w:szCs w:val="24"/>
          <w:highlight w:val="none"/>
        </w:rPr>
        <w:t>需具备事故总信号功能</w:t>
      </w:r>
    </w:p>
    <w:p w14:paraId="6C05EBDA">
      <w:pPr>
        <w:spacing w:line="360" w:lineRule="auto"/>
        <w:rPr>
          <w:rFonts w:hAnsi="宋体"/>
          <w:color w:val="auto"/>
          <w:sz w:val="21"/>
          <w:highlight w:val="none"/>
        </w:rPr>
      </w:pPr>
      <w:bookmarkStart w:id="28" w:name="_Toc478652271"/>
      <w:bookmarkStart w:id="29" w:name="_Toc487531444"/>
      <w:r>
        <w:rPr>
          <w:rFonts w:hint="eastAsia"/>
          <w:color w:val="auto"/>
          <w:kern w:val="0"/>
          <w:sz w:val="24"/>
          <w:szCs w:val="24"/>
          <w:highlight w:val="none"/>
        </w:rPr>
        <w:t>3.5.18.1  事故总信号的实现模式</w:t>
      </w:r>
      <w:bookmarkEnd w:id="28"/>
    </w:p>
    <w:p w14:paraId="54C70823">
      <w:pPr>
        <w:spacing w:line="360" w:lineRule="auto"/>
        <w:ind w:left="567"/>
        <w:rPr>
          <w:rFonts w:ascii="宋体"/>
          <w:color w:val="auto"/>
          <w:sz w:val="24"/>
          <w:szCs w:val="24"/>
          <w:highlight w:val="none"/>
        </w:rPr>
      </w:pPr>
      <w:r>
        <w:rPr>
          <w:rFonts w:hint="eastAsia" w:ascii="宋体"/>
          <w:color w:val="auto"/>
          <w:sz w:val="24"/>
          <w:szCs w:val="24"/>
          <w:highlight w:val="none"/>
        </w:rPr>
        <w:t>分布合成模式：在测控装置或保护测控</w:t>
      </w:r>
      <w:r>
        <w:rPr>
          <w:rFonts w:ascii="宋体"/>
          <w:color w:val="auto"/>
          <w:sz w:val="24"/>
          <w:szCs w:val="24"/>
          <w:highlight w:val="none"/>
        </w:rPr>
        <w:t>装置</w:t>
      </w:r>
      <w:r>
        <w:rPr>
          <w:rFonts w:hint="eastAsia" w:ascii="宋体"/>
          <w:color w:val="auto"/>
          <w:sz w:val="24"/>
          <w:szCs w:val="24"/>
          <w:highlight w:val="none"/>
        </w:rPr>
        <w:t>根据逻辑合成间隔事故信号</w:t>
      </w:r>
      <w:r>
        <w:rPr>
          <w:rFonts w:ascii="宋体"/>
          <w:color w:val="auto"/>
          <w:sz w:val="24"/>
          <w:szCs w:val="24"/>
          <w:highlight w:val="none"/>
        </w:rPr>
        <w:t>，</w:t>
      </w:r>
      <w:r>
        <w:rPr>
          <w:rFonts w:hint="eastAsia" w:ascii="宋体"/>
          <w:color w:val="auto"/>
          <w:sz w:val="24"/>
          <w:szCs w:val="24"/>
          <w:highlight w:val="none"/>
        </w:rPr>
        <w:t>分</w:t>
      </w:r>
      <w:r>
        <w:rPr>
          <w:rFonts w:ascii="宋体"/>
          <w:color w:val="auto"/>
          <w:sz w:val="24"/>
          <w:szCs w:val="24"/>
          <w:highlight w:val="none"/>
        </w:rPr>
        <w:t>间隔送至远动</w:t>
      </w:r>
      <w:r>
        <w:rPr>
          <w:rFonts w:hint="eastAsia" w:ascii="宋体"/>
          <w:color w:val="auto"/>
          <w:sz w:val="24"/>
          <w:szCs w:val="24"/>
          <w:highlight w:val="none"/>
        </w:rPr>
        <w:t>装置</w:t>
      </w:r>
      <w:r>
        <w:rPr>
          <w:rFonts w:ascii="宋体"/>
          <w:color w:val="auto"/>
          <w:sz w:val="24"/>
          <w:szCs w:val="24"/>
          <w:highlight w:val="none"/>
        </w:rPr>
        <w:t>，</w:t>
      </w:r>
      <w:r>
        <w:rPr>
          <w:rFonts w:hint="eastAsia" w:ascii="宋体"/>
          <w:color w:val="auto"/>
          <w:sz w:val="24"/>
          <w:szCs w:val="24"/>
          <w:highlight w:val="none"/>
        </w:rPr>
        <w:t>且</w:t>
      </w:r>
      <w:r>
        <w:rPr>
          <w:rFonts w:ascii="宋体"/>
          <w:color w:val="auto"/>
          <w:sz w:val="24"/>
          <w:szCs w:val="24"/>
          <w:highlight w:val="none"/>
        </w:rPr>
        <w:t>远动</w:t>
      </w:r>
      <w:r>
        <w:rPr>
          <w:rFonts w:hint="eastAsia" w:ascii="宋体"/>
          <w:color w:val="auto"/>
          <w:sz w:val="24"/>
          <w:szCs w:val="24"/>
          <w:highlight w:val="none"/>
        </w:rPr>
        <w:t>装置将分</w:t>
      </w:r>
      <w:r>
        <w:rPr>
          <w:rFonts w:ascii="宋体"/>
          <w:color w:val="auto"/>
          <w:sz w:val="24"/>
          <w:szCs w:val="24"/>
          <w:highlight w:val="none"/>
        </w:rPr>
        <w:t>间隔</w:t>
      </w:r>
      <w:r>
        <w:rPr>
          <w:rFonts w:hint="eastAsia" w:ascii="宋体"/>
          <w:color w:val="auto"/>
          <w:sz w:val="24"/>
          <w:szCs w:val="24"/>
          <w:highlight w:val="none"/>
        </w:rPr>
        <w:t>事故信号</w:t>
      </w:r>
      <w:r>
        <w:rPr>
          <w:rFonts w:ascii="宋体"/>
          <w:color w:val="auto"/>
          <w:sz w:val="24"/>
          <w:szCs w:val="24"/>
          <w:highlight w:val="none"/>
        </w:rPr>
        <w:t>合</w:t>
      </w:r>
      <w:r>
        <w:rPr>
          <w:rFonts w:hint="eastAsia" w:ascii="宋体"/>
          <w:color w:val="auto"/>
          <w:sz w:val="24"/>
          <w:szCs w:val="24"/>
          <w:highlight w:val="none"/>
        </w:rPr>
        <w:t>成全厂事故总</w:t>
      </w:r>
      <w:r>
        <w:rPr>
          <w:rFonts w:ascii="宋体"/>
          <w:color w:val="auto"/>
          <w:sz w:val="24"/>
          <w:szCs w:val="24"/>
          <w:highlight w:val="none"/>
        </w:rPr>
        <w:t>信号</w:t>
      </w:r>
      <w:r>
        <w:rPr>
          <w:rFonts w:hint="eastAsia" w:ascii="宋体"/>
          <w:color w:val="auto"/>
          <w:sz w:val="24"/>
          <w:szCs w:val="24"/>
          <w:highlight w:val="none"/>
        </w:rPr>
        <w:t>。</w:t>
      </w:r>
      <w:bookmarkStart w:id="30" w:name="_Toc478652273"/>
    </w:p>
    <w:p w14:paraId="06E854AA">
      <w:pPr>
        <w:spacing w:line="360" w:lineRule="auto"/>
        <w:rPr>
          <w:color w:val="auto"/>
          <w:kern w:val="0"/>
          <w:sz w:val="24"/>
          <w:szCs w:val="24"/>
          <w:highlight w:val="none"/>
        </w:rPr>
      </w:pPr>
      <w:r>
        <w:rPr>
          <w:rFonts w:hint="eastAsia"/>
          <w:color w:val="auto"/>
          <w:kern w:val="0"/>
          <w:sz w:val="24"/>
          <w:szCs w:val="24"/>
          <w:highlight w:val="none"/>
        </w:rPr>
        <w:t>3.5.18.2  技术要求</w:t>
      </w:r>
      <w:bookmarkEnd w:id="30"/>
    </w:p>
    <w:bookmarkEnd w:id="29"/>
    <w:p w14:paraId="40188C6C">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应具备形成间隔事故信号和全厂事故总信号的功能。</w:t>
      </w:r>
    </w:p>
    <w:p w14:paraId="173146DC">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事故总信号产生后，可自动复归，复归时间可设定，原则上设置为15秒。间隔事故信号需手动复归。最终复归方式在设计联络会确定。</w:t>
      </w:r>
    </w:p>
    <w:p w14:paraId="45DA632A">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间隔事故信号合成方式应优先选择操作箱开关合后位置继电器（KKJ）串入跳闸位置继电器（TWJ）合成；不具备KKJ时，可采用软件方式合成。</w:t>
      </w:r>
    </w:p>
    <w:p w14:paraId="57FD886C">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检修期间和正常停机时，涉及间隔若有事故信号，不应上送。</w:t>
      </w:r>
    </w:p>
    <w:p w14:paraId="69D9A4E5">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重合闸成功应上送事故总信号。</w:t>
      </w:r>
    </w:p>
    <w:p w14:paraId="40318135">
      <w:pPr>
        <w:numPr>
          <w:ilvl w:val="0"/>
          <w:numId w:val="40"/>
        </w:numPr>
        <w:spacing w:line="360" w:lineRule="auto"/>
        <w:rPr>
          <w:rFonts w:ascii="宋体" w:hAnsi="宋体"/>
          <w:color w:val="auto"/>
          <w:sz w:val="24"/>
          <w:szCs w:val="24"/>
          <w:highlight w:val="none"/>
        </w:rPr>
      </w:pPr>
      <w:r>
        <w:rPr>
          <w:rFonts w:ascii="宋体" w:hAnsi="宋体"/>
          <w:color w:val="auto"/>
          <w:sz w:val="24"/>
          <w:szCs w:val="24"/>
          <w:highlight w:val="none"/>
        </w:rPr>
        <w:t>间隔</w:t>
      </w:r>
      <w:r>
        <w:rPr>
          <w:rFonts w:hint="eastAsia" w:ascii="宋体" w:hAnsi="宋体"/>
          <w:color w:val="auto"/>
          <w:sz w:val="24"/>
          <w:szCs w:val="24"/>
          <w:highlight w:val="none"/>
        </w:rPr>
        <w:t>事故</w:t>
      </w:r>
      <w:r>
        <w:rPr>
          <w:rFonts w:ascii="宋体" w:hAnsi="宋体"/>
          <w:color w:val="auto"/>
          <w:sz w:val="24"/>
          <w:szCs w:val="24"/>
          <w:highlight w:val="none"/>
        </w:rPr>
        <w:t>信号</w:t>
      </w:r>
      <w:r>
        <w:rPr>
          <w:rFonts w:hint="eastAsia" w:ascii="宋体" w:hAnsi="宋体"/>
          <w:color w:val="auto"/>
          <w:sz w:val="24"/>
          <w:szCs w:val="24"/>
          <w:highlight w:val="none"/>
        </w:rPr>
        <w:t>应</w:t>
      </w:r>
      <w:r>
        <w:rPr>
          <w:rFonts w:ascii="宋体" w:hAnsi="宋体"/>
          <w:color w:val="auto"/>
          <w:sz w:val="24"/>
          <w:szCs w:val="24"/>
          <w:highlight w:val="none"/>
        </w:rPr>
        <w:t>具备人工</w:t>
      </w:r>
      <w:r>
        <w:rPr>
          <w:rFonts w:hint="eastAsia" w:ascii="宋体" w:hAnsi="宋体"/>
          <w:color w:val="auto"/>
          <w:sz w:val="24"/>
          <w:szCs w:val="24"/>
          <w:highlight w:val="none"/>
        </w:rPr>
        <w:t>置位</w:t>
      </w:r>
      <w:r>
        <w:rPr>
          <w:rFonts w:ascii="宋体" w:hAnsi="宋体"/>
          <w:color w:val="auto"/>
          <w:sz w:val="24"/>
          <w:szCs w:val="24"/>
          <w:highlight w:val="none"/>
        </w:rPr>
        <w:t>功能。</w:t>
      </w:r>
    </w:p>
    <w:p w14:paraId="7378ED0D">
      <w:pPr>
        <w:numPr>
          <w:ilvl w:val="0"/>
          <w:numId w:val="40"/>
        </w:numPr>
        <w:spacing w:line="360" w:lineRule="auto"/>
        <w:ind w:left="709" w:hanging="289"/>
        <w:rPr>
          <w:rFonts w:ascii="宋体" w:hAnsi="宋体"/>
          <w:color w:val="auto"/>
          <w:sz w:val="24"/>
          <w:szCs w:val="24"/>
          <w:highlight w:val="none"/>
        </w:rPr>
      </w:pPr>
      <w:r>
        <w:rPr>
          <w:rFonts w:hint="eastAsia" w:ascii="宋体" w:hAnsi="宋体"/>
          <w:color w:val="auto"/>
          <w:sz w:val="24"/>
          <w:szCs w:val="24"/>
          <w:highlight w:val="none"/>
        </w:rPr>
        <w:t xml:space="preserve"> 导致跳开关的事故信号，须添加到事故总信号中。</w:t>
      </w:r>
    </w:p>
    <w:p w14:paraId="3AE23F7C">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事故信号时标应以开关分闸上升沿或者开关合闸下降沿时标为准。</w:t>
      </w:r>
    </w:p>
    <w:p w14:paraId="6AFE8A54">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支持100个以上间隔事故信号的合成。</w:t>
      </w:r>
    </w:p>
    <w:p w14:paraId="626A244B">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对于3/2接线方式，每串按3个间隔上送事故信号，即中开关1个间隔，边开关2个间隔。</w:t>
      </w:r>
    </w:p>
    <w:p w14:paraId="181472F7">
      <w:pPr>
        <w:numPr>
          <w:ilvl w:val="0"/>
          <w:numId w:val="40"/>
        </w:numPr>
        <w:spacing w:line="360" w:lineRule="auto"/>
        <w:rPr>
          <w:rFonts w:ascii="宋体" w:hAnsi="宋体"/>
          <w:color w:val="auto"/>
          <w:sz w:val="24"/>
          <w:szCs w:val="24"/>
          <w:highlight w:val="none"/>
        </w:rPr>
      </w:pPr>
      <w:r>
        <w:rPr>
          <w:rFonts w:hint="eastAsia" w:ascii="宋体" w:hAnsi="宋体"/>
          <w:color w:val="auto"/>
          <w:sz w:val="24"/>
          <w:szCs w:val="24"/>
          <w:highlight w:val="none"/>
        </w:rPr>
        <w:t>为提高数据</w:t>
      </w:r>
      <w:r>
        <w:rPr>
          <w:rFonts w:ascii="宋体" w:hAnsi="宋体"/>
          <w:color w:val="auto"/>
          <w:sz w:val="24"/>
          <w:szCs w:val="24"/>
          <w:highlight w:val="none"/>
        </w:rPr>
        <w:t>可靠性</w:t>
      </w:r>
      <w:r>
        <w:rPr>
          <w:rFonts w:hint="eastAsia" w:ascii="宋体" w:hAnsi="宋体"/>
          <w:color w:val="auto"/>
          <w:sz w:val="24"/>
          <w:szCs w:val="24"/>
          <w:highlight w:val="none"/>
        </w:rPr>
        <w:t>，采用独立合成模式的应按照双主配置。</w:t>
      </w:r>
    </w:p>
    <w:p w14:paraId="1141A6A6">
      <w:pPr>
        <w:spacing w:line="360" w:lineRule="auto"/>
        <w:rPr>
          <w:color w:val="auto"/>
          <w:kern w:val="0"/>
          <w:sz w:val="24"/>
          <w:szCs w:val="24"/>
          <w:highlight w:val="none"/>
        </w:rPr>
      </w:pPr>
      <w:bookmarkStart w:id="31" w:name="_Toc478652274"/>
      <w:r>
        <w:rPr>
          <w:rFonts w:hint="eastAsia"/>
          <w:color w:val="auto"/>
          <w:kern w:val="0"/>
          <w:sz w:val="24"/>
          <w:szCs w:val="24"/>
          <w:highlight w:val="none"/>
        </w:rPr>
        <w:t>3.5.18.3  事故信号合成逻辑</w:t>
      </w:r>
      <w:bookmarkEnd w:id="31"/>
    </w:p>
    <w:p w14:paraId="7D70C96E">
      <w:pPr>
        <w:spacing w:line="360" w:lineRule="auto"/>
        <w:rPr>
          <w:color w:val="auto"/>
          <w:kern w:val="0"/>
          <w:sz w:val="24"/>
          <w:szCs w:val="24"/>
          <w:highlight w:val="none"/>
        </w:rPr>
      </w:pPr>
      <w:bookmarkStart w:id="32" w:name="_Toc15205"/>
      <w:bookmarkStart w:id="33" w:name="_Toc478652275"/>
      <w:r>
        <w:rPr>
          <w:rFonts w:hint="eastAsia"/>
          <w:color w:val="auto"/>
          <w:kern w:val="0"/>
          <w:sz w:val="24"/>
          <w:szCs w:val="24"/>
          <w:highlight w:val="none"/>
        </w:rPr>
        <w:t>3.5.1</w:t>
      </w:r>
      <w:bookmarkEnd w:id="32"/>
      <w:r>
        <w:rPr>
          <w:rFonts w:hint="eastAsia"/>
          <w:color w:val="auto"/>
          <w:kern w:val="0"/>
          <w:sz w:val="24"/>
          <w:szCs w:val="24"/>
          <w:highlight w:val="none"/>
        </w:rPr>
        <w:t>8.3.1 间隔事故信号合成逻辑</w:t>
      </w:r>
      <w:bookmarkEnd w:id="33"/>
    </w:p>
    <w:p w14:paraId="4F294DF0">
      <w:pPr>
        <w:spacing w:line="360" w:lineRule="auto"/>
        <w:rPr>
          <w:color w:val="auto"/>
          <w:kern w:val="0"/>
          <w:sz w:val="24"/>
          <w:szCs w:val="24"/>
          <w:highlight w:val="none"/>
        </w:rPr>
      </w:pPr>
      <w:bookmarkStart w:id="34" w:name="_Toc478652276"/>
      <w:r>
        <w:rPr>
          <w:rFonts w:hint="eastAsia"/>
          <w:color w:val="auto"/>
          <w:kern w:val="0"/>
          <w:sz w:val="24"/>
          <w:szCs w:val="24"/>
          <w:highlight w:val="none"/>
        </w:rPr>
        <w:t>3.5.18.3.1.1   KKJ+TWJ合成方式</w:t>
      </w:r>
      <w:bookmarkEnd w:id="34"/>
    </w:p>
    <w:p w14:paraId="43E0D019">
      <w:pPr>
        <w:spacing w:line="360" w:lineRule="auto"/>
        <w:ind w:firstLine="425"/>
        <w:rPr>
          <w:rFonts w:ascii="宋体" w:hAnsi="宋体"/>
          <w:color w:val="auto"/>
          <w:sz w:val="24"/>
          <w:szCs w:val="24"/>
          <w:highlight w:val="none"/>
        </w:rPr>
      </w:pPr>
      <w:r>
        <w:rPr>
          <w:rFonts w:hint="eastAsia" w:ascii="宋体" w:hAnsi="宋体"/>
          <w:color w:val="auto"/>
          <w:sz w:val="24"/>
          <w:szCs w:val="24"/>
          <w:highlight w:val="none"/>
        </w:rPr>
        <w:t>采用操作箱开关的合后位置继电器（KKJ）和跳闸位置继电器（TWJ）串入方式实现间隔事故信号。采用KKJ变位信号上升沿触发间隔事故信号，15秒</w:t>
      </w:r>
      <w:r>
        <w:rPr>
          <w:rFonts w:ascii="宋体" w:hAnsi="宋体"/>
          <w:color w:val="auto"/>
          <w:sz w:val="24"/>
          <w:szCs w:val="24"/>
          <w:highlight w:val="none"/>
        </w:rPr>
        <w:t>后自动</w:t>
      </w:r>
      <w:r>
        <w:rPr>
          <w:rFonts w:hint="eastAsia" w:ascii="宋体" w:hAnsi="宋体"/>
          <w:color w:val="auto"/>
          <w:sz w:val="24"/>
          <w:szCs w:val="24"/>
          <w:highlight w:val="none"/>
        </w:rPr>
        <w:t>复归，</w:t>
      </w:r>
      <w:r>
        <w:rPr>
          <w:rFonts w:hint="eastAsia" w:ascii="宋体" w:hAnsi="宋体"/>
          <w:color w:val="auto"/>
          <w:kern w:val="0"/>
          <w:sz w:val="24"/>
          <w:szCs w:val="24"/>
          <w:highlight w:val="none"/>
        </w:rPr>
        <w:t>如图2所示。</w:t>
      </w:r>
    </w:p>
    <w:p w14:paraId="39694689">
      <w:pPr>
        <w:spacing w:beforeLines="50"/>
        <w:rPr>
          <w:color w:val="auto"/>
          <w:highlight w:val="none"/>
        </w:rPr>
      </w:pPr>
      <w:r>
        <w:rPr>
          <w:rFonts w:hint="eastAsia"/>
          <w:color w:val="auto"/>
          <w:highlight w:val="none"/>
        </w:rPr>
        <w:tab/>
      </w:r>
      <w:r>
        <w:rPr>
          <w:rFonts w:hint="eastAsia"/>
          <w:color w:val="auto"/>
          <w:highlight w:val="none"/>
        </w:rPr>
        <w:tab/>
      </w:r>
      <w:r>
        <w:rPr>
          <w:rFonts w:hint="eastAsia"/>
          <w:color w:val="auto"/>
          <w:highlight w:val="none"/>
        </w:rPr>
        <w:tab/>
      </w:r>
      <w:r>
        <w:rPr>
          <w:color w:val="auto"/>
          <w:highlight w:val="none"/>
        </w:rPr>
        <w:drawing>
          <wp:inline distT="0" distB="0" distL="0" distR="0">
            <wp:extent cx="4215765" cy="255333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3" cstate="print"/>
                    <a:srcRect/>
                    <a:stretch>
                      <a:fillRect/>
                    </a:stretch>
                  </pic:blipFill>
                  <pic:spPr>
                    <a:xfrm>
                      <a:off x="0" y="0"/>
                      <a:ext cx="4215765" cy="2553335"/>
                    </a:xfrm>
                    <a:prstGeom prst="rect">
                      <a:avLst/>
                    </a:prstGeom>
                    <a:noFill/>
                    <a:ln w="9525">
                      <a:noFill/>
                      <a:miter lim="800000"/>
                      <a:headEnd/>
                      <a:tailEnd/>
                    </a:ln>
                  </pic:spPr>
                </pic:pic>
              </a:graphicData>
            </a:graphic>
          </wp:inline>
        </w:drawing>
      </w:r>
    </w:p>
    <w:p w14:paraId="47599931">
      <w:pPr>
        <w:jc w:val="center"/>
        <w:rPr>
          <w:rFonts w:ascii="宋体" w:hAnsi="宋体"/>
          <w:b/>
          <w:color w:val="auto"/>
          <w:kern w:val="0"/>
          <w:sz w:val="24"/>
          <w:szCs w:val="24"/>
          <w:highlight w:val="none"/>
        </w:rPr>
      </w:pPr>
      <w:r>
        <w:rPr>
          <w:rFonts w:hint="eastAsia" w:ascii="宋体" w:hAnsi="宋体"/>
          <w:b/>
          <w:color w:val="auto"/>
          <w:kern w:val="0"/>
          <w:sz w:val="24"/>
          <w:szCs w:val="24"/>
          <w:highlight w:val="none"/>
        </w:rPr>
        <w:t>图2：KKJ+TWJ合成方式逻辑</w:t>
      </w:r>
      <w:r>
        <w:rPr>
          <w:rFonts w:hint="eastAsia" w:ascii="宋体" w:hAnsi="宋体"/>
          <w:b/>
          <w:color w:val="auto"/>
          <w:kern w:val="0"/>
          <w:sz w:val="24"/>
          <w:szCs w:val="24"/>
          <w:highlight w:val="none"/>
          <w:u w:val="single"/>
        </w:rPr>
        <w:t>图</w:t>
      </w:r>
    </w:p>
    <w:p w14:paraId="6C922CE5">
      <w:pPr>
        <w:spacing w:before="120" w:line="360" w:lineRule="auto"/>
        <w:rPr>
          <w:color w:val="auto"/>
          <w:kern w:val="0"/>
          <w:sz w:val="24"/>
          <w:szCs w:val="24"/>
          <w:highlight w:val="none"/>
        </w:rPr>
      </w:pPr>
      <w:bookmarkStart w:id="35" w:name="_Toc478652277"/>
      <w:r>
        <w:rPr>
          <w:rFonts w:hint="eastAsia"/>
          <w:color w:val="auto"/>
          <w:kern w:val="0"/>
          <w:sz w:val="24"/>
          <w:szCs w:val="24"/>
          <w:highlight w:val="none"/>
        </w:rPr>
        <w:t>3.5.18.3.1.2   软件合成方式</w:t>
      </w:r>
      <w:bookmarkEnd w:id="35"/>
    </w:p>
    <w:p w14:paraId="509278A6">
      <w:pPr>
        <w:spacing w:line="360" w:lineRule="auto"/>
        <w:ind w:firstLine="425"/>
        <w:rPr>
          <w:rFonts w:ascii="宋体" w:hAnsi="宋体"/>
          <w:color w:val="auto"/>
          <w:kern w:val="0"/>
          <w:sz w:val="24"/>
          <w:szCs w:val="24"/>
          <w:highlight w:val="none"/>
        </w:rPr>
      </w:pPr>
      <w:r>
        <w:rPr>
          <w:rFonts w:hint="eastAsia" w:ascii="宋体" w:hAnsi="宋体"/>
          <w:color w:val="auto"/>
          <w:kern w:val="0"/>
          <w:sz w:val="24"/>
          <w:szCs w:val="24"/>
          <w:highlight w:val="none"/>
        </w:rPr>
        <w:t>对不具备KKJ+TWJ方式实现间隔事故信号的电厂，可采用软件合成方式。具体可按如下方式实现：</w:t>
      </w:r>
    </w:p>
    <w:p w14:paraId="46DA06F1">
      <w:pPr>
        <w:spacing w:before="120" w:line="360" w:lineRule="auto"/>
        <w:rPr>
          <w:color w:val="auto"/>
          <w:kern w:val="0"/>
          <w:sz w:val="24"/>
          <w:szCs w:val="24"/>
          <w:highlight w:val="none"/>
        </w:rPr>
      </w:pPr>
      <w:bookmarkStart w:id="36" w:name="_Toc478652278"/>
      <w:r>
        <w:rPr>
          <w:rFonts w:hint="eastAsia"/>
          <w:color w:val="auto"/>
          <w:kern w:val="0"/>
          <w:sz w:val="24"/>
          <w:szCs w:val="24"/>
          <w:highlight w:val="none"/>
        </w:rPr>
        <w:t>3.5.18.3.1.2.1  保护</w:t>
      </w:r>
      <w:r>
        <w:rPr>
          <w:color w:val="auto"/>
          <w:kern w:val="0"/>
          <w:sz w:val="24"/>
          <w:szCs w:val="24"/>
          <w:highlight w:val="none"/>
        </w:rPr>
        <w:t>动作信号</w:t>
      </w:r>
      <w:r>
        <w:rPr>
          <w:rFonts w:hint="eastAsia"/>
          <w:color w:val="auto"/>
          <w:kern w:val="0"/>
          <w:sz w:val="24"/>
          <w:szCs w:val="24"/>
          <w:highlight w:val="none"/>
        </w:rPr>
        <w:t>＋开关位置信号</w:t>
      </w:r>
      <w:bookmarkEnd w:id="36"/>
    </w:p>
    <w:p w14:paraId="7130D2F0">
      <w:pPr>
        <w:spacing w:line="360" w:lineRule="auto"/>
        <w:ind w:left="420"/>
        <w:rPr>
          <w:rFonts w:ascii="宋体" w:hAnsi="宋体"/>
          <w:color w:val="auto"/>
          <w:kern w:val="0"/>
          <w:sz w:val="24"/>
          <w:szCs w:val="24"/>
          <w:highlight w:val="none"/>
        </w:rPr>
      </w:pPr>
      <w:r>
        <w:rPr>
          <w:rFonts w:hint="eastAsia" w:ascii="宋体" w:hAnsi="宋体"/>
          <w:color w:val="auto"/>
          <w:kern w:val="0"/>
          <w:sz w:val="24"/>
          <w:szCs w:val="24"/>
          <w:highlight w:val="none"/>
        </w:rPr>
        <w:t>由以下信号合成：</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1） 保护</w:t>
      </w:r>
      <w:r>
        <w:rPr>
          <w:rFonts w:ascii="宋体" w:hAnsi="宋体"/>
          <w:color w:val="auto"/>
          <w:kern w:val="0"/>
          <w:sz w:val="24"/>
          <w:szCs w:val="24"/>
          <w:highlight w:val="none"/>
        </w:rPr>
        <w:t>动作信号：</w:t>
      </w:r>
      <w:r>
        <w:rPr>
          <w:rFonts w:hint="eastAsia" w:ascii="宋体" w:hAnsi="宋体"/>
          <w:color w:val="auto"/>
          <w:kern w:val="0"/>
          <w:sz w:val="24"/>
          <w:szCs w:val="24"/>
          <w:highlight w:val="none"/>
        </w:rPr>
        <w:t>线路保护跳闸信号、母差保护跳闸信号、失灵保护跳闸信号、主变非电量保护跳闸信号、主变电气量保护跳闸信号</w:t>
      </w:r>
      <w:r>
        <w:rPr>
          <w:rFonts w:hint="eastAsia" w:ascii="宋体" w:hAnsi="宋体"/>
          <w:color w:val="auto"/>
          <w:kern w:val="0"/>
          <w:sz w:val="24"/>
          <w:szCs w:val="24"/>
          <w:highlight w:val="none"/>
          <w:lang w:eastAsia="zh-CN"/>
        </w:rPr>
        <w:t>、</w:t>
      </w:r>
      <w:r>
        <w:rPr>
          <w:rFonts w:hint="eastAsia" w:ascii="宋体" w:hAnsi="宋体"/>
          <w:color w:val="auto"/>
          <w:kern w:val="0"/>
          <w:sz w:val="24"/>
          <w:szCs w:val="24"/>
          <w:highlight w:val="none"/>
          <w:lang w:val="en-US" w:eastAsia="zh-CN"/>
        </w:rPr>
        <w:t>起备</w:t>
      </w:r>
      <w:r>
        <w:rPr>
          <w:rFonts w:hint="eastAsia" w:ascii="宋体" w:hAnsi="宋体"/>
          <w:color w:val="auto"/>
          <w:kern w:val="0"/>
          <w:sz w:val="24"/>
          <w:szCs w:val="24"/>
          <w:highlight w:val="none"/>
        </w:rPr>
        <w:t>变非电量保护跳闸信号、</w:t>
      </w:r>
      <w:r>
        <w:rPr>
          <w:rFonts w:hint="eastAsia" w:ascii="宋体" w:hAnsi="宋体"/>
          <w:color w:val="auto"/>
          <w:kern w:val="0"/>
          <w:sz w:val="24"/>
          <w:szCs w:val="24"/>
          <w:highlight w:val="none"/>
          <w:lang w:val="en-US" w:eastAsia="zh-CN"/>
        </w:rPr>
        <w:t>起备变</w:t>
      </w:r>
      <w:r>
        <w:rPr>
          <w:rFonts w:hint="eastAsia" w:ascii="宋体" w:hAnsi="宋体"/>
          <w:color w:val="auto"/>
          <w:kern w:val="0"/>
          <w:sz w:val="24"/>
          <w:szCs w:val="24"/>
          <w:highlight w:val="none"/>
        </w:rPr>
        <w:t>电气量保护跳闸信号等。</w:t>
      </w:r>
    </w:p>
    <w:p w14:paraId="6B58D0D3">
      <w:pPr>
        <w:spacing w:line="360" w:lineRule="auto"/>
        <w:ind w:left="420"/>
        <w:rPr>
          <w:rFonts w:ascii="宋体" w:hAnsi="宋体"/>
          <w:color w:val="auto"/>
          <w:kern w:val="0"/>
          <w:sz w:val="24"/>
          <w:szCs w:val="24"/>
          <w:highlight w:val="none"/>
        </w:rPr>
      </w:pPr>
      <w:r>
        <w:rPr>
          <w:rFonts w:hint="eastAsia" w:ascii="宋体" w:hAnsi="宋体"/>
          <w:color w:val="auto"/>
          <w:kern w:val="0"/>
          <w:sz w:val="24"/>
          <w:szCs w:val="24"/>
          <w:highlight w:val="none"/>
        </w:rPr>
        <w:t>2） 开关位置信号。</w:t>
      </w:r>
    </w:p>
    <w:p w14:paraId="74B73F8F">
      <w:pPr>
        <w:spacing w:before="120" w:line="360" w:lineRule="auto"/>
        <w:rPr>
          <w:color w:val="auto"/>
          <w:kern w:val="0"/>
          <w:sz w:val="24"/>
          <w:szCs w:val="24"/>
          <w:highlight w:val="none"/>
        </w:rPr>
      </w:pPr>
      <w:bookmarkStart w:id="37" w:name="_Toc478652281"/>
      <w:r>
        <w:rPr>
          <w:rFonts w:hint="eastAsia"/>
          <w:color w:val="auto"/>
          <w:kern w:val="0"/>
          <w:sz w:val="24"/>
          <w:szCs w:val="24"/>
          <w:highlight w:val="none"/>
        </w:rPr>
        <w:t>3.5.18.3.1.2.2  软件模拟KKJ+TWJ合成方式</w:t>
      </w:r>
      <w:bookmarkEnd w:id="37"/>
    </w:p>
    <w:p w14:paraId="4776CBCE">
      <w:pPr>
        <w:spacing w:line="360" w:lineRule="auto"/>
        <w:ind w:firstLine="425"/>
        <w:rPr>
          <w:color w:val="auto"/>
          <w:kern w:val="0"/>
          <w:sz w:val="24"/>
          <w:szCs w:val="24"/>
          <w:highlight w:val="none"/>
        </w:rPr>
      </w:pPr>
      <w:r>
        <w:rPr>
          <w:rFonts w:hint="eastAsia" w:ascii="宋体" w:hAnsi="宋体"/>
          <w:color w:val="auto"/>
          <w:kern w:val="0"/>
          <w:sz w:val="24"/>
          <w:szCs w:val="24"/>
          <w:highlight w:val="none"/>
        </w:rPr>
        <w:t>软件接收开关分位信号，结合遥控和检修信号，判断开关跳闸时间和开关遥控时间之差大于正常遥控时间，即刻上报间隔事故信号，并延时15秒复归。</w:t>
      </w:r>
      <w:bookmarkStart w:id="38" w:name="_Toc478652283"/>
    </w:p>
    <w:p w14:paraId="0C29EEB2">
      <w:pPr>
        <w:spacing w:before="120" w:line="360" w:lineRule="auto"/>
        <w:rPr>
          <w:color w:val="auto"/>
          <w:kern w:val="0"/>
          <w:sz w:val="24"/>
          <w:szCs w:val="24"/>
          <w:highlight w:val="none"/>
        </w:rPr>
      </w:pPr>
      <w:r>
        <w:rPr>
          <w:rFonts w:hint="eastAsia"/>
          <w:color w:val="auto"/>
          <w:kern w:val="0"/>
          <w:sz w:val="24"/>
          <w:szCs w:val="24"/>
          <w:highlight w:val="none"/>
        </w:rPr>
        <w:t>3.5.18.3.2非事故情况下的处理方式</w:t>
      </w:r>
      <w:bookmarkEnd w:id="38"/>
    </w:p>
    <w:p w14:paraId="6DD052AC">
      <w:pPr>
        <w:spacing w:line="360" w:lineRule="auto"/>
        <w:ind w:firstLine="425"/>
        <w:rPr>
          <w:rFonts w:ascii="宋体" w:hAnsi="宋体"/>
          <w:color w:val="auto"/>
          <w:sz w:val="24"/>
          <w:szCs w:val="24"/>
          <w:highlight w:val="none"/>
        </w:rPr>
      </w:pPr>
      <w:r>
        <w:rPr>
          <w:rFonts w:hint="eastAsia" w:ascii="宋体" w:hAnsi="宋体"/>
          <w:color w:val="auto"/>
          <w:sz w:val="24"/>
          <w:szCs w:val="24"/>
          <w:highlight w:val="none"/>
        </w:rPr>
        <w:t>检修期间，应对检修间隔的事故信号</w:t>
      </w:r>
      <w:r>
        <w:rPr>
          <w:rFonts w:ascii="宋体" w:hAnsi="宋体"/>
          <w:color w:val="auto"/>
          <w:sz w:val="24"/>
          <w:szCs w:val="24"/>
          <w:highlight w:val="none"/>
        </w:rPr>
        <w:t>进行</w:t>
      </w:r>
      <w:r>
        <w:rPr>
          <w:rFonts w:hint="eastAsia" w:ascii="宋体" w:hAnsi="宋体"/>
          <w:color w:val="auto"/>
          <w:sz w:val="24"/>
          <w:szCs w:val="24"/>
          <w:highlight w:val="none"/>
        </w:rPr>
        <w:t>屏蔽。屏蔽信号可采用新增硬接点开入方式实现，或采用开关两侧闸刀分位信号。</w:t>
      </w:r>
    </w:p>
    <w:p w14:paraId="7915F659">
      <w:pPr>
        <w:spacing w:line="360" w:lineRule="auto"/>
        <w:ind w:firstLine="425"/>
        <w:rPr>
          <w:rFonts w:ascii="宋体" w:hAnsi="宋体"/>
          <w:color w:val="auto"/>
          <w:sz w:val="24"/>
          <w:szCs w:val="24"/>
          <w:highlight w:val="none"/>
        </w:rPr>
      </w:pPr>
      <w:r>
        <w:rPr>
          <w:rFonts w:hint="eastAsia" w:ascii="宋体" w:hAnsi="宋体"/>
          <w:color w:val="auto"/>
          <w:sz w:val="24"/>
          <w:szCs w:val="24"/>
          <w:highlight w:val="none"/>
        </w:rPr>
        <w:t>正常停机时，应对与机组相关的间隔事故信号</w:t>
      </w:r>
      <w:r>
        <w:rPr>
          <w:rFonts w:ascii="宋体" w:hAnsi="宋体"/>
          <w:color w:val="auto"/>
          <w:sz w:val="24"/>
          <w:szCs w:val="24"/>
          <w:highlight w:val="none"/>
        </w:rPr>
        <w:t>进行</w:t>
      </w:r>
      <w:r>
        <w:rPr>
          <w:rFonts w:hint="eastAsia" w:ascii="宋体" w:hAnsi="宋体"/>
          <w:color w:val="auto"/>
          <w:sz w:val="24"/>
          <w:szCs w:val="24"/>
          <w:highlight w:val="none"/>
        </w:rPr>
        <w:t>屏蔽。屏蔽信号可采用新增硬接点开入方式实现，如采用紧急停机按钮1和紧急停机按钮2、手动MFT按钮等信号</w:t>
      </w:r>
    </w:p>
    <w:p w14:paraId="57EDF4EC">
      <w:pPr>
        <w:spacing w:line="360" w:lineRule="auto"/>
        <w:rPr>
          <w:color w:val="auto"/>
          <w:kern w:val="0"/>
          <w:sz w:val="24"/>
          <w:szCs w:val="24"/>
          <w:highlight w:val="none"/>
        </w:rPr>
      </w:pPr>
      <w:r>
        <w:rPr>
          <w:rFonts w:hint="eastAsia"/>
          <w:color w:val="auto"/>
          <w:kern w:val="0"/>
          <w:sz w:val="24"/>
          <w:szCs w:val="24"/>
          <w:highlight w:val="none"/>
        </w:rPr>
        <w:t>3.5.18.3.</w:t>
      </w:r>
      <w:bookmarkStart w:id="39" w:name="_Toc478652284"/>
      <w:r>
        <w:rPr>
          <w:rFonts w:hint="eastAsia"/>
          <w:color w:val="auto"/>
          <w:kern w:val="0"/>
          <w:sz w:val="24"/>
          <w:szCs w:val="24"/>
          <w:highlight w:val="none"/>
        </w:rPr>
        <w:t>3  全厂事故总</w:t>
      </w:r>
      <w:r>
        <w:rPr>
          <w:color w:val="auto"/>
          <w:kern w:val="0"/>
          <w:sz w:val="24"/>
          <w:szCs w:val="24"/>
          <w:highlight w:val="none"/>
        </w:rPr>
        <w:t>信号合成逻辑</w:t>
      </w:r>
      <w:bookmarkEnd w:id="39"/>
    </w:p>
    <w:p w14:paraId="4C5DF493">
      <w:pPr>
        <w:ind w:firstLine="480" w:firstLineChars="200"/>
        <w:rPr>
          <w:rFonts w:ascii="宋体" w:hAnsi="宋体"/>
          <w:color w:val="auto"/>
          <w:kern w:val="0"/>
          <w:sz w:val="24"/>
          <w:szCs w:val="24"/>
          <w:highlight w:val="none"/>
        </w:rPr>
      </w:pPr>
      <w:r>
        <w:rPr>
          <w:rFonts w:hint="eastAsia" w:ascii="宋体" w:hAnsi="宋体"/>
          <w:color w:val="auto"/>
          <w:kern w:val="0"/>
          <w:sz w:val="24"/>
          <w:szCs w:val="24"/>
          <w:highlight w:val="none"/>
        </w:rPr>
        <w:t>应由间隔事故信号上升沿触发，延时15秒自动复归，参数可设定，如图3所示。</w:t>
      </w:r>
    </w:p>
    <w:p w14:paraId="1529947A">
      <w:pPr>
        <w:rPr>
          <w:rFonts w:ascii="宋体" w:hAnsi="宋体"/>
          <w:b/>
          <w:color w:val="auto"/>
          <w:kern w:val="0"/>
          <w:highlight w:val="none"/>
        </w:rPr>
      </w:pPr>
      <w:r>
        <w:rPr>
          <w:color w:val="auto"/>
          <w:highlight w:val="none"/>
        </w:rPr>
        <w:object>
          <v:shape id="_x0000_i1025" o:spt="75" type="#_x0000_t75" style="height:196.5pt;width:452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r:id="rId14">
            <o:LockedField>false</o:LockedField>
          </o:OLEObject>
        </w:object>
      </w:r>
    </w:p>
    <w:p w14:paraId="3BB2F822">
      <w:pPr>
        <w:jc w:val="center"/>
        <w:rPr>
          <w:color w:val="auto"/>
          <w:sz w:val="24"/>
          <w:szCs w:val="24"/>
          <w:highlight w:val="none"/>
        </w:rPr>
      </w:pPr>
      <w:r>
        <w:rPr>
          <w:rFonts w:hint="eastAsia" w:ascii="宋体" w:hAnsi="宋体"/>
          <w:b/>
          <w:color w:val="auto"/>
          <w:kern w:val="0"/>
          <w:sz w:val="24"/>
          <w:szCs w:val="24"/>
          <w:highlight w:val="none"/>
        </w:rPr>
        <w:t>图3：全厂事故总信号合成逻辑图</w:t>
      </w:r>
      <w:bookmarkStart w:id="40" w:name="_Toc478652285"/>
    </w:p>
    <w:p w14:paraId="39D0D886">
      <w:pPr>
        <w:adjustRightInd w:val="0"/>
        <w:snapToGrid w:val="0"/>
        <w:spacing w:line="360" w:lineRule="auto"/>
        <w:rPr>
          <w:rFonts w:hint="eastAsia"/>
          <w:color w:val="auto"/>
          <w:kern w:val="0"/>
          <w:sz w:val="24"/>
          <w:szCs w:val="24"/>
          <w:highlight w:val="none"/>
        </w:rPr>
      </w:pPr>
    </w:p>
    <w:p w14:paraId="0ECFE75D">
      <w:pPr>
        <w:adjustRightInd w:val="0"/>
        <w:snapToGrid w:val="0"/>
        <w:spacing w:line="360" w:lineRule="auto"/>
        <w:rPr>
          <w:color w:val="auto"/>
          <w:kern w:val="0"/>
          <w:sz w:val="24"/>
          <w:szCs w:val="24"/>
          <w:highlight w:val="none"/>
        </w:rPr>
      </w:pPr>
      <w:r>
        <w:rPr>
          <w:rFonts w:hint="eastAsia"/>
          <w:color w:val="auto"/>
          <w:kern w:val="0"/>
          <w:sz w:val="24"/>
          <w:szCs w:val="24"/>
          <w:highlight w:val="none"/>
        </w:rPr>
        <w:t>3.5.18.4  上送</w:t>
      </w:r>
      <w:r>
        <w:rPr>
          <w:color w:val="auto"/>
          <w:kern w:val="0"/>
          <w:sz w:val="24"/>
          <w:szCs w:val="24"/>
          <w:highlight w:val="none"/>
        </w:rPr>
        <w:t>调度</w:t>
      </w:r>
      <w:r>
        <w:rPr>
          <w:rFonts w:hint="eastAsia"/>
          <w:color w:val="auto"/>
          <w:kern w:val="0"/>
          <w:sz w:val="24"/>
          <w:szCs w:val="24"/>
          <w:highlight w:val="none"/>
        </w:rPr>
        <w:t>主站信息</w:t>
      </w:r>
      <w:bookmarkEnd w:id="40"/>
    </w:p>
    <w:p w14:paraId="4DA0D4F8">
      <w:pPr>
        <w:adjustRightInd w:val="0"/>
        <w:snapToGrid w:val="0"/>
        <w:spacing w:line="360" w:lineRule="auto"/>
        <w:rPr>
          <w:rFonts w:ascii="宋体" w:hAnsi="宋体"/>
          <w:color w:val="auto"/>
          <w:sz w:val="24"/>
          <w:szCs w:val="24"/>
          <w:highlight w:val="none"/>
        </w:rPr>
      </w:pPr>
      <w:r>
        <w:rPr>
          <w:rFonts w:hint="eastAsia" w:ascii="宋体" w:hAnsi="宋体"/>
          <w:color w:val="auto"/>
          <w:sz w:val="24"/>
          <w:szCs w:val="24"/>
          <w:highlight w:val="none"/>
        </w:rPr>
        <w:t>1） 间隔</w:t>
      </w:r>
      <w:r>
        <w:rPr>
          <w:rFonts w:ascii="宋体" w:hAnsi="宋体"/>
          <w:color w:val="auto"/>
          <w:sz w:val="24"/>
          <w:szCs w:val="24"/>
          <w:highlight w:val="none"/>
        </w:rPr>
        <w:t>事故信号：</w:t>
      </w:r>
      <w:r>
        <w:rPr>
          <w:rFonts w:hint="eastAsia" w:ascii="宋体" w:hAnsi="宋体"/>
          <w:color w:val="auto"/>
          <w:sz w:val="24"/>
          <w:szCs w:val="24"/>
          <w:highlight w:val="none"/>
        </w:rPr>
        <w:t>包括发电机、主变、线路等开关间隔事故信号。</w:t>
      </w:r>
    </w:p>
    <w:p w14:paraId="12698228">
      <w:pPr>
        <w:adjustRightInd w:val="0"/>
        <w:snapToGrid w:val="0"/>
        <w:spacing w:line="360" w:lineRule="auto"/>
        <w:rPr>
          <w:rFonts w:ascii="宋体" w:hAnsi="宋体"/>
          <w:color w:val="auto"/>
          <w:sz w:val="24"/>
          <w:szCs w:val="24"/>
          <w:highlight w:val="none"/>
        </w:rPr>
      </w:pPr>
      <w:r>
        <w:rPr>
          <w:rFonts w:hint="eastAsia" w:ascii="宋体" w:hAnsi="宋体"/>
          <w:color w:val="auto"/>
          <w:sz w:val="24"/>
          <w:szCs w:val="24"/>
          <w:highlight w:val="none"/>
        </w:rPr>
        <w:t>2） 设备保护动作综合信号：包括变压器、线路、母线、机组等保护动作综合信号。</w:t>
      </w:r>
    </w:p>
    <w:p w14:paraId="2FAFC3FA">
      <w:pPr>
        <w:adjustRightInd w:val="0"/>
        <w:snapToGrid w:val="0"/>
        <w:spacing w:line="360" w:lineRule="auto"/>
        <w:rPr>
          <w:rFonts w:hint="eastAsia" w:ascii="宋体" w:hAnsi="宋体" w:cs="宋体"/>
          <w:color w:val="auto"/>
          <w:sz w:val="24"/>
          <w:szCs w:val="24"/>
          <w:highlight w:val="none"/>
        </w:rPr>
      </w:pPr>
      <w:r>
        <w:rPr>
          <w:rFonts w:hint="eastAsia" w:ascii="宋体" w:hAnsi="宋体"/>
          <w:color w:val="auto"/>
          <w:sz w:val="24"/>
          <w:szCs w:val="24"/>
          <w:highlight w:val="none"/>
        </w:rPr>
        <w:t xml:space="preserve">3） </w:t>
      </w:r>
      <w:r>
        <w:rPr>
          <w:rFonts w:hint="eastAsia" w:ascii="宋体" w:hAnsi="宋体" w:cs="宋体"/>
          <w:color w:val="auto"/>
          <w:sz w:val="24"/>
          <w:szCs w:val="24"/>
          <w:highlight w:val="none"/>
        </w:rPr>
        <w:t>全厂事故总信号：由各间隔事故信号通过“或”逻辑计算合成。</w:t>
      </w:r>
    </w:p>
    <w:p w14:paraId="0E385C98">
      <w:pPr>
        <w:adjustRightInd w:val="0"/>
        <w:snapToGrid w:val="0"/>
        <w:spacing w:line="360" w:lineRule="auto"/>
        <w:rPr>
          <w:rFonts w:hint="eastAsia"/>
          <w:color w:val="auto"/>
          <w:kern w:val="0"/>
          <w:sz w:val="24"/>
          <w:szCs w:val="24"/>
          <w:highlight w:val="none"/>
        </w:rPr>
      </w:pPr>
      <w:r>
        <w:rPr>
          <w:rFonts w:hint="eastAsia" w:ascii="宋体" w:hAnsi="宋体" w:cs="宋体"/>
          <w:color w:val="auto"/>
          <w:kern w:val="0"/>
          <w:sz w:val="24"/>
          <w:szCs w:val="24"/>
          <w:highlight w:val="none"/>
        </w:rPr>
        <w:t>3.5.19网络监控系统后台需具备Agent程序，支持网络安全监测装置的接入</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全站主机探针程序应通过中国电力科学研究院检测</w:t>
      </w:r>
      <w:r>
        <w:rPr>
          <w:rFonts w:hint="eastAsia" w:ascii="宋体" w:hAnsi="宋体" w:cs="宋体"/>
          <w:color w:val="auto"/>
          <w:kern w:val="0"/>
          <w:sz w:val="24"/>
          <w:szCs w:val="24"/>
          <w:highlight w:val="none"/>
        </w:rPr>
        <w:t>。</w:t>
      </w:r>
    </w:p>
    <w:p w14:paraId="0F255A9B">
      <w:pPr>
        <w:adjustRightInd w:val="0"/>
        <w:snapToGrid w:val="0"/>
        <w:spacing w:line="360" w:lineRule="auto"/>
        <w:outlineLvl w:val="9"/>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3.5.20 微机五防</w:t>
      </w:r>
    </w:p>
    <w:p w14:paraId="2321076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应提供一套五防工作站，负责</w:t>
      </w:r>
      <w:r>
        <w:rPr>
          <w:rFonts w:hint="eastAsia" w:ascii="宋体" w:hAnsi="宋体" w:eastAsia="宋体" w:cs="宋体"/>
          <w:color w:val="auto"/>
          <w:sz w:val="24"/>
          <w:szCs w:val="24"/>
          <w:highlight w:val="none"/>
          <w:lang w:val="en-US" w:eastAsia="zh-CN"/>
        </w:rPr>
        <w:t>750kV和110kV</w:t>
      </w:r>
      <w:r>
        <w:rPr>
          <w:rFonts w:hint="eastAsia" w:ascii="宋体" w:hAnsi="宋体" w:eastAsia="宋体" w:cs="宋体"/>
          <w:color w:val="auto"/>
          <w:sz w:val="24"/>
          <w:szCs w:val="24"/>
          <w:highlight w:val="none"/>
        </w:rPr>
        <w:t>电压等级的电气设备的五防闭锁功能和操作演示功能。完成配电装置五防闭锁模拟操作、运行操作培训和五防操作票的生成等功能，五防应与监控系统共享数据。按照国家电网《防止电气误操作安全管理规定》中的要求，</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所提供的微机防误装置的机械挂锁应采用防锈和防腐材料制作。远方操作中使用的微机防误装置电编码锁必须具有</w:t>
      </w:r>
      <w:r>
        <w:rPr>
          <w:rFonts w:hint="default" w:ascii="Times New Roman" w:hAnsi="Times New Roman" w:cs="Times New Roman" w:eastAsiaTheme="minorEastAsia"/>
          <w:color w:val="auto"/>
          <w:sz w:val="24"/>
          <w:szCs w:val="24"/>
          <w:highlight w:val="none"/>
        </w:rPr>
        <w:t>远</w:t>
      </w:r>
      <w:r>
        <w:rPr>
          <w:rFonts w:hint="eastAsia" w:ascii="宋体" w:hAnsi="宋体" w:eastAsia="宋体" w:cs="宋体"/>
          <w:color w:val="auto"/>
          <w:sz w:val="24"/>
          <w:szCs w:val="24"/>
          <w:highlight w:val="none"/>
        </w:rPr>
        <w:t>方遥控开锁和就地电脑钥匙开锁的双重属性。采用蓝牙或者无线网络技术，分别由冗余的主站、基站或者冗余的无线网络控制器、无线路由器和无线电脑钥匙组成，同时应配置钥匙管理机及至少3把电脑钥匙，系统配置及成套锁具应满足工程需要提供而不发生价格问题。</w:t>
      </w:r>
      <w:r>
        <w:rPr>
          <w:rFonts w:hint="eastAsia" w:ascii="宋体" w:hAnsi="宋体" w:eastAsia="宋体" w:cs="宋体"/>
          <w:color w:val="auto"/>
          <w:sz w:val="24"/>
          <w:szCs w:val="24"/>
          <w:highlight w:val="none"/>
        </w:rPr>
        <w:t>五防工作站选择长园共创、</w:t>
      </w:r>
      <w:r>
        <w:rPr>
          <w:rFonts w:hint="eastAsia" w:ascii="宋体" w:hAnsi="宋体" w:cs="宋体"/>
          <w:color w:val="auto"/>
          <w:sz w:val="24"/>
          <w:szCs w:val="24"/>
          <w:highlight w:val="none"/>
          <w:lang w:val="en-US" w:eastAsia="zh-CN"/>
        </w:rPr>
        <w:t>珠海优特、</w:t>
      </w:r>
      <w:r>
        <w:rPr>
          <w:rFonts w:hint="eastAsia" w:ascii="宋体" w:hAnsi="宋体" w:eastAsia="宋体" w:cs="宋体"/>
          <w:color w:val="auto"/>
          <w:sz w:val="24"/>
          <w:szCs w:val="24"/>
          <w:highlight w:val="none"/>
        </w:rPr>
        <w:t>南瑞继保或相当于产品。</w:t>
      </w:r>
    </w:p>
    <w:p w14:paraId="126675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微机五防系统要求配置通讯适配器来实现模拟操作、操作票传输、五防闭锁等功能；要求采用数据库结构，需可自行绘制与修改主接线图，可定义与修改五防闭锁关系程序；同时系统必须具有语音、文字提示功能，提供从模拟预演到现场倒闸操作全程的语音、文字提示，并能以专业五防术语提示错误操作类型。</w:t>
      </w:r>
    </w:p>
    <w:p w14:paraId="605AB0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还需配置操作票专家系统以便打印、显示、存储、删除操作票和操作权限分级管；同时需要能够通过与监控系统通讯接口，实现与现场一次设备实时在线自动对位和对监控操作的软件闭锁功能。还应具有以下功能：</w:t>
      </w:r>
    </w:p>
    <w:p w14:paraId="2838A8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1）设备对位</w:t>
      </w:r>
    </w:p>
    <w:p w14:paraId="47B2E1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系统可通过电脑图形模拟系统的模拟元件直观地反映设备的工作状态，通过记忆对位的方式或通过与监控通讯，接收监控系统发来的实遥信的方式显示各元件的状态与实际设备运行状态的一致。</w:t>
      </w:r>
    </w:p>
    <w:p w14:paraId="03C8FD1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2）五防模拟操作及仿真培训</w:t>
      </w:r>
    </w:p>
    <w:p w14:paraId="4239BA4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模拟操作时，防误主机实时监控模拟过程，对正确的操作予以通过，对错误的操作应实施闭锁并以智能语音发出报警，同时以汉字形式给出报警提示，指示运行人员复归并选择正确的操作。</w:t>
      </w:r>
    </w:p>
    <w:p w14:paraId="6CFE14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3）存储和发送操作票</w:t>
      </w:r>
    </w:p>
    <w:p w14:paraId="1334B1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模拟预演结束后，系统可将正确的操作内容（一次或二次操作票）自动存储并传输到电脑钥匙中，电脑钥匙接收操作票以后，可依照电脑钥匙中的操作步骤到现场进行倒闸操作。</w:t>
      </w:r>
    </w:p>
    <w:p w14:paraId="5C40B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4）汇报对位功能</w:t>
      </w:r>
    </w:p>
    <w:p w14:paraId="0FF66F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倒闸操作完毕，电脑钥匙插回传送座，通过记忆方式将现场设备状态反馈给防误主机，实现图形系统设备状态与现场一致。系统应支持提前终止操作时的汇报对位，确保系统与现场设备状态的对位。</w:t>
      </w:r>
    </w:p>
    <w:p w14:paraId="393DD8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5）系统维护功能</w:t>
      </w:r>
    </w:p>
    <w:p w14:paraId="5D9BD4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有权限的用户能够对系统数据进行维护，在防误主机辅助工具软件配合下对系统图形进行维护，实现闭锁编码测试、锁具开锁测试、设备编码采集等功能，可以根据使用情况对系统进行参数配置。</w:t>
      </w:r>
    </w:p>
    <w:p w14:paraId="566518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6）“黑匣子”功能</w:t>
      </w:r>
    </w:p>
    <w:p w14:paraId="6DF84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系统应可自动记忆电脑钥匙汇报的近3个月倒闸操作任务的实际操作（含未遂误操作）情况，所有资料采用固化式记忆，失电情况下不改变、不丢失，只能阅读和打印，提供事故分析的依据。</w:t>
      </w:r>
    </w:p>
    <w:p w14:paraId="7D95ED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7）语音提示功能</w:t>
      </w:r>
    </w:p>
    <w:p w14:paraId="46A8E0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系统在模拟预演及倒闸操作的全过程，图形模拟系统及电脑钥匙均能以清晰明确的语音给出操作提示，指导运行人员正确使用系统和操作设备。</w:t>
      </w:r>
    </w:p>
    <w:p w14:paraId="46FA00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8）多任务并行操作功能</w:t>
      </w:r>
    </w:p>
    <w:p w14:paraId="1A6782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系统应支持多任务并行操作，允许多个操作班组同时进行倒闸操作。</w:t>
      </w:r>
    </w:p>
    <w:p w14:paraId="666078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9）通讯接口功能</w:t>
      </w:r>
    </w:p>
    <w:p w14:paraId="7A8573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应支持与任何监控系统接口，实现对监控后台操作或远方调度操作等操作方式下对一次设备的强制闭锁；五防系统应实现与监控系统遥信量的互传；五防系统与监控系统接口应不影响各自运行的独立性。能够与现场6kV开关柜一键顺控功能通讯。</w:t>
      </w:r>
    </w:p>
    <w:p w14:paraId="604CE1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闭锁方式如下：</w:t>
      </w:r>
    </w:p>
    <w:p w14:paraId="7F340E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根据各一次设备操作机械不同，选用相应闭锁方案及锁具，满足强制闭锁的要求。</w:t>
      </w:r>
    </w:p>
    <w:p w14:paraId="5C3C9E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厂内由监控远动操作的设备通过与监控系统通信采用软闭锁来实现；就地操作时通过直流电气锁进行闭锁。</w:t>
      </w:r>
    </w:p>
    <w:p w14:paraId="259D7E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电动刀闸（含地刀）采用交直流电气锁闭锁其操作回路或利用机械编码锁闭锁其控制箱门。</w:t>
      </w:r>
    </w:p>
    <w:p w14:paraId="529AAF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手动操作刀闸（含地刀）采用机械编码锁闭锁。</w:t>
      </w:r>
    </w:p>
    <w:p w14:paraId="2FFECD9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各类锁具的安装或选型现场的实际情况为准。</w:t>
      </w:r>
    </w:p>
    <w:p w14:paraId="6B48CF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编码锁叶片锁芯安全等级需达到C级防盗开启标准，并提供公安部出具的C级防盗叶片锁芯的检测报告。</w:t>
      </w:r>
    </w:p>
    <w:p w14:paraId="26DB56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微机防误闭锁系统应包含五防系统、地线管理、钥匙管理机系统功能，分别配置各套管理系统，并进行统一集成。设备范围需涵盖</w:t>
      </w:r>
      <w:r>
        <w:rPr>
          <w:rFonts w:hint="eastAsia" w:ascii="宋体" w:hAnsi="宋体" w:eastAsia="宋体" w:cs="宋体"/>
          <w:color w:val="auto"/>
          <w:sz w:val="24"/>
          <w:szCs w:val="24"/>
          <w:highlight w:val="none"/>
          <w:lang w:val="en-US" w:eastAsia="zh-CN"/>
        </w:rPr>
        <w:t>750</w:t>
      </w:r>
      <w:r>
        <w:rPr>
          <w:rFonts w:hint="eastAsia" w:ascii="宋体" w:hAnsi="宋体" w:eastAsia="宋体" w:cs="宋体"/>
          <w:color w:val="auto"/>
          <w:sz w:val="24"/>
          <w:szCs w:val="24"/>
          <w:highlight w:val="none"/>
        </w:rPr>
        <w:t>kV 、</w:t>
      </w:r>
      <w:r>
        <w:rPr>
          <w:rFonts w:hint="eastAsia" w:ascii="宋体" w:hAnsi="宋体" w:eastAsia="宋体" w:cs="宋体"/>
          <w:color w:val="auto"/>
          <w:sz w:val="24"/>
          <w:szCs w:val="24"/>
          <w:highlight w:val="none"/>
          <w:lang w:val="en-US" w:eastAsia="zh-CN"/>
        </w:rPr>
        <w:t>110kV设备等</w:t>
      </w:r>
      <w:r>
        <w:rPr>
          <w:rFonts w:hint="eastAsia" w:ascii="宋体" w:hAnsi="宋体" w:eastAsia="宋体" w:cs="宋体"/>
          <w:color w:val="auto"/>
          <w:sz w:val="24"/>
          <w:szCs w:val="24"/>
          <w:highlight w:val="none"/>
        </w:rPr>
        <w:t>的五防管理，并有适当扩容预留。</w:t>
      </w:r>
    </w:p>
    <w:p w14:paraId="60BC81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硬件主要包括：通讯适配器、电脑钥匙、各种锁具及相关附件、五防工作站、打印机。</w:t>
      </w:r>
    </w:p>
    <w:p w14:paraId="332F3F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软件主要包括：图形操作票专家系统软件、多任务并行操作系统软件、监控系统接口软件、操作管理系统软件（黑匣子）。</w:t>
      </w:r>
    </w:p>
    <w:p w14:paraId="638C9848">
      <w:pPr>
        <w:numPr>
          <w:ilvl w:val="-1"/>
          <w:numId w:val="0"/>
        </w:numPr>
        <w:spacing w:line="360" w:lineRule="auto"/>
        <w:ind w:left="480" w:firstLine="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3.5.21 </w:t>
      </w:r>
      <w:r>
        <w:rPr>
          <w:rFonts w:hint="eastAsia" w:ascii="宋体" w:hAnsi="宋体" w:cs="宋体"/>
          <w:color w:val="auto"/>
          <w:sz w:val="24"/>
          <w:szCs w:val="24"/>
          <w:highlight w:val="none"/>
        </w:rPr>
        <w:t>断路器操作箱</w:t>
      </w:r>
    </w:p>
    <w:p w14:paraId="24928DFB">
      <w:pPr>
        <w:spacing w:line="360" w:lineRule="auto"/>
        <w:ind w:firstLine="720" w:firstLine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7台操作箱放在7面断路器测控柜内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操作箱需具备以下功能：</w:t>
      </w:r>
    </w:p>
    <w:p w14:paraId="61AD175E">
      <w:pPr>
        <w:numPr>
          <w:ilvl w:val="0"/>
          <w:numId w:val="41"/>
        </w:numPr>
        <w:tabs>
          <w:tab w:val="left" w:pos="900"/>
          <w:tab w:val="clear" w:pos="644"/>
        </w:tabs>
        <w:spacing w:line="360" w:lineRule="auto"/>
        <w:ind w:left="900" w:hanging="180"/>
        <w:rPr>
          <w:rFonts w:hint="eastAsia" w:ascii="宋体" w:hAnsi="宋体" w:cs="宋体"/>
          <w:color w:val="auto"/>
          <w:sz w:val="24"/>
          <w:szCs w:val="24"/>
          <w:highlight w:val="none"/>
        </w:rPr>
      </w:pPr>
      <w:r>
        <w:rPr>
          <w:rFonts w:hint="eastAsia" w:ascii="宋体" w:hAnsi="宋体" w:cs="宋体"/>
          <w:color w:val="auto"/>
          <w:sz w:val="24"/>
          <w:szCs w:val="24"/>
          <w:highlight w:val="none"/>
        </w:rPr>
        <w:t>具有分合闸回路监视功能</w:t>
      </w:r>
    </w:p>
    <w:p w14:paraId="31089398">
      <w:pPr>
        <w:numPr>
          <w:ilvl w:val="0"/>
          <w:numId w:val="41"/>
        </w:numPr>
        <w:tabs>
          <w:tab w:val="left" w:pos="900"/>
          <w:tab w:val="clear" w:pos="644"/>
        </w:tabs>
        <w:spacing w:line="360" w:lineRule="auto"/>
        <w:ind w:left="900" w:hanging="180"/>
        <w:rPr>
          <w:rFonts w:hint="eastAsia" w:ascii="宋体" w:hAnsi="宋体" w:cs="宋体"/>
          <w:color w:val="auto"/>
          <w:sz w:val="24"/>
          <w:szCs w:val="24"/>
          <w:highlight w:val="none"/>
        </w:rPr>
      </w:pPr>
      <w:r>
        <w:rPr>
          <w:rFonts w:hint="eastAsia" w:ascii="宋体" w:hAnsi="宋体" w:cs="宋体"/>
          <w:color w:val="auto"/>
          <w:sz w:val="24"/>
          <w:szCs w:val="24"/>
          <w:highlight w:val="none"/>
        </w:rPr>
        <w:t>具有直流控制电源监视功能。</w:t>
      </w:r>
    </w:p>
    <w:p w14:paraId="1738AEC8">
      <w:pPr>
        <w:numPr>
          <w:ilvl w:val="0"/>
          <w:numId w:val="41"/>
        </w:numPr>
        <w:tabs>
          <w:tab w:val="left" w:pos="900"/>
          <w:tab w:val="clear" w:pos="644"/>
        </w:tabs>
        <w:spacing w:line="360" w:lineRule="auto"/>
        <w:ind w:left="900" w:hanging="180"/>
        <w:rPr>
          <w:rFonts w:hint="eastAsia" w:ascii="宋体" w:hAnsi="宋体" w:cs="宋体"/>
          <w:color w:val="auto"/>
          <w:sz w:val="24"/>
          <w:szCs w:val="24"/>
          <w:highlight w:val="none"/>
        </w:rPr>
      </w:pPr>
      <w:r>
        <w:rPr>
          <w:rFonts w:hint="eastAsia" w:ascii="宋体" w:hAnsi="宋体" w:cs="宋体"/>
          <w:color w:val="auto"/>
          <w:sz w:val="24"/>
          <w:szCs w:val="24"/>
          <w:highlight w:val="none"/>
        </w:rPr>
        <w:t>具有手跳手合回路</w:t>
      </w:r>
    </w:p>
    <w:p w14:paraId="50B65E62">
      <w:pPr>
        <w:numPr>
          <w:ilvl w:val="0"/>
          <w:numId w:val="41"/>
        </w:numPr>
        <w:tabs>
          <w:tab w:val="left" w:pos="900"/>
          <w:tab w:val="clear" w:pos="644"/>
        </w:tabs>
        <w:spacing w:line="360" w:lineRule="auto"/>
        <w:ind w:left="900" w:hanging="180"/>
        <w:rPr>
          <w:rFonts w:hint="eastAsia" w:ascii="宋体" w:hAnsi="宋体" w:cs="宋体"/>
          <w:color w:val="auto"/>
          <w:sz w:val="24"/>
          <w:szCs w:val="24"/>
          <w:highlight w:val="none"/>
        </w:rPr>
      </w:pPr>
      <w:r>
        <w:rPr>
          <w:rFonts w:hint="eastAsia" w:ascii="宋体" w:hAnsi="宋体" w:cs="宋体"/>
          <w:color w:val="auto"/>
          <w:sz w:val="24"/>
          <w:szCs w:val="24"/>
          <w:highlight w:val="none"/>
        </w:rPr>
        <w:t>具有低气压闭锁重合闸回路</w:t>
      </w:r>
    </w:p>
    <w:p w14:paraId="04D0F7AB">
      <w:pPr>
        <w:numPr>
          <w:ilvl w:val="0"/>
          <w:numId w:val="41"/>
        </w:numPr>
        <w:tabs>
          <w:tab w:val="left" w:pos="900"/>
          <w:tab w:val="clear" w:pos="644"/>
        </w:tabs>
        <w:ind w:left="900" w:hanging="180"/>
        <w:rPr>
          <w:rFonts w:hint="default"/>
          <w:color w:val="auto"/>
          <w:highlight w:val="none"/>
          <w:lang w:val="en-US" w:eastAsia="zh-CN"/>
        </w:rPr>
      </w:pPr>
      <w:r>
        <w:rPr>
          <w:rFonts w:hint="eastAsia" w:ascii="宋体" w:hAnsi="宋体" w:cs="宋体"/>
          <w:color w:val="auto"/>
          <w:sz w:val="24"/>
          <w:szCs w:val="24"/>
          <w:highlight w:val="none"/>
        </w:rPr>
        <w:t>其它相关操作箱功能</w:t>
      </w:r>
    </w:p>
    <w:p w14:paraId="72474532">
      <w:pPr>
        <w:rPr>
          <w:rFonts w:hint="default"/>
          <w:color w:val="auto"/>
          <w:highlight w:val="none"/>
          <w:lang w:val="en-US" w:eastAsia="zh-CN"/>
        </w:rPr>
      </w:pPr>
    </w:p>
    <w:p w14:paraId="4550B435">
      <w:pPr>
        <w:spacing w:line="360" w:lineRule="auto"/>
        <w:rPr>
          <w:rFonts w:ascii="宋体"/>
          <w:b/>
          <w:color w:val="auto"/>
          <w:sz w:val="24"/>
          <w:szCs w:val="24"/>
          <w:highlight w:val="none"/>
        </w:rPr>
      </w:pPr>
      <w:bookmarkStart w:id="41" w:name="_Toc61442367"/>
      <w:bookmarkStart w:id="42" w:name="_Toc320606847"/>
      <w:r>
        <w:rPr>
          <w:rFonts w:hint="eastAsia" w:ascii="宋体"/>
          <w:b/>
          <w:color w:val="auto"/>
          <w:sz w:val="24"/>
          <w:szCs w:val="24"/>
          <w:highlight w:val="none"/>
        </w:rPr>
        <w:t>3.</w:t>
      </w:r>
      <w:r>
        <w:rPr>
          <w:rFonts w:ascii="宋体"/>
          <w:b/>
          <w:color w:val="auto"/>
          <w:sz w:val="24"/>
          <w:szCs w:val="24"/>
          <w:highlight w:val="none"/>
        </w:rPr>
        <w:t>6</w:t>
      </w:r>
      <w:r>
        <w:rPr>
          <w:rFonts w:hint="eastAsia" w:ascii="宋体"/>
          <w:b/>
          <w:color w:val="auto"/>
          <w:sz w:val="24"/>
          <w:szCs w:val="24"/>
          <w:highlight w:val="none"/>
        </w:rPr>
        <w:t xml:space="preserve">  系统硬件配置</w:t>
      </w:r>
      <w:bookmarkEnd w:id="41"/>
      <w:bookmarkEnd w:id="42"/>
    </w:p>
    <w:p w14:paraId="4402E8C0">
      <w:pPr>
        <w:spacing w:line="360" w:lineRule="auto"/>
        <w:rPr>
          <w:rFonts w:ascii="宋体"/>
          <w:color w:val="auto"/>
          <w:sz w:val="24"/>
          <w:szCs w:val="24"/>
          <w:highlight w:val="none"/>
        </w:rPr>
      </w:pPr>
      <w:r>
        <w:rPr>
          <w:rFonts w:hint="eastAsia"/>
          <w:color w:val="auto"/>
          <w:kern w:val="0"/>
          <w:sz w:val="24"/>
          <w:szCs w:val="24"/>
          <w:highlight w:val="none"/>
        </w:rPr>
        <w:t>3.</w:t>
      </w:r>
      <w:r>
        <w:rPr>
          <w:color w:val="auto"/>
          <w:kern w:val="0"/>
          <w:sz w:val="24"/>
          <w:szCs w:val="24"/>
          <w:highlight w:val="none"/>
        </w:rPr>
        <w:t>6</w:t>
      </w:r>
      <w:r>
        <w:rPr>
          <w:rFonts w:hint="eastAsia"/>
          <w:color w:val="auto"/>
          <w:kern w:val="0"/>
          <w:sz w:val="24"/>
          <w:szCs w:val="24"/>
          <w:highlight w:val="none"/>
        </w:rPr>
        <w:t>.1</w:t>
      </w:r>
      <w:r>
        <w:rPr>
          <w:rFonts w:hint="eastAsia" w:ascii="宋体"/>
          <w:color w:val="auto"/>
          <w:sz w:val="24"/>
          <w:szCs w:val="24"/>
          <w:highlight w:val="none"/>
        </w:rPr>
        <w:t>计算机监控系统应是具有标准化设计、灵活可靠的计算机网络体系，功能分散、结构合理、开放性好的成熟产品。</w:t>
      </w:r>
      <w:r>
        <w:rPr>
          <w:rFonts w:ascii="宋体"/>
          <w:color w:val="auto"/>
          <w:sz w:val="24"/>
          <w:szCs w:val="24"/>
          <w:highlight w:val="none"/>
        </w:rPr>
        <w:t>它所采用的主要部件，如运行人员操作站、打印机、计算机网络等都为在国际计算机市场上占有一定比例的产品，以便符合计算机产业的发展方向和适应电力工业应用环境，具有较好的技术支持。投标人保证提供在硬件设备冻结时合同价格下性能最好的硬件设备。</w:t>
      </w:r>
    </w:p>
    <w:p w14:paraId="0D0C7C4F">
      <w:pPr>
        <w:spacing w:line="360" w:lineRule="auto"/>
        <w:rPr>
          <w:rFonts w:ascii="宋体"/>
          <w:color w:val="auto"/>
          <w:sz w:val="24"/>
          <w:szCs w:val="24"/>
          <w:highlight w:val="none"/>
        </w:rPr>
      </w:pPr>
      <w:r>
        <w:rPr>
          <w:rFonts w:hint="eastAsia"/>
          <w:color w:val="auto"/>
          <w:kern w:val="0"/>
          <w:sz w:val="24"/>
          <w:szCs w:val="24"/>
          <w:highlight w:val="none"/>
        </w:rPr>
        <w:t>3.</w:t>
      </w:r>
      <w:r>
        <w:rPr>
          <w:color w:val="auto"/>
          <w:kern w:val="0"/>
          <w:sz w:val="24"/>
          <w:szCs w:val="24"/>
          <w:highlight w:val="none"/>
        </w:rPr>
        <w:t>6</w:t>
      </w:r>
      <w:r>
        <w:rPr>
          <w:rFonts w:hint="eastAsia"/>
          <w:color w:val="auto"/>
          <w:kern w:val="0"/>
          <w:sz w:val="24"/>
          <w:szCs w:val="24"/>
          <w:highlight w:val="none"/>
        </w:rPr>
        <w:t>.2</w:t>
      </w:r>
      <w:r>
        <w:rPr>
          <w:rFonts w:hint="eastAsia" w:ascii="宋体"/>
          <w:color w:val="auto"/>
          <w:sz w:val="24"/>
          <w:szCs w:val="24"/>
          <w:highlight w:val="none"/>
        </w:rPr>
        <w:t>站级控制层硬件设备</w:t>
      </w:r>
    </w:p>
    <w:p w14:paraId="56CF35B9">
      <w:pPr>
        <w:numPr>
          <w:ilvl w:val="0"/>
          <w:numId w:val="42"/>
        </w:numPr>
        <w:spacing w:line="360" w:lineRule="auto"/>
        <w:rPr>
          <w:color w:val="auto"/>
          <w:spacing w:val="10"/>
          <w:sz w:val="24"/>
          <w:szCs w:val="24"/>
          <w:highlight w:val="none"/>
        </w:rPr>
      </w:pPr>
      <w:r>
        <w:rPr>
          <w:rFonts w:hint="eastAsia" w:ascii="宋体"/>
          <w:color w:val="auto"/>
          <w:sz w:val="24"/>
          <w:szCs w:val="24"/>
          <w:highlight w:val="none"/>
        </w:rPr>
        <w:t>主机工作站（采用国产安全操作系统）</w:t>
      </w:r>
    </w:p>
    <w:p w14:paraId="187774B9">
      <w:pPr>
        <w:numPr>
          <w:ilvl w:val="-1"/>
          <w:numId w:val="0"/>
        </w:numPr>
        <w:spacing w:line="360" w:lineRule="auto"/>
        <w:ind w:left="0"/>
        <w:rPr>
          <w:rFonts w:hint="default" w:eastAsia="宋体"/>
          <w:color w:val="auto"/>
          <w:spacing w:val="10"/>
          <w:sz w:val="24"/>
          <w:szCs w:val="24"/>
          <w:highlight w:val="none"/>
          <w:lang w:val="en-US" w:eastAsia="zh-CN"/>
        </w:rPr>
      </w:pPr>
      <w:r>
        <w:rPr>
          <w:rFonts w:hint="eastAsia"/>
          <w:color w:val="auto"/>
          <w:spacing w:val="10"/>
          <w:sz w:val="24"/>
          <w:szCs w:val="24"/>
          <w:highlight w:val="none"/>
          <w:lang w:val="en-US" w:eastAsia="zh-CN"/>
        </w:rPr>
        <w:t>国产安全操作系统需要通过公安监测，有销售许可证。</w:t>
      </w:r>
    </w:p>
    <w:p w14:paraId="300AFE0D">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主计算机的存储和数据处理能力应满足本升压站的远景要求。</w:t>
      </w:r>
    </w:p>
    <w:p w14:paraId="51C08701">
      <w:pPr>
        <w:pStyle w:val="55"/>
        <w:numPr>
          <w:ilvl w:val="0"/>
          <w:numId w:val="43"/>
        </w:numPr>
        <w:spacing w:line="360" w:lineRule="auto"/>
        <w:ind w:firstLineChars="0"/>
        <w:rPr>
          <w:rFonts w:ascii="宋体"/>
          <w:color w:val="auto"/>
          <w:sz w:val="24"/>
          <w:szCs w:val="24"/>
          <w:highlight w:val="none"/>
        </w:rPr>
      </w:pPr>
      <w:r>
        <w:rPr>
          <w:rFonts w:hint="eastAsia" w:ascii="宋体"/>
          <w:color w:val="auto"/>
          <w:sz w:val="24"/>
          <w:szCs w:val="24"/>
          <w:highlight w:val="none"/>
        </w:rPr>
        <w:t>数量：</w:t>
      </w:r>
      <w:r>
        <w:rPr>
          <w:rFonts w:ascii="宋体"/>
          <w:color w:val="auto"/>
          <w:sz w:val="24"/>
          <w:szCs w:val="24"/>
          <w:highlight w:val="none"/>
        </w:rPr>
        <w:t>2</w:t>
      </w:r>
      <w:r>
        <w:rPr>
          <w:rFonts w:hint="eastAsia" w:ascii="宋体"/>
          <w:color w:val="auto"/>
          <w:sz w:val="24"/>
          <w:szCs w:val="24"/>
          <w:highlight w:val="none"/>
        </w:rPr>
        <w:t>套，</w:t>
      </w:r>
      <w:r>
        <w:rPr>
          <w:rFonts w:ascii="宋体"/>
          <w:color w:val="auto"/>
          <w:sz w:val="24"/>
          <w:szCs w:val="24"/>
          <w:highlight w:val="none"/>
        </w:rPr>
        <w:t>组</w:t>
      </w:r>
      <w:r>
        <w:rPr>
          <w:rFonts w:hint="eastAsia" w:ascii="宋体"/>
          <w:color w:val="auto"/>
          <w:sz w:val="24"/>
          <w:szCs w:val="24"/>
          <w:highlight w:val="none"/>
        </w:rPr>
        <w:t>1</w:t>
      </w:r>
      <w:r>
        <w:rPr>
          <w:rFonts w:ascii="宋体"/>
          <w:color w:val="auto"/>
          <w:sz w:val="24"/>
          <w:szCs w:val="24"/>
          <w:highlight w:val="none"/>
        </w:rPr>
        <w:t>面屏</w:t>
      </w:r>
      <w:r>
        <w:rPr>
          <w:rFonts w:hint="eastAsia" w:ascii="宋体"/>
          <w:color w:val="auto"/>
          <w:sz w:val="24"/>
          <w:szCs w:val="24"/>
          <w:highlight w:val="none"/>
        </w:rPr>
        <w:t>，包含鼠标、键盘、显示器一体切换装置</w:t>
      </w:r>
    </w:p>
    <w:p w14:paraId="477781E4">
      <w:pPr>
        <w:numPr>
          <w:ilvl w:val="12"/>
          <w:numId w:val="0"/>
        </w:numPr>
        <w:spacing w:line="360" w:lineRule="auto"/>
        <w:rPr>
          <w:rFonts w:ascii="宋体"/>
          <w:color w:val="auto"/>
          <w:kern w:val="0"/>
          <w:sz w:val="24"/>
          <w:szCs w:val="24"/>
          <w:highlight w:val="none"/>
        </w:rPr>
      </w:pPr>
      <w:r>
        <w:rPr>
          <w:rFonts w:hint="eastAsia" w:ascii="宋体"/>
          <w:color w:val="auto"/>
          <w:sz w:val="24"/>
          <w:szCs w:val="24"/>
          <w:highlight w:val="none"/>
        </w:rPr>
        <w:t>每套至少包括：</w:t>
      </w:r>
    </w:p>
    <w:p w14:paraId="1D8D1CB9">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kern w:val="0"/>
          <w:sz w:val="24"/>
          <w:szCs w:val="24"/>
          <w:highlight w:val="none"/>
        </w:rPr>
        <w:t>类别：工业级服务器</w:t>
      </w:r>
      <w:r>
        <w:rPr>
          <w:rFonts w:hint="eastAsia" w:ascii="宋体"/>
          <w:color w:val="auto"/>
          <w:kern w:val="0"/>
          <w:sz w:val="24"/>
          <w:szCs w:val="24"/>
          <w:highlight w:val="none"/>
        </w:rPr>
        <w:t>，机架式</w:t>
      </w:r>
    </w:p>
    <w:p w14:paraId="6776B301">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kern w:val="0"/>
          <w:sz w:val="24"/>
          <w:szCs w:val="24"/>
          <w:highlight w:val="none"/>
        </w:rPr>
        <w:t>品牌：</w:t>
      </w:r>
      <w:r>
        <w:rPr>
          <w:rFonts w:hint="eastAsia" w:ascii="宋体"/>
          <w:color w:val="auto"/>
          <w:kern w:val="0"/>
          <w:sz w:val="24"/>
          <w:szCs w:val="24"/>
          <w:highlight w:val="none"/>
        </w:rPr>
        <w:t>浪潮、曙光、联想或相当于品牌</w:t>
      </w:r>
      <w:r>
        <w:rPr>
          <w:rFonts w:hint="eastAsia" w:ascii="宋体"/>
          <w:color w:val="auto"/>
          <w:kern w:val="0"/>
          <w:sz w:val="24"/>
          <w:szCs w:val="24"/>
          <w:highlight w:val="none"/>
        </w:rPr>
        <w:t>。</w:t>
      </w:r>
    </w:p>
    <w:p w14:paraId="6EDA02A8">
      <w:pPr>
        <w:pStyle w:val="55"/>
        <w:numPr>
          <w:ilvl w:val="0"/>
          <w:numId w:val="44"/>
        </w:numPr>
        <w:spacing w:line="360" w:lineRule="auto"/>
        <w:ind w:firstLineChars="0"/>
        <w:rPr>
          <w:rFonts w:ascii="宋体"/>
          <w:color w:val="auto"/>
          <w:kern w:val="0"/>
          <w:sz w:val="24"/>
          <w:szCs w:val="24"/>
          <w:highlight w:val="none"/>
        </w:rPr>
      </w:pPr>
      <w:r>
        <w:rPr>
          <w:rFonts w:ascii="宋体"/>
          <w:color w:val="auto"/>
          <w:sz w:val="24"/>
          <w:szCs w:val="24"/>
          <w:highlight w:val="none"/>
        </w:rPr>
        <w:t>CPU</w:t>
      </w:r>
      <w:r>
        <w:rPr>
          <w:rFonts w:hint="eastAsia" w:ascii="宋体"/>
          <w:color w:val="auto"/>
          <w:sz w:val="24"/>
          <w:szCs w:val="24"/>
          <w:highlight w:val="none"/>
        </w:rPr>
        <w:t>：字长64位，大于</w:t>
      </w:r>
      <w:r>
        <w:rPr>
          <w:rFonts w:ascii="宋体"/>
          <w:color w:val="auto"/>
          <w:sz w:val="24"/>
          <w:szCs w:val="24"/>
          <w:highlight w:val="none"/>
          <w:u w:val="single"/>
        </w:rPr>
        <w:t xml:space="preserve">2.53GHz </w:t>
      </w:r>
    </w:p>
    <w:p w14:paraId="6FB99296">
      <w:pPr>
        <w:pStyle w:val="55"/>
        <w:numPr>
          <w:ilvl w:val="0"/>
          <w:numId w:val="44"/>
        </w:numPr>
        <w:spacing w:line="360" w:lineRule="auto"/>
        <w:ind w:firstLineChars="0"/>
        <w:rPr>
          <w:rFonts w:ascii="宋体"/>
          <w:color w:val="auto"/>
          <w:sz w:val="24"/>
          <w:szCs w:val="24"/>
          <w:highlight w:val="none"/>
        </w:rPr>
      </w:pPr>
      <w:r>
        <w:rPr>
          <w:rFonts w:hint="eastAsia" w:ascii="宋体"/>
          <w:color w:val="auto"/>
          <w:sz w:val="24"/>
          <w:szCs w:val="24"/>
          <w:highlight w:val="none"/>
        </w:rPr>
        <w:t>内存：大于或等于16G</w:t>
      </w:r>
      <w:r>
        <w:rPr>
          <w:rFonts w:ascii="宋体"/>
          <w:color w:val="auto"/>
          <w:sz w:val="24"/>
          <w:szCs w:val="24"/>
          <w:highlight w:val="none"/>
        </w:rPr>
        <w:t>B</w:t>
      </w:r>
    </w:p>
    <w:p w14:paraId="514454C2">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硬盘：</w:t>
      </w:r>
      <w:r>
        <w:rPr>
          <w:rFonts w:hint="eastAsia" w:ascii="宋体"/>
          <w:color w:val="auto"/>
          <w:kern w:val="0"/>
          <w:sz w:val="24"/>
          <w:szCs w:val="24"/>
          <w:highlight w:val="none"/>
        </w:rPr>
        <w:t>≥</w:t>
      </w:r>
      <w:r>
        <w:rPr>
          <w:rFonts w:ascii="宋体"/>
          <w:color w:val="auto"/>
          <w:sz w:val="24"/>
          <w:szCs w:val="24"/>
          <w:highlight w:val="none"/>
          <w:u w:val="single"/>
        </w:rPr>
        <w:t>500GB</w:t>
      </w:r>
      <w:r>
        <w:rPr>
          <w:rFonts w:hint="eastAsia" w:ascii="宋体"/>
          <w:color w:val="auto"/>
          <w:sz w:val="24"/>
          <w:szCs w:val="24"/>
          <w:highlight w:val="none"/>
        </w:rPr>
        <w:t>（RAID1模式下），支持</w:t>
      </w:r>
      <w:r>
        <w:rPr>
          <w:rFonts w:ascii="宋体"/>
          <w:color w:val="auto"/>
          <w:sz w:val="24"/>
          <w:szCs w:val="24"/>
          <w:highlight w:val="none"/>
        </w:rPr>
        <w:t>热插拔</w:t>
      </w:r>
    </w:p>
    <w:p w14:paraId="1552565F">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可读写光驱：×</w:t>
      </w:r>
      <w:r>
        <w:rPr>
          <w:rFonts w:ascii="宋体"/>
          <w:color w:val="auto"/>
          <w:sz w:val="24"/>
          <w:szCs w:val="24"/>
          <w:highlight w:val="none"/>
        </w:rPr>
        <w:t>1:</w:t>
      </w:r>
    </w:p>
    <w:p w14:paraId="40848DD4">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串口×</w:t>
      </w:r>
      <w:r>
        <w:rPr>
          <w:rFonts w:ascii="宋体"/>
          <w:color w:val="auto"/>
          <w:sz w:val="24"/>
          <w:szCs w:val="24"/>
          <w:highlight w:val="none"/>
        </w:rPr>
        <w:t>3</w:t>
      </w:r>
      <w:r>
        <w:rPr>
          <w:rFonts w:hint="eastAsia" w:ascii="宋体"/>
          <w:color w:val="auto"/>
          <w:sz w:val="24"/>
          <w:szCs w:val="24"/>
          <w:highlight w:val="none"/>
        </w:rPr>
        <w:t>，并口×</w:t>
      </w:r>
      <w:r>
        <w:rPr>
          <w:rFonts w:ascii="宋体"/>
          <w:color w:val="auto"/>
          <w:sz w:val="24"/>
          <w:szCs w:val="24"/>
          <w:highlight w:val="none"/>
        </w:rPr>
        <w:t>1</w:t>
      </w:r>
    </w:p>
    <w:p w14:paraId="36F15CE2">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w:t>
      </w:r>
      <w:r>
        <w:rPr>
          <w:rFonts w:hint="eastAsia" w:ascii="宋体"/>
          <w:color w:val="auto"/>
          <w:kern w:val="0"/>
          <w:sz w:val="24"/>
          <w:szCs w:val="24"/>
          <w:highlight w:val="none"/>
        </w:rPr>
        <w:t>≥</w:t>
      </w:r>
      <w:r>
        <w:rPr>
          <w:rFonts w:ascii="宋体"/>
          <w:color w:val="auto"/>
          <w:sz w:val="24"/>
          <w:szCs w:val="24"/>
          <w:highlight w:val="none"/>
        </w:rPr>
        <w:t>2</w:t>
      </w:r>
      <w:r>
        <w:rPr>
          <w:rFonts w:hint="eastAsia" w:ascii="宋体"/>
          <w:color w:val="auto"/>
          <w:sz w:val="24"/>
          <w:szCs w:val="24"/>
          <w:highlight w:val="none"/>
        </w:rPr>
        <w:t>个（满足工程需要）</w:t>
      </w:r>
    </w:p>
    <w:p w14:paraId="41046F06">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以太网接口速率：10/100/1000M自适应以太网卡</w:t>
      </w:r>
    </w:p>
    <w:p w14:paraId="33ADE0B6">
      <w:pPr>
        <w:pStyle w:val="55"/>
        <w:numPr>
          <w:ilvl w:val="0"/>
          <w:numId w:val="44"/>
        </w:numPr>
        <w:spacing w:line="360" w:lineRule="auto"/>
        <w:ind w:firstLineChars="0"/>
        <w:rPr>
          <w:rFonts w:ascii="宋体"/>
          <w:color w:val="auto"/>
          <w:sz w:val="24"/>
          <w:szCs w:val="24"/>
          <w:highlight w:val="none"/>
        </w:rPr>
      </w:pPr>
      <w:r>
        <w:rPr>
          <w:rFonts w:hint="eastAsia" w:ascii="宋体"/>
          <w:color w:val="auto"/>
          <w:sz w:val="24"/>
          <w:szCs w:val="24"/>
          <w:highlight w:val="none"/>
        </w:rPr>
        <w:t>对时接口×1</w:t>
      </w:r>
    </w:p>
    <w:p w14:paraId="3F34CADC">
      <w:pPr>
        <w:pStyle w:val="55"/>
        <w:numPr>
          <w:ilvl w:val="0"/>
          <w:numId w:val="44"/>
        </w:numPr>
        <w:spacing w:line="360" w:lineRule="auto"/>
        <w:ind w:firstLineChars="0"/>
        <w:rPr>
          <w:rFonts w:ascii="宋体"/>
          <w:color w:val="auto"/>
          <w:sz w:val="24"/>
          <w:szCs w:val="24"/>
          <w:highlight w:val="none"/>
        </w:rPr>
      </w:pPr>
      <w:r>
        <w:rPr>
          <w:rFonts w:hint="eastAsia" w:ascii="宋体"/>
          <w:color w:val="auto"/>
          <w:sz w:val="24"/>
          <w:szCs w:val="24"/>
          <w:highlight w:val="none"/>
        </w:rPr>
        <w:t xml:space="preserve">显示器： </w:t>
      </w:r>
      <w:r>
        <w:rPr>
          <w:rFonts w:hint="eastAsia" w:ascii="宋体"/>
          <w:color w:val="auto"/>
          <w:sz w:val="24"/>
          <w:szCs w:val="24"/>
          <w:highlight w:val="none"/>
          <w:u w:val="single"/>
        </w:rPr>
        <w:t>工业级分体型TFT-LCD显示器，17英寸，1600×1200,两台服务器共享</w:t>
      </w:r>
    </w:p>
    <w:p w14:paraId="514C6A7A">
      <w:pPr>
        <w:pStyle w:val="55"/>
        <w:numPr>
          <w:ilvl w:val="0"/>
          <w:numId w:val="44"/>
        </w:numPr>
        <w:spacing w:line="360" w:lineRule="auto"/>
        <w:ind w:firstLineChars="0"/>
        <w:rPr>
          <w:rFonts w:ascii="宋体"/>
          <w:color w:val="auto"/>
          <w:sz w:val="24"/>
          <w:szCs w:val="24"/>
          <w:highlight w:val="none"/>
        </w:rPr>
      </w:pPr>
      <w:r>
        <w:rPr>
          <w:rFonts w:hint="eastAsia" w:ascii="宋体"/>
          <w:color w:val="auto"/>
          <w:sz w:val="24"/>
          <w:szCs w:val="24"/>
          <w:highlight w:val="none"/>
        </w:rPr>
        <w:t>其它：工业级键盘、有线鼠标及其共享器等</w:t>
      </w:r>
    </w:p>
    <w:p w14:paraId="375BECF0">
      <w:pPr>
        <w:pStyle w:val="55"/>
        <w:numPr>
          <w:ilvl w:val="0"/>
          <w:numId w:val="44"/>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机柜，电源及配线×</w:t>
      </w:r>
      <w:r>
        <w:rPr>
          <w:rFonts w:ascii="宋体"/>
          <w:color w:val="auto"/>
          <w:sz w:val="24"/>
          <w:szCs w:val="24"/>
          <w:highlight w:val="none"/>
        </w:rPr>
        <w:t>1</w:t>
      </w:r>
    </w:p>
    <w:p w14:paraId="204299C3">
      <w:pPr>
        <w:numPr>
          <w:ilvl w:val="0"/>
          <w:numId w:val="42"/>
        </w:numPr>
        <w:spacing w:line="360" w:lineRule="auto"/>
        <w:rPr>
          <w:color w:val="auto"/>
          <w:spacing w:val="10"/>
          <w:sz w:val="24"/>
          <w:szCs w:val="24"/>
          <w:highlight w:val="none"/>
        </w:rPr>
      </w:pPr>
      <w:r>
        <w:rPr>
          <w:rFonts w:hint="eastAsia" w:ascii="宋体"/>
          <w:color w:val="auto"/>
          <w:sz w:val="24"/>
          <w:szCs w:val="24"/>
          <w:highlight w:val="none"/>
        </w:rPr>
        <w:t>操作员工作站</w:t>
      </w:r>
    </w:p>
    <w:p w14:paraId="29A9E994">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数量：</w:t>
      </w:r>
      <w:r>
        <w:rPr>
          <w:rFonts w:ascii="宋体"/>
          <w:color w:val="auto"/>
          <w:sz w:val="24"/>
          <w:szCs w:val="24"/>
          <w:highlight w:val="none"/>
        </w:rPr>
        <w:t>2</w:t>
      </w:r>
      <w:r>
        <w:rPr>
          <w:rFonts w:hint="eastAsia" w:ascii="宋体"/>
          <w:color w:val="auto"/>
          <w:sz w:val="24"/>
          <w:szCs w:val="24"/>
          <w:highlight w:val="none"/>
        </w:rPr>
        <w:t>套</w:t>
      </w:r>
    </w:p>
    <w:p w14:paraId="6B604550">
      <w:pPr>
        <w:numPr>
          <w:ilvl w:val="12"/>
          <w:numId w:val="0"/>
        </w:numPr>
        <w:spacing w:line="360" w:lineRule="auto"/>
        <w:ind w:firstLine="480"/>
        <w:rPr>
          <w:rFonts w:ascii="宋体"/>
          <w:color w:val="auto"/>
          <w:kern w:val="0"/>
          <w:sz w:val="24"/>
          <w:szCs w:val="24"/>
          <w:highlight w:val="none"/>
        </w:rPr>
      </w:pPr>
      <w:r>
        <w:rPr>
          <w:rFonts w:hint="eastAsia" w:ascii="宋体"/>
          <w:color w:val="auto"/>
          <w:sz w:val="24"/>
          <w:szCs w:val="24"/>
          <w:highlight w:val="none"/>
        </w:rPr>
        <w:t>每套至少包括：</w:t>
      </w:r>
    </w:p>
    <w:p w14:paraId="2B5DC253">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kern w:val="0"/>
          <w:sz w:val="24"/>
          <w:szCs w:val="24"/>
          <w:highlight w:val="none"/>
        </w:rPr>
        <w:t>类别：工业级工作站</w:t>
      </w:r>
      <w:r>
        <w:rPr>
          <w:rFonts w:hint="eastAsia" w:ascii="宋体"/>
          <w:color w:val="auto"/>
          <w:kern w:val="0"/>
          <w:sz w:val="24"/>
          <w:szCs w:val="24"/>
          <w:highlight w:val="none"/>
        </w:rPr>
        <w:t>，塔式</w:t>
      </w:r>
    </w:p>
    <w:p w14:paraId="610DED79">
      <w:pPr>
        <w:pStyle w:val="55"/>
        <w:numPr>
          <w:ilvl w:val="0"/>
          <w:numId w:val="45"/>
        </w:numPr>
        <w:ind w:firstLineChars="0"/>
        <w:rPr>
          <w:rFonts w:ascii="宋体"/>
          <w:color w:val="auto"/>
          <w:kern w:val="0"/>
          <w:sz w:val="24"/>
          <w:szCs w:val="24"/>
          <w:highlight w:val="none"/>
        </w:rPr>
      </w:pPr>
      <w:r>
        <w:rPr>
          <w:rFonts w:hint="eastAsia" w:ascii="宋体"/>
          <w:color w:val="auto"/>
          <w:kern w:val="0"/>
          <w:sz w:val="24"/>
          <w:szCs w:val="24"/>
          <w:highlight w:val="none"/>
        </w:rPr>
        <w:t>操作员工作站：</w:t>
      </w:r>
      <w:r>
        <w:rPr>
          <w:rFonts w:hint="eastAsia" w:ascii="宋体"/>
          <w:color w:val="auto"/>
          <w:kern w:val="0"/>
          <w:sz w:val="24"/>
          <w:szCs w:val="24"/>
          <w:highlight w:val="none"/>
        </w:rPr>
        <w:t>浪潮、曙光、联想或相当于品牌</w:t>
      </w:r>
      <w:r>
        <w:rPr>
          <w:rFonts w:hint="eastAsia" w:ascii="宋体"/>
          <w:color w:val="auto"/>
          <w:kern w:val="0"/>
          <w:sz w:val="24"/>
          <w:szCs w:val="24"/>
          <w:highlight w:val="none"/>
        </w:rPr>
        <w:t>。</w:t>
      </w:r>
    </w:p>
    <w:p w14:paraId="5797F9C5">
      <w:pPr>
        <w:pStyle w:val="55"/>
        <w:numPr>
          <w:ilvl w:val="0"/>
          <w:numId w:val="45"/>
        </w:numPr>
        <w:spacing w:line="360" w:lineRule="auto"/>
        <w:ind w:firstLineChars="0"/>
        <w:rPr>
          <w:rFonts w:ascii="宋体"/>
          <w:color w:val="auto"/>
          <w:kern w:val="0"/>
          <w:sz w:val="24"/>
          <w:szCs w:val="24"/>
          <w:highlight w:val="none"/>
        </w:rPr>
      </w:pPr>
      <w:r>
        <w:rPr>
          <w:rFonts w:ascii="宋体"/>
          <w:color w:val="auto"/>
          <w:sz w:val="24"/>
          <w:szCs w:val="24"/>
          <w:highlight w:val="none"/>
        </w:rPr>
        <w:t>CPU</w:t>
      </w:r>
      <w:r>
        <w:rPr>
          <w:rFonts w:hint="eastAsia" w:ascii="宋体"/>
          <w:color w:val="auto"/>
          <w:sz w:val="24"/>
          <w:szCs w:val="24"/>
          <w:highlight w:val="none"/>
        </w:rPr>
        <w:t>：</w:t>
      </w:r>
      <w:r>
        <w:rPr>
          <w:rFonts w:hint="eastAsia" w:ascii="宋体"/>
          <w:color w:val="auto"/>
          <w:kern w:val="0"/>
          <w:sz w:val="24"/>
          <w:szCs w:val="24"/>
          <w:highlight w:val="none"/>
        </w:rPr>
        <w:t>≥</w:t>
      </w:r>
      <w:r>
        <w:rPr>
          <w:rFonts w:ascii="宋体"/>
          <w:color w:val="auto"/>
          <w:sz w:val="24"/>
          <w:szCs w:val="24"/>
          <w:highlight w:val="none"/>
        </w:rPr>
        <w:t>64</w:t>
      </w:r>
      <w:r>
        <w:rPr>
          <w:rFonts w:hint="eastAsia" w:ascii="宋体"/>
          <w:color w:val="auto"/>
          <w:sz w:val="24"/>
          <w:szCs w:val="24"/>
          <w:highlight w:val="none"/>
        </w:rPr>
        <w:t xml:space="preserve">位 </w:t>
      </w:r>
    </w:p>
    <w:p w14:paraId="4F3163AB">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处理速度：</w:t>
      </w:r>
      <w:r>
        <w:rPr>
          <w:rFonts w:hint="eastAsia" w:ascii="宋体"/>
          <w:color w:val="auto"/>
          <w:kern w:val="0"/>
          <w:sz w:val="24"/>
          <w:szCs w:val="24"/>
          <w:highlight w:val="none"/>
        </w:rPr>
        <w:t>≥</w:t>
      </w:r>
      <w:r>
        <w:rPr>
          <w:rFonts w:hint="eastAsia" w:ascii="宋体"/>
          <w:color w:val="auto"/>
          <w:sz w:val="24"/>
          <w:szCs w:val="24"/>
          <w:highlight w:val="none"/>
        </w:rPr>
        <w:t>2.53G</w:t>
      </w:r>
      <w:r>
        <w:rPr>
          <w:rFonts w:ascii="宋体"/>
          <w:color w:val="auto"/>
          <w:sz w:val="24"/>
          <w:szCs w:val="24"/>
          <w:highlight w:val="none"/>
        </w:rPr>
        <w:t>Hz</w:t>
      </w:r>
      <w:r>
        <w:rPr>
          <w:rFonts w:hint="eastAsia" w:ascii="宋体"/>
          <w:color w:val="auto"/>
          <w:sz w:val="24"/>
          <w:szCs w:val="24"/>
          <w:highlight w:val="none"/>
        </w:rPr>
        <w:t>四核</w:t>
      </w:r>
    </w:p>
    <w:p w14:paraId="2E730B7E">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内存：</w:t>
      </w:r>
      <w:r>
        <w:rPr>
          <w:rFonts w:hint="eastAsia" w:ascii="宋体"/>
          <w:color w:val="auto"/>
          <w:kern w:val="0"/>
          <w:sz w:val="24"/>
          <w:szCs w:val="24"/>
          <w:highlight w:val="none"/>
        </w:rPr>
        <w:t>≥</w:t>
      </w:r>
      <w:r>
        <w:rPr>
          <w:rFonts w:hint="default" w:ascii="宋体"/>
          <w:color w:val="auto"/>
          <w:kern w:val="0"/>
          <w:sz w:val="24"/>
          <w:szCs w:val="24"/>
          <w:highlight w:val="none"/>
          <w:lang w:val="en-US"/>
        </w:rPr>
        <w:t>4</w:t>
      </w:r>
      <w:r>
        <w:rPr>
          <w:rFonts w:hint="eastAsia" w:ascii="宋体"/>
          <w:color w:val="auto"/>
          <w:kern w:val="0"/>
          <w:sz w:val="24"/>
          <w:szCs w:val="24"/>
          <w:highlight w:val="none"/>
        </w:rPr>
        <w:t>GB DDR3</w:t>
      </w:r>
    </w:p>
    <w:p w14:paraId="40DFDB20">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硬盘：</w:t>
      </w:r>
      <w:r>
        <w:rPr>
          <w:rFonts w:hint="eastAsia" w:ascii="宋体"/>
          <w:color w:val="auto"/>
          <w:kern w:val="0"/>
          <w:sz w:val="24"/>
          <w:szCs w:val="24"/>
          <w:highlight w:val="none"/>
        </w:rPr>
        <w:t>≥</w:t>
      </w:r>
      <w:r>
        <w:rPr>
          <w:rFonts w:hint="default" w:ascii="宋体"/>
          <w:color w:val="auto"/>
          <w:sz w:val="24"/>
          <w:szCs w:val="24"/>
          <w:highlight w:val="none"/>
          <w:lang w:val="en-US"/>
        </w:rPr>
        <w:t>5</w:t>
      </w:r>
      <w:r>
        <w:rPr>
          <w:rFonts w:hint="eastAsia" w:ascii="宋体"/>
          <w:color w:val="auto"/>
          <w:sz w:val="24"/>
          <w:szCs w:val="24"/>
          <w:highlight w:val="none"/>
        </w:rPr>
        <w:t>00</w:t>
      </w:r>
      <w:r>
        <w:rPr>
          <w:rFonts w:ascii="宋体"/>
          <w:color w:val="auto"/>
          <w:sz w:val="24"/>
          <w:szCs w:val="24"/>
          <w:highlight w:val="none"/>
        </w:rPr>
        <w:t>GB</w:t>
      </w:r>
    </w:p>
    <w:p w14:paraId="5090CAD1">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可读写光驱：×</w:t>
      </w:r>
      <w:r>
        <w:rPr>
          <w:rFonts w:ascii="宋体"/>
          <w:color w:val="auto"/>
          <w:sz w:val="24"/>
          <w:szCs w:val="24"/>
          <w:highlight w:val="none"/>
        </w:rPr>
        <w:t>1</w:t>
      </w:r>
    </w:p>
    <w:p w14:paraId="6F86F9C6">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与报警音响接口×</w:t>
      </w:r>
      <w:r>
        <w:rPr>
          <w:rFonts w:ascii="宋体"/>
          <w:color w:val="auto"/>
          <w:sz w:val="24"/>
          <w:szCs w:val="24"/>
          <w:highlight w:val="none"/>
        </w:rPr>
        <w:t>1</w:t>
      </w:r>
    </w:p>
    <w:p w14:paraId="7E280B55">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串口×</w:t>
      </w:r>
      <w:r>
        <w:rPr>
          <w:rFonts w:ascii="宋体"/>
          <w:color w:val="auto"/>
          <w:sz w:val="24"/>
          <w:szCs w:val="24"/>
          <w:highlight w:val="none"/>
        </w:rPr>
        <w:t>3</w:t>
      </w:r>
      <w:r>
        <w:rPr>
          <w:rFonts w:hint="eastAsia" w:ascii="宋体"/>
          <w:color w:val="auto"/>
          <w:sz w:val="24"/>
          <w:szCs w:val="24"/>
          <w:highlight w:val="none"/>
        </w:rPr>
        <w:t>，并口×</w:t>
      </w:r>
      <w:r>
        <w:rPr>
          <w:rFonts w:ascii="宋体"/>
          <w:color w:val="auto"/>
          <w:sz w:val="24"/>
          <w:szCs w:val="24"/>
          <w:highlight w:val="none"/>
        </w:rPr>
        <w:t>1</w:t>
      </w:r>
    </w:p>
    <w:p w14:paraId="51B0EF03">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w:t>
      </w:r>
      <w:r>
        <w:rPr>
          <w:rFonts w:hint="eastAsia" w:ascii="宋体"/>
          <w:color w:val="auto"/>
          <w:kern w:val="0"/>
          <w:sz w:val="24"/>
          <w:szCs w:val="24"/>
          <w:highlight w:val="none"/>
        </w:rPr>
        <w:t>≥</w:t>
      </w:r>
      <w:r>
        <w:rPr>
          <w:rFonts w:ascii="宋体"/>
          <w:color w:val="auto"/>
          <w:sz w:val="24"/>
          <w:szCs w:val="24"/>
          <w:highlight w:val="none"/>
        </w:rPr>
        <w:t>2</w:t>
      </w:r>
      <w:r>
        <w:rPr>
          <w:rFonts w:hint="eastAsia" w:ascii="宋体"/>
          <w:color w:val="auto"/>
          <w:sz w:val="24"/>
          <w:szCs w:val="24"/>
          <w:highlight w:val="none"/>
        </w:rPr>
        <w:t>个（满足工程需要）</w:t>
      </w:r>
    </w:p>
    <w:p w14:paraId="0F472B50">
      <w:pPr>
        <w:pStyle w:val="55"/>
        <w:numPr>
          <w:ilvl w:val="0"/>
          <w:numId w:val="45"/>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以太网接口速率：10/100/1000M自适应以太网卡</w:t>
      </w:r>
    </w:p>
    <w:p w14:paraId="514F1CFA">
      <w:pPr>
        <w:pStyle w:val="55"/>
        <w:numPr>
          <w:ilvl w:val="0"/>
          <w:numId w:val="45"/>
        </w:numPr>
        <w:spacing w:line="360" w:lineRule="auto"/>
        <w:ind w:firstLineChars="0"/>
        <w:rPr>
          <w:rFonts w:ascii="宋体"/>
          <w:color w:val="auto"/>
          <w:sz w:val="24"/>
          <w:szCs w:val="24"/>
          <w:highlight w:val="none"/>
        </w:rPr>
      </w:pPr>
      <w:r>
        <w:rPr>
          <w:rFonts w:hint="eastAsia" w:ascii="宋体"/>
          <w:color w:val="auto"/>
          <w:sz w:val="24"/>
          <w:szCs w:val="24"/>
          <w:highlight w:val="none"/>
        </w:rPr>
        <w:t>对时接口1个</w:t>
      </w:r>
    </w:p>
    <w:p w14:paraId="5EF72157">
      <w:pPr>
        <w:pStyle w:val="55"/>
        <w:numPr>
          <w:ilvl w:val="0"/>
          <w:numId w:val="45"/>
        </w:numPr>
        <w:spacing w:line="360" w:lineRule="auto"/>
        <w:ind w:firstLineChars="0"/>
        <w:rPr>
          <w:rFonts w:ascii="宋体"/>
          <w:color w:val="auto"/>
          <w:sz w:val="24"/>
          <w:szCs w:val="24"/>
          <w:highlight w:val="none"/>
        </w:rPr>
      </w:pPr>
      <w:r>
        <w:rPr>
          <w:rFonts w:hint="eastAsia" w:ascii="宋体"/>
          <w:color w:val="auto"/>
          <w:sz w:val="24"/>
          <w:szCs w:val="24"/>
          <w:highlight w:val="none"/>
        </w:rPr>
        <w:t>接口：USB2.0，PS/2，串口，并口，显示器接口等</w:t>
      </w:r>
    </w:p>
    <w:p w14:paraId="6EB0953F">
      <w:pPr>
        <w:pStyle w:val="55"/>
        <w:numPr>
          <w:ilvl w:val="0"/>
          <w:numId w:val="45"/>
        </w:numPr>
        <w:spacing w:line="360" w:lineRule="auto"/>
        <w:ind w:firstLineChars="0"/>
        <w:rPr>
          <w:rFonts w:ascii="宋体"/>
          <w:color w:val="auto"/>
          <w:sz w:val="24"/>
          <w:szCs w:val="24"/>
          <w:highlight w:val="none"/>
        </w:rPr>
      </w:pPr>
      <w:r>
        <w:rPr>
          <w:rFonts w:hint="eastAsia" w:ascii="宋体"/>
          <w:color w:val="auto"/>
          <w:sz w:val="24"/>
          <w:szCs w:val="24"/>
          <w:highlight w:val="none"/>
        </w:rPr>
        <w:t>显示器：</w:t>
      </w:r>
      <w:r>
        <w:rPr>
          <w:rFonts w:hint="eastAsia" w:ascii="宋体"/>
          <w:color w:val="auto"/>
          <w:sz w:val="24"/>
          <w:szCs w:val="24"/>
          <w:highlight w:val="none"/>
          <w:u w:val="single"/>
        </w:rPr>
        <w:t>为液晶显示屏，屏幕尺寸为不少于22英寸，点距</w:t>
      </w:r>
      <w:r>
        <w:rPr>
          <w:rFonts w:ascii="宋体"/>
          <w:color w:val="auto"/>
          <w:sz w:val="24"/>
          <w:szCs w:val="24"/>
          <w:highlight w:val="none"/>
          <w:u w:val="single"/>
        </w:rPr>
        <w:t>0.27mm</w:t>
      </w:r>
      <w:r>
        <w:rPr>
          <w:rFonts w:hint="eastAsia" w:ascii="宋体"/>
          <w:color w:val="auto"/>
          <w:sz w:val="24"/>
          <w:szCs w:val="24"/>
          <w:highlight w:val="none"/>
          <w:u w:val="single"/>
        </w:rPr>
        <w:t>，亮度大于350cd/m2，对比度500：1，响应时间6ms，16.7x106种色彩。分辨率为1680x1050@85Hz；信号电缆应采用D-sub、DVI-D。</w:t>
      </w:r>
      <w:r>
        <w:rPr>
          <w:rFonts w:hint="eastAsia" w:ascii="宋体"/>
          <w:color w:val="auto"/>
          <w:sz w:val="24"/>
          <w:szCs w:val="24"/>
          <w:highlight w:val="none"/>
        </w:rPr>
        <w:t>其它：工业级键盘、有线鼠标、电源延长线等</w:t>
      </w:r>
    </w:p>
    <w:p w14:paraId="6035D67D">
      <w:pPr>
        <w:numPr>
          <w:ilvl w:val="0"/>
          <w:numId w:val="42"/>
        </w:numPr>
        <w:spacing w:line="360" w:lineRule="auto"/>
        <w:rPr>
          <w:color w:val="auto"/>
          <w:spacing w:val="10"/>
          <w:sz w:val="24"/>
          <w:szCs w:val="24"/>
          <w:highlight w:val="none"/>
        </w:rPr>
      </w:pPr>
      <w:r>
        <w:rPr>
          <w:rFonts w:hint="eastAsia" w:ascii="宋体"/>
          <w:color w:val="auto"/>
          <w:sz w:val="24"/>
          <w:szCs w:val="24"/>
          <w:highlight w:val="none"/>
        </w:rPr>
        <w:t>工程师工作站</w:t>
      </w:r>
    </w:p>
    <w:p w14:paraId="78D7B6C6">
      <w:pPr>
        <w:pStyle w:val="55"/>
        <w:numPr>
          <w:ilvl w:val="0"/>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数量：</w:t>
      </w:r>
      <w:r>
        <w:rPr>
          <w:rFonts w:ascii="宋体"/>
          <w:color w:val="auto"/>
          <w:sz w:val="24"/>
          <w:szCs w:val="24"/>
          <w:highlight w:val="none"/>
        </w:rPr>
        <w:t>1</w:t>
      </w:r>
      <w:r>
        <w:rPr>
          <w:rFonts w:hint="eastAsia" w:ascii="宋体"/>
          <w:color w:val="auto"/>
          <w:sz w:val="24"/>
          <w:szCs w:val="24"/>
          <w:highlight w:val="none"/>
        </w:rPr>
        <w:t>套</w:t>
      </w:r>
    </w:p>
    <w:p w14:paraId="59B3D1A1">
      <w:pPr>
        <w:numPr>
          <w:ilvl w:val="12"/>
          <w:numId w:val="0"/>
        </w:numPr>
        <w:spacing w:line="360" w:lineRule="auto"/>
        <w:ind w:firstLine="480"/>
        <w:rPr>
          <w:rFonts w:ascii="宋体"/>
          <w:color w:val="auto"/>
          <w:kern w:val="0"/>
          <w:sz w:val="24"/>
          <w:szCs w:val="24"/>
          <w:highlight w:val="none"/>
        </w:rPr>
      </w:pPr>
      <w:r>
        <w:rPr>
          <w:rFonts w:hint="eastAsia" w:ascii="宋体"/>
          <w:color w:val="auto"/>
          <w:sz w:val="24"/>
          <w:szCs w:val="24"/>
          <w:highlight w:val="none"/>
        </w:rPr>
        <w:t xml:space="preserve"> 至少包括：</w:t>
      </w:r>
    </w:p>
    <w:p w14:paraId="65E4B357">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kern w:val="0"/>
          <w:sz w:val="24"/>
          <w:szCs w:val="24"/>
          <w:highlight w:val="none"/>
        </w:rPr>
        <w:t>类别：工业级工作站</w:t>
      </w:r>
    </w:p>
    <w:p w14:paraId="1CA3FD27">
      <w:pPr>
        <w:pStyle w:val="55"/>
        <w:numPr>
          <w:ilvl w:val="1"/>
          <w:numId w:val="46"/>
        </w:numPr>
        <w:ind w:firstLineChars="0"/>
        <w:rPr>
          <w:rFonts w:ascii="宋体"/>
          <w:color w:val="auto"/>
          <w:kern w:val="0"/>
          <w:sz w:val="24"/>
          <w:szCs w:val="24"/>
          <w:highlight w:val="none"/>
        </w:rPr>
      </w:pPr>
      <w:r>
        <w:rPr>
          <w:rFonts w:hint="eastAsia" w:ascii="宋体"/>
          <w:color w:val="auto"/>
          <w:kern w:val="0"/>
          <w:sz w:val="24"/>
          <w:szCs w:val="24"/>
          <w:highlight w:val="none"/>
        </w:rPr>
        <w:t>工程师工作站：</w:t>
      </w:r>
      <w:r>
        <w:rPr>
          <w:rFonts w:hint="eastAsia" w:ascii="宋体"/>
          <w:color w:val="auto"/>
          <w:kern w:val="0"/>
          <w:sz w:val="24"/>
          <w:szCs w:val="24"/>
          <w:highlight w:val="none"/>
        </w:rPr>
        <w:t>浪潮、曙光、联想或相当于品牌</w:t>
      </w:r>
      <w:r>
        <w:rPr>
          <w:rFonts w:hint="eastAsia" w:ascii="宋体"/>
          <w:color w:val="auto"/>
          <w:kern w:val="0"/>
          <w:sz w:val="24"/>
          <w:szCs w:val="24"/>
          <w:highlight w:val="none"/>
        </w:rPr>
        <w:t>。</w:t>
      </w:r>
    </w:p>
    <w:p w14:paraId="11A49A64">
      <w:pPr>
        <w:pStyle w:val="55"/>
        <w:numPr>
          <w:ilvl w:val="1"/>
          <w:numId w:val="46"/>
        </w:numPr>
        <w:spacing w:line="360" w:lineRule="auto"/>
        <w:ind w:firstLineChars="0"/>
        <w:rPr>
          <w:rFonts w:ascii="宋体"/>
          <w:color w:val="auto"/>
          <w:kern w:val="0"/>
          <w:sz w:val="24"/>
          <w:szCs w:val="24"/>
          <w:highlight w:val="none"/>
        </w:rPr>
      </w:pPr>
      <w:r>
        <w:rPr>
          <w:rFonts w:ascii="宋体"/>
          <w:color w:val="auto"/>
          <w:sz w:val="24"/>
          <w:szCs w:val="24"/>
          <w:highlight w:val="none"/>
        </w:rPr>
        <w:t>CPU</w:t>
      </w:r>
      <w:r>
        <w:rPr>
          <w:rFonts w:hint="eastAsia" w:ascii="宋体"/>
          <w:color w:val="auto"/>
          <w:sz w:val="24"/>
          <w:szCs w:val="24"/>
          <w:highlight w:val="none"/>
        </w:rPr>
        <w:t>：</w:t>
      </w:r>
      <w:r>
        <w:rPr>
          <w:rFonts w:hint="eastAsia" w:ascii="宋体"/>
          <w:color w:val="auto"/>
          <w:kern w:val="0"/>
          <w:sz w:val="24"/>
          <w:szCs w:val="24"/>
          <w:highlight w:val="none"/>
        </w:rPr>
        <w:t>≥</w:t>
      </w:r>
      <w:r>
        <w:rPr>
          <w:rFonts w:ascii="宋体"/>
          <w:color w:val="auto"/>
          <w:sz w:val="24"/>
          <w:szCs w:val="24"/>
          <w:highlight w:val="none"/>
        </w:rPr>
        <w:t>64</w:t>
      </w:r>
      <w:r>
        <w:rPr>
          <w:rFonts w:hint="eastAsia" w:ascii="宋体"/>
          <w:color w:val="auto"/>
          <w:sz w:val="24"/>
          <w:szCs w:val="24"/>
          <w:highlight w:val="none"/>
        </w:rPr>
        <w:t xml:space="preserve">位 </w:t>
      </w:r>
    </w:p>
    <w:p w14:paraId="1EB37F68">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处理速度：</w:t>
      </w:r>
      <w:r>
        <w:rPr>
          <w:rFonts w:hint="eastAsia" w:ascii="宋体"/>
          <w:color w:val="auto"/>
          <w:kern w:val="0"/>
          <w:sz w:val="24"/>
          <w:szCs w:val="24"/>
          <w:highlight w:val="none"/>
        </w:rPr>
        <w:t>≥</w:t>
      </w:r>
      <w:r>
        <w:rPr>
          <w:rFonts w:hint="eastAsia" w:ascii="宋体"/>
          <w:color w:val="auto"/>
          <w:sz w:val="24"/>
          <w:szCs w:val="24"/>
          <w:highlight w:val="none"/>
        </w:rPr>
        <w:t>2.53G</w:t>
      </w:r>
      <w:r>
        <w:rPr>
          <w:rFonts w:ascii="宋体"/>
          <w:color w:val="auto"/>
          <w:sz w:val="24"/>
          <w:szCs w:val="24"/>
          <w:highlight w:val="none"/>
        </w:rPr>
        <w:t>Hz</w:t>
      </w:r>
      <w:r>
        <w:rPr>
          <w:rFonts w:hint="eastAsia" w:ascii="宋体"/>
          <w:color w:val="auto"/>
          <w:sz w:val="24"/>
          <w:szCs w:val="24"/>
          <w:highlight w:val="none"/>
        </w:rPr>
        <w:t>四核</w:t>
      </w:r>
    </w:p>
    <w:p w14:paraId="6142B100">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内存：</w:t>
      </w:r>
      <w:r>
        <w:rPr>
          <w:rFonts w:hint="eastAsia" w:ascii="宋体"/>
          <w:color w:val="auto"/>
          <w:kern w:val="0"/>
          <w:sz w:val="24"/>
          <w:szCs w:val="24"/>
          <w:highlight w:val="none"/>
        </w:rPr>
        <w:t>≥</w:t>
      </w:r>
      <w:r>
        <w:rPr>
          <w:rFonts w:hint="default" w:ascii="宋体"/>
          <w:color w:val="auto"/>
          <w:kern w:val="0"/>
          <w:sz w:val="24"/>
          <w:szCs w:val="24"/>
          <w:highlight w:val="none"/>
          <w:lang w:val="en-US"/>
        </w:rPr>
        <w:t>4</w:t>
      </w:r>
      <w:r>
        <w:rPr>
          <w:rFonts w:hint="eastAsia" w:ascii="宋体"/>
          <w:color w:val="auto"/>
          <w:kern w:val="0"/>
          <w:sz w:val="24"/>
          <w:szCs w:val="24"/>
          <w:highlight w:val="none"/>
        </w:rPr>
        <w:t>GB DDR3</w:t>
      </w:r>
    </w:p>
    <w:p w14:paraId="13EA22E7">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硬盘：</w:t>
      </w:r>
      <w:r>
        <w:rPr>
          <w:rFonts w:hint="eastAsia" w:ascii="宋体"/>
          <w:color w:val="auto"/>
          <w:kern w:val="0"/>
          <w:sz w:val="24"/>
          <w:szCs w:val="24"/>
          <w:highlight w:val="none"/>
        </w:rPr>
        <w:t>≥</w:t>
      </w:r>
      <w:r>
        <w:rPr>
          <w:rFonts w:hint="default" w:ascii="宋体"/>
          <w:color w:val="auto"/>
          <w:sz w:val="24"/>
          <w:szCs w:val="24"/>
          <w:highlight w:val="none"/>
          <w:lang w:val="en-US"/>
        </w:rPr>
        <w:t>5</w:t>
      </w:r>
      <w:r>
        <w:rPr>
          <w:rFonts w:hint="eastAsia" w:ascii="宋体"/>
          <w:color w:val="auto"/>
          <w:sz w:val="24"/>
          <w:szCs w:val="24"/>
          <w:highlight w:val="none"/>
        </w:rPr>
        <w:t>00</w:t>
      </w:r>
      <w:r>
        <w:rPr>
          <w:rFonts w:ascii="宋体"/>
          <w:color w:val="auto"/>
          <w:sz w:val="24"/>
          <w:szCs w:val="24"/>
          <w:highlight w:val="none"/>
        </w:rPr>
        <w:t>GB</w:t>
      </w:r>
    </w:p>
    <w:p w14:paraId="3B90DBD2">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可读写光驱：×</w:t>
      </w:r>
      <w:r>
        <w:rPr>
          <w:rFonts w:ascii="宋体"/>
          <w:color w:val="auto"/>
          <w:sz w:val="24"/>
          <w:szCs w:val="24"/>
          <w:highlight w:val="none"/>
        </w:rPr>
        <w:t>1</w:t>
      </w:r>
    </w:p>
    <w:p w14:paraId="5EA4D574">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与报警音响接口×</w:t>
      </w:r>
      <w:r>
        <w:rPr>
          <w:rFonts w:ascii="宋体"/>
          <w:color w:val="auto"/>
          <w:sz w:val="24"/>
          <w:szCs w:val="24"/>
          <w:highlight w:val="none"/>
        </w:rPr>
        <w:t>1</w:t>
      </w:r>
    </w:p>
    <w:p w14:paraId="0E71B88E">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串口×</w:t>
      </w:r>
      <w:r>
        <w:rPr>
          <w:rFonts w:ascii="宋体"/>
          <w:color w:val="auto"/>
          <w:sz w:val="24"/>
          <w:szCs w:val="24"/>
          <w:highlight w:val="none"/>
        </w:rPr>
        <w:t>3</w:t>
      </w:r>
      <w:r>
        <w:rPr>
          <w:rFonts w:hint="eastAsia" w:ascii="宋体"/>
          <w:color w:val="auto"/>
          <w:sz w:val="24"/>
          <w:szCs w:val="24"/>
          <w:highlight w:val="none"/>
        </w:rPr>
        <w:t>，并口×</w:t>
      </w:r>
      <w:r>
        <w:rPr>
          <w:rFonts w:ascii="宋体"/>
          <w:color w:val="auto"/>
          <w:sz w:val="24"/>
          <w:szCs w:val="24"/>
          <w:highlight w:val="none"/>
        </w:rPr>
        <w:t>1</w:t>
      </w:r>
    </w:p>
    <w:p w14:paraId="5F86F3C2">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w:t>
      </w:r>
      <w:r>
        <w:rPr>
          <w:rFonts w:hint="eastAsia" w:ascii="宋体"/>
          <w:color w:val="auto"/>
          <w:kern w:val="0"/>
          <w:sz w:val="24"/>
          <w:szCs w:val="24"/>
          <w:highlight w:val="none"/>
        </w:rPr>
        <w:t>≥</w:t>
      </w:r>
      <w:r>
        <w:rPr>
          <w:rFonts w:ascii="宋体"/>
          <w:color w:val="auto"/>
          <w:sz w:val="24"/>
          <w:szCs w:val="24"/>
          <w:highlight w:val="none"/>
        </w:rPr>
        <w:t>2</w:t>
      </w:r>
      <w:r>
        <w:rPr>
          <w:rFonts w:hint="eastAsia" w:ascii="宋体"/>
          <w:color w:val="auto"/>
          <w:sz w:val="24"/>
          <w:szCs w:val="24"/>
          <w:highlight w:val="none"/>
        </w:rPr>
        <w:t>个（满足工程需要）</w:t>
      </w:r>
    </w:p>
    <w:p w14:paraId="6CBCB139">
      <w:pPr>
        <w:pStyle w:val="55"/>
        <w:numPr>
          <w:ilvl w:val="1"/>
          <w:numId w:val="46"/>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以太网接口速率：10/100/1000M自适应以太网卡</w:t>
      </w:r>
    </w:p>
    <w:p w14:paraId="1288FA0B">
      <w:pPr>
        <w:pStyle w:val="55"/>
        <w:numPr>
          <w:ilvl w:val="1"/>
          <w:numId w:val="46"/>
        </w:numPr>
        <w:spacing w:line="360" w:lineRule="auto"/>
        <w:ind w:firstLineChars="0"/>
        <w:rPr>
          <w:rFonts w:ascii="宋体"/>
          <w:color w:val="auto"/>
          <w:sz w:val="24"/>
          <w:szCs w:val="24"/>
          <w:highlight w:val="none"/>
        </w:rPr>
      </w:pPr>
      <w:r>
        <w:rPr>
          <w:rFonts w:hint="eastAsia" w:ascii="宋体"/>
          <w:color w:val="auto"/>
          <w:sz w:val="24"/>
          <w:szCs w:val="24"/>
          <w:highlight w:val="none"/>
        </w:rPr>
        <w:t>对时接口1个</w:t>
      </w:r>
    </w:p>
    <w:p w14:paraId="1985CC33">
      <w:pPr>
        <w:pStyle w:val="55"/>
        <w:numPr>
          <w:ilvl w:val="1"/>
          <w:numId w:val="46"/>
        </w:numPr>
        <w:spacing w:line="360" w:lineRule="auto"/>
        <w:ind w:firstLineChars="0"/>
        <w:rPr>
          <w:rFonts w:ascii="宋体" w:hAnsi="宋体"/>
          <w:color w:val="auto"/>
          <w:sz w:val="24"/>
          <w:szCs w:val="24"/>
          <w:highlight w:val="none"/>
        </w:rPr>
      </w:pPr>
      <w:r>
        <w:rPr>
          <w:rFonts w:hint="eastAsia" w:ascii="宋体"/>
          <w:color w:val="auto"/>
          <w:sz w:val="24"/>
          <w:szCs w:val="24"/>
          <w:highlight w:val="none"/>
        </w:rPr>
        <w:t>接口：USB2.0，PS/2，串口，并口，显示器接口等</w:t>
      </w:r>
    </w:p>
    <w:p w14:paraId="2CF221F9">
      <w:pPr>
        <w:pStyle w:val="55"/>
        <w:numPr>
          <w:ilvl w:val="1"/>
          <w:numId w:val="46"/>
        </w:numPr>
        <w:spacing w:line="360" w:lineRule="auto"/>
        <w:ind w:firstLineChars="0"/>
        <w:rPr>
          <w:rFonts w:ascii="宋体"/>
          <w:color w:val="auto"/>
          <w:sz w:val="24"/>
          <w:szCs w:val="24"/>
          <w:highlight w:val="none"/>
        </w:rPr>
      </w:pPr>
      <w:r>
        <w:rPr>
          <w:rFonts w:hint="eastAsia" w:ascii="宋体"/>
          <w:color w:val="auto"/>
          <w:sz w:val="24"/>
          <w:szCs w:val="24"/>
          <w:highlight w:val="none"/>
        </w:rPr>
        <w:t>显示器：</w:t>
      </w:r>
      <w:r>
        <w:rPr>
          <w:rFonts w:hint="eastAsia" w:ascii="宋体"/>
          <w:color w:val="auto"/>
          <w:sz w:val="24"/>
          <w:szCs w:val="24"/>
          <w:highlight w:val="none"/>
          <w:u w:val="single"/>
        </w:rPr>
        <w:t>为液晶显示屏，屏幕尺寸为不少于22英寸，点距</w:t>
      </w:r>
      <w:r>
        <w:rPr>
          <w:rFonts w:ascii="宋体"/>
          <w:color w:val="auto"/>
          <w:sz w:val="24"/>
          <w:szCs w:val="24"/>
          <w:highlight w:val="none"/>
          <w:u w:val="single"/>
        </w:rPr>
        <w:t>0.27mm</w:t>
      </w:r>
      <w:r>
        <w:rPr>
          <w:rFonts w:hint="eastAsia" w:ascii="宋体"/>
          <w:color w:val="auto"/>
          <w:sz w:val="24"/>
          <w:szCs w:val="24"/>
          <w:highlight w:val="none"/>
          <w:u w:val="single"/>
        </w:rPr>
        <w:t>，亮度大于350cd/m2，对比度500：1，响应时间6ms，16.7x106种色彩。分辨率为1680x1050@85Hz；信号电缆应采用D-sub、DVI-D。</w:t>
      </w:r>
    </w:p>
    <w:p w14:paraId="030B0B1C">
      <w:pPr>
        <w:pStyle w:val="55"/>
        <w:numPr>
          <w:ilvl w:val="1"/>
          <w:numId w:val="46"/>
        </w:numPr>
        <w:spacing w:line="360" w:lineRule="auto"/>
        <w:ind w:firstLineChars="0"/>
        <w:rPr>
          <w:color w:val="auto"/>
          <w:spacing w:val="10"/>
          <w:sz w:val="24"/>
          <w:szCs w:val="24"/>
          <w:highlight w:val="none"/>
        </w:rPr>
      </w:pPr>
      <w:r>
        <w:rPr>
          <w:rFonts w:hint="eastAsia" w:ascii="宋体"/>
          <w:color w:val="auto"/>
          <w:sz w:val="24"/>
          <w:szCs w:val="24"/>
          <w:highlight w:val="none"/>
        </w:rPr>
        <w:t>其它：工业级键盘、有线鼠标等</w:t>
      </w:r>
    </w:p>
    <w:p w14:paraId="23713EDF">
      <w:pPr>
        <w:numPr>
          <w:ilvl w:val="0"/>
          <w:numId w:val="42"/>
        </w:numPr>
        <w:spacing w:line="360" w:lineRule="auto"/>
        <w:rPr>
          <w:color w:val="auto"/>
          <w:spacing w:val="10"/>
          <w:sz w:val="24"/>
          <w:szCs w:val="24"/>
          <w:highlight w:val="none"/>
        </w:rPr>
      </w:pPr>
      <w:r>
        <w:rPr>
          <w:rFonts w:hint="eastAsia" w:ascii="宋体"/>
          <w:color w:val="auto"/>
          <w:sz w:val="24"/>
          <w:szCs w:val="24"/>
          <w:highlight w:val="none"/>
        </w:rPr>
        <w:t>远动通信装置（装置型，无风扇无硬盘）</w:t>
      </w:r>
    </w:p>
    <w:p w14:paraId="67996B1A">
      <w:pPr>
        <w:pStyle w:val="55"/>
        <w:numPr>
          <w:ilvl w:val="0"/>
          <w:numId w:val="47"/>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数量：</w:t>
      </w:r>
      <w:r>
        <w:rPr>
          <w:rFonts w:ascii="宋体"/>
          <w:color w:val="auto"/>
          <w:sz w:val="24"/>
          <w:szCs w:val="24"/>
          <w:highlight w:val="none"/>
        </w:rPr>
        <w:t>2</w:t>
      </w:r>
      <w:r>
        <w:rPr>
          <w:rFonts w:hint="eastAsia" w:ascii="宋体"/>
          <w:color w:val="auto"/>
          <w:sz w:val="24"/>
          <w:szCs w:val="24"/>
          <w:highlight w:val="none"/>
        </w:rPr>
        <w:t>套</w:t>
      </w:r>
    </w:p>
    <w:p w14:paraId="0FFB6317">
      <w:pPr>
        <w:numPr>
          <w:ilvl w:val="12"/>
          <w:numId w:val="0"/>
        </w:numPr>
        <w:spacing w:line="360" w:lineRule="auto"/>
        <w:rPr>
          <w:rFonts w:ascii="宋体"/>
          <w:color w:val="auto"/>
          <w:sz w:val="24"/>
          <w:szCs w:val="24"/>
          <w:highlight w:val="none"/>
        </w:rPr>
      </w:pPr>
      <w:r>
        <w:rPr>
          <w:rFonts w:ascii="宋体"/>
          <w:color w:val="auto"/>
          <w:sz w:val="24"/>
          <w:szCs w:val="24"/>
          <w:highlight w:val="none"/>
        </w:rPr>
        <w:tab/>
      </w:r>
      <w:r>
        <w:rPr>
          <w:rFonts w:ascii="宋体"/>
          <w:color w:val="auto"/>
          <w:sz w:val="24"/>
          <w:szCs w:val="24"/>
          <w:highlight w:val="none"/>
        </w:rPr>
        <w:tab/>
      </w:r>
      <w:r>
        <w:rPr>
          <w:rFonts w:hint="eastAsia" w:ascii="宋体"/>
          <w:color w:val="auto"/>
          <w:sz w:val="24"/>
          <w:szCs w:val="24"/>
          <w:highlight w:val="none"/>
        </w:rPr>
        <w:t>机柜，电源及配线1套</w:t>
      </w:r>
    </w:p>
    <w:p w14:paraId="26CA076D">
      <w:pPr>
        <w:spacing w:line="360" w:lineRule="auto"/>
        <w:ind w:firstLine="720" w:firstLineChars="300"/>
        <w:rPr>
          <w:rFonts w:ascii="宋体"/>
          <w:color w:val="auto"/>
          <w:sz w:val="24"/>
          <w:szCs w:val="24"/>
          <w:highlight w:val="none"/>
        </w:rPr>
      </w:pPr>
      <w:r>
        <w:rPr>
          <w:rFonts w:hint="eastAsia" w:ascii="宋体"/>
          <w:color w:val="auto"/>
          <w:sz w:val="24"/>
          <w:szCs w:val="24"/>
          <w:highlight w:val="none"/>
        </w:rPr>
        <w:t>远动通信装置（两路独立电源进入装置）至少包括：</w:t>
      </w:r>
    </w:p>
    <w:p w14:paraId="19ED450F">
      <w:pPr>
        <w:pStyle w:val="55"/>
        <w:numPr>
          <w:ilvl w:val="0"/>
          <w:numId w:val="47"/>
        </w:numPr>
        <w:spacing w:line="360" w:lineRule="auto"/>
        <w:ind w:firstLineChars="0"/>
        <w:rPr>
          <w:rFonts w:ascii="宋体"/>
          <w:color w:val="auto"/>
          <w:kern w:val="0"/>
          <w:sz w:val="24"/>
          <w:szCs w:val="24"/>
          <w:highlight w:val="none"/>
        </w:rPr>
      </w:pPr>
      <w:r>
        <w:rPr>
          <w:rFonts w:ascii="宋体"/>
          <w:color w:val="auto"/>
          <w:sz w:val="24"/>
          <w:szCs w:val="24"/>
          <w:highlight w:val="none"/>
        </w:rPr>
        <w:t>CPU</w:t>
      </w:r>
      <w:r>
        <w:rPr>
          <w:rFonts w:hint="eastAsia" w:ascii="宋体"/>
          <w:color w:val="auto"/>
          <w:sz w:val="24"/>
          <w:szCs w:val="24"/>
          <w:highlight w:val="none"/>
        </w:rPr>
        <w:t>：</w:t>
      </w:r>
      <w:r>
        <w:rPr>
          <w:color w:val="auto"/>
          <w:highlight w:val="none"/>
        </w:rPr>
        <w:sym w:font="Symbol" w:char="F0B3"/>
      </w:r>
      <w:r>
        <w:rPr>
          <w:rFonts w:ascii="宋体"/>
          <w:color w:val="auto"/>
          <w:sz w:val="24"/>
          <w:szCs w:val="24"/>
          <w:highlight w:val="none"/>
        </w:rPr>
        <w:t>32</w:t>
      </w:r>
      <w:r>
        <w:rPr>
          <w:rFonts w:hint="eastAsia" w:ascii="宋体"/>
          <w:color w:val="auto"/>
          <w:sz w:val="24"/>
          <w:szCs w:val="24"/>
          <w:highlight w:val="none"/>
        </w:rPr>
        <w:t>位，主频&gt;600MHz</w:t>
      </w:r>
    </w:p>
    <w:p w14:paraId="70920329">
      <w:pPr>
        <w:pStyle w:val="55"/>
        <w:numPr>
          <w:ilvl w:val="0"/>
          <w:numId w:val="47"/>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内存：</w:t>
      </w:r>
      <w:r>
        <w:rPr>
          <w:color w:val="auto"/>
          <w:highlight w:val="none"/>
        </w:rPr>
        <w:sym w:font="Symbol" w:char="F0B3"/>
      </w:r>
      <w:r>
        <w:rPr>
          <w:rFonts w:hint="eastAsia" w:ascii="宋体"/>
          <w:color w:val="auto"/>
          <w:sz w:val="24"/>
          <w:szCs w:val="24"/>
          <w:highlight w:val="none"/>
        </w:rPr>
        <w:t>256</w:t>
      </w:r>
      <w:r>
        <w:rPr>
          <w:rFonts w:ascii="宋体"/>
          <w:color w:val="auto"/>
          <w:sz w:val="24"/>
          <w:szCs w:val="24"/>
          <w:highlight w:val="none"/>
        </w:rPr>
        <w:t>MB</w:t>
      </w:r>
    </w:p>
    <w:p w14:paraId="50DA0FE6">
      <w:pPr>
        <w:pStyle w:val="55"/>
        <w:numPr>
          <w:ilvl w:val="0"/>
          <w:numId w:val="47"/>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w:t>
      </w:r>
      <w:r>
        <w:rPr>
          <w:color w:val="auto"/>
          <w:highlight w:val="none"/>
        </w:rPr>
        <w:sym w:font="Symbol" w:char="F0B3"/>
      </w:r>
      <w:r>
        <w:rPr>
          <w:rFonts w:hint="eastAsia" w:ascii="宋体"/>
          <w:color w:val="auto"/>
          <w:sz w:val="24"/>
          <w:szCs w:val="24"/>
          <w:highlight w:val="none"/>
        </w:rPr>
        <w:t>4</w:t>
      </w:r>
    </w:p>
    <w:p w14:paraId="42003F0A">
      <w:pPr>
        <w:pStyle w:val="55"/>
        <w:numPr>
          <w:ilvl w:val="0"/>
          <w:numId w:val="47"/>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以太网接口速率：</w:t>
      </w:r>
      <w:r>
        <w:rPr>
          <w:color w:val="auto"/>
          <w:highlight w:val="none"/>
        </w:rPr>
        <w:sym w:font="Symbol" w:char="F0B3"/>
      </w:r>
      <w:r>
        <w:rPr>
          <w:rFonts w:ascii="宋体"/>
          <w:color w:val="auto"/>
          <w:sz w:val="24"/>
          <w:szCs w:val="24"/>
          <w:highlight w:val="none"/>
        </w:rPr>
        <w:t>10</w:t>
      </w:r>
      <w:r>
        <w:rPr>
          <w:rFonts w:hint="eastAsia" w:ascii="宋体"/>
          <w:color w:val="auto"/>
          <w:sz w:val="24"/>
          <w:szCs w:val="24"/>
          <w:highlight w:val="none"/>
        </w:rPr>
        <w:t>～100</w:t>
      </w:r>
      <w:r>
        <w:rPr>
          <w:rFonts w:ascii="宋体"/>
          <w:color w:val="auto"/>
          <w:sz w:val="24"/>
          <w:szCs w:val="24"/>
          <w:highlight w:val="none"/>
        </w:rPr>
        <w:t>Mbps</w:t>
      </w:r>
    </w:p>
    <w:p w14:paraId="0738DBFF">
      <w:pPr>
        <w:pStyle w:val="55"/>
        <w:numPr>
          <w:ilvl w:val="0"/>
          <w:numId w:val="47"/>
        </w:numPr>
        <w:spacing w:line="360" w:lineRule="auto"/>
        <w:ind w:firstLineChars="0"/>
        <w:rPr>
          <w:rFonts w:ascii="宋体"/>
          <w:color w:val="auto"/>
          <w:sz w:val="24"/>
          <w:szCs w:val="24"/>
          <w:highlight w:val="none"/>
        </w:rPr>
      </w:pPr>
      <w:r>
        <w:rPr>
          <w:rFonts w:hint="eastAsia" w:ascii="宋体"/>
          <w:color w:val="auto"/>
          <w:sz w:val="24"/>
          <w:szCs w:val="24"/>
          <w:highlight w:val="none"/>
        </w:rPr>
        <w:t>通讯串口：</w:t>
      </w:r>
      <w:r>
        <w:rPr>
          <w:color w:val="auto"/>
          <w:highlight w:val="none"/>
        </w:rPr>
        <w:sym w:font="Symbol" w:char="F0B3"/>
      </w:r>
      <w:r>
        <w:rPr>
          <w:rFonts w:hint="eastAsia" w:ascii="宋体"/>
          <w:color w:val="auto"/>
          <w:sz w:val="24"/>
          <w:szCs w:val="24"/>
          <w:highlight w:val="none"/>
        </w:rPr>
        <w:t>9个</w:t>
      </w:r>
      <w:r>
        <w:rPr>
          <w:rFonts w:ascii="宋体"/>
          <w:color w:val="auto"/>
          <w:sz w:val="24"/>
          <w:szCs w:val="24"/>
          <w:highlight w:val="none"/>
        </w:rPr>
        <w:t>(</w:t>
      </w:r>
      <w:r>
        <w:rPr>
          <w:rFonts w:hint="eastAsia" w:ascii="宋体"/>
          <w:color w:val="auto"/>
          <w:sz w:val="24"/>
          <w:szCs w:val="24"/>
          <w:highlight w:val="none"/>
        </w:rPr>
        <w:t>网调</w:t>
      </w:r>
      <w:r>
        <w:rPr>
          <w:rFonts w:ascii="宋体"/>
          <w:color w:val="auto"/>
          <w:sz w:val="24"/>
          <w:szCs w:val="24"/>
          <w:highlight w:val="none"/>
        </w:rPr>
        <w:t>2</w:t>
      </w:r>
      <w:r>
        <w:rPr>
          <w:rFonts w:hint="eastAsia" w:ascii="宋体"/>
          <w:color w:val="auto"/>
          <w:sz w:val="24"/>
          <w:szCs w:val="24"/>
          <w:highlight w:val="none"/>
        </w:rPr>
        <w:t>个；省调</w:t>
      </w:r>
      <w:r>
        <w:rPr>
          <w:rFonts w:ascii="宋体"/>
          <w:color w:val="auto"/>
          <w:sz w:val="24"/>
          <w:szCs w:val="24"/>
          <w:highlight w:val="none"/>
        </w:rPr>
        <w:t>2</w:t>
      </w:r>
      <w:r>
        <w:rPr>
          <w:rFonts w:hint="eastAsia" w:ascii="宋体"/>
          <w:color w:val="auto"/>
          <w:sz w:val="24"/>
          <w:szCs w:val="24"/>
          <w:highlight w:val="none"/>
        </w:rPr>
        <w:t>个；</w:t>
      </w:r>
      <w:r>
        <w:rPr>
          <w:rFonts w:ascii="宋体"/>
          <w:color w:val="auto"/>
          <w:sz w:val="24"/>
          <w:szCs w:val="24"/>
          <w:highlight w:val="none"/>
        </w:rPr>
        <w:t>FAXMODEM1</w:t>
      </w:r>
      <w:r>
        <w:rPr>
          <w:rFonts w:hint="eastAsia" w:ascii="宋体"/>
          <w:color w:val="auto"/>
          <w:sz w:val="24"/>
          <w:szCs w:val="24"/>
          <w:highlight w:val="none"/>
        </w:rPr>
        <w:t>个；诊断、组</w:t>
      </w:r>
    </w:p>
    <w:p w14:paraId="3CF26835">
      <w:pPr>
        <w:spacing w:line="360" w:lineRule="auto"/>
        <w:rPr>
          <w:rFonts w:ascii="宋体"/>
          <w:color w:val="auto"/>
          <w:kern w:val="0"/>
          <w:sz w:val="24"/>
          <w:szCs w:val="24"/>
          <w:highlight w:val="none"/>
        </w:rPr>
      </w:pPr>
      <w:r>
        <w:rPr>
          <w:rFonts w:hint="eastAsia" w:ascii="宋体"/>
          <w:color w:val="auto"/>
          <w:sz w:val="24"/>
          <w:szCs w:val="24"/>
          <w:highlight w:val="none"/>
        </w:rPr>
        <w:t>态口2个，备用口2个）；</w:t>
      </w:r>
    </w:p>
    <w:p w14:paraId="1573CF47">
      <w:pPr>
        <w:pStyle w:val="55"/>
        <w:numPr>
          <w:ilvl w:val="0"/>
          <w:numId w:val="47"/>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对时接口1个</w:t>
      </w:r>
    </w:p>
    <w:p w14:paraId="38223BE3">
      <w:pPr>
        <w:pStyle w:val="55"/>
        <w:numPr>
          <w:ilvl w:val="0"/>
          <w:numId w:val="47"/>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机柜，电源及配线1套</w:t>
      </w:r>
    </w:p>
    <w:p w14:paraId="63F6397F">
      <w:pPr>
        <w:numPr>
          <w:ilvl w:val="0"/>
          <w:numId w:val="48"/>
        </w:numPr>
        <w:spacing w:line="360" w:lineRule="auto"/>
        <w:rPr>
          <w:rFonts w:ascii="宋体"/>
          <w:color w:val="auto"/>
          <w:kern w:val="0"/>
          <w:sz w:val="24"/>
          <w:szCs w:val="24"/>
          <w:highlight w:val="none"/>
        </w:rPr>
      </w:pPr>
      <w:r>
        <w:rPr>
          <w:rFonts w:hint="eastAsia" w:ascii="宋体"/>
          <w:color w:val="auto"/>
          <w:sz w:val="24"/>
          <w:szCs w:val="24"/>
          <w:highlight w:val="none"/>
        </w:rPr>
        <w:t>网关工作站</w:t>
      </w:r>
    </w:p>
    <w:p w14:paraId="57D05A84">
      <w:pPr>
        <w:pStyle w:val="55"/>
        <w:numPr>
          <w:ilvl w:val="0"/>
          <w:numId w:val="49"/>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数量：</w:t>
      </w:r>
      <w:r>
        <w:rPr>
          <w:rFonts w:ascii="宋体"/>
          <w:color w:val="auto"/>
          <w:sz w:val="24"/>
          <w:szCs w:val="24"/>
          <w:highlight w:val="none"/>
        </w:rPr>
        <w:t>1</w:t>
      </w:r>
      <w:r>
        <w:rPr>
          <w:rFonts w:hint="eastAsia" w:ascii="宋体"/>
          <w:color w:val="auto"/>
          <w:sz w:val="24"/>
          <w:szCs w:val="24"/>
          <w:highlight w:val="none"/>
        </w:rPr>
        <w:t>套</w:t>
      </w:r>
    </w:p>
    <w:p w14:paraId="379C054A">
      <w:pPr>
        <w:numPr>
          <w:ilvl w:val="12"/>
          <w:numId w:val="0"/>
        </w:numPr>
        <w:spacing w:line="360" w:lineRule="auto"/>
        <w:rPr>
          <w:rFonts w:ascii="宋体"/>
          <w:color w:val="auto"/>
          <w:sz w:val="24"/>
          <w:szCs w:val="24"/>
          <w:highlight w:val="none"/>
        </w:rPr>
      </w:pPr>
      <w:r>
        <w:rPr>
          <w:rFonts w:hint="eastAsia" w:ascii="宋体"/>
          <w:color w:val="auto"/>
          <w:sz w:val="24"/>
          <w:szCs w:val="24"/>
          <w:highlight w:val="none"/>
        </w:rPr>
        <w:t>至少包括：</w:t>
      </w:r>
    </w:p>
    <w:p w14:paraId="307CA546">
      <w:pPr>
        <w:pStyle w:val="55"/>
        <w:numPr>
          <w:ilvl w:val="0"/>
          <w:numId w:val="49"/>
        </w:numPr>
        <w:spacing w:line="360" w:lineRule="auto"/>
        <w:ind w:firstLineChars="0"/>
        <w:rPr>
          <w:rFonts w:ascii="宋体"/>
          <w:color w:val="auto"/>
          <w:kern w:val="0"/>
          <w:sz w:val="24"/>
          <w:szCs w:val="24"/>
          <w:highlight w:val="none"/>
        </w:rPr>
      </w:pPr>
      <w:r>
        <w:rPr>
          <w:rFonts w:hint="eastAsia" w:ascii="宋体"/>
          <w:color w:val="auto"/>
          <w:kern w:val="0"/>
          <w:sz w:val="24"/>
          <w:szCs w:val="24"/>
          <w:highlight w:val="none"/>
        </w:rPr>
        <w:t>类别：工业级工作站</w:t>
      </w:r>
      <w:r>
        <w:rPr>
          <w:rFonts w:hint="eastAsia" w:ascii="宋体"/>
          <w:color w:val="auto"/>
          <w:kern w:val="0"/>
          <w:sz w:val="24"/>
          <w:szCs w:val="24"/>
          <w:highlight w:val="none"/>
        </w:rPr>
        <w:t>，塔式</w:t>
      </w:r>
    </w:p>
    <w:p w14:paraId="521A5212">
      <w:pPr>
        <w:pStyle w:val="55"/>
        <w:numPr>
          <w:ilvl w:val="0"/>
          <w:numId w:val="49"/>
        </w:numPr>
        <w:spacing w:line="360" w:lineRule="auto"/>
        <w:ind w:firstLineChars="0"/>
        <w:rPr>
          <w:rFonts w:ascii="宋体"/>
          <w:color w:val="auto"/>
          <w:kern w:val="0"/>
          <w:sz w:val="24"/>
          <w:szCs w:val="24"/>
          <w:highlight w:val="none"/>
        </w:rPr>
      </w:pPr>
      <w:r>
        <w:rPr>
          <w:color w:val="auto"/>
          <w:kern w:val="0"/>
          <w:highlight w:val="none"/>
        </w:rPr>
        <w:sym w:font="Symbol" w:char="F0B7"/>
      </w:r>
      <w:r>
        <w:rPr>
          <w:rFonts w:hint="eastAsia" w:ascii="宋体"/>
          <w:color w:val="auto"/>
          <w:kern w:val="0"/>
          <w:sz w:val="24"/>
          <w:szCs w:val="24"/>
          <w:highlight w:val="none"/>
        </w:rPr>
        <w:t>网关工作站：</w:t>
      </w:r>
      <w:r>
        <w:rPr>
          <w:rFonts w:hint="eastAsia" w:ascii="宋体"/>
          <w:color w:val="auto"/>
          <w:kern w:val="0"/>
          <w:sz w:val="24"/>
          <w:szCs w:val="24"/>
          <w:highlight w:val="none"/>
        </w:rPr>
        <w:t>浪潮、曙光、联想或相当于品牌</w:t>
      </w:r>
      <w:r>
        <w:rPr>
          <w:rFonts w:hint="eastAsia" w:ascii="宋体"/>
          <w:color w:val="auto"/>
          <w:kern w:val="0"/>
          <w:sz w:val="24"/>
          <w:szCs w:val="24"/>
          <w:highlight w:val="none"/>
        </w:rPr>
        <w:t>。</w:t>
      </w:r>
    </w:p>
    <w:p w14:paraId="32DB37ED">
      <w:pPr>
        <w:pStyle w:val="55"/>
        <w:numPr>
          <w:ilvl w:val="0"/>
          <w:numId w:val="49"/>
        </w:numPr>
        <w:spacing w:line="360" w:lineRule="auto"/>
        <w:ind w:firstLineChars="0"/>
        <w:rPr>
          <w:rFonts w:ascii="宋体"/>
          <w:color w:val="auto"/>
          <w:kern w:val="0"/>
          <w:sz w:val="24"/>
          <w:szCs w:val="24"/>
          <w:highlight w:val="none"/>
        </w:rPr>
      </w:pPr>
      <w:r>
        <w:rPr>
          <w:rFonts w:ascii="宋体"/>
          <w:color w:val="auto"/>
          <w:sz w:val="24"/>
          <w:szCs w:val="24"/>
          <w:highlight w:val="none"/>
        </w:rPr>
        <w:t>CPU</w:t>
      </w:r>
      <w:r>
        <w:rPr>
          <w:rFonts w:hint="eastAsia" w:ascii="宋体"/>
          <w:color w:val="auto"/>
          <w:sz w:val="24"/>
          <w:szCs w:val="24"/>
          <w:highlight w:val="none"/>
        </w:rPr>
        <w:t>：</w:t>
      </w:r>
      <w:r>
        <w:rPr>
          <w:rFonts w:hint="eastAsia" w:ascii="宋体"/>
          <w:color w:val="auto"/>
          <w:kern w:val="0"/>
          <w:sz w:val="24"/>
          <w:szCs w:val="24"/>
          <w:highlight w:val="none"/>
        </w:rPr>
        <w:t>≥</w:t>
      </w:r>
      <w:r>
        <w:rPr>
          <w:rFonts w:ascii="宋体"/>
          <w:color w:val="auto"/>
          <w:sz w:val="24"/>
          <w:szCs w:val="24"/>
          <w:highlight w:val="none"/>
        </w:rPr>
        <w:t>64</w:t>
      </w:r>
      <w:r>
        <w:rPr>
          <w:rFonts w:hint="eastAsia" w:ascii="宋体"/>
          <w:color w:val="auto"/>
          <w:sz w:val="24"/>
          <w:szCs w:val="24"/>
          <w:highlight w:val="none"/>
        </w:rPr>
        <w:t xml:space="preserve">位 </w:t>
      </w:r>
    </w:p>
    <w:p w14:paraId="040D7323">
      <w:pPr>
        <w:pStyle w:val="55"/>
        <w:numPr>
          <w:ilvl w:val="0"/>
          <w:numId w:val="49"/>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处理速度：</w:t>
      </w:r>
      <w:r>
        <w:rPr>
          <w:rFonts w:hint="eastAsia" w:ascii="宋体"/>
          <w:color w:val="auto"/>
          <w:kern w:val="0"/>
          <w:sz w:val="24"/>
          <w:szCs w:val="24"/>
          <w:highlight w:val="none"/>
        </w:rPr>
        <w:t>≥</w:t>
      </w:r>
      <w:r>
        <w:rPr>
          <w:rFonts w:hint="eastAsia" w:ascii="宋体"/>
          <w:color w:val="auto"/>
          <w:sz w:val="24"/>
          <w:szCs w:val="24"/>
          <w:highlight w:val="none"/>
        </w:rPr>
        <w:t>3.0G</w:t>
      </w:r>
      <w:r>
        <w:rPr>
          <w:rFonts w:ascii="宋体"/>
          <w:color w:val="auto"/>
          <w:sz w:val="24"/>
          <w:szCs w:val="24"/>
          <w:highlight w:val="none"/>
        </w:rPr>
        <w:t>Hz</w:t>
      </w:r>
      <w:r>
        <w:rPr>
          <w:rFonts w:hint="eastAsia" w:ascii="宋体"/>
          <w:color w:val="auto"/>
          <w:sz w:val="24"/>
          <w:szCs w:val="24"/>
          <w:highlight w:val="none"/>
        </w:rPr>
        <w:t>双核</w:t>
      </w:r>
    </w:p>
    <w:p w14:paraId="4D3BD0BA">
      <w:pPr>
        <w:pStyle w:val="55"/>
        <w:numPr>
          <w:ilvl w:val="0"/>
          <w:numId w:val="49"/>
        </w:numPr>
        <w:spacing w:line="360" w:lineRule="auto"/>
        <w:ind w:firstLineChars="0"/>
        <w:rPr>
          <w:rFonts w:ascii="宋体"/>
          <w:color w:val="auto"/>
          <w:sz w:val="24"/>
          <w:szCs w:val="24"/>
          <w:highlight w:val="none"/>
        </w:rPr>
      </w:pPr>
      <w:r>
        <w:rPr>
          <w:rFonts w:hint="eastAsia" w:ascii="宋体"/>
          <w:color w:val="auto"/>
          <w:sz w:val="24"/>
          <w:szCs w:val="24"/>
          <w:highlight w:val="none"/>
        </w:rPr>
        <w:t>内存：</w:t>
      </w:r>
      <w:r>
        <w:rPr>
          <w:rFonts w:hint="eastAsia" w:ascii="宋体"/>
          <w:color w:val="auto"/>
          <w:kern w:val="0"/>
          <w:sz w:val="24"/>
          <w:szCs w:val="24"/>
          <w:highlight w:val="none"/>
        </w:rPr>
        <w:t>≥</w:t>
      </w:r>
      <w:r>
        <w:rPr>
          <w:rFonts w:hint="default" w:ascii="宋体"/>
          <w:color w:val="auto"/>
          <w:kern w:val="0"/>
          <w:sz w:val="24"/>
          <w:szCs w:val="24"/>
          <w:highlight w:val="none"/>
          <w:lang w:val="en-US"/>
        </w:rPr>
        <w:t>4</w:t>
      </w:r>
      <w:r>
        <w:rPr>
          <w:rFonts w:hint="eastAsia" w:ascii="宋体"/>
          <w:color w:val="auto"/>
          <w:kern w:val="0"/>
          <w:sz w:val="24"/>
          <w:szCs w:val="24"/>
          <w:highlight w:val="none"/>
        </w:rPr>
        <w:t>GB DDR3</w:t>
      </w:r>
    </w:p>
    <w:p w14:paraId="3DA265B6">
      <w:pPr>
        <w:pStyle w:val="55"/>
        <w:numPr>
          <w:ilvl w:val="0"/>
          <w:numId w:val="49"/>
        </w:numPr>
        <w:spacing w:line="360" w:lineRule="auto"/>
        <w:ind w:firstLineChars="0"/>
        <w:rPr>
          <w:rFonts w:ascii="宋体"/>
          <w:color w:val="auto"/>
          <w:sz w:val="24"/>
          <w:szCs w:val="24"/>
          <w:highlight w:val="none"/>
        </w:rPr>
      </w:pPr>
      <w:r>
        <w:rPr>
          <w:rFonts w:hint="eastAsia" w:ascii="宋体"/>
          <w:color w:val="auto"/>
          <w:sz w:val="24"/>
          <w:szCs w:val="24"/>
          <w:highlight w:val="none"/>
        </w:rPr>
        <w:t>硬盘：</w:t>
      </w:r>
      <w:r>
        <w:rPr>
          <w:rFonts w:hint="eastAsia" w:ascii="宋体"/>
          <w:color w:val="auto"/>
          <w:kern w:val="0"/>
          <w:sz w:val="24"/>
          <w:szCs w:val="24"/>
          <w:highlight w:val="none"/>
        </w:rPr>
        <w:t>≥</w:t>
      </w:r>
      <w:r>
        <w:rPr>
          <w:rFonts w:hint="default" w:ascii="宋体"/>
          <w:color w:val="auto"/>
          <w:sz w:val="24"/>
          <w:szCs w:val="24"/>
          <w:highlight w:val="none"/>
          <w:lang w:val="en-US"/>
        </w:rPr>
        <w:t>25</w:t>
      </w:r>
      <w:r>
        <w:rPr>
          <w:rFonts w:ascii="宋体"/>
          <w:color w:val="auto"/>
          <w:sz w:val="24"/>
          <w:szCs w:val="24"/>
          <w:highlight w:val="none"/>
        </w:rPr>
        <w:t>0GB</w:t>
      </w:r>
    </w:p>
    <w:p w14:paraId="01E0DA7C">
      <w:pPr>
        <w:pStyle w:val="55"/>
        <w:numPr>
          <w:ilvl w:val="0"/>
          <w:numId w:val="49"/>
        </w:numPr>
        <w:spacing w:line="360" w:lineRule="auto"/>
        <w:ind w:firstLineChars="0"/>
        <w:rPr>
          <w:rFonts w:ascii="宋体"/>
          <w:color w:val="auto"/>
          <w:sz w:val="24"/>
          <w:szCs w:val="24"/>
          <w:highlight w:val="none"/>
        </w:rPr>
      </w:pPr>
      <w:r>
        <w:rPr>
          <w:rFonts w:ascii="宋体"/>
          <w:color w:val="auto"/>
          <w:sz w:val="24"/>
          <w:szCs w:val="24"/>
          <w:highlight w:val="none"/>
        </w:rPr>
        <w:t>LCD</w:t>
      </w:r>
      <w:r>
        <w:rPr>
          <w:rFonts w:hint="eastAsia" w:ascii="宋体"/>
          <w:color w:val="auto"/>
          <w:sz w:val="24"/>
          <w:szCs w:val="24"/>
          <w:highlight w:val="none"/>
        </w:rPr>
        <w:t>：</w:t>
      </w:r>
      <w:r>
        <w:rPr>
          <w:rFonts w:ascii="宋体"/>
          <w:color w:val="auto"/>
          <w:sz w:val="24"/>
          <w:szCs w:val="24"/>
          <w:highlight w:val="none"/>
          <w:u w:val="single"/>
        </w:rPr>
        <w:t>17</w:t>
      </w:r>
      <w:r>
        <w:rPr>
          <w:color w:val="auto"/>
          <w:highlight w:val="none"/>
          <w:u w:val="single"/>
        </w:rPr>
        <w:sym w:font="Symbol" w:char="F0B2"/>
      </w:r>
      <w:r>
        <w:rPr>
          <w:rFonts w:hint="eastAsia" w:ascii="宋体"/>
          <w:color w:val="auto"/>
          <w:sz w:val="24"/>
          <w:szCs w:val="24"/>
          <w:highlight w:val="none"/>
          <w:u w:val="single"/>
        </w:rPr>
        <w:t>工业级TFT-LCD显示器×</w:t>
      </w:r>
      <w:r>
        <w:rPr>
          <w:rFonts w:ascii="宋体"/>
          <w:color w:val="auto"/>
          <w:sz w:val="24"/>
          <w:szCs w:val="24"/>
          <w:highlight w:val="none"/>
          <w:u w:val="single"/>
        </w:rPr>
        <w:t>1</w:t>
      </w:r>
      <w:r>
        <w:rPr>
          <w:rFonts w:hint="eastAsia" w:ascii="宋体"/>
          <w:color w:val="auto"/>
          <w:sz w:val="24"/>
          <w:szCs w:val="24"/>
          <w:highlight w:val="none"/>
          <w:u w:val="single"/>
        </w:rPr>
        <w:t>，分辨率：≥1280x1024</w:t>
      </w:r>
    </w:p>
    <w:p w14:paraId="1F13409E">
      <w:pPr>
        <w:pStyle w:val="55"/>
        <w:numPr>
          <w:ilvl w:val="0"/>
          <w:numId w:val="49"/>
        </w:numPr>
        <w:spacing w:line="360" w:lineRule="auto"/>
        <w:ind w:firstLineChars="0"/>
        <w:rPr>
          <w:rFonts w:ascii="宋体"/>
          <w:color w:val="auto"/>
          <w:sz w:val="24"/>
          <w:szCs w:val="24"/>
          <w:highlight w:val="none"/>
        </w:rPr>
      </w:pPr>
      <w:r>
        <w:rPr>
          <w:rFonts w:hint="eastAsia" w:ascii="宋体"/>
          <w:color w:val="auto"/>
          <w:sz w:val="24"/>
          <w:szCs w:val="24"/>
          <w:highlight w:val="none"/>
        </w:rPr>
        <w:t>可读写光驱：×</w:t>
      </w:r>
      <w:r>
        <w:rPr>
          <w:rFonts w:ascii="宋体"/>
          <w:color w:val="auto"/>
          <w:sz w:val="24"/>
          <w:szCs w:val="24"/>
          <w:highlight w:val="none"/>
        </w:rPr>
        <w:t>1</w:t>
      </w:r>
    </w:p>
    <w:p w14:paraId="401B5E2A">
      <w:pPr>
        <w:pStyle w:val="55"/>
        <w:numPr>
          <w:ilvl w:val="0"/>
          <w:numId w:val="49"/>
        </w:numPr>
        <w:spacing w:line="360" w:lineRule="auto"/>
        <w:ind w:firstLineChars="0"/>
        <w:rPr>
          <w:rFonts w:ascii="宋体"/>
          <w:color w:val="auto"/>
          <w:sz w:val="24"/>
          <w:szCs w:val="24"/>
          <w:highlight w:val="none"/>
        </w:rPr>
      </w:pPr>
      <w:r>
        <w:rPr>
          <w:rFonts w:hint="eastAsia" w:ascii="宋体"/>
          <w:color w:val="auto"/>
          <w:sz w:val="24"/>
          <w:szCs w:val="24"/>
          <w:highlight w:val="none"/>
        </w:rPr>
        <w:t>串口</w:t>
      </w:r>
      <w:r>
        <w:rPr>
          <w:rFonts w:hint="eastAsia" w:ascii="宋体"/>
          <w:color w:val="auto"/>
          <w:kern w:val="0"/>
          <w:sz w:val="24"/>
          <w:szCs w:val="24"/>
          <w:highlight w:val="none"/>
        </w:rPr>
        <w:t>≥</w:t>
      </w:r>
      <w:r>
        <w:rPr>
          <w:rFonts w:ascii="宋体"/>
          <w:color w:val="auto"/>
          <w:sz w:val="24"/>
          <w:szCs w:val="24"/>
          <w:highlight w:val="none"/>
        </w:rPr>
        <w:t>6</w:t>
      </w:r>
      <w:r>
        <w:rPr>
          <w:rFonts w:hint="eastAsia" w:ascii="宋体"/>
          <w:color w:val="auto"/>
          <w:sz w:val="24"/>
          <w:szCs w:val="24"/>
          <w:highlight w:val="none"/>
        </w:rPr>
        <w:t>，并口</w:t>
      </w:r>
      <w:r>
        <w:rPr>
          <w:rFonts w:hint="eastAsia" w:ascii="宋体"/>
          <w:color w:val="auto"/>
          <w:kern w:val="0"/>
          <w:sz w:val="24"/>
          <w:szCs w:val="24"/>
          <w:highlight w:val="none"/>
        </w:rPr>
        <w:t>≥</w:t>
      </w:r>
      <w:r>
        <w:rPr>
          <w:rFonts w:ascii="宋体"/>
          <w:color w:val="auto"/>
          <w:sz w:val="24"/>
          <w:szCs w:val="24"/>
          <w:highlight w:val="none"/>
        </w:rPr>
        <w:t>1</w:t>
      </w:r>
    </w:p>
    <w:p w14:paraId="46A8D333">
      <w:pPr>
        <w:pStyle w:val="55"/>
        <w:numPr>
          <w:ilvl w:val="0"/>
          <w:numId w:val="49"/>
        </w:numPr>
        <w:spacing w:line="360" w:lineRule="auto"/>
        <w:ind w:firstLineChars="0"/>
        <w:rPr>
          <w:rFonts w:ascii="宋体"/>
          <w:color w:val="auto"/>
          <w:sz w:val="24"/>
          <w:szCs w:val="24"/>
          <w:highlight w:val="none"/>
        </w:rPr>
      </w:pPr>
      <w:r>
        <w:rPr>
          <w:rFonts w:hint="eastAsia" w:ascii="宋体"/>
          <w:color w:val="auto"/>
          <w:sz w:val="24"/>
          <w:szCs w:val="24"/>
          <w:highlight w:val="none"/>
        </w:rPr>
        <w:t>以太网接口：</w:t>
      </w:r>
      <w:r>
        <w:rPr>
          <w:rFonts w:hint="eastAsia" w:ascii="宋体"/>
          <w:color w:val="auto"/>
          <w:kern w:val="0"/>
          <w:sz w:val="24"/>
          <w:szCs w:val="24"/>
          <w:highlight w:val="none"/>
        </w:rPr>
        <w:t>≥</w:t>
      </w:r>
      <w:r>
        <w:rPr>
          <w:rFonts w:ascii="宋体"/>
          <w:color w:val="auto"/>
          <w:sz w:val="24"/>
          <w:szCs w:val="24"/>
          <w:highlight w:val="none"/>
        </w:rPr>
        <w:t>2</w:t>
      </w:r>
      <w:r>
        <w:rPr>
          <w:rFonts w:hint="eastAsia" w:ascii="宋体"/>
          <w:color w:val="auto"/>
          <w:sz w:val="24"/>
          <w:szCs w:val="24"/>
          <w:highlight w:val="none"/>
        </w:rPr>
        <w:t>个（满足工程需要）</w:t>
      </w:r>
    </w:p>
    <w:p w14:paraId="05FF1865">
      <w:pPr>
        <w:pStyle w:val="55"/>
        <w:numPr>
          <w:ilvl w:val="0"/>
          <w:numId w:val="49"/>
        </w:numPr>
        <w:spacing w:line="360" w:lineRule="auto"/>
        <w:ind w:firstLineChars="0"/>
        <w:rPr>
          <w:rFonts w:ascii="宋体"/>
          <w:color w:val="auto"/>
          <w:sz w:val="24"/>
          <w:szCs w:val="24"/>
          <w:highlight w:val="none"/>
        </w:rPr>
      </w:pPr>
      <w:r>
        <w:rPr>
          <w:rFonts w:hint="eastAsia" w:ascii="宋体"/>
          <w:color w:val="auto"/>
          <w:sz w:val="24"/>
          <w:szCs w:val="24"/>
          <w:highlight w:val="none"/>
        </w:rPr>
        <w:t>以太网接口速率：10/100/1000M自适应以太网卡</w:t>
      </w:r>
    </w:p>
    <w:p w14:paraId="31D8A36B">
      <w:pPr>
        <w:pStyle w:val="55"/>
        <w:numPr>
          <w:ilvl w:val="0"/>
          <w:numId w:val="49"/>
        </w:numPr>
        <w:spacing w:line="360" w:lineRule="auto"/>
        <w:ind w:firstLineChars="0"/>
        <w:rPr>
          <w:rFonts w:ascii="宋体"/>
          <w:color w:val="auto"/>
          <w:sz w:val="24"/>
          <w:szCs w:val="24"/>
          <w:highlight w:val="none"/>
        </w:rPr>
      </w:pPr>
      <w:r>
        <w:rPr>
          <w:rFonts w:hint="eastAsia" w:ascii="宋体"/>
          <w:color w:val="auto"/>
          <w:sz w:val="24"/>
          <w:szCs w:val="24"/>
          <w:highlight w:val="none"/>
        </w:rPr>
        <w:t>其它：工业级键盘、有线鼠标等</w:t>
      </w:r>
    </w:p>
    <w:p w14:paraId="13383B4B">
      <w:pPr>
        <w:pStyle w:val="55"/>
        <w:numPr>
          <w:ilvl w:val="0"/>
          <w:numId w:val="49"/>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机柜，电源及配线1套</w:t>
      </w:r>
    </w:p>
    <w:p w14:paraId="3B2C119F">
      <w:pPr>
        <w:numPr>
          <w:ilvl w:val="0"/>
          <w:numId w:val="48"/>
        </w:numPr>
        <w:spacing w:line="360" w:lineRule="auto"/>
        <w:rPr>
          <w:rFonts w:ascii="宋体"/>
          <w:color w:val="auto"/>
          <w:sz w:val="24"/>
          <w:szCs w:val="24"/>
          <w:highlight w:val="none"/>
        </w:rPr>
      </w:pPr>
      <w:r>
        <w:rPr>
          <w:rFonts w:hint="eastAsia" w:ascii="宋体"/>
          <w:color w:val="auto"/>
          <w:sz w:val="24"/>
          <w:szCs w:val="24"/>
          <w:highlight w:val="none"/>
        </w:rPr>
        <w:t>信息管理机</w:t>
      </w:r>
    </w:p>
    <w:p w14:paraId="54A342A2">
      <w:pPr>
        <w:pStyle w:val="55"/>
        <w:numPr>
          <w:ilvl w:val="0"/>
          <w:numId w:val="50"/>
        </w:numPr>
        <w:spacing w:line="360" w:lineRule="auto"/>
        <w:ind w:firstLineChars="0"/>
        <w:rPr>
          <w:rFonts w:ascii="宋体"/>
          <w:color w:val="auto"/>
          <w:sz w:val="24"/>
          <w:szCs w:val="24"/>
          <w:highlight w:val="none"/>
        </w:rPr>
      </w:pPr>
      <w:r>
        <w:rPr>
          <w:rFonts w:hint="eastAsia" w:ascii="宋体"/>
          <w:color w:val="auto"/>
          <w:sz w:val="24"/>
          <w:szCs w:val="24"/>
          <w:highlight w:val="none"/>
        </w:rPr>
        <w:t>数量：</w:t>
      </w:r>
      <w:r>
        <w:rPr>
          <w:rFonts w:ascii="宋体"/>
          <w:color w:val="auto"/>
          <w:sz w:val="24"/>
          <w:szCs w:val="24"/>
          <w:highlight w:val="none"/>
        </w:rPr>
        <w:t>1</w:t>
      </w:r>
      <w:r>
        <w:rPr>
          <w:rFonts w:hint="eastAsia" w:ascii="宋体"/>
          <w:color w:val="auto"/>
          <w:sz w:val="24"/>
          <w:szCs w:val="24"/>
          <w:highlight w:val="none"/>
        </w:rPr>
        <w:t>套（装置型，无风扇无硬盘）</w:t>
      </w:r>
    </w:p>
    <w:p w14:paraId="61F2D27E">
      <w:pPr>
        <w:numPr>
          <w:ilvl w:val="12"/>
          <w:numId w:val="0"/>
        </w:numPr>
        <w:spacing w:line="360" w:lineRule="auto"/>
        <w:rPr>
          <w:rFonts w:ascii="宋体"/>
          <w:color w:val="auto"/>
          <w:kern w:val="0"/>
          <w:sz w:val="24"/>
          <w:szCs w:val="24"/>
          <w:highlight w:val="none"/>
        </w:rPr>
      </w:pPr>
      <w:r>
        <w:rPr>
          <w:rFonts w:hint="eastAsia" w:ascii="宋体"/>
          <w:color w:val="auto"/>
          <w:sz w:val="24"/>
          <w:szCs w:val="24"/>
          <w:highlight w:val="none"/>
        </w:rPr>
        <w:t>至少包括：</w:t>
      </w:r>
    </w:p>
    <w:p w14:paraId="6B2E9464">
      <w:pPr>
        <w:pStyle w:val="55"/>
        <w:numPr>
          <w:ilvl w:val="0"/>
          <w:numId w:val="50"/>
        </w:numPr>
        <w:spacing w:line="360" w:lineRule="auto"/>
        <w:ind w:firstLineChars="0"/>
        <w:rPr>
          <w:rFonts w:ascii="宋体"/>
          <w:color w:val="auto"/>
          <w:sz w:val="24"/>
          <w:szCs w:val="24"/>
          <w:highlight w:val="none"/>
        </w:rPr>
      </w:pPr>
      <w:r>
        <w:rPr>
          <w:rFonts w:hint="eastAsia" w:ascii="宋体"/>
          <w:color w:val="auto"/>
          <w:sz w:val="24"/>
          <w:szCs w:val="24"/>
          <w:highlight w:val="none"/>
        </w:rPr>
        <w:t>串口</w:t>
      </w:r>
      <w:r>
        <w:rPr>
          <w:rFonts w:hint="eastAsia" w:ascii="宋体"/>
          <w:color w:val="auto"/>
          <w:kern w:val="0"/>
          <w:sz w:val="24"/>
          <w:szCs w:val="24"/>
          <w:highlight w:val="none"/>
        </w:rPr>
        <w:t>≥</w:t>
      </w:r>
      <w:r>
        <w:rPr>
          <w:rFonts w:hint="eastAsia" w:ascii="宋体"/>
          <w:color w:val="auto"/>
          <w:sz w:val="24"/>
          <w:szCs w:val="24"/>
          <w:highlight w:val="none"/>
        </w:rPr>
        <w:t>16</w:t>
      </w:r>
    </w:p>
    <w:p w14:paraId="152A9E7D">
      <w:pPr>
        <w:pStyle w:val="55"/>
        <w:numPr>
          <w:ilvl w:val="0"/>
          <w:numId w:val="50"/>
        </w:numPr>
        <w:spacing w:line="360" w:lineRule="auto"/>
        <w:ind w:firstLineChars="0"/>
        <w:rPr>
          <w:rFonts w:ascii="宋体"/>
          <w:color w:val="auto"/>
          <w:sz w:val="24"/>
          <w:szCs w:val="24"/>
          <w:highlight w:val="none"/>
        </w:rPr>
      </w:pPr>
      <w:r>
        <w:rPr>
          <w:rFonts w:hint="eastAsia" w:ascii="宋体"/>
          <w:color w:val="auto"/>
          <w:sz w:val="24"/>
          <w:szCs w:val="24"/>
          <w:highlight w:val="none"/>
        </w:rPr>
        <w:t>以太网接口：</w:t>
      </w:r>
      <w:r>
        <w:rPr>
          <w:rFonts w:hint="eastAsia" w:ascii="宋体"/>
          <w:color w:val="auto"/>
          <w:kern w:val="0"/>
          <w:sz w:val="24"/>
          <w:szCs w:val="24"/>
          <w:highlight w:val="none"/>
        </w:rPr>
        <w:t>≥</w:t>
      </w:r>
      <w:r>
        <w:rPr>
          <w:rFonts w:hint="eastAsia" w:ascii="宋体"/>
          <w:color w:val="auto"/>
          <w:sz w:val="24"/>
          <w:szCs w:val="24"/>
          <w:highlight w:val="none"/>
        </w:rPr>
        <w:t>4个（满足工程需要）</w:t>
      </w:r>
    </w:p>
    <w:p w14:paraId="66B697D6">
      <w:pPr>
        <w:pStyle w:val="55"/>
        <w:numPr>
          <w:ilvl w:val="0"/>
          <w:numId w:val="50"/>
        </w:numPr>
        <w:spacing w:line="360" w:lineRule="auto"/>
        <w:ind w:firstLineChars="0"/>
        <w:rPr>
          <w:rFonts w:ascii="宋体"/>
          <w:color w:val="auto"/>
          <w:sz w:val="24"/>
          <w:szCs w:val="24"/>
          <w:highlight w:val="none"/>
        </w:rPr>
      </w:pPr>
      <w:r>
        <w:rPr>
          <w:rFonts w:hint="eastAsia" w:ascii="宋体"/>
          <w:color w:val="auto"/>
          <w:sz w:val="24"/>
          <w:szCs w:val="24"/>
          <w:highlight w:val="none"/>
        </w:rPr>
        <w:t>以太网接口速率：10/100/1000M自适应以太网卡</w:t>
      </w:r>
    </w:p>
    <w:p w14:paraId="56773F05">
      <w:pPr>
        <w:pStyle w:val="55"/>
        <w:numPr>
          <w:ilvl w:val="0"/>
          <w:numId w:val="50"/>
        </w:numPr>
        <w:spacing w:line="360" w:lineRule="auto"/>
        <w:ind w:firstLineChars="0"/>
        <w:rPr>
          <w:rFonts w:ascii="宋体"/>
          <w:color w:val="auto"/>
          <w:kern w:val="0"/>
          <w:sz w:val="24"/>
          <w:szCs w:val="24"/>
          <w:highlight w:val="none"/>
        </w:rPr>
      </w:pPr>
      <w:r>
        <w:rPr>
          <w:rFonts w:hint="eastAsia" w:ascii="宋体"/>
          <w:color w:val="auto"/>
          <w:sz w:val="24"/>
          <w:szCs w:val="24"/>
          <w:highlight w:val="none"/>
        </w:rPr>
        <w:t>机柜，电源及配线1套</w:t>
      </w:r>
    </w:p>
    <w:p w14:paraId="4BA1265B">
      <w:pPr>
        <w:numPr>
          <w:ilvl w:val="0"/>
          <w:numId w:val="48"/>
        </w:numPr>
        <w:spacing w:line="360" w:lineRule="auto"/>
        <w:rPr>
          <w:rFonts w:ascii="宋体"/>
          <w:color w:val="auto"/>
          <w:sz w:val="24"/>
          <w:szCs w:val="24"/>
          <w:highlight w:val="none"/>
        </w:rPr>
      </w:pPr>
      <w:r>
        <w:rPr>
          <w:rFonts w:hint="eastAsia" w:ascii="宋体"/>
          <w:color w:val="auto"/>
          <w:sz w:val="24"/>
          <w:szCs w:val="24"/>
          <w:highlight w:val="none"/>
        </w:rPr>
        <w:t xml:space="preserve"> 网络设备及网络光缆</w:t>
      </w:r>
    </w:p>
    <w:p w14:paraId="2A1CD46E">
      <w:pPr>
        <w:pStyle w:val="55"/>
        <w:numPr>
          <w:ilvl w:val="0"/>
          <w:numId w:val="51"/>
        </w:numPr>
        <w:spacing w:line="360" w:lineRule="auto"/>
        <w:ind w:firstLineChars="0"/>
        <w:rPr>
          <w:rFonts w:ascii="宋体"/>
          <w:color w:val="auto"/>
          <w:sz w:val="24"/>
          <w:szCs w:val="24"/>
          <w:highlight w:val="none"/>
        </w:rPr>
      </w:pPr>
      <w:r>
        <w:rPr>
          <w:rFonts w:ascii="宋体"/>
          <w:color w:val="auto"/>
          <w:sz w:val="24"/>
          <w:szCs w:val="24"/>
          <w:highlight w:val="none"/>
        </w:rPr>
        <w:t>以太网网络交换机：工业</w:t>
      </w:r>
      <w:r>
        <w:rPr>
          <w:rFonts w:hint="eastAsia" w:ascii="宋体"/>
          <w:color w:val="auto"/>
          <w:sz w:val="24"/>
          <w:szCs w:val="24"/>
          <w:highlight w:val="none"/>
        </w:rPr>
        <w:t>级，支持snmp V2及以上协议，可堆叠，两路直流电源供电，双电源模块配置，数量满足工程实际需要。</w:t>
      </w:r>
    </w:p>
    <w:p w14:paraId="6CDFD887">
      <w:pPr>
        <w:pStyle w:val="55"/>
        <w:numPr>
          <w:ilvl w:val="0"/>
          <w:numId w:val="51"/>
        </w:numPr>
        <w:spacing w:line="360" w:lineRule="auto"/>
        <w:ind w:firstLineChars="0"/>
        <w:rPr>
          <w:rFonts w:ascii="宋体"/>
          <w:color w:val="auto"/>
          <w:sz w:val="24"/>
          <w:szCs w:val="24"/>
          <w:highlight w:val="none"/>
        </w:rPr>
      </w:pPr>
      <w:r>
        <w:rPr>
          <w:rFonts w:hint="eastAsia" w:ascii="宋体"/>
          <w:color w:val="auto"/>
          <w:sz w:val="24"/>
          <w:szCs w:val="24"/>
          <w:highlight w:val="none"/>
        </w:rPr>
        <w:t>端口数量：</w:t>
      </w:r>
      <w:r>
        <w:rPr>
          <w:color w:val="auto"/>
          <w:highlight w:val="none"/>
        </w:rPr>
        <w:sym w:font="Symbol" w:char="F0B3"/>
      </w:r>
      <w:r>
        <w:rPr>
          <w:rFonts w:ascii="宋体"/>
          <w:color w:val="auto"/>
          <w:sz w:val="24"/>
          <w:szCs w:val="24"/>
          <w:highlight w:val="none"/>
        </w:rPr>
        <w:t>2</w:t>
      </w:r>
      <w:r>
        <w:rPr>
          <w:rFonts w:hint="eastAsia" w:ascii="宋体"/>
          <w:color w:val="auto"/>
          <w:sz w:val="24"/>
          <w:szCs w:val="24"/>
          <w:highlight w:val="none"/>
        </w:rPr>
        <w:t xml:space="preserve">4个/台，光口/电口数量满足工程实际需要并预留20%端口数量，具有两个镜像口。 </w:t>
      </w:r>
    </w:p>
    <w:p w14:paraId="08D228E4">
      <w:pPr>
        <w:pStyle w:val="55"/>
        <w:numPr>
          <w:ilvl w:val="0"/>
          <w:numId w:val="51"/>
        </w:numPr>
        <w:spacing w:line="360" w:lineRule="auto"/>
        <w:ind w:firstLineChars="0"/>
        <w:rPr>
          <w:rFonts w:ascii="宋体"/>
          <w:color w:val="auto"/>
          <w:sz w:val="24"/>
          <w:szCs w:val="24"/>
          <w:highlight w:val="none"/>
        </w:rPr>
      </w:pPr>
      <w:r>
        <w:rPr>
          <w:rFonts w:hint="eastAsia" w:ascii="宋体"/>
          <w:color w:val="auto"/>
          <w:sz w:val="24"/>
          <w:szCs w:val="24"/>
          <w:highlight w:val="none"/>
        </w:rPr>
        <w:t>通信速率：</w:t>
      </w:r>
      <w:r>
        <w:rPr>
          <w:color w:val="auto"/>
          <w:highlight w:val="none"/>
        </w:rPr>
        <w:sym w:font="Symbol" w:char="F0B3"/>
      </w:r>
      <w:r>
        <w:rPr>
          <w:rFonts w:ascii="宋体"/>
          <w:color w:val="auto"/>
          <w:sz w:val="24"/>
          <w:szCs w:val="24"/>
          <w:highlight w:val="none"/>
        </w:rPr>
        <w:t>10</w:t>
      </w:r>
      <w:r>
        <w:rPr>
          <w:rFonts w:hint="eastAsia" w:ascii="宋体"/>
          <w:color w:val="auto"/>
          <w:sz w:val="24"/>
          <w:szCs w:val="24"/>
          <w:highlight w:val="none"/>
        </w:rPr>
        <w:t>～100</w:t>
      </w:r>
      <w:r>
        <w:rPr>
          <w:rFonts w:ascii="宋体"/>
          <w:color w:val="auto"/>
          <w:sz w:val="24"/>
          <w:szCs w:val="24"/>
          <w:highlight w:val="none"/>
        </w:rPr>
        <w:t>Mbps</w:t>
      </w:r>
      <w:r>
        <w:rPr>
          <w:rFonts w:hint="eastAsia" w:ascii="宋体"/>
          <w:color w:val="auto"/>
          <w:sz w:val="24"/>
          <w:szCs w:val="24"/>
          <w:highlight w:val="none"/>
        </w:rPr>
        <w:t>，级联口采用千兆级联</w:t>
      </w:r>
    </w:p>
    <w:p w14:paraId="120D3222">
      <w:pPr>
        <w:pStyle w:val="55"/>
        <w:numPr>
          <w:ilvl w:val="0"/>
          <w:numId w:val="51"/>
        </w:numPr>
        <w:spacing w:line="360" w:lineRule="auto"/>
        <w:ind w:firstLineChars="0"/>
        <w:rPr>
          <w:rFonts w:ascii="宋体"/>
          <w:color w:val="auto"/>
          <w:sz w:val="24"/>
          <w:szCs w:val="24"/>
          <w:highlight w:val="none"/>
        </w:rPr>
      </w:pPr>
      <w:r>
        <w:rPr>
          <w:rFonts w:hint="eastAsia" w:ascii="宋体"/>
          <w:color w:val="auto"/>
          <w:sz w:val="24"/>
          <w:szCs w:val="24"/>
          <w:highlight w:val="none"/>
        </w:rPr>
        <w:t>相关的电源设备</w:t>
      </w:r>
    </w:p>
    <w:p w14:paraId="02C79426">
      <w:pPr>
        <w:pStyle w:val="55"/>
        <w:numPr>
          <w:ilvl w:val="0"/>
          <w:numId w:val="51"/>
        </w:numPr>
        <w:spacing w:line="360" w:lineRule="auto"/>
        <w:ind w:firstLineChars="0"/>
        <w:rPr>
          <w:rFonts w:ascii="宋体"/>
          <w:color w:val="auto"/>
          <w:sz w:val="24"/>
          <w:szCs w:val="24"/>
          <w:highlight w:val="none"/>
        </w:rPr>
      </w:pPr>
      <w:r>
        <w:rPr>
          <w:rFonts w:hint="eastAsia" w:ascii="宋体"/>
          <w:color w:val="auto"/>
          <w:sz w:val="24"/>
          <w:szCs w:val="24"/>
          <w:highlight w:val="none"/>
        </w:rPr>
        <w:t xml:space="preserve">网络光缆： </w:t>
      </w:r>
      <w:r>
        <w:rPr>
          <w:rFonts w:hint="eastAsia" w:ascii="宋体"/>
          <w:color w:val="auto"/>
          <w:sz w:val="24"/>
          <w:szCs w:val="24"/>
          <w:highlight w:val="none"/>
          <w:u w:val="single"/>
        </w:rPr>
        <w:t>4芯单模铠装</w:t>
      </w:r>
      <w:r>
        <w:rPr>
          <w:rFonts w:hint="eastAsia" w:ascii="宋体"/>
          <w:color w:val="auto"/>
          <w:sz w:val="24"/>
          <w:szCs w:val="24"/>
          <w:highlight w:val="none"/>
        </w:rPr>
        <w:t>光缆，长度满足工程要求。</w:t>
      </w:r>
    </w:p>
    <w:p w14:paraId="426D7EAD">
      <w:pPr>
        <w:numPr>
          <w:ilvl w:val="0"/>
          <w:numId w:val="48"/>
        </w:numPr>
        <w:spacing w:line="360" w:lineRule="auto"/>
        <w:rPr>
          <w:rFonts w:ascii="宋体"/>
          <w:color w:val="auto"/>
          <w:sz w:val="24"/>
          <w:szCs w:val="24"/>
          <w:highlight w:val="none"/>
        </w:rPr>
      </w:pPr>
      <w:r>
        <w:rPr>
          <w:rFonts w:hint="eastAsia" w:ascii="宋体"/>
          <w:color w:val="auto"/>
          <w:sz w:val="24"/>
          <w:szCs w:val="24"/>
          <w:highlight w:val="none"/>
        </w:rPr>
        <w:t xml:space="preserve"> 网络（汉字）打印机</w:t>
      </w:r>
    </w:p>
    <w:p w14:paraId="0B91B4CE">
      <w:pPr>
        <w:pStyle w:val="55"/>
        <w:numPr>
          <w:ilvl w:val="0"/>
          <w:numId w:val="51"/>
        </w:numPr>
        <w:spacing w:line="360" w:lineRule="auto"/>
        <w:ind w:firstLineChars="0"/>
        <w:rPr>
          <w:rFonts w:ascii="宋体"/>
          <w:color w:val="auto"/>
          <w:sz w:val="24"/>
          <w:szCs w:val="24"/>
          <w:highlight w:val="none"/>
        </w:rPr>
      </w:pPr>
      <w:r>
        <w:rPr>
          <w:rFonts w:hint="eastAsia" w:ascii="宋体"/>
          <w:color w:val="auto"/>
          <w:sz w:val="24"/>
          <w:szCs w:val="24"/>
          <w:highlight w:val="none"/>
        </w:rPr>
        <w:t>激光打印机：1台，可同时使用</w:t>
      </w:r>
      <w:r>
        <w:rPr>
          <w:rFonts w:ascii="宋体"/>
          <w:color w:val="auto"/>
          <w:sz w:val="24"/>
          <w:szCs w:val="24"/>
          <w:highlight w:val="none"/>
        </w:rPr>
        <w:t>A3</w:t>
      </w:r>
      <w:r>
        <w:rPr>
          <w:rFonts w:hint="eastAsia" w:ascii="宋体"/>
          <w:color w:val="auto"/>
          <w:sz w:val="24"/>
          <w:szCs w:val="24"/>
          <w:highlight w:val="none"/>
        </w:rPr>
        <w:t>、</w:t>
      </w:r>
      <w:r>
        <w:rPr>
          <w:rFonts w:ascii="宋体"/>
          <w:color w:val="auto"/>
          <w:sz w:val="24"/>
          <w:szCs w:val="24"/>
          <w:highlight w:val="none"/>
        </w:rPr>
        <w:t>A4</w:t>
      </w:r>
      <w:r>
        <w:rPr>
          <w:rFonts w:hint="eastAsia" w:ascii="宋体"/>
          <w:color w:val="auto"/>
          <w:sz w:val="24"/>
          <w:szCs w:val="24"/>
          <w:highlight w:val="none"/>
        </w:rPr>
        <w:t>幅面，配有相应纸盒。</w:t>
      </w:r>
    </w:p>
    <w:p w14:paraId="6A760F87">
      <w:pPr>
        <w:numPr>
          <w:ilvl w:val="0"/>
          <w:numId w:val="48"/>
        </w:numPr>
        <w:spacing w:line="360" w:lineRule="auto"/>
        <w:rPr>
          <w:rFonts w:ascii="宋体"/>
          <w:color w:val="auto"/>
          <w:sz w:val="24"/>
          <w:szCs w:val="24"/>
          <w:highlight w:val="none"/>
        </w:rPr>
      </w:pPr>
      <w:r>
        <w:rPr>
          <w:rFonts w:hint="eastAsia" w:ascii="宋体"/>
          <w:color w:val="auto"/>
          <w:sz w:val="24"/>
          <w:szCs w:val="24"/>
          <w:highlight w:val="none"/>
        </w:rPr>
        <w:t>音响报警</w:t>
      </w:r>
    </w:p>
    <w:p w14:paraId="2402BE6F">
      <w:pPr>
        <w:spacing w:line="360" w:lineRule="auto"/>
        <w:ind w:left="567"/>
        <w:rPr>
          <w:rStyle w:val="37"/>
          <w:color w:val="auto"/>
          <w:sz w:val="24"/>
          <w:szCs w:val="24"/>
          <w:highlight w:val="none"/>
        </w:rPr>
      </w:pPr>
      <w:r>
        <w:rPr>
          <w:rFonts w:hint="eastAsia" w:ascii="宋体"/>
          <w:color w:val="auto"/>
          <w:sz w:val="24"/>
          <w:szCs w:val="24"/>
          <w:highlight w:val="none"/>
        </w:rPr>
        <w:t>由操作员工作站驱动音响报警，并能闪光，事故报警音响和异常报警音响应为二种声音，音量可调。</w:t>
      </w:r>
    </w:p>
    <w:p w14:paraId="6547AA9B">
      <w:pPr>
        <w:numPr>
          <w:ilvl w:val="0"/>
          <w:numId w:val="48"/>
        </w:numPr>
        <w:spacing w:line="360" w:lineRule="auto"/>
        <w:rPr>
          <w:rFonts w:ascii="宋体"/>
          <w:color w:val="auto"/>
          <w:sz w:val="24"/>
          <w:szCs w:val="24"/>
          <w:highlight w:val="none"/>
        </w:rPr>
      </w:pPr>
      <w:r>
        <w:rPr>
          <w:rFonts w:ascii="宋体"/>
          <w:color w:val="auto"/>
          <w:sz w:val="24"/>
          <w:szCs w:val="24"/>
          <w:highlight w:val="none"/>
        </w:rPr>
        <w:t xml:space="preserve"> I/O测控单元</w:t>
      </w:r>
    </w:p>
    <w:p w14:paraId="627C9000">
      <w:pPr>
        <w:spacing w:line="360" w:lineRule="auto"/>
        <w:ind w:left="720" w:hanging="720" w:hangingChars="300"/>
        <w:rPr>
          <w:rFonts w:ascii="宋体"/>
          <w:color w:val="auto"/>
          <w:kern w:val="0"/>
          <w:sz w:val="24"/>
          <w:szCs w:val="24"/>
          <w:highlight w:val="none"/>
        </w:rPr>
      </w:pPr>
      <w:r>
        <w:rPr>
          <w:rFonts w:ascii="宋体"/>
          <w:color w:val="auto"/>
          <w:sz w:val="24"/>
          <w:szCs w:val="24"/>
          <w:highlight w:val="none"/>
        </w:rPr>
        <w:t>I/O测控单元</w:t>
      </w:r>
      <w:r>
        <w:rPr>
          <w:rFonts w:hint="eastAsia" w:ascii="宋体"/>
          <w:color w:val="auto"/>
          <w:sz w:val="24"/>
          <w:szCs w:val="24"/>
          <w:highlight w:val="none"/>
        </w:rPr>
        <w:t>采用标准化的，模块化的，多处理器控制的智能自动化装置。至少</w:t>
      </w:r>
      <w:r>
        <w:rPr>
          <w:rFonts w:hint="eastAsia" w:ascii="宋体"/>
          <w:vanish/>
          <w:color w:val="auto"/>
          <w:sz w:val="24"/>
          <w:szCs w:val="24"/>
          <w:highlight w:val="none"/>
        </w:rPr>
        <w:cr/>
      </w:r>
      <w:r>
        <w:rPr>
          <w:rFonts w:hint="eastAsia" w:ascii="宋体"/>
          <w:color w:val="auto"/>
          <w:sz w:val="24"/>
          <w:szCs w:val="24"/>
          <w:highlight w:val="none"/>
        </w:rPr>
        <w:t>包括下列部件，下列部件可以是部分或全部的组合单元。</w:t>
      </w:r>
    </w:p>
    <w:p w14:paraId="19E42AEB">
      <w:pPr>
        <w:numPr>
          <w:ilvl w:val="0"/>
          <w:numId w:val="41"/>
        </w:numPr>
        <w:tabs>
          <w:tab w:val="left" w:pos="900"/>
          <w:tab w:val="clear" w:pos="644"/>
        </w:tabs>
        <w:spacing w:line="360" w:lineRule="auto"/>
        <w:ind w:left="900" w:hanging="180"/>
        <w:rPr>
          <w:rFonts w:ascii="宋体"/>
          <w:color w:val="auto"/>
          <w:kern w:val="0"/>
          <w:sz w:val="24"/>
          <w:szCs w:val="24"/>
          <w:highlight w:val="none"/>
        </w:rPr>
      </w:pPr>
      <w:r>
        <w:rPr>
          <w:rFonts w:hint="eastAsia" w:ascii="宋体"/>
          <w:color w:val="auto"/>
          <w:sz w:val="24"/>
          <w:szCs w:val="24"/>
          <w:highlight w:val="none"/>
        </w:rPr>
        <w:t>数字信号输入部件，用于状态量、告警量、脉冲量的输入，可以由软件灵活组态，可实现逻辑编程。</w:t>
      </w:r>
    </w:p>
    <w:p w14:paraId="443B564C">
      <w:pPr>
        <w:numPr>
          <w:ilvl w:val="0"/>
          <w:numId w:val="41"/>
        </w:numPr>
        <w:tabs>
          <w:tab w:val="left" w:pos="900"/>
          <w:tab w:val="clear" w:pos="644"/>
        </w:tabs>
        <w:spacing w:line="360" w:lineRule="auto"/>
        <w:ind w:left="900" w:hanging="180"/>
        <w:rPr>
          <w:rFonts w:ascii="宋体"/>
          <w:color w:val="auto"/>
          <w:sz w:val="24"/>
          <w:szCs w:val="24"/>
          <w:highlight w:val="none"/>
        </w:rPr>
      </w:pPr>
      <w:r>
        <w:rPr>
          <w:rFonts w:hint="eastAsia" w:ascii="宋体"/>
          <w:color w:val="auto"/>
          <w:sz w:val="24"/>
          <w:szCs w:val="24"/>
          <w:highlight w:val="none"/>
        </w:rPr>
        <w:t>交流信号测量部件</w:t>
      </w:r>
      <w:r>
        <w:rPr>
          <w:rFonts w:ascii="宋体"/>
          <w:color w:val="auto"/>
          <w:sz w:val="24"/>
          <w:szCs w:val="24"/>
          <w:highlight w:val="none"/>
        </w:rPr>
        <w:t>，交流采样周期和算法能满足精度和同期要求，应至少满足谐波分量13次，10％幅度时的测量精度和周期要求。</w:t>
      </w:r>
    </w:p>
    <w:p w14:paraId="35A483EA">
      <w:pPr>
        <w:numPr>
          <w:ilvl w:val="0"/>
          <w:numId w:val="41"/>
        </w:numPr>
        <w:tabs>
          <w:tab w:val="left" w:pos="900"/>
          <w:tab w:val="clear" w:pos="644"/>
        </w:tabs>
        <w:spacing w:line="360" w:lineRule="auto"/>
        <w:ind w:left="900" w:hanging="180"/>
        <w:rPr>
          <w:rFonts w:ascii="宋体"/>
          <w:color w:val="auto"/>
          <w:kern w:val="0"/>
          <w:sz w:val="24"/>
          <w:szCs w:val="24"/>
          <w:highlight w:val="none"/>
        </w:rPr>
      </w:pPr>
      <w:r>
        <w:rPr>
          <w:rFonts w:hint="eastAsia" w:ascii="宋体"/>
          <w:color w:val="auto"/>
          <w:sz w:val="24"/>
          <w:szCs w:val="24"/>
          <w:highlight w:val="none"/>
        </w:rPr>
        <w:t>直流信号测量部件，用于经变送器测量。（变送器由招标人提供）</w:t>
      </w:r>
    </w:p>
    <w:p w14:paraId="35B2E827">
      <w:pPr>
        <w:numPr>
          <w:ilvl w:val="0"/>
          <w:numId w:val="41"/>
        </w:numPr>
        <w:tabs>
          <w:tab w:val="left" w:pos="900"/>
          <w:tab w:val="clear" w:pos="644"/>
        </w:tabs>
        <w:spacing w:line="360" w:lineRule="auto"/>
        <w:ind w:left="900" w:hanging="180"/>
        <w:rPr>
          <w:rFonts w:ascii="宋体"/>
          <w:color w:val="auto"/>
          <w:sz w:val="24"/>
          <w:szCs w:val="24"/>
          <w:highlight w:val="none"/>
        </w:rPr>
      </w:pPr>
      <w:r>
        <w:rPr>
          <w:rFonts w:hint="eastAsia" w:ascii="宋体"/>
          <w:color w:val="auto"/>
          <w:sz w:val="24"/>
          <w:szCs w:val="24"/>
          <w:highlight w:val="none"/>
        </w:rPr>
        <w:t>控制输出部件。</w:t>
      </w:r>
    </w:p>
    <w:p w14:paraId="6812533B">
      <w:pPr>
        <w:numPr>
          <w:ilvl w:val="0"/>
          <w:numId w:val="41"/>
        </w:numPr>
        <w:tabs>
          <w:tab w:val="left" w:pos="900"/>
          <w:tab w:val="clear" w:pos="644"/>
        </w:tabs>
        <w:spacing w:line="360" w:lineRule="auto"/>
        <w:ind w:firstLine="96"/>
        <w:rPr>
          <w:rFonts w:ascii="宋体"/>
          <w:color w:val="auto"/>
          <w:kern w:val="0"/>
          <w:sz w:val="24"/>
          <w:szCs w:val="24"/>
          <w:highlight w:val="none"/>
        </w:rPr>
      </w:pPr>
      <w:r>
        <w:rPr>
          <w:rFonts w:hint="eastAsia" w:ascii="宋体"/>
          <w:color w:val="auto"/>
          <w:sz w:val="24"/>
          <w:szCs w:val="24"/>
          <w:highlight w:val="none"/>
        </w:rPr>
        <w:t>具有远方</w:t>
      </w:r>
      <w:r>
        <w:rPr>
          <w:rFonts w:ascii="宋体"/>
          <w:color w:val="auto"/>
          <w:sz w:val="24"/>
          <w:szCs w:val="24"/>
          <w:highlight w:val="none"/>
        </w:rPr>
        <w:t>/</w:t>
      </w:r>
      <w:r>
        <w:rPr>
          <w:rFonts w:hint="eastAsia" w:ascii="宋体"/>
          <w:color w:val="auto"/>
          <w:sz w:val="24"/>
          <w:szCs w:val="24"/>
          <w:highlight w:val="none"/>
        </w:rPr>
        <w:t>就地控制的切换功能及对断路器的一对一操作控制功能</w:t>
      </w:r>
      <w:r>
        <w:rPr>
          <w:rFonts w:hint="eastAsia" w:ascii="宋体"/>
          <w:color w:val="auto"/>
          <w:kern w:val="0"/>
          <w:sz w:val="24"/>
          <w:szCs w:val="24"/>
          <w:highlight w:val="none"/>
        </w:rPr>
        <w:t>。</w:t>
      </w:r>
    </w:p>
    <w:p w14:paraId="71BD5DA3">
      <w:pPr>
        <w:numPr>
          <w:ilvl w:val="0"/>
          <w:numId w:val="41"/>
        </w:numPr>
        <w:tabs>
          <w:tab w:val="left" w:pos="900"/>
          <w:tab w:val="clear" w:pos="644"/>
        </w:tabs>
        <w:spacing w:line="360" w:lineRule="auto"/>
        <w:ind w:firstLine="96"/>
        <w:rPr>
          <w:rFonts w:ascii="宋体"/>
          <w:color w:val="auto"/>
          <w:sz w:val="24"/>
          <w:szCs w:val="24"/>
          <w:highlight w:val="none"/>
        </w:rPr>
      </w:pPr>
      <w:r>
        <w:rPr>
          <w:rFonts w:hint="eastAsia" w:ascii="宋体"/>
          <w:color w:val="auto"/>
          <w:sz w:val="24"/>
          <w:szCs w:val="24"/>
          <w:highlight w:val="none"/>
        </w:rPr>
        <w:t>断路器合闸同期检测闭锁部件</w:t>
      </w:r>
      <w:r>
        <w:rPr>
          <w:rFonts w:ascii="宋体"/>
          <w:color w:val="auto"/>
          <w:sz w:val="24"/>
          <w:szCs w:val="24"/>
          <w:highlight w:val="none"/>
        </w:rPr>
        <w:t>（包括相关继电器等）</w:t>
      </w:r>
      <w:r>
        <w:rPr>
          <w:rFonts w:hint="eastAsia" w:ascii="宋体"/>
          <w:color w:val="auto"/>
          <w:sz w:val="24"/>
          <w:szCs w:val="24"/>
          <w:highlight w:val="none"/>
        </w:rPr>
        <w:t>。</w:t>
      </w:r>
    </w:p>
    <w:p w14:paraId="6696CA42">
      <w:pPr>
        <w:numPr>
          <w:ilvl w:val="0"/>
          <w:numId w:val="41"/>
        </w:numPr>
        <w:tabs>
          <w:tab w:val="left" w:pos="900"/>
          <w:tab w:val="clear" w:pos="644"/>
        </w:tabs>
        <w:spacing w:line="360" w:lineRule="auto"/>
        <w:ind w:firstLine="96"/>
        <w:rPr>
          <w:rFonts w:ascii="宋体"/>
          <w:color w:val="auto"/>
          <w:sz w:val="24"/>
          <w:szCs w:val="24"/>
          <w:highlight w:val="none"/>
        </w:rPr>
      </w:pPr>
      <w:r>
        <w:rPr>
          <w:rFonts w:hint="eastAsia" w:ascii="宋体"/>
          <w:color w:val="auto"/>
          <w:sz w:val="24"/>
          <w:szCs w:val="24"/>
          <w:highlight w:val="none"/>
        </w:rPr>
        <w:t>具有软件实现电气防误操作闭锁功能。</w:t>
      </w:r>
    </w:p>
    <w:p w14:paraId="1D722963">
      <w:pPr>
        <w:numPr>
          <w:ilvl w:val="0"/>
          <w:numId w:val="41"/>
        </w:numPr>
        <w:tabs>
          <w:tab w:val="left" w:pos="900"/>
          <w:tab w:val="clear" w:pos="644"/>
        </w:tabs>
        <w:spacing w:line="360" w:lineRule="auto"/>
        <w:ind w:firstLine="96"/>
        <w:rPr>
          <w:rFonts w:ascii="宋体"/>
          <w:color w:val="auto"/>
          <w:sz w:val="24"/>
          <w:szCs w:val="24"/>
          <w:highlight w:val="none"/>
        </w:rPr>
      </w:pPr>
      <w:r>
        <w:rPr>
          <w:rFonts w:hint="eastAsia" w:ascii="宋体"/>
          <w:color w:val="auto"/>
          <w:sz w:val="24"/>
          <w:szCs w:val="24"/>
          <w:highlight w:val="none"/>
        </w:rPr>
        <w:t>具有AGC、控制功能</w:t>
      </w:r>
    </w:p>
    <w:p w14:paraId="68DD28F1">
      <w:pPr>
        <w:numPr>
          <w:ilvl w:val="0"/>
          <w:numId w:val="41"/>
        </w:numPr>
        <w:tabs>
          <w:tab w:val="left" w:pos="900"/>
          <w:tab w:val="clear" w:pos="644"/>
        </w:tabs>
        <w:spacing w:line="360" w:lineRule="auto"/>
        <w:ind w:firstLine="96"/>
        <w:rPr>
          <w:rFonts w:ascii="宋体"/>
          <w:color w:val="auto"/>
          <w:sz w:val="24"/>
          <w:szCs w:val="24"/>
          <w:highlight w:val="none"/>
        </w:rPr>
      </w:pPr>
      <w:r>
        <w:rPr>
          <w:rFonts w:ascii="宋体"/>
          <w:b/>
          <w:color w:val="auto"/>
          <w:sz w:val="24"/>
          <w:szCs w:val="24"/>
          <w:highlight w:val="none"/>
        </w:rPr>
        <w:t>具有</w:t>
      </w:r>
      <w:r>
        <w:rPr>
          <w:rFonts w:hint="eastAsia" w:ascii="宋体"/>
          <w:b/>
          <w:color w:val="auto"/>
          <w:sz w:val="24"/>
          <w:szCs w:val="24"/>
          <w:highlight w:val="none"/>
        </w:rPr>
        <w:t>一次调频在线测试功能</w:t>
      </w:r>
    </w:p>
    <w:p w14:paraId="3594E541">
      <w:pPr>
        <w:numPr>
          <w:ilvl w:val="0"/>
          <w:numId w:val="41"/>
        </w:numPr>
        <w:tabs>
          <w:tab w:val="left" w:pos="900"/>
          <w:tab w:val="clear" w:pos="644"/>
        </w:tabs>
        <w:spacing w:line="360" w:lineRule="auto"/>
        <w:ind w:left="900" w:hanging="180"/>
        <w:rPr>
          <w:rFonts w:ascii="宋体"/>
          <w:color w:val="auto"/>
          <w:kern w:val="0"/>
          <w:sz w:val="24"/>
          <w:szCs w:val="24"/>
          <w:highlight w:val="none"/>
        </w:rPr>
      </w:pPr>
      <w:r>
        <w:rPr>
          <w:rFonts w:hint="eastAsia" w:ascii="宋体"/>
          <w:color w:val="auto"/>
          <w:sz w:val="24"/>
          <w:szCs w:val="24"/>
          <w:highlight w:val="none"/>
        </w:rPr>
        <w:t>各电气单元的</w:t>
      </w:r>
      <w:r>
        <w:rPr>
          <w:rFonts w:ascii="宋体"/>
          <w:color w:val="auto"/>
          <w:sz w:val="24"/>
          <w:szCs w:val="24"/>
          <w:highlight w:val="none"/>
        </w:rPr>
        <w:t>I/O</w:t>
      </w:r>
      <w:r>
        <w:rPr>
          <w:rFonts w:hint="eastAsia" w:ascii="宋体"/>
          <w:color w:val="auto"/>
          <w:sz w:val="24"/>
          <w:szCs w:val="24"/>
          <w:highlight w:val="none"/>
        </w:rPr>
        <w:t>测控屏的正面应有液晶显示屏，以显示一次接线图和实时显示I、U、</w:t>
      </w:r>
      <w:r>
        <w:rPr>
          <w:rFonts w:ascii="宋体"/>
          <w:color w:val="auto"/>
          <w:sz w:val="24"/>
          <w:szCs w:val="24"/>
          <w:highlight w:val="none"/>
        </w:rPr>
        <w:t>P</w:t>
      </w:r>
      <w:r>
        <w:rPr>
          <w:rFonts w:hint="eastAsia" w:ascii="宋体"/>
          <w:color w:val="auto"/>
          <w:sz w:val="24"/>
          <w:szCs w:val="24"/>
          <w:highlight w:val="none"/>
        </w:rPr>
        <w:t>、</w:t>
      </w:r>
      <w:r>
        <w:rPr>
          <w:rFonts w:ascii="宋体"/>
          <w:color w:val="auto"/>
          <w:sz w:val="24"/>
          <w:szCs w:val="24"/>
          <w:highlight w:val="none"/>
        </w:rPr>
        <w:t>Q</w:t>
      </w:r>
      <w:r>
        <w:rPr>
          <w:rFonts w:hint="eastAsia" w:ascii="宋体"/>
          <w:color w:val="auto"/>
          <w:sz w:val="24"/>
          <w:szCs w:val="24"/>
          <w:highlight w:val="none"/>
        </w:rPr>
        <w:t>、</w:t>
      </w:r>
      <w:r>
        <w:rPr>
          <w:rFonts w:ascii="宋体"/>
          <w:color w:val="auto"/>
          <w:sz w:val="24"/>
          <w:szCs w:val="24"/>
          <w:highlight w:val="none"/>
        </w:rPr>
        <w:t>f</w:t>
      </w:r>
      <w:r>
        <w:rPr>
          <w:rFonts w:hint="eastAsia" w:ascii="宋体"/>
          <w:color w:val="auto"/>
          <w:sz w:val="24"/>
          <w:szCs w:val="24"/>
          <w:highlight w:val="none"/>
        </w:rPr>
        <w:t>等重要的测量计算，并实时显示所监控断路器的状态。通过</w:t>
      </w:r>
      <w:r>
        <w:rPr>
          <w:rFonts w:ascii="宋体"/>
          <w:color w:val="auto"/>
          <w:sz w:val="24"/>
          <w:szCs w:val="24"/>
          <w:highlight w:val="none"/>
        </w:rPr>
        <w:t>LED</w:t>
      </w:r>
      <w:r>
        <w:rPr>
          <w:rFonts w:hint="eastAsia" w:ascii="宋体"/>
          <w:color w:val="auto"/>
          <w:sz w:val="24"/>
          <w:szCs w:val="24"/>
          <w:highlight w:val="none"/>
        </w:rPr>
        <w:t>指示所有的报警信号</w:t>
      </w:r>
      <w:r>
        <w:rPr>
          <w:rFonts w:hint="eastAsia" w:ascii="宋体"/>
          <w:color w:val="auto"/>
          <w:kern w:val="0"/>
          <w:sz w:val="24"/>
          <w:szCs w:val="24"/>
          <w:highlight w:val="none"/>
        </w:rPr>
        <w:t>。</w:t>
      </w:r>
    </w:p>
    <w:p w14:paraId="048C53FF">
      <w:pPr>
        <w:numPr>
          <w:ilvl w:val="0"/>
          <w:numId w:val="41"/>
        </w:numPr>
        <w:tabs>
          <w:tab w:val="left" w:pos="900"/>
          <w:tab w:val="clear" w:pos="644"/>
        </w:tabs>
        <w:spacing w:line="360" w:lineRule="auto"/>
        <w:ind w:firstLine="96"/>
        <w:rPr>
          <w:rFonts w:ascii="宋体"/>
          <w:color w:val="auto"/>
          <w:sz w:val="24"/>
          <w:szCs w:val="24"/>
          <w:highlight w:val="none"/>
        </w:rPr>
      </w:pPr>
      <w:r>
        <w:rPr>
          <w:rFonts w:ascii="宋体"/>
          <w:color w:val="auto"/>
          <w:sz w:val="24"/>
          <w:szCs w:val="24"/>
          <w:highlight w:val="none"/>
        </w:rPr>
        <w:t>I/O</w:t>
      </w:r>
      <w:r>
        <w:rPr>
          <w:rFonts w:hint="eastAsia" w:ascii="宋体"/>
          <w:color w:val="auto"/>
          <w:sz w:val="24"/>
          <w:szCs w:val="24"/>
          <w:highlight w:val="none"/>
        </w:rPr>
        <w:t>通讯接口部件。双以太网卡接入交换设备。</w:t>
      </w:r>
    </w:p>
    <w:p w14:paraId="5F189751">
      <w:pPr>
        <w:numPr>
          <w:ilvl w:val="0"/>
          <w:numId w:val="41"/>
        </w:numPr>
        <w:tabs>
          <w:tab w:val="left" w:pos="900"/>
          <w:tab w:val="clear" w:pos="644"/>
        </w:tabs>
        <w:spacing w:line="360" w:lineRule="auto"/>
        <w:ind w:firstLine="96"/>
        <w:rPr>
          <w:rFonts w:ascii="宋体"/>
          <w:color w:val="auto"/>
          <w:sz w:val="24"/>
          <w:szCs w:val="24"/>
          <w:highlight w:val="none"/>
        </w:rPr>
      </w:pPr>
      <w:r>
        <w:rPr>
          <w:rFonts w:ascii="宋体"/>
          <w:color w:val="auto"/>
          <w:sz w:val="24"/>
          <w:szCs w:val="24"/>
          <w:highlight w:val="none"/>
        </w:rPr>
        <w:t>CT</w:t>
      </w:r>
      <w:r>
        <w:rPr>
          <w:rFonts w:hint="eastAsia" w:ascii="宋体"/>
          <w:color w:val="auto"/>
          <w:sz w:val="24"/>
          <w:szCs w:val="24"/>
          <w:highlight w:val="none"/>
        </w:rPr>
        <w:t>和</w:t>
      </w:r>
      <w:r>
        <w:rPr>
          <w:rFonts w:ascii="宋体"/>
          <w:color w:val="auto"/>
          <w:sz w:val="24"/>
          <w:szCs w:val="24"/>
          <w:highlight w:val="none"/>
        </w:rPr>
        <w:t>PT</w:t>
      </w:r>
      <w:r>
        <w:rPr>
          <w:rFonts w:hint="eastAsia" w:ascii="宋体"/>
          <w:color w:val="auto"/>
          <w:sz w:val="24"/>
          <w:szCs w:val="24"/>
          <w:highlight w:val="none"/>
        </w:rPr>
        <w:t>二次回路开路检查。</w:t>
      </w:r>
    </w:p>
    <w:p w14:paraId="76A814AA">
      <w:pPr>
        <w:numPr>
          <w:ilvl w:val="0"/>
          <w:numId w:val="41"/>
        </w:numPr>
        <w:tabs>
          <w:tab w:val="left" w:pos="900"/>
          <w:tab w:val="clear" w:pos="644"/>
        </w:tabs>
        <w:spacing w:line="360" w:lineRule="auto"/>
        <w:ind w:left="900" w:hanging="180"/>
        <w:rPr>
          <w:rFonts w:ascii="宋体"/>
          <w:color w:val="auto"/>
          <w:sz w:val="24"/>
          <w:szCs w:val="24"/>
          <w:highlight w:val="none"/>
        </w:rPr>
      </w:pPr>
      <w:r>
        <w:rPr>
          <w:rFonts w:ascii="宋体"/>
          <w:color w:val="auto"/>
          <w:sz w:val="24"/>
          <w:szCs w:val="24"/>
          <w:highlight w:val="none"/>
        </w:rPr>
        <w:t>I/O测控单元</w:t>
      </w:r>
      <w:r>
        <w:rPr>
          <w:rFonts w:hint="eastAsia" w:ascii="宋体"/>
          <w:color w:val="auto"/>
          <w:sz w:val="24"/>
          <w:szCs w:val="24"/>
          <w:highlight w:val="none"/>
        </w:rPr>
        <w:t>应是模块化的、标准化的、容易维护更换的、允许带电插拔的，任何一个模块故障检修时，应不影响其它模块的正常工作。</w:t>
      </w:r>
    </w:p>
    <w:p w14:paraId="1EA795EB">
      <w:pPr>
        <w:numPr>
          <w:ilvl w:val="0"/>
          <w:numId w:val="41"/>
        </w:numPr>
        <w:tabs>
          <w:tab w:val="left" w:pos="900"/>
          <w:tab w:val="clear" w:pos="644"/>
        </w:tabs>
        <w:spacing w:line="360" w:lineRule="auto"/>
        <w:ind w:left="900" w:hanging="180"/>
        <w:rPr>
          <w:rFonts w:ascii="宋体"/>
          <w:color w:val="auto"/>
          <w:sz w:val="24"/>
          <w:szCs w:val="24"/>
          <w:highlight w:val="none"/>
        </w:rPr>
      </w:pPr>
      <w:r>
        <w:rPr>
          <w:rFonts w:hint="eastAsia" w:ascii="宋体"/>
          <w:color w:val="auto"/>
          <w:sz w:val="24"/>
          <w:szCs w:val="24"/>
          <w:highlight w:val="none"/>
        </w:rPr>
        <w:t>所有</w:t>
      </w:r>
      <w:r>
        <w:rPr>
          <w:rFonts w:ascii="宋体"/>
          <w:color w:val="auto"/>
          <w:sz w:val="24"/>
          <w:szCs w:val="24"/>
          <w:highlight w:val="none"/>
        </w:rPr>
        <w:t>I/O测控单元</w:t>
      </w:r>
      <w:r>
        <w:rPr>
          <w:rFonts w:hint="eastAsia" w:ascii="宋体"/>
          <w:color w:val="auto"/>
          <w:sz w:val="24"/>
          <w:szCs w:val="24"/>
          <w:highlight w:val="none"/>
        </w:rPr>
        <w:t>的部件在输入输出回路上都必须具有电气隔离措施。电气特性应满足</w:t>
      </w:r>
      <w:r>
        <w:rPr>
          <w:rFonts w:ascii="宋体"/>
          <w:color w:val="auto"/>
          <w:sz w:val="24"/>
          <w:szCs w:val="24"/>
          <w:highlight w:val="none"/>
        </w:rPr>
        <w:t>IEC 688</w:t>
      </w:r>
      <w:r>
        <w:rPr>
          <w:rFonts w:hint="eastAsia" w:ascii="宋体"/>
          <w:color w:val="auto"/>
          <w:sz w:val="24"/>
          <w:szCs w:val="24"/>
          <w:highlight w:val="none"/>
        </w:rPr>
        <w:t>－</w:t>
      </w:r>
      <w:r>
        <w:rPr>
          <w:rFonts w:ascii="宋体"/>
          <w:color w:val="auto"/>
          <w:sz w:val="24"/>
          <w:szCs w:val="24"/>
          <w:highlight w:val="none"/>
        </w:rPr>
        <w:t>2</w:t>
      </w:r>
      <w:r>
        <w:rPr>
          <w:rFonts w:hint="eastAsia" w:ascii="宋体"/>
          <w:color w:val="auto"/>
          <w:sz w:val="24"/>
          <w:szCs w:val="24"/>
          <w:highlight w:val="none"/>
        </w:rPr>
        <w:t>的有关标准。</w:t>
      </w:r>
    </w:p>
    <w:p w14:paraId="398A7E7A">
      <w:pPr>
        <w:numPr>
          <w:ilvl w:val="0"/>
          <w:numId w:val="41"/>
        </w:numPr>
        <w:tabs>
          <w:tab w:val="left" w:pos="900"/>
          <w:tab w:val="clear" w:pos="644"/>
        </w:tabs>
        <w:spacing w:line="360" w:lineRule="auto"/>
        <w:ind w:firstLine="96"/>
        <w:rPr>
          <w:color w:val="auto"/>
          <w:highlight w:val="none"/>
        </w:rPr>
      </w:pPr>
      <w:r>
        <w:rPr>
          <w:rFonts w:hint="eastAsia" w:ascii="宋体"/>
          <w:color w:val="auto"/>
          <w:sz w:val="24"/>
          <w:szCs w:val="24"/>
          <w:highlight w:val="none"/>
        </w:rPr>
        <w:t>投标人应提供</w:t>
      </w:r>
      <w:r>
        <w:rPr>
          <w:rFonts w:ascii="宋体"/>
          <w:color w:val="auto"/>
          <w:sz w:val="24"/>
          <w:szCs w:val="24"/>
          <w:highlight w:val="none"/>
        </w:rPr>
        <w:t>I/O测控单元</w:t>
      </w:r>
      <w:r>
        <w:rPr>
          <w:rFonts w:hint="eastAsia" w:ascii="宋体"/>
          <w:color w:val="auto"/>
          <w:sz w:val="24"/>
          <w:szCs w:val="24"/>
          <w:highlight w:val="none"/>
        </w:rPr>
        <w:t>的测量精度报告。</w:t>
      </w:r>
    </w:p>
    <w:p w14:paraId="41B2BB05">
      <w:pPr>
        <w:spacing w:line="360" w:lineRule="auto"/>
        <w:rPr>
          <w:rFonts w:ascii="宋体"/>
          <w:b/>
          <w:color w:val="auto"/>
          <w:sz w:val="24"/>
          <w:szCs w:val="24"/>
          <w:highlight w:val="none"/>
        </w:rPr>
      </w:pPr>
      <w:bookmarkStart w:id="43" w:name="_Toc320606848"/>
      <w:bookmarkStart w:id="44" w:name="_Toc61442368"/>
      <w:r>
        <w:rPr>
          <w:rFonts w:hint="eastAsia" w:ascii="宋体"/>
          <w:b/>
          <w:color w:val="auto"/>
          <w:sz w:val="24"/>
          <w:szCs w:val="24"/>
          <w:highlight w:val="none"/>
        </w:rPr>
        <w:t>3.7  系统软件配置</w:t>
      </w:r>
      <w:bookmarkEnd w:id="43"/>
      <w:bookmarkEnd w:id="44"/>
    </w:p>
    <w:p w14:paraId="1DE0AEC5">
      <w:pPr>
        <w:spacing w:line="360" w:lineRule="auto"/>
        <w:rPr>
          <w:rFonts w:ascii="宋体"/>
          <w:color w:val="auto"/>
          <w:sz w:val="24"/>
          <w:szCs w:val="24"/>
          <w:highlight w:val="none"/>
        </w:rPr>
      </w:pPr>
      <w:r>
        <w:rPr>
          <w:rFonts w:hint="eastAsia" w:ascii="宋体"/>
          <w:color w:val="auto"/>
          <w:sz w:val="24"/>
          <w:szCs w:val="24"/>
          <w:highlight w:val="none"/>
        </w:rPr>
        <w:t>3.7.</w:t>
      </w:r>
      <w:r>
        <w:rPr>
          <w:rFonts w:ascii="宋体"/>
          <w:color w:val="auto"/>
          <w:sz w:val="24"/>
          <w:szCs w:val="24"/>
          <w:highlight w:val="none"/>
        </w:rPr>
        <w:t>1</w:t>
      </w:r>
      <w:r>
        <w:rPr>
          <w:rFonts w:hint="eastAsia" w:ascii="宋体"/>
          <w:color w:val="auto"/>
          <w:sz w:val="24"/>
          <w:szCs w:val="24"/>
          <w:highlight w:val="none"/>
        </w:rPr>
        <w:t>操作系统软件</w:t>
      </w:r>
    </w:p>
    <w:p w14:paraId="07F6BF48">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提供最新版本的完整的操作系统，它应包括操作系统生成包、编译系统、诊断系统和各种软件维护、开发工具。</w:t>
      </w:r>
    </w:p>
    <w:p w14:paraId="3E0F7048">
      <w:pPr>
        <w:numPr>
          <w:ilvl w:val="0"/>
          <w:numId w:val="52"/>
        </w:numPr>
        <w:spacing w:line="360" w:lineRule="auto"/>
        <w:rPr>
          <w:color w:val="auto"/>
          <w:spacing w:val="10"/>
          <w:sz w:val="24"/>
          <w:szCs w:val="24"/>
          <w:highlight w:val="none"/>
        </w:rPr>
      </w:pPr>
      <w:r>
        <w:rPr>
          <w:rFonts w:hint="eastAsia" w:ascii="宋体"/>
          <w:color w:val="auto"/>
          <w:sz w:val="24"/>
          <w:szCs w:val="24"/>
          <w:highlight w:val="none"/>
        </w:rPr>
        <w:t>操作系统应具有良好的实时性、多任务性</w:t>
      </w:r>
      <w:r>
        <w:rPr>
          <w:rFonts w:hint="eastAsia"/>
          <w:color w:val="auto"/>
          <w:spacing w:val="10"/>
          <w:sz w:val="24"/>
          <w:szCs w:val="24"/>
          <w:highlight w:val="none"/>
        </w:rPr>
        <w:t>。</w:t>
      </w:r>
    </w:p>
    <w:p w14:paraId="25C8CA00">
      <w:pPr>
        <w:numPr>
          <w:ilvl w:val="0"/>
          <w:numId w:val="52"/>
        </w:numPr>
        <w:spacing w:line="360" w:lineRule="auto"/>
        <w:rPr>
          <w:rFonts w:ascii="宋体"/>
          <w:color w:val="auto"/>
          <w:sz w:val="24"/>
          <w:szCs w:val="24"/>
          <w:highlight w:val="none"/>
        </w:rPr>
      </w:pPr>
      <w:r>
        <w:rPr>
          <w:rFonts w:hint="eastAsia" w:ascii="宋体"/>
          <w:color w:val="auto"/>
          <w:sz w:val="24"/>
          <w:szCs w:val="24"/>
          <w:highlight w:val="none"/>
        </w:rPr>
        <w:t>操作系统应能防止数据文件丢失或破坏。</w:t>
      </w:r>
    </w:p>
    <w:p w14:paraId="63217E19">
      <w:pPr>
        <w:numPr>
          <w:ilvl w:val="0"/>
          <w:numId w:val="52"/>
        </w:numPr>
        <w:spacing w:line="360" w:lineRule="auto"/>
        <w:rPr>
          <w:rFonts w:ascii="宋体"/>
          <w:color w:val="auto"/>
          <w:sz w:val="24"/>
          <w:szCs w:val="24"/>
          <w:highlight w:val="none"/>
        </w:rPr>
      </w:pPr>
      <w:r>
        <w:rPr>
          <w:rFonts w:hint="eastAsia" w:ascii="宋体"/>
          <w:color w:val="auto"/>
          <w:sz w:val="24"/>
          <w:szCs w:val="24"/>
          <w:highlight w:val="none"/>
        </w:rPr>
        <w:t>操作系统应有系统生成的方法，使之适应硬件和实时数据库的变化。</w:t>
      </w:r>
    </w:p>
    <w:p w14:paraId="0F6ED2A1">
      <w:pPr>
        <w:numPr>
          <w:ilvl w:val="0"/>
          <w:numId w:val="52"/>
        </w:numPr>
        <w:spacing w:line="360" w:lineRule="auto"/>
        <w:rPr>
          <w:rFonts w:ascii="宋体"/>
          <w:color w:val="auto"/>
          <w:sz w:val="24"/>
          <w:szCs w:val="24"/>
          <w:highlight w:val="none"/>
        </w:rPr>
      </w:pPr>
      <w:r>
        <w:rPr>
          <w:rFonts w:hint="eastAsia" w:ascii="宋体"/>
          <w:color w:val="auto"/>
          <w:sz w:val="24"/>
          <w:szCs w:val="24"/>
          <w:highlight w:val="none"/>
        </w:rPr>
        <w:t>操作系统应能支持虚拟存贮的能力。</w:t>
      </w:r>
    </w:p>
    <w:p w14:paraId="7B6F814E">
      <w:pPr>
        <w:numPr>
          <w:ilvl w:val="0"/>
          <w:numId w:val="52"/>
        </w:numPr>
        <w:spacing w:line="360" w:lineRule="auto"/>
        <w:rPr>
          <w:rFonts w:ascii="宋体"/>
          <w:color w:val="auto"/>
          <w:sz w:val="24"/>
          <w:szCs w:val="24"/>
          <w:highlight w:val="none"/>
        </w:rPr>
      </w:pPr>
      <w:r>
        <w:rPr>
          <w:rFonts w:hint="eastAsia" w:ascii="宋体"/>
          <w:color w:val="auto"/>
          <w:sz w:val="24"/>
          <w:szCs w:val="24"/>
          <w:highlight w:val="none"/>
        </w:rPr>
        <w:t>操作系统应能支持用户开发的程序装入实时系统运行，实现其开发的功能。</w:t>
      </w:r>
    </w:p>
    <w:p w14:paraId="1F74A2F2">
      <w:pPr>
        <w:numPr>
          <w:ilvl w:val="0"/>
          <w:numId w:val="52"/>
        </w:numPr>
        <w:spacing w:line="360" w:lineRule="auto"/>
        <w:rPr>
          <w:rFonts w:ascii="宋体"/>
          <w:color w:val="auto"/>
          <w:sz w:val="24"/>
          <w:szCs w:val="24"/>
          <w:highlight w:val="none"/>
        </w:rPr>
      </w:pPr>
      <w:r>
        <w:rPr>
          <w:rFonts w:hint="eastAsia" w:ascii="宋体"/>
          <w:color w:val="auto"/>
          <w:sz w:val="24"/>
          <w:szCs w:val="24"/>
          <w:highlight w:val="none"/>
        </w:rPr>
        <w:t>操作系统能有效地管理各种外部设备。</w:t>
      </w:r>
    </w:p>
    <w:p w14:paraId="0A9878AA">
      <w:pPr>
        <w:numPr>
          <w:ilvl w:val="0"/>
          <w:numId w:val="52"/>
        </w:numPr>
        <w:spacing w:line="360" w:lineRule="auto"/>
        <w:rPr>
          <w:rFonts w:ascii="宋体"/>
          <w:color w:val="auto"/>
          <w:sz w:val="24"/>
          <w:szCs w:val="24"/>
          <w:highlight w:val="none"/>
        </w:rPr>
      </w:pPr>
      <w:r>
        <w:rPr>
          <w:rFonts w:hint="eastAsia" w:ascii="宋体"/>
          <w:color w:val="auto"/>
          <w:sz w:val="24"/>
          <w:szCs w:val="24"/>
          <w:highlight w:val="none"/>
        </w:rPr>
        <w:t>编译可采用</w:t>
      </w:r>
      <w:r>
        <w:rPr>
          <w:rFonts w:ascii="宋体"/>
          <w:color w:val="auto"/>
          <w:sz w:val="24"/>
          <w:szCs w:val="24"/>
          <w:highlight w:val="none"/>
        </w:rPr>
        <w:t>C</w:t>
      </w:r>
      <w:r>
        <w:rPr>
          <w:rFonts w:hint="eastAsia" w:ascii="宋体"/>
          <w:color w:val="auto"/>
          <w:sz w:val="24"/>
          <w:szCs w:val="24"/>
          <w:highlight w:val="none"/>
        </w:rPr>
        <w:t>、</w:t>
      </w:r>
      <w:r>
        <w:rPr>
          <w:rFonts w:ascii="宋体"/>
          <w:color w:val="auto"/>
          <w:sz w:val="24"/>
          <w:szCs w:val="24"/>
          <w:highlight w:val="none"/>
        </w:rPr>
        <w:t>JAVA</w:t>
      </w:r>
      <w:r>
        <w:rPr>
          <w:rFonts w:hint="eastAsia" w:ascii="宋体"/>
          <w:color w:val="auto"/>
          <w:sz w:val="24"/>
          <w:szCs w:val="24"/>
          <w:highlight w:val="none"/>
        </w:rPr>
        <w:t>等高级语言和汇编语言，投标人应提供所采用的语言的编译系统及实时数据库，历史数据库、画面管理程序、进程管理程序等的接口，便于用户根据生产的需要，开发若干实用功能加入运行，而不影响整个系统正常运行。</w:t>
      </w:r>
    </w:p>
    <w:p w14:paraId="170EEEEF">
      <w:pPr>
        <w:spacing w:line="360" w:lineRule="auto"/>
        <w:rPr>
          <w:rFonts w:ascii="宋体"/>
          <w:color w:val="auto"/>
          <w:sz w:val="24"/>
          <w:szCs w:val="24"/>
          <w:highlight w:val="none"/>
        </w:rPr>
      </w:pPr>
      <w:r>
        <w:rPr>
          <w:rFonts w:hint="eastAsia" w:ascii="宋体"/>
          <w:color w:val="auto"/>
          <w:sz w:val="24"/>
          <w:szCs w:val="24"/>
          <w:highlight w:val="none"/>
        </w:rPr>
        <w:t>3.7.</w:t>
      </w:r>
      <w:r>
        <w:rPr>
          <w:rFonts w:ascii="宋体"/>
          <w:color w:val="auto"/>
          <w:sz w:val="24"/>
          <w:szCs w:val="24"/>
          <w:highlight w:val="none"/>
        </w:rPr>
        <w:t>2</w:t>
      </w:r>
      <w:r>
        <w:rPr>
          <w:rFonts w:hint="eastAsia" w:ascii="宋体"/>
          <w:color w:val="auto"/>
          <w:sz w:val="24"/>
          <w:szCs w:val="24"/>
          <w:highlight w:val="none"/>
        </w:rPr>
        <w:t>支持软件</w:t>
      </w:r>
    </w:p>
    <w:p w14:paraId="44BE6380">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应提供用于系统诊断、管理、维护、扩充及远方登录等服务的软件工具。</w:t>
      </w:r>
    </w:p>
    <w:p w14:paraId="6D710FB1">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数据库及数据库管理系统</w:t>
      </w:r>
    </w:p>
    <w:p w14:paraId="01C98284">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数据库的规模应能满足3.5条款中所列的所有功能所需的全部数据，并适合所需的各种数据类型，数据库的各种性能指标应能满足系统功能和性能指标的要求。数据库应有良好的实时性、可靠性、可扩充性和适应性，便于数据规模的不断扩充和数据间形成的结构不断更新，适应新应用程序的不断加入和旧应用程序的修改。数据库管理程序的调用方式应全部提供给招标人。</w:t>
      </w:r>
    </w:p>
    <w:p w14:paraId="7CE524FE">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数据库管理系统必须满足以下要求：</w:t>
      </w:r>
    </w:p>
    <w:p w14:paraId="6FCF841C">
      <w:pPr>
        <w:numPr>
          <w:ilvl w:val="0"/>
          <w:numId w:val="54"/>
        </w:numPr>
        <w:spacing w:line="360" w:lineRule="auto"/>
        <w:rPr>
          <w:rFonts w:ascii="宋体"/>
          <w:color w:val="auto"/>
          <w:kern w:val="0"/>
          <w:sz w:val="24"/>
          <w:szCs w:val="24"/>
          <w:highlight w:val="none"/>
        </w:rPr>
      </w:pPr>
      <w:r>
        <w:rPr>
          <w:rFonts w:hint="eastAsia" w:ascii="宋体"/>
          <w:color w:val="auto"/>
          <w:sz w:val="24"/>
          <w:szCs w:val="24"/>
          <w:highlight w:val="none"/>
        </w:rPr>
        <w:t>实时性：在访问数据库、在线生成、在线修改数据库和并发操作时，都应满足实时性的要求，不影响实时系统进行。对数据库的访问时间必须小于</w:t>
      </w:r>
      <w:r>
        <w:rPr>
          <w:rFonts w:ascii="宋体"/>
          <w:color w:val="auto"/>
          <w:sz w:val="24"/>
          <w:szCs w:val="24"/>
          <w:highlight w:val="none"/>
        </w:rPr>
        <w:t>0.5ms</w:t>
      </w:r>
      <w:r>
        <w:rPr>
          <w:rFonts w:hint="eastAsia" w:ascii="宋体"/>
          <w:color w:val="auto"/>
          <w:sz w:val="24"/>
          <w:szCs w:val="24"/>
          <w:highlight w:val="none"/>
        </w:rPr>
        <w:t>。在并发操作下也应满足实时功能的要求。</w:t>
      </w:r>
    </w:p>
    <w:p w14:paraId="1AF17896">
      <w:pPr>
        <w:numPr>
          <w:ilvl w:val="0"/>
          <w:numId w:val="54"/>
        </w:numPr>
        <w:spacing w:line="360" w:lineRule="auto"/>
        <w:rPr>
          <w:rFonts w:ascii="宋体"/>
          <w:color w:val="auto"/>
          <w:kern w:val="0"/>
          <w:sz w:val="24"/>
          <w:szCs w:val="24"/>
          <w:highlight w:val="none"/>
        </w:rPr>
      </w:pPr>
      <w:r>
        <w:rPr>
          <w:rFonts w:hint="eastAsia" w:ascii="宋体"/>
          <w:color w:val="auto"/>
          <w:sz w:val="24"/>
          <w:szCs w:val="24"/>
          <w:highlight w:val="none"/>
        </w:rPr>
        <w:t>灵活性：应提供多种访问数据库的方式，其中至少有一种是直接、间接的访问方式。</w:t>
      </w:r>
    </w:p>
    <w:p w14:paraId="06F0E101">
      <w:pPr>
        <w:numPr>
          <w:ilvl w:val="0"/>
          <w:numId w:val="54"/>
        </w:numPr>
        <w:spacing w:line="360" w:lineRule="auto"/>
        <w:rPr>
          <w:rFonts w:ascii="宋体"/>
          <w:color w:val="auto"/>
          <w:kern w:val="0"/>
          <w:sz w:val="24"/>
          <w:szCs w:val="24"/>
          <w:highlight w:val="none"/>
        </w:rPr>
      </w:pPr>
      <w:r>
        <w:rPr>
          <w:rFonts w:hint="eastAsia" w:ascii="宋体"/>
          <w:color w:val="auto"/>
          <w:sz w:val="24"/>
          <w:szCs w:val="24"/>
          <w:highlight w:val="none"/>
        </w:rPr>
        <w:t>可维护性：应提供数据库维护工具，以便用户总线监视和修改数据库内的各种数据。</w:t>
      </w:r>
    </w:p>
    <w:p w14:paraId="2A59BA9A">
      <w:pPr>
        <w:numPr>
          <w:ilvl w:val="0"/>
          <w:numId w:val="54"/>
        </w:numPr>
        <w:spacing w:line="360" w:lineRule="auto"/>
        <w:rPr>
          <w:rFonts w:ascii="宋体"/>
          <w:color w:val="auto"/>
          <w:sz w:val="24"/>
          <w:szCs w:val="24"/>
          <w:highlight w:val="none"/>
        </w:rPr>
      </w:pPr>
      <w:r>
        <w:rPr>
          <w:rFonts w:hint="eastAsia" w:ascii="宋体"/>
          <w:color w:val="auto"/>
          <w:sz w:val="24"/>
          <w:szCs w:val="24"/>
          <w:highlight w:val="none"/>
        </w:rPr>
        <w:t>可恢复性：数据库在计算机监控系统事故消失后，能迅速恢复到事故前的状态。</w:t>
      </w:r>
    </w:p>
    <w:p w14:paraId="68B12DB8">
      <w:pPr>
        <w:numPr>
          <w:ilvl w:val="0"/>
          <w:numId w:val="54"/>
        </w:numPr>
        <w:spacing w:line="360" w:lineRule="auto"/>
        <w:rPr>
          <w:rFonts w:ascii="宋体"/>
          <w:color w:val="auto"/>
          <w:sz w:val="24"/>
          <w:szCs w:val="24"/>
          <w:highlight w:val="none"/>
        </w:rPr>
      </w:pPr>
      <w:r>
        <w:rPr>
          <w:rFonts w:hint="eastAsia" w:ascii="宋体"/>
          <w:color w:val="auto"/>
          <w:sz w:val="24"/>
          <w:szCs w:val="24"/>
          <w:highlight w:val="none"/>
        </w:rPr>
        <w:t>并发操作：数据库中的数据应是共享的，可以对数据库进行并发操作，多个用户同时访问数据库时，不应影响数据库中数据的完整性和正确性。</w:t>
      </w:r>
    </w:p>
    <w:p w14:paraId="30B03A0F">
      <w:pPr>
        <w:numPr>
          <w:ilvl w:val="0"/>
          <w:numId w:val="54"/>
        </w:numPr>
        <w:spacing w:line="360" w:lineRule="auto"/>
        <w:rPr>
          <w:rFonts w:ascii="宋体"/>
          <w:color w:val="auto"/>
          <w:sz w:val="24"/>
          <w:szCs w:val="24"/>
          <w:highlight w:val="none"/>
        </w:rPr>
      </w:pPr>
      <w:r>
        <w:rPr>
          <w:rFonts w:hint="eastAsia" w:ascii="宋体"/>
          <w:color w:val="auto"/>
          <w:sz w:val="24"/>
          <w:szCs w:val="24"/>
          <w:highlight w:val="none"/>
        </w:rPr>
        <w:t>在任一工作站上对数据库中数据的修改，数据库管理系统应自动对所有工作站中的相关数据同时修改，以保证数据的一致性。</w:t>
      </w:r>
    </w:p>
    <w:p w14:paraId="69CF50F3">
      <w:pPr>
        <w:numPr>
          <w:ilvl w:val="0"/>
          <w:numId w:val="54"/>
        </w:numPr>
        <w:spacing w:line="360" w:lineRule="auto"/>
        <w:rPr>
          <w:rFonts w:ascii="宋体"/>
          <w:color w:val="auto"/>
          <w:sz w:val="24"/>
          <w:szCs w:val="24"/>
          <w:highlight w:val="none"/>
        </w:rPr>
      </w:pPr>
      <w:r>
        <w:rPr>
          <w:rFonts w:hint="eastAsia" w:ascii="宋体"/>
          <w:color w:val="auto"/>
          <w:sz w:val="24"/>
          <w:szCs w:val="24"/>
          <w:highlight w:val="none"/>
        </w:rPr>
        <w:t>具有建立多种数据集的能力，如训练用、测试用、计算用等。</w:t>
      </w:r>
    </w:p>
    <w:p w14:paraId="4987F9D3">
      <w:pPr>
        <w:numPr>
          <w:ilvl w:val="0"/>
          <w:numId w:val="54"/>
        </w:numPr>
        <w:spacing w:line="360" w:lineRule="auto"/>
        <w:rPr>
          <w:rFonts w:ascii="宋体"/>
          <w:color w:val="auto"/>
          <w:sz w:val="24"/>
          <w:szCs w:val="24"/>
          <w:highlight w:val="none"/>
        </w:rPr>
      </w:pPr>
      <w:r>
        <w:rPr>
          <w:rFonts w:hint="eastAsia" w:ascii="宋体"/>
          <w:color w:val="auto"/>
          <w:sz w:val="24"/>
          <w:szCs w:val="24"/>
          <w:highlight w:val="none"/>
        </w:rPr>
        <w:t>提供安全的计算系统数据库生成功能，其生成方式应简便。数据库的结构应充分考虑分布式控制的特点，各个间隔级就地控制单元应具有独立执行本地控制所需的各种数据，以便在站级控制层停运下，间隔级控制层不受影响。</w:t>
      </w:r>
    </w:p>
    <w:p w14:paraId="00F7DB83">
      <w:pPr>
        <w:numPr>
          <w:ilvl w:val="0"/>
          <w:numId w:val="54"/>
        </w:numPr>
        <w:spacing w:line="360" w:lineRule="auto"/>
        <w:rPr>
          <w:rFonts w:ascii="宋体"/>
          <w:color w:val="auto"/>
          <w:sz w:val="24"/>
          <w:szCs w:val="24"/>
          <w:highlight w:val="none"/>
        </w:rPr>
      </w:pPr>
      <w:r>
        <w:rPr>
          <w:rFonts w:hint="eastAsia" w:ascii="宋体"/>
          <w:color w:val="auto"/>
          <w:sz w:val="24"/>
          <w:szCs w:val="24"/>
          <w:highlight w:val="none"/>
        </w:rPr>
        <w:t>数据库系统应具有故障恢复机制，在计算机系统故障和误操作时，保护数据库数据，提供告警信息并自动恢复。</w:t>
      </w:r>
    </w:p>
    <w:p w14:paraId="4B3C8C21">
      <w:pPr>
        <w:numPr>
          <w:ilvl w:val="0"/>
          <w:numId w:val="55"/>
        </w:numPr>
        <w:spacing w:line="360" w:lineRule="auto"/>
        <w:rPr>
          <w:rFonts w:ascii="宋体"/>
          <w:color w:val="auto"/>
          <w:sz w:val="24"/>
          <w:szCs w:val="24"/>
          <w:highlight w:val="none"/>
        </w:rPr>
      </w:pPr>
      <w:r>
        <w:rPr>
          <w:rFonts w:hint="eastAsia" w:ascii="宋体"/>
          <w:color w:val="auto"/>
          <w:sz w:val="24"/>
          <w:szCs w:val="24"/>
          <w:highlight w:val="none"/>
        </w:rPr>
        <w:t>投标人应提供数据库应用软件的开发工具，包括高级语言对数据库的读写格式和开发工具包，以便于用户进行数据库功能扩充。</w:t>
      </w:r>
    </w:p>
    <w:p w14:paraId="56C98391">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人机接口软件</w:t>
      </w:r>
    </w:p>
    <w:p w14:paraId="0AFF1B85">
      <w:pPr>
        <w:spacing w:line="360" w:lineRule="auto"/>
        <w:ind w:left="567"/>
        <w:rPr>
          <w:rFonts w:ascii="宋体"/>
          <w:color w:val="auto"/>
          <w:kern w:val="0"/>
          <w:sz w:val="24"/>
          <w:szCs w:val="24"/>
          <w:highlight w:val="none"/>
        </w:rPr>
      </w:pPr>
      <w:r>
        <w:rPr>
          <w:rFonts w:hint="eastAsia" w:ascii="宋体"/>
          <w:color w:val="auto"/>
          <w:sz w:val="24"/>
          <w:szCs w:val="24"/>
          <w:highlight w:val="none"/>
        </w:rPr>
        <w:t>所有人机接口画面均采用中文，用户可在画面上定义数据库和各种动态数据和各种动态字符，各工作站可独立完成画面的在线编辑、修改及调用。在任一工作站上对画面的生成和修改应能传送给其它工作站。</w:t>
      </w:r>
    </w:p>
    <w:p w14:paraId="394C5FC2">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特殊字符和图符生成程序。</w:t>
      </w:r>
    </w:p>
    <w:p w14:paraId="5B07092A">
      <w:pPr>
        <w:spacing w:line="360" w:lineRule="auto"/>
        <w:ind w:left="567"/>
        <w:rPr>
          <w:rFonts w:ascii="宋体"/>
          <w:color w:val="auto"/>
          <w:kern w:val="0"/>
          <w:sz w:val="24"/>
          <w:szCs w:val="24"/>
          <w:highlight w:val="none"/>
        </w:rPr>
      </w:pPr>
      <w:r>
        <w:rPr>
          <w:rFonts w:hint="eastAsia" w:ascii="宋体"/>
          <w:color w:val="auto"/>
          <w:sz w:val="24"/>
          <w:szCs w:val="24"/>
          <w:highlight w:val="none"/>
        </w:rPr>
        <w:t>此程序用于生成升压站监控所需的字符</w:t>
      </w:r>
      <w:r>
        <w:rPr>
          <w:rFonts w:ascii="宋体"/>
          <w:color w:val="auto"/>
          <w:sz w:val="24"/>
          <w:szCs w:val="24"/>
          <w:highlight w:val="none"/>
        </w:rPr>
        <w:t>(</w:t>
      </w:r>
      <w:r>
        <w:rPr>
          <w:rFonts w:hint="eastAsia" w:ascii="宋体"/>
          <w:color w:val="auto"/>
          <w:sz w:val="24"/>
          <w:szCs w:val="24"/>
          <w:highlight w:val="none"/>
        </w:rPr>
        <w:t>如断路器、隔离开关</w:t>
      </w:r>
      <w:r>
        <w:rPr>
          <w:rFonts w:ascii="宋体"/>
          <w:color w:val="auto"/>
          <w:sz w:val="24"/>
          <w:szCs w:val="24"/>
          <w:highlight w:val="none"/>
        </w:rPr>
        <w:t>)</w:t>
      </w:r>
      <w:r>
        <w:rPr>
          <w:rFonts w:hint="eastAsia" w:ascii="宋体"/>
          <w:color w:val="auto"/>
          <w:sz w:val="24"/>
          <w:szCs w:val="24"/>
          <w:highlight w:val="none"/>
        </w:rPr>
        <w:t>和图符</w:t>
      </w:r>
      <w:r>
        <w:rPr>
          <w:rFonts w:ascii="宋体"/>
          <w:color w:val="auto"/>
          <w:sz w:val="24"/>
          <w:szCs w:val="24"/>
          <w:highlight w:val="none"/>
        </w:rPr>
        <w:t>(</w:t>
      </w:r>
      <w:r>
        <w:rPr>
          <w:rFonts w:hint="eastAsia" w:ascii="宋体"/>
          <w:color w:val="auto"/>
          <w:sz w:val="24"/>
          <w:szCs w:val="24"/>
          <w:highlight w:val="none"/>
        </w:rPr>
        <w:t>如变压器等</w:t>
      </w:r>
      <w:r>
        <w:rPr>
          <w:rFonts w:ascii="宋体"/>
          <w:color w:val="auto"/>
          <w:sz w:val="24"/>
          <w:szCs w:val="24"/>
          <w:highlight w:val="none"/>
        </w:rPr>
        <w:t>)</w:t>
      </w:r>
      <w:r>
        <w:rPr>
          <w:rFonts w:hint="eastAsia" w:ascii="宋体"/>
          <w:color w:val="auto"/>
          <w:sz w:val="24"/>
          <w:szCs w:val="24"/>
          <w:highlight w:val="none"/>
        </w:rPr>
        <w:t>。字符状态应是动态的、与升压站实际状态相符，字符色彩应可由用户任意选择。</w:t>
      </w:r>
    </w:p>
    <w:p w14:paraId="2743E8FD">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画面生成和修改程序</w:t>
      </w:r>
    </w:p>
    <w:p w14:paraId="2F407642">
      <w:pPr>
        <w:spacing w:line="360" w:lineRule="auto"/>
        <w:ind w:left="567"/>
        <w:rPr>
          <w:rFonts w:ascii="宋体"/>
          <w:color w:val="auto"/>
          <w:kern w:val="0"/>
          <w:sz w:val="24"/>
          <w:szCs w:val="24"/>
          <w:highlight w:val="none"/>
        </w:rPr>
      </w:pPr>
      <w:r>
        <w:rPr>
          <w:rFonts w:hint="eastAsia" w:ascii="宋体"/>
          <w:color w:val="auto"/>
          <w:sz w:val="24"/>
          <w:szCs w:val="24"/>
          <w:highlight w:val="none"/>
        </w:rPr>
        <w:t>此程序应提供作图工具，能在线地、方便直观地在屏幕上生成和修改画面，并直接在画面上定义动态点，在任何一个工作站画面的生成修改，可送往其它各工作站。</w:t>
      </w:r>
    </w:p>
    <w:p w14:paraId="5F20220D">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打印报表的生成和修改</w:t>
      </w:r>
    </w:p>
    <w:p w14:paraId="56B868C5">
      <w:pPr>
        <w:spacing w:line="360" w:lineRule="auto"/>
        <w:ind w:left="567"/>
        <w:rPr>
          <w:rFonts w:ascii="宋体"/>
          <w:color w:val="auto"/>
          <w:kern w:val="0"/>
          <w:sz w:val="24"/>
          <w:szCs w:val="24"/>
          <w:highlight w:val="none"/>
        </w:rPr>
      </w:pPr>
      <w:r>
        <w:rPr>
          <w:rFonts w:hint="eastAsia" w:ascii="宋体"/>
          <w:color w:val="auto"/>
          <w:sz w:val="24"/>
          <w:szCs w:val="24"/>
          <w:highlight w:val="none"/>
        </w:rPr>
        <w:t>能在线地、方便直观地在屏幕上生成和修改打印报表，并直接定义动态点和动态字，报表宽度应可为打印机的最大宽度。在报表中应显示中文，所使用的汉字库和汉字生成系统应满足以下条件：在支持软件级提供中国国家标准二级汉字库，并且包括</w:t>
      </w:r>
      <w:r>
        <w:rPr>
          <w:rFonts w:ascii="宋体"/>
          <w:color w:val="auto"/>
          <w:sz w:val="24"/>
          <w:szCs w:val="24"/>
          <w:highlight w:val="none"/>
        </w:rPr>
        <w:t>0-9</w:t>
      </w:r>
      <w:r>
        <w:rPr>
          <w:rFonts w:hint="eastAsia" w:ascii="宋体"/>
          <w:color w:val="auto"/>
          <w:sz w:val="24"/>
          <w:szCs w:val="24"/>
          <w:highlight w:val="none"/>
        </w:rPr>
        <w:t>区码图形字符，应支持相应的用于屏幕显示的</w:t>
      </w:r>
      <w:r>
        <w:rPr>
          <w:rFonts w:ascii="宋体"/>
          <w:color w:val="auto"/>
          <w:sz w:val="24"/>
          <w:szCs w:val="24"/>
          <w:highlight w:val="none"/>
        </w:rPr>
        <w:t>24x24</w:t>
      </w:r>
      <w:r>
        <w:rPr>
          <w:rFonts w:hint="eastAsia" w:ascii="宋体"/>
          <w:color w:val="auto"/>
          <w:sz w:val="24"/>
          <w:szCs w:val="24"/>
          <w:highlight w:val="none"/>
        </w:rPr>
        <w:t>汉字字模库。同时，应提供汉字生成工具，以便用户根据需要生成显示用的字模和打印用的字模。</w:t>
      </w:r>
    </w:p>
    <w:p w14:paraId="54DD6704">
      <w:pPr>
        <w:numPr>
          <w:ilvl w:val="0"/>
          <w:numId w:val="53"/>
        </w:numPr>
        <w:spacing w:line="360" w:lineRule="auto"/>
        <w:rPr>
          <w:rFonts w:ascii="宋体"/>
          <w:color w:val="auto"/>
          <w:sz w:val="24"/>
          <w:szCs w:val="24"/>
          <w:highlight w:val="none"/>
        </w:rPr>
      </w:pPr>
      <w:r>
        <w:rPr>
          <w:rFonts w:hint="eastAsia" w:ascii="宋体"/>
          <w:color w:val="auto"/>
          <w:sz w:val="24"/>
          <w:szCs w:val="24"/>
          <w:highlight w:val="none"/>
        </w:rPr>
        <w:t>网络系统</w:t>
      </w:r>
    </w:p>
    <w:p w14:paraId="06ADB3D9">
      <w:pPr>
        <w:spacing w:line="360" w:lineRule="auto"/>
        <w:ind w:left="567"/>
        <w:rPr>
          <w:rFonts w:ascii="宋体"/>
          <w:color w:val="auto"/>
          <w:kern w:val="0"/>
          <w:sz w:val="24"/>
          <w:szCs w:val="24"/>
          <w:highlight w:val="none"/>
        </w:rPr>
      </w:pPr>
      <w:r>
        <w:rPr>
          <w:rFonts w:hint="eastAsia" w:ascii="宋体"/>
          <w:color w:val="auto"/>
          <w:sz w:val="24"/>
          <w:szCs w:val="24"/>
          <w:highlight w:val="none"/>
        </w:rPr>
        <w:t>网络系统应采用成熟可靠软件，它管理各个工作站和就地控制单元相互之间的数据通信，保证它们的有效传送、不丢失。它支持双总线网络、自动监测网络总线和各个接点的工作状态，自动选择、协调各接点的工作和网络通信。通信协议建议采用</w:t>
      </w:r>
      <w:r>
        <w:rPr>
          <w:rFonts w:ascii="宋体"/>
          <w:color w:val="auto"/>
          <w:sz w:val="24"/>
          <w:szCs w:val="24"/>
          <w:highlight w:val="none"/>
        </w:rPr>
        <w:t>TCP/IP</w:t>
      </w:r>
      <w:r>
        <w:rPr>
          <w:rFonts w:hint="eastAsia" w:ascii="宋体"/>
          <w:color w:val="auto"/>
          <w:sz w:val="24"/>
          <w:szCs w:val="24"/>
          <w:highlight w:val="none"/>
        </w:rPr>
        <w:t>。</w:t>
      </w:r>
    </w:p>
    <w:p w14:paraId="50814BF1">
      <w:pPr>
        <w:spacing w:line="360" w:lineRule="auto"/>
        <w:rPr>
          <w:rFonts w:ascii="宋体"/>
          <w:color w:val="auto"/>
          <w:sz w:val="24"/>
          <w:szCs w:val="24"/>
          <w:highlight w:val="none"/>
        </w:rPr>
      </w:pPr>
      <w:r>
        <w:rPr>
          <w:rFonts w:hint="eastAsia" w:ascii="宋体"/>
          <w:color w:val="auto"/>
          <w:sz w:val="24"/>
          <w:szCs w:val="24"/>
          <w:highlight w:val="none"/>
        </w:rPr>
        <w:t>3.7.</w:t>
      </w:r>
      <w:r>
        <w:rPr>
          <w:rFonts w:ascii="宋体"/>
          <w:color w:val="auto"/>
          <w:sz w:val="24"/>
          <w:szCs w:val="24"/>
          <w:highlight w:val="none"/>
        </w:rPr>
        <w:t>3</w:t>
      </w:r>
      <w:r>
        <w:rPr>
          <w:rFonts w:hint="eastAsia" w:ascii="宋体"/>
          <w:color w:val="auto"/>
          <w:sz w:val="24"/>
          <w:szCs w:val="24"/>
          <w:highlight w:val="none"/>
        </w:rPr>
        <w:t>应用软件</w:t>
      </w:r>
    </w:p>
    <w:p w14:paraId="4A980AE2">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应用软件的结构应具有灵活性，对各种功能采用模块式连接，当某一种功能运行不正常时，不应影响其它功能的运行。</w:t>
      </w:r>
    </w:p>
    <w:p w14:paraId="2C0C4868">
      <w:pPr>
        <w:spacing w:line="360" w:lineRule="auto"/>
        <w:rPr>
          <w:rFonts w:ascii="宋体"/>
          <w:b/>
          <w:color w:val="auto"/>
          <w:sz w:val="24"/>
          <w:szCs w:val="24"/>
          <w:highlight w:val="none"/>
        </w:rPr>
      </w:pPr>
      <w:bookmarkStart w:id="45" w:name="_Toc320606849"/>
      <w:bookmarkStart w:id="46" w:name="_Toc61442369"/>
      <w:r>
        <w:rPr>
          <w:rFonts w:hint="eastAsia" w:ascii="宋体"/>
          <w:b/>
          <w:color w:val="auto"/>
          <w:sz w:val="24"/>
          <w:szCs w:val="24"/>
          <w:highlight w:val="none"/>
        </w:rPr>
        <w:t>3.8监控系统主要性能指标</w:t>
      </w:r>
      <w:bookmarkEnd w:id="45"/>
      <w:bookmarkEnd w:id="46"/>
    </w:p>
    <w:p w14:paraId="4A3D7C3F">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.1</w:t>
      </w:r>
      <w:r>
        <w:rPr>
          <w:rFonts w:hint="eastAsia" w:ascii="宋体"/>
          <w:color w:val="auto"/>
          <w:sz w:val="24"/>
          <w:szCs w:val="24"/>
          <w:highlight w:val="none"/>
        </w:rPr>
        <w:t>测量值指标</w:t>
      </w:r>
    </w:p>
    <w:p w14:paraId="607DC077">
      <w:pPr>
        <w:numPr>
          <w:ilvl w:val="0"/>
          <w:numId w:val="56"/>
        </w:numPr>
        <w:spacing w:line="360" w:lineRule="auto"/>
        <w:rPr>
          <w:rFonts w:ascii="宋体"/>
          <w:color w:val="auto"/>
          <w:sz w:val="24"/>
          <w:szCs w:val="24"/>
          <w:highlight w:val="none"/>
        </w:rPr>
      </w:pPr>
      <w:r>
        <w:rPr>
          <w:rFonts w:hint="eastAsia" w:ascii="宋体"/>
          <w:color w:val="auto"/>
          <w:sz w:val="24"/>
          <w:szCs w:val="24"/>
          <w:highlight w:val="none"/>
        </w:rPr>
        <w:t>交流采样测量值误差</w:t>
      </w:r>
      <w:r>
        <w:rPr>
          <w:rFonts w:ascii="宋体"/>
          <w:color w:val="auto"/>
          <w:sz w:val="24"/>
          <w:szCs w:val="24"/>
          <w:highlight w:val="none"/>
        </w:rPr>
        <w:sym w:font="Symbol" w:char="F0A3"/>
      </w:r>
      <w:r>
        <w:rPr>
          <w:rFonts w:hint="eastAsia" w:ascii="宋体"/>
          <w:color w:val="auto"/>
          <w:sz w:val="24"/>
          <w:szCs w:val="24"/>
          <w:highlight w:val="none"/>
        </w:rPr>
        <w:t xml:space="preserve"> +</w:t>
      </w:r>
      <w:r>
        <w:rPr>
          <w:rFonts w:ascii="宋体"/>
          <w:color w:val="auto"/>
          <w:sz w:val="24"/>
          <w:szCs w:val="24"/>
          <w:highlight w:val="none"/>
        </w:rPr>
        <w:t xml:space="preserve">0.2%  (I,U)  </w:t>
      </w:r>
      <w:r>
        <w:rPr>
          <w:rFonts w:ascii="宋体"/>
          <w:color w:val="auto"/>
          <w:sz w:val="24"/>
          <w:szCs w:val="24"/>
          <w:highlight w:val="none"/>
        </w:rPr>
        <w:sym w:font="Symbol" w:char="F0A3"/>
      </w:r>
      <w:r>
        <w:rPr>
          <w:rFonts w:hint="eastAsia" w:ascii="宋体"/>
          <w:color w:val="auto"/>
          <w:sz w:val="24"/>
          <w:szCs w:val="24"/>
          <w:highlight w:val="none"/>
        </w:rPr>
        <w:t xml:space="preserve"> +</w:t>
      </w:r>
      <w:r>
        <w:rPr>
          <w:rFonts w:ascii="宋体"/>
          <w:color w:val="auto"/>
          <w:sz w:val="24"/>
          <w:szCs w:val="24"/>
          <w:highlight w:val="none"/>
        </w:rPr>
        <w:t>0.5%(P,Q)</w:t>
      </w:r>
    </w:p>
    <w:p w14:paraId="13D76FCA">
      <w:pPr>
        <w:numPr>
          <w:ilvl w:val="0"/>
          <w:numId w:val="56"/>
        </w:numPr>
        <w:tabs>
          <w:tab w:val="left" w:pos="900"/>
        </w:tabs>
        <w:spacing w:line="360" w:lineRule="auto"/>
        <w:rPr>
          <w:rFonts w:ascii="宋体"/>
          <w:color w:val="auto"/>
          <w:sz w:val="24"/>
          <w:szCs w:val="24"/>
          <w:highlight w:val="none"/>
        </w:rPr>
      </w:pPr>
      <w:r>
        <w:rPr>
          <w:rFonts w:hint="eastAsia" w:ascii="宋体"/>
          <w:color w:val="auto"/>
          <w:sz w:val="24"/>
          <w:szCs w:val="24"/>
          <w:highlight w:val="none"/>
        </w:rPr>
        <w:t>模数转换分辨率</w:t>
      </w:r>
      <w:r>
        <w:rPr>
          <w:rFonts w:ascii="宋体"/>
          <w:color w:val="auto"/>
          <w:sz w:val="24"/>
          <w:szCs w:val="24"/>
          <w:highlight w:val="none"/>
        </w:rPr>
        <w:sym w:font="Symbol" w:char="F0B3"/>
      </w:r>
      <w:r>
        <w:rPr>
          <w:rFonts w:ascii="宋体"/>
          <w:color w:val="auto"/>
          <w:sz w:val="24"/>
          <w:szCs w:val="24"/>
          <w:highlight w:val="none"/>
        </w:rPr>
        <w:t xml:space="preserve"> 1</w:t>
      </w:r>
      <w:r>
        <w:rPr>
          <w:rFonts w:hint="eastAsia" w:ascii="宋体"/>
          <w:color w:val="auto"/>
          <w:sz w:val="24"/>
          <w:szCs w:val="24"/>
          <w:highlight w:val="none"/>
        </w:rPr>
        <w:t>6bit+1位符号位</w:t>
      </w:r>
    </w:p>
    <w:p w14:paraId="39F6E4CA">
      <w:pPr>
        <w:numPr>
          <w:ilvl w:val="0"/>
          <w:numId w:val="56"/>
        </w:numPr>
        <w:tabs>
          <w:tab w:val="left" w:pos="900"/>
        </w:tabs>
        <w:spacing w:line="360" w:lineRule="auto"/>
        <w:rPr>
          <w:rFonts w:ascii="宋体"/>
          <w:color w:val="auto"/>
          <w:sz w:val="24"/>
          <w:szCs w:val="24"/>
          <w:highlight w:val="none"/>
        </w:rPr>
      </w:pPr>
      <w:r>
        <w:rPr>
          <w:rFonts w:ascii="宋体"/>
          <w:color w:val="auto"/>
          <w:sz w:val="24"/>
          <w:szCs w:val="24"/>
          <w:highlight w:val="none"/>
        </w:rPr>
        <w:t>A/D转换器精度</w:t>
      </w:r>
      <w:r>
        <w:rPr>
          <w:rFonts w:ascii="宋体"/>
          <w:color w:val="auto"/>
          <w:sz w:val="24"/>
          <w:szCs w:val="24"/>
          <w:highlight w:val="none"/>
        </w:rPr>
        <w:sym w:font="Symbol" w:char="F0A3"/>
      </w:r>
      <w:r>
        <w:rPr>
          <w:rFonts w:ascii="宋体"/>
          <w:color w:val="auto"/>
          <w:sz w:val="24"/>
          <w:szCs w:val="24"/>
          <w:highlight w:val="none"/>
        </w:rPr>
        <w:t>0.2％</w:t>
      </w:r>
    </w:p>
    <w:p w14:paraId="71F87D84">
      <w:pPr>
        <w:numPr>
          <w:ilvl w:val="0"/>
          <w:numId w:val="56"/>
        </w:numPr>
        <w:tabs>
          <w:tab w:val="left" w:pos="900"/>
        </w:tabs>
        <w:spacing w:line="360" w:lineRule="auto"/>
        <w:rPr>
          <w:rFonts w:ascii="宋体"/>
          <w:color w:val="auto"/>
          <w:sz w:val="24"/>
          <w:szCs w:val="24"/>
          <w:highlight w:val="none"/>
        </w:rPr>
      </w:pPr>
      <w:r>
        <w:rPr>
          <w:rFonts w:hint="eastAsia" w:ascii="宋体"/>
          <w:color w:val="auto"/>
          <w:sz w:val="24"/>
          <w:szCs w:val="24"/>
          <w:highlight w:val="none"/>
        </w:rPr>
        <w:t xml:space="preserve">电网频率测量误差 </w:t>
      </w:r>
      <w:r>
        <w:rPr>
          <w:rFonts w:ascii="宋体"/>
          <w:color w:val="auto"/>
          <w:sz w:val="24"/>
          <w:szCs w:val="24"/>
          <w:highlight w:val="none"/>
        </w:rPr>
        <w:sym w:font="Symbol" w:char="F0A3"/>
      </w:r>
      <w:r>
        <w:rPr>
          <w:rFonts w:ascii="宋体"/>
          <w:color w:val="auto"/>
          <w:sz w:val="24"/>
          <w:szCs w:val="24"/>
          <w:highlight w:val="none"/>
        </w:rPr>
        <w:t>0.01Hz</w:t>
      </w:r>
    </w:p>
    <w:p w14:paraId="151B8C47">
      <w:pPr>
        <w:numPr>
          <w:ilvl w:val="0"/>
          <w:numId w:val="56"/>
        </w:numPr>
        <w:tabs>
          <w:tab w:val="left" w:pos="900"/>
        </w:tabs>
        <w:spacing w:line="360" w:lineRule="auto"/>
        <w:rPr>
          <w:rFonts w:ascii="宋体"/>
          <w:color w:val="auto"/>
          <w:sz w:val="24"/>
          <w:szCs w:val="24"/>
          <w:highlight w:val="none"/>
        </w:rPr>
      </w:pPr>
      <w:r>
        <w:rPr>
          <w:rFonts w:hint="eastAsia" w:ascii="宋体"/>
          <w:color w:val="auto"/>
          <w:sz w:val="24"/>
          <w:szCs w:val="24"/>
          <w:highlight w:val="none"/>
        </w:rPr>
        <w:t>功率因数：</w:t>
      </w:r>
      <w:r>
        <w:rPr>
          <w:rFonts w:ascii="宋体"/>
          <w:color w:val="auto"/>
          <w:sz w:val="24"/>
          <w:szCs w:val="24"/>
          <w:highlight w:val="none"/>
        </w:rPr>
        <w:t>4</w:t>
      </w:r>
      <w:r>
        <w:rPr>
          <w:rFonts w:hint="eastAsia" w:ascii="宋体"/>
          <w:color w:val="auto"/>
          <w:sz w:val="24"/>
          <w:szCs w:val="24"/>
          <w:highlight w:val="none"/>
        </w:rPr>
        <w:t>位十进制有效数字</w:t>
      </w:r>
    </w:p>
    <w:p w14:paraId="22EFF301">
      <w:pPr>
        <w:numPr>
          <w:ilvl w:val="0"/>
          <w:numId w:val="56"/>
        </w:numPr>
        <w:tabs>
          <w:tab w:val="left" w:pos="900"/>
        </w:tabs>
        <w:spacing w:line="360" w:lineRule="auto"/>
        <w:rPr>
          <w:rFonts w:ascii="宋体"/>
          <w:color w:val="auto"/>
          <w:sz w:val="24"/>
          <w:szCs w:val="24"/>
          <w:highlight w:val="none"/>
        </w:rPr>
      </w:pPr>
      <w:r>
        <w:rPr>
          <w:rFonts w:ascii="宋体"/>
          <w:color w:val="auto"/>
          <w:sz w:val="24"/>
          <w:szCs w:val="24"/>
          <w:highlight w:val="none"/>
        </w:rPr>
        <w:t>模拟量越死区传送整定最小值</w:t>
      </w:r>
      <w:r>
        <w:rPr>
          <w:rFonts w:hint="eastAsia" w:ascii="宋体"/>
          <w:color w:val="auto"/>
          <w:sz w:val="24"/>
          <w:szCs w:val="24"/>
          <w:highlight w:val="none"/>
        </w:rPr>
        <w:t>大于或等于</w:t>
      </w:r>
      <w:r>
        <w:rPr>
          <w:rFonts w:ascii="宋体"/>
          <w:color w:val="auto"/>
          <w:sz w:val="24"/>
          <w:szCs w:val="24"/>
          <w:highlight w:val="none"/>
        </w:rPr>
        <w:t>0.1%（额定值），并逐点可调</w:t>
      </w:r>
    </w:p>
    <w:p w14:paraId="5477CDEA">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.2</w:t>
      </w:r>
      <w:r>
        <w:rPr>
          <w:rFonts w:hint="eastAsia" w:ascii="宋体"/>
          <w:color w:val="auto"/>
          <w:sz w:val="24"/>
          <w:szCs w:val="24"/>
          <w:highlight w:val="none"/>
        </w:rPr>
        <w:t>系统实时响应指标</w:t>
      </w:r>
    </w:p>
    <w:p w14:paraId="561EBFCE">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 xml:space="preserve">控制命令从生成到输出的时间 </w:t>
      </w:r>
      <w:r>
        <w:rPr>
          <w:rFonts w:ascii="宋体"/>
          <w:color w:val="auto"/>
          <w:sz w:val="24"/>
          <w:szCs w:val="24"/>
          <w:highlight w:val="none"/>
        </w:rPr>
        <w:sym w:font="Symbol" w:char="F0A3"/>
      </w:r>
      <w:r>
        <w:rPr>
          <w:rFonts w:hint="eastAsia" w:ascii="宋体"/>
          <w:color w:val="auto"/>
          <w:sz w:val="24"/>
          <w:szCs w:val="24"/>
          <w:highlight w:val="none"/>
        </w:rPr>
        <w:t xml:space="preserve"> 1s</w:t>
      </w:r>
    </w:p>
    <w:p w14:paraId="08FCA6B5">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画面实时数据更新周期模拟量</w:t>
      </w:r>
      <w:r>
        <w:rPr>
          <w:rFonts w:ascii="宋体"/>
          <w:color w:val="auto"/>
          <w:sz w:val="24"/>
          <w:szCs w:val="24"/>
          <w:highlight w:val="none"/>
        </w:rPr>
        <w:sym w:font="Symbol" w:char="F0A3"/>
      </w:r>
      <w:r>
        <w:rPr>
          <w:rFonts w:hint="eastAsia" w:ascii="宋体"/>
          <w:color w:val="auto"/>
          <w:sz w:val="24"/>
          <w:szCs w:val="24"/>
          <w:highlight w:val="none"/>
        </w:rPr>
        <w:t>3</w:t>
      </w:r>
      <w:r>
        <w:rPr>
          <w:rFonts w:ascii="宋体"/>
          <w:color w:val="auto"/>
          <w:sz w:val="24"/>
          <w:szCs w:val="24"/>
          <w:highlight w:val="none"/>
        </w:rPr>
        <w:t>s</w:t>
      </w:r>
    </w:p>
    <w:p w14:paraId="17266244">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画面实时数据更新周期开关量</w:t>
      </w:r>
      <w:r>
        <w:rPr>
          <w:rFonts w:ascii="宋体"/>
          <w:color w:val="auto"/>
          <w:sz w:val="24"/>
          <w:szCs w:val="24"/>
          <w:highlight w:val="none"/>
        </w:rPr>
        <w:sym w:font="Symbol" w:char="F0A3"/>
      </w:r>
      <w:r>
        <w:rPr>
          <w:rFonts w:hint="eastAsia" w:ascii="宋体"/>
          <w:color w:val="auto"/>
          <w:sz w:val="24"/>
          <w:szCs w:val="24"/>
          <w:highlight w:val="none"/>
        </w:rPr>
        <w:t>2</w:t>
      </w:r>
      <w:r>
        <w:rPr>
          <w:rFonts w:ascii="宋体"/>
          <w:color w:val="auto"/>
          <w:sz w:val="24"/>
          <w:szCs w:val="24"/>
          <w:highlight w:val="none"/>
        </w:rPr>
        <w:t xml:space="preserve">s </w:t>
      </w:r>
    </w:p>
    <w:p w14:paraId="3F94DFF2">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主机数据库刷新周期：</w:t>
      </w:r>
      <w:r>
        <w:rPr>
          <w:rFonts w:ascii="宋体"/>
          <w:color w:val="auto"/>
          <w:sz w:val="24"/>
          <w:szCs w:val="24"/>
          <w:highlight w:val="none"/>
        </w:rPr>
        <w:sym w:font="Symbol" w:char="F0A3"/>
      </w:r>
      <w:r>
        <w:rPr>
          <w:rFonts w:ascii="宋体"/>
          <w:color w:val="auto"/>
          <w:sz w:val="24"/>
          <w:szCs w:val="24"/>
          <w:highlight w:val="none"/>
        </w:rPr>
        <w:t xml:space="preserve"> 1s</w:t>
      </w:r>
    </w:p>
    <w:p w14:paraId="71564701">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画面整幅调用响应时间：实时画面</w:t>
      </w:r>
      <w:r>
        <w:rPr>
          <w:rFonts w:ascii="宋体"/>
          <w:color w:val="auto"/>
          <w:sz w:val="24"/>
          <w:szCs w:val="24"/>
          <w:highlight w:val="none"/>
        </w:rPr>
        <w:sym w:font="Symbol" w:char="F0A3"/>
      </w:r>
      <w:r>
        <w:rPr>
          <w:rFonts w:ascii="宋体"/>
          <w:color w:val="auto"/>
          <w:sz w:val="24"/>
          <w:szCs w:val="24"/>
          <w:highlight w:val="none"/>
        </w:rPr>
        <w:t xml:space="preserve"> 1s  </w:t>
      </w:r>
      <w:r>
        <w:rPr>
          <w:rFonts w:hint="eastAsia" w:ascii="宋体"/>
          <w:color w:val="auto"/>
          <w:sz w:val="24"/>
          <w:szCs w:val="24"/>
          <w:highlight w:val="none"/>
        </w:rPr>
        <w:t>其他画面</w:t>
      </w:r>
      <w:r>
        <w:rPr>
          <w:rFonts w:ascii="宋体"/>
          <w:color w:val="auto"/>
          <w:sz w:val="24"/>
          <w:szCs w:val="24"/>
          <w:highlight w:val="none"/>
        </w:rPr>
        <w:sym w:font="Symbol" w:char="F0A3"/>
      </w:r>
      <w:r>
        <w:rPr>
          <w:rFonts w:hint="eastAsia" w:ascii="宋体"/>
          <w:color w:val="auto"/>
          <w:sz w:val="24"/>
          <w:szCs w:val="24"/>
          <w:highlight w:val="none"/>
        </w:rPr>
        <w:t>2</w:t>
      </w:r>
      <w:r>
        <w:rPr>
          <w:rFonts w:ascii="宋体"/>
          <w:color w:val="auto"/>
          <w:sz w:val="24"/>
          <w:szCs w:val="24"/>
          <w:highlight w:val="none"/>
        </w:rPr>
        <w:t>s</w:t>
      </w:r>
    </w:p>
    <w:p w14:paraId="04AE8A9D">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画面实时数据刷新周期：</w:t>
      </w:r>
      <w:r>
        <w:rPr>
          <w:rFonts w:ascii="宋体"/>
          <w:color w:val="auto"/>
          <w:sz w:val="24"/>
          <w:szCs w:val="24"/>
          <w:highlight w:val="none"/>
        </w:rPr>
        <w:t>1</w:t>
      </w:r>
      <w:r>
        <w:rPr>
          <w:rFonts w:hint="eastAsia" w:ascii="宋体"/>
          <w:color w:val="auto"/>
          <w:sz w:val="24"/>
          <w:szCs w:val="24"/>
          <w:highlight w:val="none"/>
        </w:rPr>
        <w:t>～</w:t>
      </w:r>
      <w:r>
        <w:rPr>
          <w:rFonts w:ascii="宋体"/>
          <w:color w:val="auto"/>
          <w:sz w:val="24"/>
          <w:szCs w:val="24"/>
          <w:highlight w:val="none"/>
        </w:rPr>
        <w:t>10s</w:t>
      </w:r>
      <w:r>
        <w:rPr>
          <w:rFonts w:hint="eastAsia" w:ascii="宋体"/>
          <w:color w:val="auto"/>
          <w:sz w:val="24"/>
          <w:szCs w:val="24"/>
          <w:highlight w:val="none"/>
        </w:rPr>
        <w:t>，可调</w:t>
      </w:r>
    </w:p>
    <w:p w14:paraId="3D4883C1">
      <w:pPr>
        <w:numPr>
          <w:ilvl w:val="0"/>
          <w:numId w:val="57"/>
        </w:numPr>
        <w:spacing w:line="360" w:lineRule="auto"/>
        <w:rPr>
          <w:rFonts w:ascii="宋体"/>
          <w:color w:val="auto"/>
          <w:sz w:val="24"/>
          <w:szCs w:val="24"/>
          <w:highlight w:val="none"/>
        </w:rPr>
      </w:pPr>
      <w:r>
        <w:rPr>
          <w:rFonts w:ascii="宋体"/>
          <w:color w:val="auto"/>
          <w:sz w:val="24"/>
          <w:szCs w:val="24"/>
          <w:highlight w:val="none"/>
        </w:rPr>
        <w:t>模拟量越死区传送时间（至站控层）</w:t>
      </w:r>
      <w:r>
        <w:rPr>
          <w:rFonts w:ascii="宋体"/>
          <w:color w:val="auto"/>
          <w:sz w:val="24"/>
          <w:szCs w:val="24"/>
          <w:highlight w:val="none"/>
        </w:rPr>
        <w:sym w:font="Symbol" w:char="F0A3"/>
      </w:r>
      <w:r>
        <w:rPr>
          <w:rFonts w:hint="eastAsia" w:ascii="宋体"/>
          <w:color w:val="auto"/>
          <w:sz w:val="24"/>
          <w:szCs w:val="24"/>
          <w:highlight w:val="none"/>
        </w:rPr>
        <w:t>2</w:t>
      </w:r>
      <w:r>
        <w:rPr>
          <w:rFonts w:ascii="宋体"/>
          <w:color w:val="auto"/>
          <w:sz w:val="24"/>
          <w:szCs w:val="24"/>
          <w:highlight w:val="none"/>
        </w:rPr>
        <w:t>s</w:t>
      </w:r>
    </w:p>
    <w:p w14:paraId="62A51EBF">
      <w:pPr>
        <w:numPr>
          <w:ilvl w:val="0"/>
          <w:numId w:val="57"/>
        </w:numPr>
        <w:spacing w:line="360" w:lineRule="auto"/>
        <w:rPr>
          <w:rFonts w:ascii="宋体"/>
          <w:color w:val="auto"/>
          <w:sz w:val="24"/>
          <w:szCs w:val="24"/>
          <w:highlight w:val="none"/>
        </w:rPr>
      </w:pPr>
      <w:r>
        <w:rPr>
          <w:rFonts w:ascii="宋体"/>
          <w:color w:val="auto"/>
          <w:sz w:val="24"/>
          <w:szCs w:val="24"/>
          <w:highlight w:val="none"/>
        </w:rPr>
        <w:t>状态量变位传送时间（至站控层）</w:t>
      </w:r>
      <w:r>
        <w:rPr>
          <w:rFonts w:ascii="宋体"/>
          <w:color w:val="auto"/>
          <w:sz w:val="24"/>
          <w:szCs w:val="24"/>
          <w:highlight w:val="none"/>
        </w:rPr>
        <w:sym w:font="Symbol" w:char="F0A3"/>
      </w:r>
      <w:r>
        <w:rPr>
          <w:rFonts w:hint="eastAsia" w:ascii="宋体"/>
          <w:color w:val="auto"/>
          <w:sz w:val="24"/>
          <w:szCs w:val="24"/>
          <w:highlight w:val="none"/>
        </w:rPr>
        <w:t>1</w:t>
      </w:r>
      <w:r>
        <w:rPr>
          <w:rFonts w:ascii="宋体"/>
          <w:color w:val="auto"/>
          <w:sz w:val="24"/>
          <w:szCs w:val="24"/>
          <w:highlight w:val="none"/>
        </w:rPr>
        <w:t>s</w:t>
      </w:r>
    </w:p>
    <w:p w14:paraId="3F808FB8">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遥测信息响应时间（从I/O输入端至远动通信装置出口）</w:t>
      </w:r>
      <w:r>
        <w:rPr>
          <w:rFonts w:ascii="宋体"/>
          <w:color w:val="auto"/>
          <w:sz w:val="24"/>
          <w:szCs w:val="24"/>
          <w:highlight w:val="none"/>
        </w:rPr>
        <w:sym w:font="Symbol" w:char="F0A3"/>
      </w:r>
      <w:r>
        <w:rPr>
          <w:rFonts w:ascii="宋体"/>
          <w:color w:val="auto"/>
          <w:sz w:val="24"/>
          <w:szCs w:val="24"/>
          <w:highlight w:val="none"/>
        </w:rPr>
        <w:t xml:space="preserve"> 3s</w:t>
      </w:r>
    </w:p>
    <w:p w14:paraId="7CFAC60F">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遥信变位响应时间（从I/O输入端至远动通信装置出口）</w:t>
      </w:r>
      <w:r>
        <w:rPr>
          <w:rFonts w:ascii="宋体"/>
          <w:color w:val="auto"/>
          <w:sz w:val="24"/>
          <w:szCs w:val="24"/>
          <w:highlight w:val="none"/>
        </w:rPr>
        <w:sym w:font="Symbol" w:char="F0A3"/>
      </w:r>
      <w:r>
        <w:rPr>
          <w:rFonts w:ascii="宋体"/>
          <w:color w:val="auto"/>
          <w:sz w:val="24"/>
          <w:szCs w:val="24"/>
          <w:highlight w:val="none"/>
        </w:rPr>
        <w:t xml:space="preserve"> 2s</w:t>
      </w:r>
    </w:p>
    <w:p w14:paraId="544F32E5">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遥控接受到远方调度中心控制命令至发到</w:t>
      </w:r>
      <w:r>
        <w:rPr>
          <w:rFonts w:ascii="宋体"/>
          <w:color w:val="auto"/>
          <w:sz w:val="24"/>
          <w:szCs w:val="24"/>
          <w:highlight w:val="none"/>
        </w:rPr>
        <w:t>I</w:t>
      </w:r>
      <w:r>
        <w:rPr>
          <w:rFonts w:hint="eastAsia" w:ascii="宋体"/>
          <w:color w:val="auto"/>
          <w:sz w:val="24"/>
          <w:szCs w:val="24"/>
          <w:highlight w:val="none"/>
        </w:rPr>
        <w:t xml:space="preserve">/O卡件输出时间 </w:t>
      </w:r>
      <w:r>
        <w:rPr>
          <w:rFonts w:ascii="宋体"/>
          <w:color w:val="auto"/>
          <w:sz w:val="24"/>
          <w:szCs w:val="24"/>
          <w:highlight w:val="none"/>
        </w:rPr>
        <w:sym w:font="Symbol" w:char="F0A3"/>
      </w:r>
      <w:r>
        <w:rPr>
          <w:rFonts w:hint="eastAsia" w:ascii="宋体"/>
          <w:color w:val="auto"/>
          <w:sz w:val="24"/>
          <w:szCs w:val="24"/>
          <w:highlight w:val="none"/>
        </w:rPr>
        <w:t xml:space="preserve"> 1s</w:t>
      </w:r>
    </w:p>
    <w:p w14:paraId="158FD66D">
      <w:pPr>
        <w:numPr>
          <w:ilvl w:val="0"/>
          <w:numId w:val="57"/>
        </w:numPr>
        <w:spacing w:line="360" w:lineRule="auto"/>
        <w:rPr>
          <w:rFonts w:ascii="宋体"/>
          <w:color w:val="auto"/>
          <w:sz w:val="24"/>
          <w:szCs w:val="24"/>
          <w:highlight w:val="none"/>
        </w:rPr>
      </w:pPr>
      <w:r>
        <w:rPr>
          <w:rFonts w:ascii="宋体"/>
          <w:color w:val="auto"/>
          <w:sz w:val="24"/>
          <w:szCs w:val="24"/>
          <w:highlight w:val="none"/>
        </w:rPr>
        <w:t>SOE</w:t>
      </w:r>
      <w:r>
        <w:rPr>
          <w:rFonts w:hint="eastAsia" w:ascii="宋体"/>
          <w:color w:val="auto"/>
          <w:sz w:val="24"/>
          <w:szCs w:val="24"/>
          <w:highlight w:val="none"/>
        </w:rPr>
        <w:t>分辨率</w:t>
      </w:r>
      <w:r>
        <w:rPr>
          <w:rFonts w:ascii="宋体"/>
          <w:color w:val="auto"/>
          <w:sz w:val="24"/>
          <w:szCs w:val="24"/>
          <w:highlight w:val="none"/>
        </w:rPr>
        <w:sym w:font="Symbol" w:char="F0A3"/>
      </w:r>
      <w:r>
        <w:rPr>
          <w:rFonts w:hint="eastAsia" w:ascii="宋体"/>
          <w:color w:val="auto"/>
          <w:sz w:val="24"/>
          <w:szCs w:val="24"/>
          <w:highlight w:val="none"/>
        </w:rPr>
        <w:t>2</w:t>
      </w:r>
      <w:r>
        <w:rPr>
          <w:rFonts w:ascii="宋体"/>
          <w:color w:val="auto"/>
          <w:sz w:val="24"/>
          <w:szCs w:val="24"/>
          <w:highlight w:val="none"/>
        </w:rPr>
        <w:t>ms</w:t>
      </w:r>
      <w:r>
        <w:rPr>
          <w:rFonts w:hint="eastAsia" w:ascii="宋体"/>
          <w:color w:val="auto"/>
          <w:sz w:val="24"/>
          <w:szCs w:val="24"/>
          <w:highlight w:val="none"/>
        </w:rPr>
        <w:t>（</w:t>
      </w:r>
      <w:r>
        <w:rPr>
          <w:rFonts w:ascii="宋体"/>
          <w:color w:val="auto"/>
          <w:sz w:val="24"/>
          <w:szCs w:val="24"/>
          <w:highlight w:val="none"/>
        </w:rPr>
        <w:t>站控层</w:t>
      </w:r>
      <w:r>
        <w:rPr>
          <w:rFonts w:hint="eastAsia" w:ascii="宋体"/>
          <w:color w:val="auto"/>
          <w:sz w:val="24"/>
          <w:szCs w:val="24"/>
          <w:highlight w:val="none"/>
        </w:rPr>
        <w:t>）；</w:t>
      </w:r>
      <w:r>
        <w:rPr>
          <w:rFonts w:ascii="宋体"/>
          <w:color w:val="auto"/>
          <w:sz w:val="24"/>
          <w:szCs w:val="24"/>
          <w:highlight w:val="none"/>
        </w:rPr>
        <w:sym w:font="Symbol" w:char="F0A3"/>
      </w:r>
      <w:r>
        <w:rPr>
          <w:rFonts w:hint="eastAsia" w:ascii="宋体"/>
          <w:color w:val="auto"/>
          <w:sz w:val="24"/>
          <w:szCs w:val="24"/>
          <w:highlight w:val="none"/>
        </w:rPr>
        <w:t>1</w:t>
      </w:r>
      <w:r>
        <w:rPr>
          <w:rFonts w:ascii="宋体"/>
          <w:color w:val="auto"/>
          <w:sz w:val="24"/>
          <w:szCs w:val="24"/>
          <w:highlight w:val="none"/>
        </w:rPr>
        <w:t>ms</w:t>
      </w:r>
      <w:r>
        <w:rPr>
          <w:rFonts w:hint="eastAsia" w:ascii="宋体"/>
          <w:color w:val="auto"/>
          <w:sz w:val="24"/>
          <w:szCs w:val="24"/>
          <w:highlight w:val="none"/>
        </w:rPr>
        <w:t>（</w:t>
      </w:r>
      <w:r>
        <w:rPr>
          <w:rFonts w:ascii="宋体"/>
          <w:color w:val="auto"/>
          <w:sz w:val="24"/>
          <w:szCs w:val="24"/>
          <w:highlight w:val="none"/>
        </w:rPr>
        <w:t>间隔层测控装置</w:t>
      </w:r>
      <w:r>
        <w:rPr>
          <w:rFonts w:hint="eastAsia" w:ascii="宋体"/>
          <w:color w:val="auto"/>
          <w:sz w:val="24"/>
          <w:szCs w:val="24"/>
          <w:highlight w:val="none"/>
        </w:rPr>
        <w:t>）</w:t>
      </w:r>
    </w:p>
    <w:p w14:paraId="0739ACF7">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打印报表输出周期：按需整定</w:t>
      </w:r>
    </w:p>
    <w:p w14:paraId="2517F9E9">
      <w:pPr>
        <w:numPr>
          <w:ilvl w:val="0"/>
          <w:numId w:val="57"/>
        </w:numPr>
        <w:spacing w:line="360" w:lineRule="auto"/>
        <w:rPr>
          <w:rFonts w:ascii="宋体"/>
          <w:color w:val="auto"/>
          <w:sz w:val="24"/>
          <w:szCs w:val="24"/>
          <w:highlight w:val="none"/>
        </w:rPr>
      </w:pPr>
      <w:r>
        <w:rPr>
          <w:rFonts w:hint="eastAsia" w:ascii="宋体"/>
          <w:color w:val="auto"/>
          <w:sz w:val="24"/>
          <w:szCs w:val="24"/>
          <w:highlight w:val="none"/>
        </w:rPr>
        <w:t>双机切换到系统功能恢复正常时间</w:t>
      </w:r>
      <w:r>
        <w:rPr>
          <w:rFonts w:ascii="宋体"/>
          <w:color w:val="auto"/>
          <w:sz w:val="24"/>
          <w:szCs w:val="24"/>
          <w:highlight w:val="none"/>
        </w:rPr>
        <w:sym w:font="Symbol" w:char="F0A3"/>
      </w:r>
      <w:r>
        <w:rPr>
          <w:rFonts w:hint="eastAsia" w:ascii="宋体"/>
          <w:color w:val="auto"/>
          <w:sz w:val="24"/>
          <w:szCs w:val="24"/>
          <w:highlight w:val="none"/>
        </w:rPr>
        <w:t>10</w:t>
      </w:r>
      <w:r>
        <w:rPr>
          <w:rFonts w:ascii="宋体"/>
          <w:color w:val="auto"/>
          <w:sz w:val="24"/>
          <w:szCs w:val="24"/>
          <w:highlight w:val="none"/>
        </w:rPr>
        <w:t>s</w:t>
      </w:r>
    </w:p>
    <w:p w14:paraId="002A97CA">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.3</w:t>
      </w:r>
      <w:r>
        <w:rPr>
          <w:rFonts w:hint="eastAsia" w:ascii="宋体"/>
          <w:color w:val="auto"/>
          <w:sz w:val="24"/>
          <w:szCs w:val="24"/>
          <w:highlight w:val="none"/>
        </w:rPr>
        <w:t>事故追忆</w:t>
      </w:r>
    </w:p>
    <w:p w14:paraId="7107E18A">
      <w:pPr>
        <w:numPr>
          <w:ilvl w:val="0"/>
          <w:numId w:val="58"/>
        </w:numPr>
        <w:spacing w:line="360" w:lineRule="auto"/>
        <w:rPr>
          <w:rFonts w:ascii="宋体"/>
          <w:color w:val="auto"/>
          <w:sz w:val="24"/>
          <w:szCs w:val="24"/>
          <w:highlight w:val="none"/>
        </w:rPr>
      </w:pPr>
      <w:r>
        <w:rPr>
          <w:rFonts w:hint="eastAsia" w:ascii="宋体"/>
          <w:color w:val="auto"/>
          <w:sz w:val="24"/>
          <w:szCs w:val="24"/>
          <w:highlight w:val="none"/>
        </w:rPr>
        <w:t>事故前：</w:t>
      </w:r>
      <w:r>
        <w:rPr>
          <w:rFonts w:ascii="宋体"/>
          <w:color w:val="auto"/>
          <w:sz w:val="24"/>
          <w:szCs w:val="24"/>
          <w:highlight w:val="none"/>
        </w:rPr>
        <w:t>1</w:t>
      </w:r>
      <w:r>
        <w:rPr>
          <w:rFonts w:hint="eastAsia" w:ascii="宋体"/>
          <w:color w:val="auto"/>
          <w:sz w:val="24"/>
          <w:szCs w:val="24"/>
          <w:highlight w:val="none"/>
        </w:rPr>
        <w:t>分钟，每帧间隔按全系统实时数据扫描周期</w:t>
      </w:r>
    </w:p>
    <w:p w14:paraId="48C08AF9">
      <w:pPr>
        <w:numPr>
          <w:ilvl w:val="0"/>
          <w:numId w:val="58"/>
        </w:numPr>
        <w:spacing w:line="360" w:lineRule="auto"/>
        <w:rPr>
          <w:rFonts w:ascii="宋体"/>
          <w:color w:val="auto"/>
          <w:sz w:val="24"/>
          <w:szCs w:val="24"/>
          <w:highlight w:val="none"/>
        </w:rPr>
      </w:pPr>
      <w:r>
        <w:rPr>
          <w:rFonts w:hint="eastAsia" w:ascii="宋体"/>
          <w:color w:val="auto"/>
          <w:sz w:val="24"/>
          <w:szCs w:val="24"/>
          <w:highlight w:val="none"/>
        </w:rPr>
        <w:t>事故后：</w:t>
      </w:r>
      <w:r>
        <w:rPr>
          <w:rFonts w:ascii="宋体"/>
          <w:color w:val="auto"/>
          <w:sz w:val="24"/>
          <w:szCs w:val="24"/>
          <w:highlight w:val="none"/>
        </w:rPr>
        <w:t>2</w:t>
      </w:r>
      <w:r>
        <w:rPr>
          <w:rFonts w:hint="eastAsia" w:ascii="宋体"/>
          <w:color w:val="auto"/>
          <w:sz w:val="24"/>
          <w:szCs w:val="24"/>
          <w:highlight w:val="none"/>
        </w:rPr>
        <w:t>分钟，每帧间隔按全系统实时数据扫描周期</w:t>
      </w:r>
    </w:p>
    <w:p w14:paraId="0F30D8D9">
      <w:pPr>
        <w:numPr>
          <w:ilvl w:val="0"/>
          <w:numId w:val="58"/>
        </w:numPr>
        <w:spacing w:line="360" w:lineRule="auto"/>
        <w:rPr>
          <w:rFonts w:ascii="宋体"/>
          <w:color w:val="auto"/>
          <w:sz w:val="24"/>
          <w:szCs w:val="24"/>
          <w:highlight w:val="none"/>
        </w:rPr>
      </w:pPr>
      <w:r>
        <w:rPr>
          <w:rFonts w:hint="eastAsia" w:ascii="宋体"/>
          <w:color w:val="auto"/>
          <w:sz w:val="24"/>
          <w:szCs w:val="24"/>
          <w:highlight w:val="none"/>
        </w:rPr>
        <w:t>追忆量：</w:t>
      </w:r>
      <w:r>
        <w:rPr>
          <w:rFonts w:ascii="宋体"/>
          <w:color w:val="auto"/>
          <w:sz w:val="24"/>
          <w:szCs w:val="24"/>
          <w:highlight w:val="none"/>
        </w:rPr>
        <w:t>400</w:t>
      </w:r>
      <w:r>
        <w:rPr>
          <w:rFonts w:hint="eastAsia" w:ascii="宋体"/>
          <w:color w:val="auto"/>
          <w:sz w:val="24"/>
          <w:szCs w:val="24"/>
          <w:highlight w:val="none"/>
        </w:rPr>
        <w:t>个</w:t>
      </w:r>
    </w:p>
    <w:p w14:paraId="4BF50C0D">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.4</w:t>
      </w:r>
      <w:r>
        <w:rPr>
          <w:rFonts w:hint="eastAsia" w:ascii="宋体"/>
          <w:color w:val="auto"/>
          <w:sz w:val="24"/>
          <w:szCs w:val="24"/>
          <w:highlight w:val="none"/>
        </w:rPr>
        <w:t>实时数据库容量</w:t>
      </w:r>
    </w:p>
    <w:p w14:paraId="7790E57B">
      <w:pPr>
        <w:numPr>
          <w:ilvl w:val="0"/>
          <w:numId w:val="59"/>
        </w:numPr>
        <w:spacing w:line="360" w:lineRule="auto"/>
        <w:rPr>
          <w:rFonts w:ascii="宋体"/>
          <w:color w:val="auto"/>
          <w:sz w:val="24"/>
          <w:szCs w:val="24"/>
          <w:highlight w:val="none"/>
        </w:rPr>
      </w:pPr>
      <w:r>
        <w:rPr>
          <w:rFonts w:hint="eastAsia" w:ascii="宋体"/>
          <w:color w:val="auto"/>
          <w:sz w:val="24"/>
          <w:szCs w:val="24"/>
          <w:highlight w:val="none"/>
        </w:rPr>
        <w:t>模拟量：</w:t>
      </w:r>
      <w:r>
        <w:rPr>
          <w:rFonts w:ascii="宋体"/>
          <w:color w:val="auto"/>
          <w:sz w:val="24"/>
          <w:szCs w:val="24"/>
          <w:highlight w:val="none"/>
        </w:rPr>
        <w:sym w:font="Symbol" w:char="F0B3"/>
      </w:r>
      <w:r>
        <w:rPr>
          <w:rFonts w:hint="eastAsia" w:ascii="宋体"/>
          <w:color w:val="auto"/>
          <w:sz w:val="24"/>
          <w:szCs w:val="24"/>
          <w:highlight w:val="none"/>
        </w:rPr>
        <w:t>3</w:t>
      </w:r>
      <w:r>
        <w:rPr>
          <w:rFonts w:ascii="宋体"/>
          <w:color w:val="auto"/>
          <w:sz w:val="24"/>
          <w:szCs w:val="24"/>
          <w:highlight w:val="none"/>
        </w:rPr>
        <w:t>000</w:t>
      </w:r>
      <w:r>
        <w:rPr>
          <w:rFonts w:hint="eastAsia" w:ascii="宋体"/>
          <w:color w:val="auto"/>
          <w:sz w:val="24"/>
          <w:szCs w:val="24"/>
          <w:highlight w:val="none"/>
        </w:rPr>
        <w:t>点</w:t>
      </w:r>
    </w:p>
    <w:p w14:paraId="1A79C835">
      <w:pPr>
        <w:numPr>
          <w:ilvl w:val="0"/>
          <w:numId w:val="59"/>
        </w:numPr>
        <w:spacing w:line="360" w:lineRule="auto"/>
        <w:rPr>
          <w:rFonts w:ascii="宋体"/>
          <w:color w:val="auto"/>
          <w:sz w:val="24"/>
          <w:szCs w:val="24"/>
          <w:highlight w:val="none"/>
        </w:rPr>
      </w:pPr>
      <w:r>
        <w:rPr>
          <w:rFonts w:hint="eastAsia" w:ascii="宋体"/>
          <w:color w:val="auto"/>
          <w:sz w:val="24"/>
          <w:szCs w:val="24"/>
          <w:highlight w:val="none"/>
        </w:rPr>
        <w:t>开关量：</w:t>
      </w:r>
      <w:r>
        <w:rPr>
          <w:rFonts w:ascii="宋体"/>
          <w:color w:val="auto"/>
          <w:sz w:val="24"/>
          <w:szCs w:val="24"/>
          <w:highlight w:val="none"/>
        </w:rPr>
        <w:sym w:font="Symbol" w:char="F0B3"/>
      </w:r>
      <w:r>
        <w:rPr>
          <w:rFonts w:ascii="宋体"/>
          <w:color w:val="auto"/>
          <w:sz w:val="24"/>
          <w:szCs w:val="24"/>
          <w:highlight w:val="none"/>
        </w:rPr>
        <w:t>5000</w:t>
      </w:r>
      <w:r>
        <w:rPr>
          <w:rFonts w:hint="eastAsia" w:ascii="宋体"/>
          <w:color w:val="auto"/>
          <w:sz w:val="24"/>
          <w:szCs w:val="24"/>
          <w:highlight w:val="none"/>
        </w:rPr>
        <w:t>点</w:t>
      </w:r>
    </w:p>
    <w:p w14:paraId="7BEA5AFF">
      <w:pPr>
        <w:numPr>
          <w:ilvl w:val="0"/>
          <w:numId w:val="59"/>
        </w:numPr>
        <w:spacing w:line="360" w:lineRule="auto"/>
        <w:rPr>
          <w:rFonts w:ascii="宋体"/>
          <w:color w:val="auto"/>
          <w:sz w:val="24"/>
          <w:szCs w:val="24"/>
          <w:highlight w:val="none"/>
        </w:rPr>
      </w:pPr>
      <w:r>
        <w:rPr>
          <w:rFonts w:hint="eastAsia" w:ascii="宋体"/>
          <w:color w:val="auto"/>
          <w:sz w:val="24"/>
          <w:szCs w:val="24"/>
          <w:highlight w:val="none"/>
        </w:rPr>
        <w:t>遥控：</w:t>
      </w:r>
      <w:r>
        <w:rPr>
          <w:rFonts w:ascii="宋体"/>
          <w:color w:val="auto"/>
          <w:sz w:val="24"/>
          <w:szCs w:val="24"/>
          <w:highlight w:val="none"/>
        </w:rPr>
        <w:sym w:font="Symbol" w:char="F0B3"/>
      </w:r>
      <w:r>
        <w:rPr>
          <w:rFonts w:hint="eastAsia" w:ascii="宋体"/>
          <w:color w:val="auto"/>
          <w:sz w:val="24"/>
          <w:szCs w:val="24"/>
          <w:highlight w:val="none"/>
        </w:rPr>
        <w:t xml:space="preserve"> 5</w:t>
      </w:r>
      <w:r>
        <w:rPr>
          <w:rFonts w:ascii="宋体"/>
          <w:color w:val="auto"/>
          <w:sz w:val="24"/>
          <w:szCs w:val="24"/>
          <w:highlight w:val="none"/>
        </w:rPr>
        <w:t>00</w:t>
      </w:r>
      <w:r>
        <w:rPr>
          <w:rFonts w:hint="eastAsia" w:ascii="宋体"/>
          <w:color w:val="auto"/>
          <w:sz w:val="24"/>
          <w:szCs w:val="24"/>
          <w:highlight w:val="none"/>
        </w:rPr>
        <w:t>点</w:t>
      </w:r>
    </w:p>
    <w:p w14:paraId="54E08B4E">
      <w:pPr>
        <w:numPr>
          <w:ilvl w:val="0"/>
          <w:numId w:val="59"/>
        </w:numPr>
        <w:spacing w:line="360" w:lineRule="auto"/>
        <w:rPr>
          <w:rFonts w:ascii="宋体"/>
          <w:color w:val="auto"/>
          <w:sz w:val="24"/>
          <w:szCs w:val="24"/>
          <w:highlight w:val="none"/>
        </w:rPr>
      </w:pPr>
      <w:r>
        <w:rPr>
          <w:rFonts w:hint="eastAsia" w:ascii="宋体"/>
          <w:color w:val="auto"/>
          <w:sz w:val="24"/>
          <w:szCs w:val="24"/>
          <w:highlight w:val="none"/>
        </w:rPr>
        <w:t>虚拟量：</w:t>
      </w:r>
      <w:r>
        <w:rPr>
          <w:rFonts w:ascii="宋体"/>
          <w:color w:val="auto"/>
          <w:sz w:val="24"/>
          <w:szCs w:val="24"/>
          <w:highlight w:val="none"/>
        </w:rPr>
        <w:sym w:font="Symbol" w:char="F0B3"/>
      </w:r>
      <w:r>
        <w:rPr>
          <w:rFonts w:hint="eastAsia" w:ascii="宋体"/>
          <w:color w:val="auto"/>
          <w:sz w:val="24"/>
          <w:szCs w:val="24"/>
          <w:highlight w:val="none"/>
        </w:rPr>
        <w:t xml:space="preserve"> 2</w:t>
      </w:r>
      <w:r>
        <w:rPr>
          <w:rFonts w:ascii="宋体"/>
          <w:color w:val="auto"/>
          <w:sz w:val="24"/>
          <w:szCs w:val="24"/>
          <w:highlight w:val="none"/>
        </w:rPr>
        <w:t>000</w:t>
      </w:r>
      <w:r>
        <w:rPr>
          <w:rFonts w:hint="eastAsia" w:ascii="宋体"/>
          <w:color w:val="auto"/>
          <w:sz w:val="24"/>
          <w:szCs w:val="24"/>
          <w:highlight w:val="none"/>
        </w:rPr>
        <w:t>点</w:t>
      </w:r>
    </w:p>
    <w:p w14:paraId="6D66BA82">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.5</w:t>
      </w:r>
      <w:r>
        <w:rPr>
          <w:rFonts w:hint="eastAsia" w:ascii="宋体"/>
          <w:color w:val="auto"/>
          <w:sz w:val="24"/>
          <w:szCs w:val="24"/>
          <w:highlight w:val="none"/>
        </w:rPr>
        <w:t>历史数据库存储容量</w:t>
      </w:r>
    </w:p>
    <w:p w14:paraId="1A52383B">
      <w:pPr>
        <w:numPr>
          <w:ilvl w:val="0"/>
          <w:numId w:val="60"/>
        </w:numPr>
        <w:spacing w:line="360" w:lineRule="auto"/>
        <w:rPr>
          <w:rFonts w:ascii="宋体"/>
          <w:color w:val="auto"/>
          <w:sz w:val="24"/>
          <w:szCs w:val="24"/>
          <w:highlight w:val="none"/>
        </w:rPr>
      </w:pPr>
      <w:r>
        <w:rPr>
          <w:rFonts w:hint="eastAsia" w:ascii="宋体"/>
          <w:color w:val="auto"/>
          <w:sz w:val="24"/>
          <w:szCs w:val="24"/>
          <w:highlight w:val="none"/>
        </w:rPr>
        <w:t>历史曲线采样间隔：</w:t>
      </w:r>
      <w:r>
        <w:rPr>
          <w:rFonts w:ascii="宋体"/>
          <w:color w:val="auto"/>
          <w:sz w:val="24"/>
          <w:szCs w:val="24"/>
          <w:highlight w:val="none"/>
        </w:rPr>
        <w:t>1</w:t>
      </w:r>
      <w:r>
        <w:rPr>
          <w:rFonts w:hint="eastAsia" w:ascii="宋体"/>
          <w:color w:val="auto"/>
          <w:sz w:val="24"/>
          <w:szCs w:val="24"/>
          <w:highlight w:val="none"/>
        </w:rPr>
        <w:t>～60S，可调</w:t>
      </w:r>
    </w:p>
    <w:p w14:paraId="3AFD56EE">
      <w:pPr>
        <w:numPr>
          <w:ilvl w:val="0"/>
          <w:numId w:val="60"/>
        </w:numPr>
        <w:spacing w:line="360" w:lineRule="auto"/>
        <w:rPr>
          <w:rFonts w:ascii="宋体"/>
          <w:color w:val="auto"/>
          <w:sz w:val="24"/>
          <w:szCs w:val="24"/>
          <w:highlight w:val="none"/>
        </w:rPr>
      </w:pPr>
      <w:r>
        <w:rPr>
          <w:rFonts w:hint="eastAsia" w:ascii="宋体"/>
          <w:color w:val="auto"/>
          <w:sz w:val="24"/>
          <w:szCs w:val="24"/>
          <w:highlight w:val="none"/>
        </w:rPr>
        <w:t>历史趋势曲线，日报，月报，年报存储时间</w:t>
      </w:r>
      <w:r>
        <w:rPr>
          <w:rFonts w:ascii="宋体"/>
          <w:color w:val="auto"/>
          <w:sz w:val="24"/>
          <w:szCs w:val="24"/>
          <w:highlight w:val="none"/>
        </w:rPr>
        <w:sym w:font="Symbol" w:char="F0B3"/>
      </w:r>
      <w:r>
        <w:rPr>
          <w:rFonts w:ascii="宋体"/>
          <w:color w:val="auto"/>
          <w:sz w:val="24"/>
          <w:szCs w:val="24"/>
          <w:highlight w:val="none"/>
        </w:rPr>
        <w:t>2</w:t>
      </w:r>
      <w:r>
        <w:rPr>
          <w:rFonts w:hint="eastAsia" w:ascii="宋体"/>
          <w:color w:val="auto"/>
          <w:sz w:val="24"/>
          <w:szCs w:val="24"/>
          <w:highlight w:val="none"/>
        </w:rPr>
        <w:t>年</w:t>
      </w:r>
    </w:p>
    <w:p w14:paraId="465EE25F">
      <w:pPr>
        <w:numPr>
          <w:ilvl w:val="0"/>
          <w:numId w:val="60"/>
        </w:numPr>
        <w:spacing w:line="360" w:lineRule="auto"/>
        <w:rPr>
          <w:rFonts w:ascii="宋体"/>
          <w:color w:val="auto"/>
          <w:sz w:val="24"/>
          <w:szCs w:val="24"/>
          <w:highlight w:val="none"/>
        </w:rPr>
      </w:pPr>
      <w:r>
        <w:rPr>
          <w:rFonts w:hint="eastAsia" w:ascii="宋体"/>
          <w:color w:val="auto"/>
          <w:sz w:val="24"/>
          <w:szCs w:val="24"/>
          <w:highlight w:val="none"/>
        </w:rPr>
        <w:t>历史趋势曲线</w:t>
      </w:r>
      <w:r>
        <w:rPr>
          <w:rFonts w:ascii="宋体"/>
          <w:color w:val="auto"/>
          <w:sz w:val="24"/>
          <w:szCs w:val="24"/>
          <w:highlight w:val="none"/>
        </w:rPr>
        <w:sym w:font="Symbol" w:char="F0B3"/>
      </w:r>
      <w:r>
        <w:rPr>
          <w:rFonts w:ascii="宋体"/>
          <w:color w:val="auto"/>
          <w:sz w:val="24"/>
          <w:szCs w:val="24"/>
          <w:highlight w:val="none"/>
        </w:rPr>
        <w:t>300</w:t>
      </w:r>
      <w:r>
        <w:rPr>
          <w:rFonts w:hint="eastAsia" w:ascii="宋体"/>
          <w:color w:val="auto"/>
          <w:sz w:val="24"/>
          <w:szCs w:val="24"/>
          <w:highlight w:val="none"/>
        </w:rPr>
        <w:t>条</w:t>
      </w:r>
    </w:p>
    <w:p w14:paraId="1930EEAE">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.6</w:t>
      </w:r>
      <w:r>
        <w:rPr>
          <w:rFonts w:hint="eastAsia" w:ascii="宋体"/>
          <w:color w:val="auto"/>
          <w:sz w:val="24"/>
          <w:szCs w:val="24"/>
          <w:highlight w:val="none"/>
        </w:rPr>
        <w:t>可靠性指标</w:t>
      </w:r>
    </w:p>
    <w:p w14:paraId="66A8E4D0">
      <w:pPr>
        <w:numPr>
          <w:ilvl w:val="0"/>
          <w:numId w:val="61"/>
        </w:numPr>
        <w:spacing w:line="360" w:lineRule="auto"/>
        <w:rPr>
          <w:rFonts w:ascii="宋体"/>
          <w:color w:val="auto"/>
          <w:sz w:val="24"/>
          <w:szCs w:val="24"/>
          <w:highlight w:val="none"/>
        </w:rPr>
      </w:pPr>
      <w:r>
        <w:rPr>
          <w:rFonts w:hint="eastAsia" w:ascii="宋体"/>
          <w:color w:val="auto"/>
          <w:sz w:val="24"/>
          <w:szCs w:val="24"/>
          <w:highlight w:val="none"/>
        </w:rPr>
        <w:t>系统可用率</w:t>
      </w:r>
      <w:r>
        <w:rPr>
          <w:rFonts w:ascii="宋体"/>
          <w:color w:val="auto"/>
          <w:sz w:val="24"/>
          <w:szCs w:val="24"/>
          <w:highlight w:val="none"/>
        </w:rPr>
        <w:sym w:font="Symbol" w:char="F0B3"/>
      </w:r>
      <w:r>
        <w:rPr>
          <w:rFonts w:ascii="宋体"/>
          <w:color w:val="auto"/>
          <w:sz w:val="24"/>
          <w:szCs w:val="24"/>
          <w:highlight w:val="none"/>
        </w:rPr>
        <w:t>99.9</w:t>
      </w:r>
      <w:r>
        <w:rPr>
          <w:rFonts w:hint="eastAsia" w:ascii="宋体"/>
          <w:color w:val="auto"/>
          <w:sz w:val="24"/>
          <w:szCs w:val="24"/>
          <w:highlight w:val="none"/>
        </w:rPr>
        <w:t>8</w:t>
      </w:r>
      <w:r>
        <w:rPr>
          <w:rFonts w:ascii="宋体"/>
          <w:color w:val="auto"/>
          <w:sz w:val="24"/>
          <w:szCs w:val="24"/>
          <w:highlight w:val="none"/>
        </w:rPr>
        <w:t>%</w:t>
      </w:r>
      <w:r>
        <w:rPr>
          <w:rFonts w:hint="eastAsia" w:ascii="宋体"/>
          <w:color w:val="auto"/>
          <w:sz w:val="24"/>
          <w:szCs w:val="24"/>
          <w:highlight w:val="none"/>
        </w:rPr>
        <w:tab/>
      </w:r>
    </w:p>
    <w:p w14:paraId="7B3566B2">
      <w:pPr>
        <w:numPr>
          <w:ilvl w:val="0"/>
          <w:numId w:val="61"/>
        </w:numPr>
        <w:spacing w:line="360" w:lineRule="auto"/>
        <w:rPr>
          <w:rFonts w:ascii="宋体"/>
          <w:color w:val="auto"/>
          <w:sz w:val="24"/>
          <w:szCs w:val="24"/>
          <w:highlight w:val="none"/>
        </w:rPr>
      </w:pPr>
      <w:r>
        <w:rPr>
          <w:rFonts w:hint="eastAsia" w:ascii="宋体"/>
          <w:color w:val="auto"/>
          <w:sz w:val="24"/>
          <w:szCs w:val="24"/>
          <w:highlight w:val="none"/>
        </w:rPr>
        <w:t>遥控动作成功率 ＝ 100％</w:t>
      </w:r>
    </w:p>
    <w:p w14:paraId="5965D600">
      <w:pPr>
        <w:numPr>
          <w:ilvl w:val="0"/>
          <w:numId w:val="61"/>
        </w:numPr>
        <w:spacing w:line="360" w:lineRule="auto"/>
        <w:rPr>
          <w:rFonts w:ascii="宋体"/>
          <w:color w:val="auto"/>
          <w:sz w:val="24"/>
          <w:szCs w:val="24"/>
          <w:highlight w:val="none"/>
        </w:rPr>
      </w:pPr>
      <w:r>
        <w:rPr>
          <w:rFonts w:hint="eastAsia" w:ascii="宋体"/>
          <w:color w:val="auto"/>
          <w:sz w:val="24"/>
          <w:szCs w:val="24"/>
          <w:highlight w:val="none"/>
        </w:rPr>
        <w:t xml:space="preserve">事故时遥信年正确动作率 </w:t>
      </w:r>
      <w:r>
        <w:rPr>
          <w:rFonts w:ascii="宋体"/>
          <w:color w:val="auto"/>
          <w:sz w:val="24"/>
          <w:szCs w:val="24"/>
          <w:highlight w:val="none"/>
        </w:rPr>
        <w:sym w:font="Symbol" w:char="F0B3"/>
      </w:r>
      <w:r>
        <w:rPr>
          <w:rFonts w:hint="eastAsia" w:ascii="宋体"/>
          <w:color w:val="auto"/>
          <w:sz w:val="24"/>
          <w:szCs w:val="24"/>
          <w:highlight w:val="none"/>
        </w:rPr>
        <w:t xml:space="preserve"> 99.8％</w:t>
      </w:r>
    </w:p>
    <w:p w14:paraId="2B755A3A">
      <w:pPr>
        <w:numPr>
          <w:ilvl w:val="0"/>
          <w:numId w:val="61"/>
        </w:numPr>
        <w:spacing w:line="360" w:lineRule="auto"/>
        <w:rPr>
          <w:rFonts w:ascii="宋体"/>
          <w:color w:val="auto"/>
          <w:sz w:val="24"/>
          <w:szCs w:val="24"/>
          <w:highlight w:val="none"/>
        </w:rPr>
      </w:pPr>
      <w:r>
        <w:rPr>
          <w:rFonts w:hint="eastAsia" w:ascii="宋体"/>
          <w:color w:val="auto"/>
          <w:sz w:val="24"/>
          <w:szCs w:val="24"/>
          <w:highlight w:val="none"/>
        </w:rPr>
        <w:t>系统平均无故障时间</w:t>
      </w:r>
      <w:r>
        <w:rPr>
          <w:rFonts w:ascii="宋体"/>
          <w:color w:val="auto"/>
          <w:sz w:val="24"/>
          <w:szCs w:val="24"/>
          <w:highlight w:val="none"/>
        </w:rPr>
        <w:t>MTBF</w:t>
      </w:r>
      <w:r>
        <w:rPr>
          <w:rFonts w:ascii="宋体"/>
          <w:color w:val="auto"/>
          <w:sz w:val="24"/>
          <w:szCs w:val="24"/>
          <w:highlight w:val="none"/>
        </w:rPr>
        <w:sym w:font="Symbol" w:char="F0B3"/>
      </w:r>
      <w:r>
        <w:rPr>
          <w:rFonts w:ascii="宋体"/>
          <w:color w:val="auto"/>
          <w:sz w:val="24"/>
          <w:szCs w:val="24"/>
          <w:highlight w:val="none"/>
        </w:rPr>
        <w:t>20000</w:t>
      </w:r>
      <w:r>
        <w:rPr>
          <w:rFonts w:hint="eastAsia" w:ascii="宋体"/>
          <w:color w:val="auto"/>
          <w:sz w:val="24"/>
          <w:szCs w:val="24"/>
          <w:highlight w:val="none"/>
        </w:rPr>
        <w:t>小时</w:t>
      </w:r>
    </w:p>
    <w:p w14:paraId="157632D2">
      <w:pPr>
        <w:numPr>
          <w:ilvl w:val="0"/>
          <w:numId w:val="61"/>
        </w:numPr>
        <w:spacing w:line="360" w:lineRule="auto"/>
        <w:rPr>
          <w:rFonts w:ascii="宋体"/>
          <w:color w:val="auto"/>
          <w:sz w:val="24"/>
          <w:szCs w:val="24"/>
          <w:highlight w:val="none"/>
        </w:rPr>
      </w:pPr>
      <w:r>
        <w:rPr>
          <w:rFonts w:hint="eastAsia" w:ascii="宋体"/>
          <w:color w:val="auto"/>
          <w:sz w:val="24"/>
          <w:szCs w:val="24"/>
          <w:highlight w:val="none"/>
        </w:rPr>
        <w:t>间隔控制层设备平均无故障时间</w:t>
      </w:r>
      <w:r>
        <w:rPr>
          <w:rFonts w:ascii="宋体"/>
          <w:color w:val="auto"/>
          <w:sz w:val="24"/>
          <w:szCs w:val="24"/>
          <w:highlight w:val="none"/>
        </w:rPr>
        <w:t>MTBF</w:t>
      </w:r>
      <w:r>
        <w:rPr>
          <w:rFonts w:ascii="宋体"/>
          <w:color w:val="auto"/>
          <w:sz w:val="24"/>
          <w:szCs w:val="24"/>
          <w:highlight w:val="none"/>
        </w:rPr>
        <w:sym w:font="Symbol" w:char="F0B3"/>
      </w:r>
      <w:r>
        <w:rPr>
          <w:rFonts w:ascii="宋体"/>
          <w:color w:val="auto"/>
          <w:sz w:val="24"/>
          <w:szCs w:val="24"/>
          <w:highlight w:val="none"/>
        </w:rPr>
        <w:t>40000</w:t>
      </w:r>
      <w:r>
        <w:rPr>
          <w:rFonts w:hint="eastAsia" w:ascii="宋体"/>
          <w:color w:val="auto"/>
          <w:sz w:val="24"/>
          <w:szCs w:val="24"/>
          <w:highlight w:val="none"/>
        </w:rPr>
        <w:t>小时(其中I/O模板平均故障间隔时间</w:t>
      </w:r>
      <w:r>
        <w:rPr>
          <w:rFonts w:ascii="宋体"/>
          <w:color w:val="auto"/>
          <w:sz w:val="24"/>
          <w:szCs w:val="24"/>
          <w:highlight w:val="none"/>
        </w:rPr>
        <w:t>MTBF</w:t>
      </w:r>
      <w:r>
        <w:rPr>
          <w:rFonts w:ascii="宋体"/>
          <w:color w:val="auto"/>
          <w:sz w:val="24"/>
          <w:szCs w:val="24"/>
          <w:highlight w:val="none"/>
        </w:rPr>
        <w:sym w:font="Symbol" w:char="F0B3"/>
      </w:r>
      <w:r>
        <w:rPr>
          <w:rFonts w:ascii="宋体"/>
          <w:color w:val="auto"/>
          <w:sz w:val="24"/>
          <w:szCs w:val="24"/>
          <w:highlight w:val="none"/>
        </w:rPr>
        <w:t>50000</w:t>
      </w:r>
      <w:r>
        <w:rPr>
          <w:rFonts w:hint="eastAsia" w:ascii="宋体"/>
          <w:color w:val="auto"/>
          <w:sz w:val="24"/>
          <w:szCs w:val="24"/>
          <w:highlight w:val="none"/>
        </w:rPr>
        <w:t>小时)</w:t>
      </w:r>
    </w:p>
    <w:p w14:paraId="69F947B5">
      <w:pPr>
        <w:numPr>
          <w:ilvl w:val="0"/>
          <w:numId w:val="61"/>
        </w:numPr>
        <w:spacing w:line="360" w:lineRule="auto"/>
        <w:rPr>
          <w:rFonts w:ascii="宋体"/>
          <w:color w:val="auto"/>
          <w:sz w:val="24"/>
          <w:szCs w:val="24"/>
          <w:highlight w:val="none"/>
        </w:rPr>
      </w:pPr>
      <w:r>
        <w:rPr>
          <w:rFonts w:hint="eastAsia" w:ascii="宋体"/>
          <w:color w:val="auto"/>
          <w:sz w:val="24"/>
          <w:szCs w:val="24"/>
          <w:highlight w:val="none"/>
        </w:rPr>
        <w:t>数据的完整性：出错的概率</w:t>
      </w:r>
      <w:r>
        <w:rPr>
          <w:rFonts w:ascii="宋体"/>
          <w:color w:val="auto"/>
          <w:sz w:val="24"/>
          <w:szCs w:val="24"/>
          <w:highlight w:val="none"/>
        </w:rPr>
        <w:sym w:font="Symbol" w:char="F0A3"/>
      </w:r>
      <w:r>
        <w:rPr>
          <w:rFonts w:hint="eastAsia" w:ascii="宋体"/>
          <w:color w:val="auto"/>
          <w:sz w:val="24"/>
          <w:szCs w:val="24"/>
          <w:highlight w:val="none"/>
        </w:rPr>
        <w:t xml:space="preserve"> 10-14</w:t>
      </w:r>
    </w:p>
    <w:p w14:paraId="3A1E072E">
      <w:pPr>
        <w:numPr>
          <w:ilvl w:val="0"/>
          <w:numId w:val="61"/>
        </w:numPr>
        <w:spacing w:line="360" w:lineRule="auto"/>
        <w:rPr>
          <w:rFonts w:ascii="宋体"/>
          <w:color w:val="auto"/>
          <w:sz w:val="24"/>
          <w:szCs w:val="24"/>
          <w:highlight w:val="none"/>
        </w:rPr>
      </w:pPr>
      <w:r>
        <w:rPr>
          <w:rFonts w:hint="eastAsia" w:ascii="宋体"/>
          <w:color w:val="auto"/>
          <w:sz w:val="24"/>
          <w:szCs w:val="24"/>
          <w:highlight w:val="none"/>
        </w:rPr>
        <w:t>系统的可维护MRT</w:t>
      </w:r>
      <w:r>
        <w:rPr>
          <w:rFonts w:ascii="宋体"/>
          <w:color w:val="auto"/>
          <w:sz w:val="24"/>
          <w:szCs w:val="24"/>
          <w:highlight w:val="none"/>
        </w:rPr>
        <w:sym w:font="Symbol" w:char="F0A3"/>
      </w:r>
      <w:r>
        <w:rPr>
          <w:rFonts w:hint="eastAsia" w:ascii="宋体"/>
          <w:color w:val="auto"/>
          <w:sz w:val="24"/>
          <w:szCs w:val="24"/>
          <w:highlight w:val="none"/>
        </w:rPr>
        <w:t>6小时</w:t>
      </w:r>
    </w:p>
    <w:p w14:paraId="446028DF">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.7</w:t>
      </w:r>
      <w:r>
        <w:rPr>
          <w:rFonts w:hint="eastAsia" w:ascii="宋体"/>
          <w:color w:val="auto"/>
          <w:sz w:val="24"/>
          <w:szCs w:val="24"/>
          <w:highlight w:val="none"/>
        </w:rPr>
        <w:t>监控系统时间与</w:t>
      </w:r>
      <w:r>
        <w:rPr>
          <w:rFonts w:ascii="宋体"/>
          <w:color w:val="auto"/>
          <w:sz w:val="24"/>
          <w:szCs w:val="24"/>
          <w:highlight w:val="none"/>
        </w:rPr>
        <w:t>同步时钟系统</w:t>
      </w:r>
      <w:r>
        <w:rPr>
          <w:rFonts w:hint="eastAsia" w:ascii="宋体"/>
          <w:color w:val="auto"/>
          <w:sz w:val="24"/>
          <w:szCs w:val="24"/>
          <w:highlight w:val="none"/>
        </w:rPr>
        <w:t>标准时间的误差</w:t>
      </w:r>
      <w:r>
        <w:rPr>
          <w:rFonts w:ascii="宋体"/>
          <w:color w:val="auto"/>
          <w:sz w:val="24"/>
          <w:szCs w:val="24"/>
          <w:highlight w:val="none"/>
        </w:rPr>
        <w:sym w:font="Symbol" w:char="F0A3"/>
      </w:r>
      <w:r>
        <w:rPr>
          <w:rFonts w:hint="eastAsia" w:ascii="宋体"/>
          <w:color w:val="auto"/>
          <w:sz w:val="24"/>
          <w:szCs w:val="24"/>
          <w:highlight w:val="none"/>
        </w:rPr>
        <w:t xml:space="preserve"> 1 </w:t>
      </w:r>
      <w:r>
        <w:rPr>
          <w:rFonts w:ascii="宋体"/>
          <w:color w:val="auto"/>
          <w:sz w:val="24"/>
          <w:szCs w:val="24"/>
          <w:highlight w:val="none"/>
        </w:rPr>
        <w:t>ms</w:t>
      </w:r>
      <w:r>
        <w:rPr>
          <w:rFonts w:hint="eastAsia" w:ascii="宋体"/>
          <w:color w:val="auto"/>
          <w:sz w:val="24"/>
          <w:szCs w:val="24"/>
          <w:highlight w:val="none"/>
        </w:rPr>
        <w:tab/>
      </w:r>
    </w:p>
    <w:p w14:paraId="7B09B910">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.8 CPU</w:t>
      </w:r>
      <w:r>
        <w:rPr>
          <w:rFonts w:hint="eastAsia" w:ascii="宋体"/>
          <w:color w:val="auto"/>
          <w:sz w:val="24"/>
          <w:szCs w:val="24"/>
          <w:highlight w:val="none"/>
        </w:rPr>
        <w:t>负荷率</w:t>
      </w:r>
    </w:p>
    <w:p w14:paraId="536FBA05">
      <w:pPr>
        <w:spacing w:line="360" w:lineRule="auto"/>
        <w:ind w:firstLine="480"/>
        <w:rPr>
          <w:rFonts w:ascii="宋体"/>
          <w:color w:val="auto"/>
          <w:sz w:val="24"/>
          <w:szCs w:val="24"/>
          <w:highlight w:val="none"/>
        </w:rPr>
      </w:pPr>
      <w:r>
        <w:rPr>
          <w:rFonts w:hint="eastAsia" w:ascii="宋体"/>
          <w:color w:val="auto"/>
          <w:sz w:val="24"/>
          <w:szCs w:val="24"/>
          <w:highlight w:val="none"/>
        </w:rPr>
        <w:t>主机、各工作站和I/O测控单元等的</w:t>
      </w:r>
      <w:r>
        <w:rPr>
          <w:rFonts w:ascii="宋体"/>
          <w:color w:val="auto"/>
          <w:sz w:val="24"/>
          <w:szCs w:val="24"/>
          <w:highlight w:val="none"/>
        </w:rPr>
        <w:t>CPU</w:t>
      </w:r>
      <w:r>
        <w:rPr>
          <w:rFonts w:hint="eastAsia" w:ascii="宋体"/>
          <w:color w:val="auto"/>
          <w:sz w:val="24"/>
          <w:szCs w:val="24"/>
          <w:highlight w:val="none"/>
        </w:rPr>
        <w:t>负荷率，在正常状态下应小于</w:t>
      </w:r>
      <w:r>
        <w:rPr>
          <w:rFonts w:ascii="宋体"/>
          <w:color w:val="auto"/>
          <w:sz w:val="24"/>
          <w:szCs w:val="24"/>
          <w:highlight w:val="none"/>
        </w:rPr>
        <w:t>30%</w:t>
      </w:r>
      <w:r>
        <w:rPr>
          <w:rFonts w:hint="eastAsia" w:ascii="宋体"/>
          <w:color w:val="auto"/>
          <w:sz w:val="24"/>
          <w:szCs w:val="24"/>
          <w:highlight w:val="none"/>
        </w:rPr>
        <w:t>，在事故情况下应小于</w:t>
      </w:r>
      <w:r>
        <w:rPr>
          <w:rFonts w:ascii="宋体"/>
          <w:color w:val="auto"/>
          <w:sz w:val="24"/>
          <w:szCs w:val="24"/>
          <w:highlight w:val="none"/>
        </w:rPr>
        <w:t>50%</w:t>
      </w:r>
      <w:r>
        <w:rPr>
          <w:rFonts w:hint="eastAsia" w:ascii="宋体"/>
          <w:color w:val="auto"/>
          <w:sz w:val="24"/>
          <w:szCs w:val="24"/>
          <w:highlight w:val="none"/>
        </w:rPr>
        <w:t>。</w:t>
      </w:r>
      <w:r>
        <w:rPr>
          <w:rFonts w:hint="eastAsia" w:ascii="宋体"/>
          <w:color w:val="auto"/>
          <w:sz w:val="24"/>
          <w:szCs w:val="24"/>
          <w:highlight w:val="none"/>
        </w:rPr>
        <w:tab/>
      </w:r>
    </w:p>
    <w:p w14:paraId="709273BF">
      <w:pPr>
        <w:spacing w:line="360" w:lineRule="auto"/>
        <w:ind w:firstLine="468"/>
        <w:rPr>
          <w:rFonts w:ascii="宋体"/>
          <w:color w:val="auto"/>
          <w:kern w:val="0"/>
          <w:sz w:val="24"/>
          <w:szCs w:val="24"/>
          <w:highlight w:val="none"/>
        </w:rPr>
      </w:pPr>
      <w:r>
        <w:rPr>
          <w:rFonts w:hint="eastAsia" w:ascii="宋体"/>
          <w:color w:val="auto"/>
          <w:sz w:val="24"/>
          <w:szCs w:val="24"/>
          <w:highlight w:val="none"/>
        </w:rPr>
        <w:t>远动通信装置的</w:t>
      </w:r>
      <w:r>
        <w:rPr>
          <w:rFonts w:ascii="宋体"/>
          <w:color w:val="auto"/>
          <w:sz w:val="24"/>
          <w:szCs w:val="24"/>
          <w:highlight w:val="none"/>
        </w:rPr>
        <w:t>CPU</w:t>
      </w:r>
      <w:r>
        <w:rPr>
          <w:rFonts w:hint="eastAsia" w:ascii="宋体"/>
          <w:color w:val="auto"/>
          <w:sz w:val="24"/>
          <w:szCs w:val="24"/>
          <w:highlight w:val="none"/>
        </w:rPr>
        <w:t>负荷率，在正常状态下应小于</w:t>
      </w:r>
      <w:r>
        <w:rPr>
          <w:rFonts w:ascii="宋体"/>
          <w:color w:val="auto"/>
          <w:sz w:val="24"/>
          <w:szCs w:val="24"/>
          <w:highlight w:val="none"/>
        </w:rPr>
        <w:t>2</w:t>
      </w:r>
      <w:r>
        <w:rPr>
          <w:rFonts w:hint="eastAsia" w:ascii="宋体"/>
          <w:color w:val="auto"/>
          <w:sz w:val="24"/>
          <w:szCs w:val="24"/>
          <w:highlight w:val="none"/>
        </w:rPr>
        <w:t>0</w:t>
      </w:r>
      <w:r>
        <w:rPr>
          <w:rFonts w:ascii="宋体"/>
          <w:color w:val="auto"/>
          <w:sz w:val="24"/>
          <w:szCs w:val="24"/>
          <w:highlight w:val="none"/>
        </w:rPr>
        <w:t>%</w:t>
      </w:r>
      <w:r>
        <w:rPr>
          <w:rFonts w:hint="eastAsia" w:ascii="宋体"/>
          <w:color w:val="auto"/>
          <w:sz w:val="24"/>
          <w:szCs w:val="24"/>
          <w:highlight w:val="none"/>
        </w:rPr>
        <w:t>，在事故情况下应小于30</w:t>
      </w:r>
      <w:r>
        <w:rPr>
          <w:rFonts w:ascii="宋体"/>
          <w:color w:val="auto"/>
          <w:sz w:val="24"/>
          <w:szCs w:val="24"/>
          <w:highlight w:val="none"/>
        </w:rPr>
        <w:t>%</w:t>
      </w:r>
      <w:r>
        <w:rPr>
          <w:rFonts w:hint="eastAsia" w:ascii="宋体"/>
          <w:color w:val="auto"/>
          <w:sz w:val="24"/>
          <w:szCs w:val="24"/>
          <w:highlight w:val="none"/>
        </w:rPr>
        <w:t>。</w:t>
      </w:r>
    </w:p>
    <w:p w14:paraId="18788258">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w:t>
      </w:r>
      <w:r>
        <w:rPr>
          <w:rFonts w:hint="eastAsia" w:ascii="宋体"/>
          <w:color w:val="auto"/>
          <w:sz w:val="24"/>
          <w:szCs w:val="24"/>
          <w:highlight w:val="none"/>
        </w:rPr>
        <w:t>9网络的负荷率</w:t>
      </w:r>
    </w:p>
    <w:p w14:paraId="0582B91A">
      <w:pPr>
        <w:spacing w:line="360" w:lineRule="auto"/>
        <w:rPr>
          <w:rFonts w:ascii="宋体"/>
          <w:color w:val="auto"/>
          <w:kern w:val="0"/>
          <w:sz w:val="24"/>
          <w:szCs w:val="24"/>
          <w:highlight w:val="none"/>
        </w:rPr>
      </w:pPr>
      <w:r>
        <w:rPr>
          <w:rFonts w:hint="eastAsia" w:ascii="宋体"/>
          <w:color w:val="auto"/>
          <w:sz w:val="24"/>
          <w:szCs w:val="24"/>
          <w:highlight w:val="none"/>
        </w:rPr>
        <w:t>网络的负荷率在正常状态下应小于2</w:t>
      </w:r>
      <w:r>
        <w:rPr>
          <w:rFonts w:ascii="宋体"/>
          <w:color w:val="auto"/>
          <w:sz w:val="24"/>
          <w:szCs w:val="24"/>
          <w:highlight w:val="none"/>
        </w:rPr>
        <w:t>0%,</w:t>
      </w:r>
      <w:r>
        <w:rPr>
          <w:rFonts w:hint="eastAsia" w:ascii="宋体"/>
          <w:color w:val="auto"/>
          <w:sz w:val="24"/>
          <w:szCs w:val="24"/>
          <w:highlight w:val="none"/>
        </w:rPr>
        <w:t>在事故状态下应小于3</w:t>
      </w:r>
      <w:r>
        <w:rPr>
          <w:rFonts w:ascii="宋体"/>
          <w:color w:val="auto"/>
          <w:sz w:val="24"/>
          <w:szCs w:val="24"/>
          <w:highlight w:val="none"/>
        </w:rPr>
        <w:t>0%</w:t>
      </w:r>
      <w:r>
        <w:rPr>
          <w:rFonts w:hint="eastAsia" w:ascii="宋体"/>
          <w:color w:val="auto"/>
          <w:sz w:val="24"/>
          <w:szCs w:val="24"/>
          <w:highlight w:val="none"/>
        </w:rPr>
        <w:t>（包括站控层网络和间隔层网络）。</w:t>
      </w:r>
      <w:r>
        <w:rPr>
          <w:rFonts w:hint="eastAsia" w:ascii="宋体"/>
          <w:color w:val="auto"/>
          <w:sz w:val="24"/>
          <w:szCs w:val="24"/>
          <w:highlight w:val="none"/>
        </w:rPr>
        <w:tab/>
      </w:r>
    </w:p>
    <w:p w14:paraId="55AD8217">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w:t>
      </w:r>
      <w:r>
        <w:rPr>
          <w:rFonts w:hint="eastAsia" w:ascii="宋体"/>
          <w:color w:val="auto"/>
          <w:sz w:val="24"/>
          <w:szCs w:val="24"/>
          <w:highlight w:val="none"/>
        </w:rPr>
        <w:t>10</w:t>
      </w:r>
      <w:r>
        <w:rPr>
          <w:rFonts w:ascii="宋体"/>
          <w:color w:val="auto"/>
          <w:sz w:val="24"/>
          <w:szCs w:val="24"/>
          <w:highlight w:val="none"/>
        </w:rPr>
        <w:t xml:space="preserve"> I/O</w:t>
      </w:r>
      <w:r>
        <w:rPr>
          <w:rFonts w:hint="eastAsia" w:ascii="宋体"/>
          <w:color w:val="auto"/>
          <w:sz w:val="24"/>
          <w:szCs w:val="24"/>
          <w:highlight w:val="none"/>
        </w:rPr>
        <w:t>测控单元的性能指标</w:t>
      </w:r>
    </w:p>
    <w:p w14:paraId="0306744C">
      <w:pPr>
        <w:numPr>
          <w:ilvl w:val="0"/>
          <w:numId w:val="62"/>
        </w:numPr>
        <w:spacing w:line="360" w:lineRule="auto"/>
        <w:rPr>
          <w:rFonts w:ascii="宋体"/>
          <w:color w:val="auto"/>
          <w:sz w:val="24"/>
          <w:szCs w:val="24"/>
          <w:highlight w:val="none"/>
        </w:rPr>
      </w:pPr>
      <w:r>
        <w:rPr>
          <w:rFonts w:hint="eastAsia" w:ascii="宋体"/>
          <w:color w:val="auto"/>
          <w:sz w:val="24"/>
          <w:szCs w:val="24"/>
          <w:highlight w:val="none"/>
        </w:rPr>
        <w:t>交流工频电量测量的输入要求</w:t>
      </w:r>
    </w:p>
    <w:p w14:paraId="3BBC28FB">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输入方式</w:t>
      </w:r>
    </w:p>
    <w:p w14:paraId="02ED1668">
      <w:pPr>
        <w:spacing w:line="360" w:lineRule="auto"/>
        <w:rPr>
          <w:rFonts w:ascii="宋体"/>
          <w:color w:val="auto"/>
          <w:kern w:val="0"/>
          <w:sz w:val="24"/>
          <w:szCs w:val="24"/>
          <w:highlight w:val="none"/>
        </w:rPr>
      </w:pPr>
      <w:r>
        <w:rPr>
          <w:rFonts w:hint="eastAsia" w:ascii="宋体"/>
          <w:color w:val="auto"/>
          <w:sz w:val="24"/>
          <w:szCs w:val="24"/>
          <w:highlight w:val="none"/>
        </w:rPr>
        <w:t>交流电流输入：</w:t>
      </w:r>
      <w:r>
        <w:rPr>
          <w:rFonts w:ascii="宋体"/>
          <w:color w:val="auto"/>
          <w:sz w:val="24"/>
          <w:szCs w:val="24"/>
          <w:highlight w:val="none"/>
        </w:rPr>
        <w:t>1A</w:t>
      </w:r>
      <w:r>
        <w:rPr>
          <w:rFonts w:hint="eastAsia" w:ascii="宋体"/>
          <w:color w:val="auto"/>
          <w:sz w:val="24"/>
          <w:szCs w:val="24"/>
          <w:highlight w:val="none"/>
        </w:rPr>
        <w:t>或5</w:t>
      </w:r>
      <w:r>
        <w:rPr>
          <w:rFonts w:ascii="宋体"/>
          <w:color w:val="auto"/>
          <w:sz w:val="24"/>
          <w:szCs w:val="24"/>
          <w:highlight w:val="none"/>
        </w:rPr>
        <w:t>A</w:t>
      </w:r>
    </w:p>
    <w:p w14:paraId="1D5EB7CE">
      <w:pPr>
        <w:spacing w:line="360" w:lineRule="auto"/>
        <w:rPr>
          <w:rFonts w:ascii="宋体"/>
          <w:color w:val="auto"/>
          <w:sz w:val="24"/>
          <w:szCs w:val="24"/>
          <w:highlight w:val="none"/>
        </w:rPr>
      </w:pPr>
      <w:r>
        <w:rPr>
          <w:rFonts w:hint="eastAsia" w:ascii="宋体"/>
          <w:color w:val="auto"/>
          <w:sz w:val="24"/>
          <w:szCs w:val="24"/>
          <w:highlight w:val="none"/>
        </w:rPr>
        <w:t>交流电压输入：</w:t>
      </w:r>
      <w:r>
        <w:rPr>
          <w:rFonts w:ascii="宋体"/>
          <w:color w:val="auto"/>
          <w:sz w:val="24"/>
          <w:szCs w:val="24"/>
          <w:highlight w:val="none"/>
        </w:rPr>
        <w:t>100V(</w:t>
      </w:r>
      <w:r>
        <w:rPr>
          <w:rFonts w:hint="eastAsia" w:ascii="宋体"/>
          <w:color w:val="auto"/>
          <w:sz w:val="24"/>
          <w:szCs w:val="24"/>
          <w:highlight w:val="none"/>
        </w:rPr>
        <w:t>线电压</w:t>
      </w:r>
      <w:r>
        <w:rPr>
          <w:rFonts w:ascii="宋体"/>
          <w:color w:val="auto"/>
          <w:sz w:val="24"/>
          <w:szCs w:val="24"/>
          <w:highlight w:val="none"/>
        </w:rPr>
        <w:t>)</w:t>
      </w:r>
      <w:r>
        <w:rPr>
          <w:rFonts w:hint="eastAsia" w:ascii="宋体"/>
          <w:color w:val="auto"/>
          <w:sz w:val="24"/>
          <w:szCs w:val="24"/>
          <w:highlight w:val="none"/>
        </w:rPr>
        <w:t>，</w:t>
      </w:r>
      <w:r>
        <w:rPr>
          <w:rFonts w:ascii="宋体"/>
          <w:color w:val="auto"/>
          <w:sz w:val="24"/>
          <w:szCs w:val="24"/>
          <w:highlight w:val="none"/>
        </w:rPr>
        <w:t>100/</w:t>
      </w:r>
      <w:r>
        <w:rPr>
          <w:rFonts w:ascii="宋体"/>
          <w:color w:val="auto"/>
          <w:sz w:val="24"/>
          <w:szCs w:val="24"/>
          <w:highlight w:val="none"/>
        </w:rPr>
        <w:object>
          <v:shape id="_x0000_i1026" o:spt="75" type="#_x0000_t75" style="height:17.5pt;width:18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rPr>
          <w:rFonts w:ascii="宋体"/>
          <w:color w:val="auto"/>
          <w:sz w:val="24"/>
          <w:szCs w:val="24"/>
          <w:highlight w:val="none"/>
        </w:rPr>
        <w:t xml:space="preserve"> V(</w:t>
      </w:r>
      <w:r>
        <w:rPr>
          <w:rFonts w:hint="eastAsia" w:ascii="宋体"/>
          <w:color w:val="auto"/>
          <w:sz w:val="24"/>
          <w:szCs w:val="24"/>
          <w:highlight w:val="none"/>
        </w:rPr>
        <w:t>相电压</w:t>
      </w:r>
      <w:r>
        <w:rPr>
          <w:rFonts w:ascii="宋体"/>
          <w:color w:val="auto"/>
          <w:sz w:val="24"/>
          <w:szCs w:val="24"/>
          <w:highlight w:val="none"/>
        </w:rPr>
        <w:t>)</w:t>
      </w:r>
    </w:p>
    <w:p w14:paraId="3188BDDF">
      <w:pPr>
        <w:spacing w:line="360" w:lineRule="auto"/>
        <w:rPr>
          <w:rFonts w:ascii="宋体"/>
          <w:color w:val="auto"/>
          <w:sz w:val="24"/>
          <w:szCs w:val="24"/>
          <w:highlight w:val="none"/>
        </w:rPr>
      </w:pPr>
      <w:r>
        <w:rPr>
          <w:rFonts w:hint="eastAsia" w:ascii="宋体"/>
          <w:color w:val="auto"/>
          <w:sz w:val="24"/>
          <w:szCs w:val="24"/>
          <w:highlight w:val="none"/>
        </w:rPr>
        <w:t>频率：</w:t>
      </w:r>
      <w:r>
        <w:rPr>
          <w:rFonts w:ascii="宋体"/>
          <w:color w:val="auto"/>
          <w:sz w:val="24"/>
          <w:szCs w:val="24"/>
          <w:highlight w:val="none"/>
        </w:rPr>
        <w:t xml:space="preserve">  50Hz</w:t>
      </w:r>
    </w:p>
    <w:p w14:paraId="4AA5A5BF">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电流、电压测量误差：</w:t>
      </w:r>
      <w:r>
        <w:rPr>
          <w:rFonts w:ascii="宋体"/>
          <w:color w:val="auto"/>
          <w:sz w:val="24"/>
          <w:szCs w:val="24"/>
          <w:highlight w:val="none"/>
        </w:rPr>
        <w:sym w:font="Symbol" w:char="F0A3"/>
      </w:r>
      <w:r>
        <w:rPr>
          <w:rFonts w:ascii="宋体"/>
          <w:color w:val="auto"/>
          <w:sz w:val="24"/>
          <w:szCs w:val="24"/>
          <w:highlight w:val="none"/>
        </w:rPr>
        <w:sym w:font="Symbol" w:char="F0B1"/>
      </w:r>
      <w:r>
        <w:rPr>
          <w:rFonts w:ascii="宋体"/>
          <w:color w:val="auto"/>
          <w:sz w:val="24"/>
          <w:szCs w:val="24"/>
          <w:highlight w:val="none"/>
        </w:rPr>
        <w:t>0.2%</w:t>
      </w:r>
    </w:p>
    <w:p w14:paraId="6050EE00">
      <w:pPr>
        <w:spacing w:line="360" w:lineRule="auto"/>
        <w:jc w:val="left"/>
        <w:rPr>
          <w:rFonts w:ascii="宋体"/>
          <w:color w:val="auto"/>
          <w:kern w:val="0"/>
          <w:sz w:val="24"/>
          <w:szCs w:val="24"/>
          <w:highlight w:val="none"/>
        </w:rPr>
      </w:pPr>
      <w:r>
        <w:rPr>
          <w:rFonts w:hint="eastAsia" w:ascii="宋体"/>
          <w:color w:val="auto"/>
          <w:sz w:val="24"/>
          <w:szCs w:val="24"/>
          <w:highlight w:val="none"/>
        </w:rPr>
        <w:t>有功功率、无功功率：</w:t>
      </w:r>
      <w:r>
        <w:rPr>
          <w:rFonts w:ascii="宋体"/>
          <w:color w:val="auto"/>
          <w:sz w:val="24"/>
          <w:szCs w:val="24"/>
          <w:highlight w:val="none"/>
        </w:rPr>
        <w:sym w:font="Symbol" w:char="F0A3"/>
      </w:r>
      <w:r>
        <w:rPr>
          <w:rFonts w:ascii="宋体"/>
          <w:color w:val="auto"/>
          <w:sz w:val="24"/>
          <w:szCs w:val="24"/>
          <w:highlight w:val="none"/>
        </w:rPr>
        <w:sym w:font="Symbol" w:char="F0B1"/>
      </w:r>
      <w:r>
        <w:rPr>
          <w:rFonts w:ascii="宋体"/>
          <w:color w:val="auto"/>
          <w:sz w:val="24"/>
          <w:szCs w:val="24"/>
          <w:highlight w:val="none"/>
        </w:rPr>
        <w:t>0.5%</w:t>
      </w:r>
    </w:p>
    <w:p w14:paraId="632BA9D9">
      <w:pPr>
        <w:spacing w:line="360" w:lineRule="auto"/>
        <w:jc w:val="left"/>
        <w:rPr>
          <w:rFonts w:ascii="宋体"/>
          <w:color w:val="auto"/>
          <w:kern w:val="0"/>
          <w:sz w:val="24"/>
          <w:szCs w:val="24"/>
          <w:highlight w:val="none"/>
        </w:rPr>
      </w:pPr>
      <w:r>
        <w:rPr>
          <w:rFonts w:hint="eastAsia" w:ascii="宋体"/>
          <w:color w:val="auto"/>
          <w:sz w:val="24"/>
          <w:szCs w:val="24"/>
          <w:highlight w:val="none"/>
        </w:rPr>
        <w:t xml:space="preserve">频率误差：         </w:t>
      </w:r>
      <w:r>
        <w:rPr>
          <w:rFonts w:ascii="宋体"/>
          <w:color w:val="auto"/>
          <w:sz w:val="24"/>
          <w:szCs w:val="24"/>
          <w:highlight w:val="none"/>
        </w:rPr>
        <w:sym w:font="Symbol" w:char="F0A3"/>
      </w:r>
      <w:r>
        <w:rPr>
          <w:rFonts w:ascii="宋体"/>
          <w:color w:val="auto"/>
          <w:sz w:val="24"/>
          <w:szCs w:val="24"/>
          <w:highlight w:val="none"/>
        </w:rPr>
        <w:sym w:font="Symbol" w:char="F0B1"/>
      </w:r>
      <w:r>
        <w:rPr>
          <w:rFonts w:ascii="宋体"/>
          <w:color w:val="auto"/>
          <w:sz w:val="24"/>
          <w:szCs w:val="24"/>
          <w:highlight w:val="none"/>
        </w:rPr>
        <w:t>0.</w:t>
      </w:r>
      <w:r>
        <w:rPr>
          <w:rFonts w:hint="eastAsia" w:ascii="宋体"/>
          <w:color w:val="auto"/>
          <w:sz w:val="24"/>
          <w:szCs w:val="24"/>
          <w:highlight w:val="none"/>
        </w:rPr>
        <w:t>0</w:t>
      </w:r>
      <w:r>
        <w:rPr>
          <w:rFonts w:ascii="宋体"/>
          <w:color w:val="auto"/>
          <w:sz w:val="24"/>
          <w:szCs w:val="24"/>
          <w:highlight w:val="none"/>
        </w:rPr>
        <w:t>1Hz</w:t>
      </w:r>
    </w:p>
    <w:p w14:paraId="73DFB8CE">
      <w:pPr>
        <w:numPr>
          <w:ilvl w:val="0"/>
          <w:numId w:val="63"/>
        </w:numPr>
        <w:spacing w:line="360" w:lineRule="auto"/>
        <w:rPr>
          <w:rFonts w:ascii="宋体"/>
          <w:color w:val="auto"/>
          <w:kern w:val="0"/>
          <w:sz w:val="24"/>
          <w:szCs w:val="24"/>
          <w:highlight w:val="none"/>
        </w:rPr>
      </w:pPr>
      <w:r>
        <w:rPr>
          <w:rFonts w:hint="eastAsia" w:ascii="宋体"/>
          <w:color w:val="auto"/>
          <w:sz w:val="24"/>
          <w:szCs w:val="24"/>
          <w:highlight w:val="none"/>
        </w:rPr>
        <w:t>越复限及刷新，死区值设定，死区范围0</w:t>
      </w:r>
      <w:r>
        <w:rPr>
          <w:rFonts w:ascii="宋体"/>
          <w:color w:val="auto"/>
          <w:sz w:val="24"/>
          <w:szCs w:val="24"/>
          <w:highlight w:val="none"/>
        </w:rPr>
        <w:t>.2</w:t>
      </w:r>
      <w:r>
        <w:rPr>
          <w:rFonts w:hint="eastAsia" w:ascii="宋体"/>
          <w:color w:val="auto"/>
          <w:sz w:val="24"/>
          <w:szCs w:val="24"/>
          <w:highlight w:val="none"/>
        </w:rPr>
        <w:t>～0.5％可调。</w:t>
      </w:r>
    </w:p>
    <w:p w14:paraId="49272735">
      <w:pPr>
        <w:numPr>
          <w:ilvl w:val="0"/>
          <w:numId w:val="63"/>
        </w:numPr>
        <w:spacing w:line="360" w:lineRule="auto"/>
        <w:rPr>
          <w:rFonts w:ascii="宋体"/>
          <w:color w:val="auto"/>
          <w:kern w:val="0"/>
          <w:sz w:val="24"/>
          <w:szCs w:val="24"/>
          <w:highlight w:val="none"/>
        </w:rPr>
      </w:pPr>
      <w:r>
        <w:rPr>
          <w:rFonts w:hint="eastAsia" w:ascii="宋体"/>
          <w:color w:val="auto"/>
          <w:sz w:val="24"/>
          <w:szCs w:val="24"/>
          <w:highlight w:val="none"/>
        </w:rPr>
        <w:t>交流采样计算的刷新周期</w:t>
      </w:r>
      <w:r>
        <w:rPr>
          <w:rFonts w:ascii="宋体"/>
          <w:color w:val="auto"/>
          <w:sz w:val="24"/>
          <w:szCs w:val="24"/>
          <w:highlight w:val="none"/>
        </w:rPr>
        <w:sym w:font="Symbol" w:char="F0A3"/>
      </w:r>
      <w:r>
        <w:rPr>
          <w:rFonts w:hint="eastAsia" w:ascii="宋体"/>
          <w:color w:val="auto"/>
          <w:sz w:val="24"/>
          <w:szCs w:val="24"/>
          <w:highlight w:val="none"/>
        </w:rPr>
        <w:t>1s</w:t>
      </w:r>
    </w:p>
    <w:p w14:paraId="1E58CA21">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交流采样速率 &gt;32</w:t>
      </w:r>
      <w:r>
        <w:rPr>
          <w:rFonts w:ascii="宋体"/>
          <w:color w:val="auto"/>
          <w:sz w:val="24"/>
          <w:szCs w:val="24"/>
          <w:highlight w:val="none"/>
        </w:rPr>
        <w:t>bit/Hz</w:t>
      </w:r>
    </w:p>
    <w:p w14:paraId="485D8F29">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计算方式：快速傅立叶变换</w:t>
      </w:r>
      <w:r>
        <w:rPr>
          <w:rFonts w:ascii="宋体"/>
          <w:color w:val="auto"/>
          <w:sz w:val="24"/>
          <w:szCs w:val="24"/>
          <w:highlight w:val="none"/>
        </w:rPr>
        <w:t>(FFT)</w:t>
      </w:r>
      <w:r>
        <w:rPr>
          <w:rFonts w:hint="eastAsia" w:ascii="宋体"/>
          <w:color w:val="auto"/>
          <w:sz w:val="24"/>
          <w:szCs w:val="24"/>
          <w:highlight w:val="none"/>
        </w:rPr>
        <w:t>，计算电流电压的有效值和各次谐波分量。</w:t>
      </w:r>
    </w:p>
    <w:p w14:paraId="2CCC45FC">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交流工频电量测量部件，交流采样周期和算法必须满足精度和同期要求，应至少满足谐波分量</w:t>
      </w:r>
      <w:r>
        <w:rPr>
          <w:rFonts w:ascii="宋体"/>
          <w:color w:val="auto"/>
          <w:sz w:val="24"/>
          <w:szCs w:val="24"/>
          <w:highlight w:val="none"/>
        </w:rPr>
        <w:t>13</w:t>
      </w:r>
      <w:r>
        <w:rPr>
          <w:rFonts w:hint="eastAsia" w:ascii="宋体"/>
          <w:color w:val="auto"/>
          <w:sz w:val="24"/>
          <w:szCs w:val="24"/>
          <w:highlight w:val="none"/>
        </w:rPr>
        <w:t>次，</w:t>
      </w:r>
      <w:r>
        <w:rPr>
          <w:rFonts w:ascii="宋体"/>
          <w:color w:val="auto"/>
          <w:sz w:val="24"/>
          <w:szCs w:val="24"/>
          <w:highlight w:val="none"/>
        </w:rPr>
        <w:t>20</w:t>
      </w:r>
      <w:r>
        <w:rPr>
          <w:rFonts w:hint="eastAsia" w:ascii="宋体"/>
          <w:color w:val="auto"/>
          <w:sz w:val="24"/>
          <w:szCs w:val="24"/>
          <w:highlight w:val="none"/>
        </w:rPr>
        <w:t>％幅度时的测量精度和周期要求。</w:t>
      </w:r>
    </w:p>
    <w:p w14:paraId="2F33D479">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输入回路：具有电气隔离电路，</w:t>
      </w:r>
      <w:r>
        <w:rPr>
          <w:rFonts w:ascii="宋体"/>
          <w:color w:val="auto"/>
          <w:sz w:val="24"/>
          <w:szCs w:val="24"/>
          <w:highlight w:val="none"/>
        </w:rPr>
        <w:t>PT</w:t>
      </w:r>
      <w:r>
        <w:rPr>
          <w:rFonts w:hint="eastAsia" w:ascii="宋体"/>
          <w:color w:val="auto"/>
          <w:sz w:val="24"/>
          <w:szCs w:val="24"/>
          <w:highlight w:val="none"/>
        </w:rPr>
        <w:t>回路要经过快速小开关保护；</w:t>
      </w:r>
      <w:r>
        <w:rPr>
          <w:rFonts w:ascii="宋体"/>
          <w:color w:val="auto"/>
          <w:sz w:val="24"/>
          <w:szCs w:val="24"/>
          <w:highlight w:val="none"/>
        </w:rPr>
        <w:t>CT</w:t>
      </w:r>
      <w:r>
        <w:rPr>
          <w:rFonts w:hint="eastAsia" w:ascii="宋体"/>
          <w:color w:val="auto"/>
          <w:sz w:val="24"/>
          <w:szCs w:val="24"/>
          <w:highlight w:val="none"/>
        </w:rPr>
        <w:t>端子具有短路压板并可串接测量仪器。</w:t>
      </w:r>
    </w:p>
    <w:p w14:paraId="1FAF05A4">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允许过量输入：</w:t>
      </w:r>
    </w:p>
    <w:p w14:paraId="3EACFD5F">
      <w:pPr>
        <w:spacing w:line="360" w:lineRule="auto"/>
        <w:ind w:left="425"/>
        <w:rPr>
          <w:rFonts w:ascii="宋体"/>
          <w:color w:val="auto"/>
          <w:sz w:val="24"/>
          <w:szCs w:val="24"/>
          <w:highlight w:val="none"/>
        </w:rPr>
      </w:pPr>
      <w:r>
        <w:rPr>
          <w:rFonts w:hint="eastAsia" w:ascii="宋体"/>
          <w:color w:val="auto"/>
          <w:sz w:val="24"/>
          <w:szCs w:val="24"/>
          <w:highlight w:val="none"/>
        </w:rPr>
        <w:t>连续过量：1.2倍额定电流</w:t>
      </w:r>
      <w:r>
        <w:rPr>
          <w:rFonts w:ascii="宋体"/>
          <w:color w:val="auto"/>
          <w:sz w:val="24"/>
          <w:szCs w:val="24"/>
          <w:highlight w:val="none"/>
        </w:rPr>
        <w:t xml:space="preserve">   24h</w:t>
      </w:r>
    </w:p>
    <w:p w14:paraId="620E6C5A">
      <w:pPr>
        <w:spacing w:line="360" w:lineRule="auto"/>
        <w:ind w:left="425"/>
        <w:rPr>
          <w:rFonts w:ascii="宋体"/>
          <w:color w:val="auto"/>
          <w:sz w:val="24"/>
          <w:szCs w:val="24"/>
          <w:highlight w:val="none"/>
        </w:rPr>
      </w:pPr>
      <w:r>
        <w:rPr>
          <w:rFonts w:hint="eastAsia" w:ascii="宋体"/>
          <w:color w:val="auto"/>
          <w:sz w:val="24"/>
          <w:szCs w:val="24"/>
          <w:highlight w:val="none"/>
        </w:rPr>
        <w:t xml:space="preserve"> 短期过量：</w:t>
      </w:r>
      <w:r>
        <w:rPr>
          <w:rFonts w:ascii="宋体"/>
          <w:color w:val="auto"/>
          <w:sz w:val="24"/>
          <w:szCs w:val="24"/>
          <w:highlight w:val="none"/>
        </w:rPr>
        <w:t>2</w:t>
      </w:r>
      <w:r>
        <w:rPr>
          <w:rFonts w:hint="eastAsia" w:ascii="宋体"/>
          <w:color w:val="auto"/>
          <w:sz w:val="24"/>
          <w:szCs w:val="24"/>
          <w:highlight w:val="none"/>
        </w:rPr>
        <w:t>倍额定电流，</w:t>
      </w:r>
      <w:r>
        <w:rPr>
          <w:rFonts w:ascii="宋体"/>
          <w:color w:val="auto"/>
          <w:sz w:val="24"/>
          <w:szCs w:val="24"/>
          <w:highlight w:val="none"/>
        </w:rPr>
        <w:t xml:space="preserve"> 10s</w:t>
      </w:r>
    </w:p>
    <w:p w14:paraId="15B0D509">
      <w:pPr>
        <w:spacing w:line="360" w:lineRule="auto"/>
        <w:ind w:left="425"/>
        <w:rPr>
          <w:rFonts w:ascii="宋体"/>
          <w:color w:val="auto"/>
          <w:sz w:val="24"/>
          <w:szCs w:val="24"/>
          <w:highlight w:val="none"/>
        </w:rPr>
      </w:pPr>
      <w:r>
        <w:rPr>
          <w:rFonts w:ascii="宋体"/>
          <w:color w:val="auto"/>
          <w:sz w:val="24"/>
          <w:szCs w:val="24"/>
          <w:highlight w:val="none"/>
        </w:rPr>
        <w:t>20</w:t>
      </w:r>
      <w:r>
        <w:rPr>
          <w:rFonts w:hint="eastAsia" w:ascii="宋体"/>
          <w:color w:val="auto"/>
          <w:sz w:val="24"/>
          <w:szCs w:val="24"/>
          <w:highlight w:val="none"/>
        </w:rPr>
        <w:t>倍额定电流，</w:t>
      </w:r>
      <w:r>
        <w:rPr>
          <w:rFonts w:ascii="宋体"/>
          <w:color w:val="auto"/>
          <w:sz w:val="24"/>
          <w:szCs w:val="24"/>
          <w:highlight w:val="none"/>
        </w:rPr>
        <w:t xml:space="preserve"> 1s</w:t>
      </w:r>
    </w:p>
    <w:p w14:paraId="6436CA8E">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谐波分量：</w:t>
      </w:r>
      <w:r>
        <w:rPr>
          <w:rFonts w:ascii="宋体"/>
          <w:color w:val="auto"/>
          <w:sz w:val="24"/>
          <w:szCs w:val="24"/>
          <w:highlight w:val="none"/>
        </w:rPr>
        <w:t>3</w:t>
      </w:r>
      <w:r>
        <w:rPr>
          <w:rFonts w:hint="eastAsia" w:ascii="宋体"/>
          <w:color w:val="auto"/>
          <w:sz w:val="24"/>
          <w:szCs w:val="24"/>
          <w:highlight w:val="none"/>
        </w:rPr>
        <w:t>次～</w:t>
      </w:r>
      <w:r>
        <w:rPr>
          <w:rFonts w:ascii="宋体"/>
          <w:color w:val="auto"/>
          <w:sz w:val="24"/>
          <w:szCs w:val="24"/>
          <w:highlight w:val="none"/>
        </w:rPr>
        <w:t>13</w:t>
      </w:r>
      <w:r>
        <w:rPr>
          <w:rFonts w:hint="eastAsia" w:ascii="宋体"/>
          <w:color w:val="auto"/>
          <w:sz w:val="24"/>
          <w:szCs w:val="24"/>
          <w:highlight w:val="none"/>
        </w:rPr>
        <w:t>次，</w:t>
      </w:r>
      <w:r>
        <w:rPr>
          <w:rFonts w:ascii="宋体"/>
          <w:color w:val="auto"/>
          <w:sz w:val="24"/>
          <w:szCs w:val="24"/>
          <w:highlight w:val="none"/>
        </w:rPr>
        <w:t>20%</w:t>
      </w:r>
      <w:r>
        <w:rPr>
          <w:rFonts w:hint="eastAsia" w:ascii="宋体"/>
          <w:color w:val="auto"/>
          <w:sz w:val="24"/>
          <w:szCs w:val="24"/>
          <w:highlight w:val="none"/>
        </w:rPr>
        <w:t>幅度</w:t>
      </w:r>
    </w:p>
    <w:p w14:paraId="34808FA1">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软件及硬件滤波，不影响分辨时间和精度。</w:t>
      </w:r>
    </w:p>
    <w:p w14:paraId="7307829B">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交流采样采用三相四线制(三元件法)</w:t>
      </w:r>
    </w:p>
    <w:p w14:paraId="07C7DACF">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电气特性符合IEC688-2标准</w:t>
      </w:r>
    </w:p>
    <w:p w14:paraId="17A14BDF">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功耗: 直流回路</w:t>
      </w:r>
      <w:r>
        <w:rPr>
          <w:rFonts w:ascii="宋体"/>
          <w:color w:val="auto"/>
          <w:sz w:val="24"/>
          <w:szCs w:val="24"/>
          <w:highlight w:val="none"/>
        </w:rPr>
        <w:sym w:font="Symbol" w:char="F0A3"/>
      </w:r>
      <w:r>
        <w:rPr>
          <w:rFonts w:hint="eastAsia" w:ascii="宋体"/>
          <w:color w:val="auto"/>
          <w:sz w:val="24"/>
          <w:szCs w:val="24"/>
          <w:highlight w:val="none"/>
        </w:rPr>
        <w:t>25W</w:t>
      </w:r>
    </w:p>
    <w:p w14:paraId="744D3AB4">
      <w:pPr>
        <w:spacing w:line="360" w:lineRule="auto"/>
        <w:ind w:left="1700"/>
        <w:rPr>
          <w:rFonts w:ascii="宋体"/>
          <w:color w:val="auto"/>
          <w:sz w:val="24"/>
          <w:szCs w:val="24"/>
          <w:highlight w:val="none"/>
        </w:rPr>
      </w:pPr>
      <w:r>
        <w:rPr>
          <w:rFonts w:hint="eastAsia" w:ascii="宋体"/>
          <w:color w:val="auto"/>
          <w:sz w:val="24"/>
          <w:szCs w:val="24"/>
          <w:highlight w:val="none"/>
        </w:rPr>
        <w:t>交流电压回路</w:t>
      </w:r>
      <w:r>
        <w:rPr>
          <w:rFonts w:ascii="宋体"/>
          <w:color w:val="auto"/>
          <w:sz w:val="24"/>
          <w:szCs w:val="24"/>
          <w:highlight w:val="none"/>
        </w:rPr>
        <w:sym w:font="Symbol" w:char="F0A3"/>
      </w:r>
      <w:r>
        <w:rPr>
          <w:rFonts w:hint="eastAsia" w:ascii="宋体"/>
          <w:color w:val="auto"/>
          <w:sz w:val="24"/>
          <w:szCs w:val="24"/>
          <w:highlight w:val="none"/>
        </w:rPr>
        <w:t>0.5VA</w:t>
      </w:r>
    </w:p>
    <w:p w14:paraId="04D80ABF">
      <w:pPr>
        <w:spacing w:line="360" w:lineRule="auto"/>
        <w:ind w:left="1700"/>
        <w:rPr>
          <w:rFonts w:ascii="宋体"/>
          <w:color w:val="auto"/>
          <w:sz w:val="24"/>
          <w:szCs w:val="24"/>
          <w:highlight w:val="none"/>
        </w:rPr>
      </w:pPr>
      <w:r>
        <w:rPr>
          <w:rFonts w:hint="eastAsia" w:ascii="宋体"/>
          <w:color w:val="auto"/>
          <w:sz w:val="24"/>
          <w:szCs w:val="24"/>
          <w:highlight w:val="none"/>
        </w:rPr>
        <w:t xml:space="preserve"> 交流电流回路</w:t>
      </w:r>
      <w:r>
        <w:rPr>
          <w:rFonts w:ascii="宋体"/>
          <w:color w:val="auto"/>
          <w:sz w:val="24"/>
          <w:szCs w:val="24"/>
          <w:highlight w:val="none"/>
        </w:rPr>
        <w:sym w:font="Symbol" w:char="F0A3"/>
      </w:r>
      <w:r>
        <w:rPr>
          <w:rFonts w:hint="eastAsia" w:ascii="宋体"/>
          <w:color w:val="auto"/>
          <w:sz w:val="24"/>
          <w:szCs w:val="24"/>
          <w:highlight w:val="none"/>
        </w:rPr>
        <w:t>0.8VA</w:t>
      </w:r>
    </w:p>
    <w:p w14:paraId="26EB5876">
      <w:pPr>
        <w:numPr>
          <w:ilvl w:val="0"/>
          <w:numId w:val="62"/>
        </w:numPr>
        <w:spacing w:line="360" w:lineRule="auto"/>
        <w:rPr>
          <w:rFonts w:ascii="宋体"/>
          <w:color w:val="auto"/>
          <w:sz w:val="24"/>
          <w:szCs w:val="24"/>
          <w:highlight w:val="none"/>
        </w:rPr>
      </w:pPr>
      <w:r>
        <w:rPr>
          <w:rFonts w:hint="eastAsia" w:ascii="宋体"/>
          <w:color w:val="auto"/>
          <w:sz w:val="24"/>
          <w:szCs w:val="24"/>
          <w:highlight w:val="none"/>
        </w:rPr>
        <w:t>非电气量直流输入测量</w:t>
      </w:r>
    </w:p>
    <w:p w14:paraId="5A7AAAD6">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模拟量输入：</w:t>
      </w:r>
      <w:r>
        <w:rPr>
          <w:rFonts w:ascii="宋体"/>
          <w:color w:val="auto"/>
          <w:sz w:val="24"/>
          <w:szCs w:val="24"/>
          <w:highlight w:val="none"/>
        </w:rPr>
        <w:t>4</w:t>
      </w:r>
      <w:r>
        <w:rPr>
          <w:rFonts w:hint="eastAsia" w:ascii="宋体"/>
          <w:color w:val="auto"/>
          <w:sz w:val="24"/>
          <w:szCs w:val="24"/>
          <w:highlight w:val="none"/>
        </w:rPr>
        <w:t>～</w:t>
      </w:r>
      <w:r>
        <w:rPr>
          <w:rFonts w:ascii="宋体"/>
          <w:color w:val="auto"/>
          <w:sz w:val="24"/>
          <w:szCs w:val="24"/>
          <w:highlight w:val="none"/>
        </w:rPr>
        <w:t>20mA</w:t>
      </w:r>
    </w:p>
    <w:p w14:paraId="04239DA3">
      <w:pPr>
        <w:numPr>
          <w:ilvl w:val="0"/>
          <w:numId w:val="63"/>
        </w:numPr>
        <w:spacing w:line="360" w:lineRule="auto"/>
        <w:rPr>
          <w:rFonts w:ascii="宋体"/>
          <w:color w:val="auto"/>
          <w:sz w:val="24"/>
          <w:szCs w:val="24"/>
          <w:highlight w:val="none"/>
        </w:rPr>
      </w:pPr>
      <w:r>
        <w:rPr>
          <w:rFonts w:ascii="宋体"/>
          <w:color w:val="auto"/>
          <w:sz w:val="24"/>
          <w:szCs w:val="24"/>
          <w:highlight w:val="none"/>
        </w:rPr>
        <w:t>A/D</w:t>
      </w:r>
      <w:r>
        <w:rPr>
          <w:rFonts w:hint="eastAsia" w:ascii="宋体"/>
          <w:color w:val="auto"/>
          <w:sz w:val="24"/>
          <w:szCs w:val="24"/>
          <w:highlight w:val="none"/>
        </w:rPr>
        <w:t>转换器精度：</w:t>
      </w:r>
      <w:r>
        <w:rPr>
          <w:rFonts w:ascii="宋体"/>
          <w:color w:val="auto"/>
          <w:sz w:val="24"/>
          <w:szCs w:val="24"/>
          <w:highlight w:val="none"/>
        </w:rPr>
        <w:sym w:font="Symbol" w:char="F0A3"/>
      </w:r>
      <w:r>
        <w:rPr>
          <w:rFonts w:ascii="宋体"/>
          <w:color w:val="auto"/>
          <w:sz w:val="24"/>
          <w:szCs w:val="24"/>
          <w:highlight w:val="none"/>
        </w:rPr>
        <w:t>0.2%</w:t>
      </w:r>
      <w:r>
        <w:rPr>
          <w:rFonts w:hint="eastAsia" w:ascii="宋体"/>
          <w:color w:val="auto"/>
          <w:sz w:val="24"/>
          <w:szCs w:val="24"/>
          <w:highlight w:val="none"/>
        </w:rPr>
        <w:t xml:space="preserve"> ， 分辨率：</w:t>
      </w:r>
      <w:r>
        <w:rPr>
          <w:rFonts w:ascii="宋体"/>
          <w:color w:val="auto"/>
          <w:sz w:val="24"/>
          <w:szCs w:val="24"/>
          <w:highlight w:val="none"/>
        </w:rPr>
        <w:sym w:font="Symbol" w:char="F0B3"/>
      </w:r>
      <w:r>
        <w:rPr>
          <w:rFonts w:ascii="宋体"/>
          <w:color w:val="auto"/>
          <w:sz w:val="24"/>
          <w:szCs w:val="24"/>
          <w:highlight w:val="none"/>
        </w:rPr>
        <w:t>12</w:t>
      </w:r>
      <w:r>
        <w:rPr>
          <w:rFonts w:hint="eastAsia" w:ascii="宋体"/>
          <w:color w:val="auto"/>
          <w:sz w:val="24"/>
          <w:szCs w:val="24"/>
          <w:highlight w:val="none"/>
        </w:rPr>
        <w:t>位</w:t>
      </w:r>
    </w:p>
    <w:p w14:paraId="6BECFBC2">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线性截距公式的编码转换功能</w:t>
      </w:r>
    </w:p>
    <w:p w14:paraId="3656BC76">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软件及硬件滤波，不影响分辨时间和精度。</w:t>
      </w:r>
    </w:p>
    <w:p w14:paraId="18B1B26F">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死区值的设定：</w:t>
      </w:r>
      <w:r>
        <w:rPr>
          <w:rFonts w:ascii="宋体"/>
          <w:color w:val="auto"/>
          <w:sz w:val="24"/>
          <w:szCs w:val="24"/>
          <w:highlight w:val="none"/>
        </w:rPr>
        <w:sym w:font="Symbol" w:char="F0A3"/>
      </w:r>
      <w:r>
        <w:rPr>
          <w:rFonts w:ascii="宋体"/>
          <w:color w:val="auto"/>
          <w:sz w:val="24"/>
          <w:szCs w:val="24"/>
          <w:highlight w:val="none"/>
        </w:rPr>
        <w:t>0.5%</w:t>
      </w:r>
    </w:p>
    <w:p w14:paraId="342DF0A7">
      <w:pPr>
        <w:numPr>
          <w:ilvl w:val="0"/>
          <w:numId w:val="62"/>
        </w:numPr>
        <w:spacing w:line="360" w:lineRule="auto"/>
        <w:rPr>
          <w:rFonts w:ascii="宋体"/>
          <w:color w:val="auto"/>
          <w:sz w:val="24"/>
          <w:szCs w:val="24"/>
          <w:highlight w:val="none"/>
        </w:rPr>
      </w:pPr>
      <w:r>
        <w:rPr>
          <w:rFonts w:hint="eastAsia" w:ascii="宋体"/>
          <w:color w:val="auto"/>
          <w:sz w:val="24"/>
          <w:szCs w:val="24"/>
          <w:highlight w:val="none"/>
        </w:rPr>
        <w:t>开关量输入</w:t>
      </w:r>
    </w:p>
    <w:p w14:paraId="74ECAB2C">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输入方式</w:t>
      </w:r>
    </w:p>
    <w:p w14:paraId="2ECEA33A">
      <w:pPr>
        <w:spacing w:line="360" w:lineRule="auto"/>
        <w:rPr>
          <w:rFonts w:ascii="宋体"/>
          <w:color w:val="auto"/>
          <w:kern w:val="0"/>
          <w:sz w:val="24"/>
          <w:szCs w:val="24"/>
          <w:highlight w:val="none"/>
        </w:rPr>
      </w:pPr>
      <w:r>
        <w:rPr>
          <w:rFonts w:hint="eastAsia" w:ascii="宋体"/>
          <w:color w:val="auto"/>
          <w:sz w:val="24"/>
          <w:szCs w:val="24"/>
          <w:highlight w:val="none"/>
        </w:rPr>
        <w:t>继电器空接点</w:t>
      </w:r>
      <w:r>
        <w:rPr>
          <w:rFonts w:ascii="宋体"/>
          <w:color w:val="auto"/>
          <w:sz w:val="24"/>
          <w:szCs w:val="24"/>
          <w:highlight w:val="none"/>
        </w:rPr>
        <w:t>(</w:t>
      </w:r>
      <w:r>
        <w:rPr>
          <w:rFonts w:hint="eastAsia" w:ascii="宋体"/>
          <w:color w:val="auto"/>
          <w:sz w:val="24"/>
          <w:szCs w:val="24"/>
          <w:highlight w:val="none"/>
        </w:rPr>
        <w:t>常开或常闭</w:t>
      </w:r>
      <w:r>
        <w:rPr>
          <w:rFonts w:ascii="宋体"/>
          <w:color w:val="auto"/>
          <w:sz w:val="24"/>
          <w:szCs w:val="24"/>
          <w:highlight w:val="none"/>
        </w:rPr>
        <w:t>)</w:t>
      </w:r>
      <w:r>
        <w:rPr>
          <w:rFonts w:hint="eastAsia" w:ascii="宋体"/>
          <w:color w:val="auto"/>
          <w:sz w:val="24"/>
          <w:szCs w:val="24"/>
          <w:highlight w:val="none"/>
        </w:rPr>
        <w:t>包括</w:t>
      </w:r>
      <w:r>
        <w:rPr>
          <w:rFonts w:ascii="宋体"/>
          <w:color w:val="auto"/>
          <w:sz w:val="24"/>
          <w:szCs w:val="24"/>
          <w:highlight w:val="none"/>
        </w:rPr>
        <w:t>BCD</w:t>
      </w:r>
      <w:r>
        <w:rPr>
          <w:rFonts w:hint="eastAsia" w:ascii="宋体"/>
          <w:color w:val="auto"/>
          <w:sz w:val="24"/>
          <w:szCs w:val="24"/>
          <w:highlight w:val="none"/>
        </w:rPr>
        <w:t>码输入；</w:t>
      </w:r>
    </w:p>
    <w:p w14:paraId="67964B9A">
      <w:pPr>
        <w:spacing w:line="360" w:lineRule="auto"/>
        <w:ind w:left="1200" w:hanging="1200" w:hangingChars="500"/>
        <w:rPr>
          <w:rFonts w:ascii="宋体"/>
          <w:color w:val="auto"/>
          <w:sz w:val="24"/>
          <w:szCs w:val="24"/>
          <w:highlight w:val="none"/>
        </w:rPr>
      </w:pPr>
      <w:r>
        <w:rPr>
          <w:rFonts w:hint="eastAsia" w:ascii="宋体"/>
          <w:color w:val="auto"/>
          <w:sz w:val="24"/>
          <w:szCs w:val="24"/>
          <w:highlight w:val="none"/>
        </w:rPr>
        <w:t>允许电压：110V DC</w:t>
      </w:r>
      <w:r>
        <w:rPr>
          <w:rFonts w:ascii="宋体"/>
          <w:color w:val="auto"/>
          <w:sz w:val="24"/>
          <w:szCs w:val="24"/>
          <w:highlight w:val="none"/>
        </w:rPr>
        <w:t>,</w:t>
      </w:r>
      <w:r>
        <w:rPr>
          <w:rFonts w:hint="eastAsia" w:ascii="宋体"/>
          <w:color w:val="auto"/>
          <w:sz w:val="24"/>
          <w:szCs w:val="24"/>
          <w:highlight w:val="none"/>
        </w:rPr>
        <w:t>由</w:t>
      </w:r>
      <w:r>
        <w:rPr>
          <w:rFonts w:ascii="宋体"/>
          <w:color w:val="auto"/>
          <w:sz w:val="24"/>
          <w:szCs w:val="24"/>
          <w:highlight w:val="none"/>
        </w:rPr>
        <w:t xml:space="preserve">I/O </w:t>
      </w:r>
      <w:r>
        <w:rPr>
          <w:rFonts w:hint="eastAsia" w:ascii="宋体"/>
          <w:color w:val="auto"/>
          <w:sz w:val="24"/>
          <w:szCs w:val="24"/>
          <w:highlight w:val="none"/>
        </w:rPr>
        <w:t>测控单元提供；电源短路或断线时，应有就地报警并向主站发送报警信号。</w:t>
      </w:r>
    </w:p>
    <w:p w14:paraId="0F7C0E32">
      <w:pPr>
        <w:spacing w:line="360" w:lineRule="auto"/>
        <w:rPr>
          <w:rFonts w:ascii="宋体"/>
          <w:color w:val="auto"/>
          <w:kern w:val="0"/>
          <w:sz w:val="24"/>
          <w:szCs w:val="24"/>
          <w:highlight w:val="none"/>
        </w:rPr>
      </w:pPr>
      <w:r>
        <w:rPr>
          <w:rFonts w:hint="eastAsia" w:ascii="宋体"/>
          <w:color w:val="auto"/>
          <w:sz w:val="24"/>
          <w:szCs w:val="24"/>
          <w:highlight w:val="none"/>
        </w:rPr>
        <w:t xml:space="preserve">     要求光电隔离，隔离电压不小于</w:t>
      </w:r>
      <w:r>
        <w:rPr>
          <w:rFonts w:ascii="宋体"/>
          <w:color w:val="auto"/>
          <w:sz w:val="24"/>
          <w:szCs w:val="24"/>
          <w:highlight w:val="none"/>
        </w:rPr>
        <w:t>2000V</w:t>
      </w:r>
      <w:r>
        <w:rPr>
          <w:rFonts w:hint="eastAsia" w:ascii="宋体"/>
          <w:color w:val="auto"/>
          <w:sz w:val="24"/>
          <w:szCs w:val="24"/>
          <w:highlight w:val="none"/>
        </w:rPr>
        <w:t>，软硬件滤波。</w:t>
      </w:r>
    </w:p>
    <w:p w14:paraId="23B9993A">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信号输入的滤波时间常数应保证在接点抖动</w:t>
      </w:r>
      <w:r>
        <w:rPr>
          <w:rFonts w:ascii="宋体"/>
          <w:color w:val="auto"/>
          <w:sz w:val="24"/>
          <w:szCs w:val="24"/>
          <w:highlight w:val="none"/>
        </w:rPr>
        <w:t>(</w:t>
      </w:r>
      <w:r>
        <w:rPr>
          <w:rFonts w:hint="eastAsia" w:ascii="宋体"/>
          <w:color w:val="auto"/>
          <w:sz w:val="24"/>
          <w:szCs w:val="24"/>
          <w:highlight w:val="none"/>
        </w:rPr>
        <w:t>反跳或震动</w:t>
      </w:r>
      <w:r>
        <w:rPr>
          <w:rFonts w:ascii="宋体"/>
          <w:color w:val="auto"/>
          <w:sz w:val="24"/>
          <w:szCs w:val="24"/>
          <w:highlight w:val="none"/>
        </w:rPr>
        <w:t>)</w:t>
      </w:r>
      <w:r>
        <w:rPr>
          <w:rFonts w:hint="eastAsia" w:ascii="宋体"/>
          <w:color w:val="auto"/>
          <w:sz w:val="24"/>
          <w:szCs w:val="24"/>
          <w:highlight w:val="none"/>
        </w:rPr>
        <w:t>，以及存在外部干扰情  况下不误发讯。</w:t>
      </w:r>
    </w:p>
    <w:p w14:paraId="4CFEAB8C">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所有开关量输入均应有</w:t>
      </w:r>
      <w:r>
        <w:rPr>
          <w:rFonts w:ascii="宋体"/>
          <w:color w:val="auto"/>
          <w:sz w:val="24"/>
          <w:szCs w:val="24"/>
          <w:highlight w:val="none"/>
        </w:rPr>
        <w:t>LED</w:t>
      </w:r>
      <w:r>
        <w:rPr>
          <w:rFonts w:hint="eastAsia" w:ascii="宋体"/>
          <w:color w:val="auto"/>
          <w:sz w:val="24"/>
          <w:szCs w:val="24"/>
          <w:highlight w:val="none"/>
        </w:rPr>
        <w:t>状态指示显示。</w:t>
      </w:r>
    </w:p>
    <w:p w14:paraId="738C7E24">
      <w:pPr>
        <w:numPr>
          <w:ilvl w:val="0"/>
          <w:numId w:val="63"/>
        </w:numPr>
        <w:spacing w:line="360" w:lineRule="auto"/>
        <w:rPr>
          <w:rFonts w:ascii="宋体"/>
          <w:color w:val="auto"/>
          <w:kern w:val="0"/>
          <w:sz w:val="24"/>
          <w:szCs w:val="24"/>
          <w:highlight w:val="none"/>
        </w:rPr>
      </w:pPr>
      <w:r>
        <w:rPr>
          <w:rFonts w:ascii="宋体"/>
          <w:color w:val="auto"/>
          <w:sz w:val="24"/>
          <w:szCs w:val="24"/>
          <w:highlight w:val="none"/>
        </w:rPr>
        <w:t>SOE</w:t>
      </w:r>
      <w:r>
        <w:rPr>
          <w:rFonts w:hint="eastAsia" w:ascii="宋体"/>
          <w:color w:val="auto"/>
          <w:sz w:val="24"/>
          <w:szCs w:val="24"/>
          <w:highlight w:val="none"/>
        </w:rPr>
        <w:t>分辨率：</w:t>
      </w:r>
      <w:r>
        <w:rPr>
          <w:rFonts w:ascii="宋体"/>
          <w:color w:val="auto"/>
          <w:sz w:val="24"/>
          <w:szCs w:val="24"/>
          <w:highlight w:val="none"/>
        </w:rPr>
        <w:sym w:font="Symbol" w:char="F0A3"/>
      </w:r>
      <w:r>
        <w:rPr>
          <w:rFonts w:hint="eastAsia" w:ascii="宋体"/>
          <w:color w:val="auto"/>
          <w:sz w:val="24"/>
          <w:szCs w:val="24"/>
          <w:highlight w:val="none"/>
        </w:rPr>
        <w:t xml:space="preserve"> 2</w:t>
      </w:r>
      <w:r>
        <w:rPr>
          <w:rFonts w:ascii="宋体"/>
          <w:color w:val="auto"/>
          <w:sz w:val="24"/>
          <w:szCs w:val="24"/>
          <w:highlight w:val="none"/>
        </w:rPr>
        <w:t>ms</w:t>
      </w:r>
    </w:p>
    <w:p w14:paraId="0123D0AB">
      <w:pPr>
        <w:numPr>
          <w:ilvl w:val="0"/>
          <w:numId w:val="62"/>
        </w:numPr>
        <w:spacing w:line="360" w:lineRule="auto"/>
        <w:rPr>
          <w:rFonts w:ascii="宋体"/>
          <w:color w:val="auto"/>
          <w:sz w:val="24"/>
          <w:szCs w:val="24"/>
          <w:highlight w:val="none"/>
        </w:rPr>
      </w:pPr>
      <w:r>
        <w:rPr>
          <w:rFonts w:hint="eastAsia" w:ascii="宋体"/>
          <w:color w:val="auto"/>
          <w:sz w:val="24"/>
          <w:szCs w:val="24"/>
          <w:highlight w:val="none"/>
        </w:rPr>
        <w:t>开关量输出</w:t>
      </w:r>
    </w:p>
    <w:p w14:paraId="4FDACD17">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接点方式：空接点</w:t>
      </w:r>
      <w:r>
        <w:rPr>
          <w:rFonts w:ascii="宋体"/>
          <w:color w:val="auto"/>
          <w:sz w:val="24"/>
          <w:szCs w:val="24"/>
          <w:highlight w:val="none"/>
        </w:rPr>
        <w:t>(</w:t>
      </w:r>
      <w:r>
        <w:rPr>
          <w:rFonts w:hint="eastAsia" w:ascii="宋体"/>
          <w:color w:val="auto"/>
          <w:sz w:val="24"/>
          <w:szCs w:val="24"/>
          <w:highlight w:val="none"/>
        </w:rPr>
        <w:t>常开</w:t>
      </w:r>
      <w:r>
        <w:rPr>
          <w:rFonts w:ascii="宋体"/>
          <w:color w:val="auto"/>
          <w:sz w:val="24"/>
          <w:szCs w:val="24"/>
          <w:highlight w:val="none"/>
        </w:rPr>
        <w:t>)</w:t>
      </w:r>
    </w:p>
    <w:p w14:paraId="3A4D4CD8">
      <w:pPr>
        <w:spacing w:line="360" w:lineRule="auto"/>
        <w:ind w:left="425"/>
        <w:rPr>
          <w:rFonts w:ascii="宋体"/>
          <w:color w:val="auto"/>
          <w:sz w:val="24"/>
          <w:szCs w:val="24"/>
          <w:highlight w:val="none"/>
        </w:rPr>
      </w:pPr>
      <w:r>
        <w:rPr>
          <w:rFonts w:hint="eastAsia" w:ascii="宋体"/>
          <w:color w:val="auto"/>
          <w:sz w:val="24"/>
          <w:szCs w:val="24"/>
          <w:highlight w:val="none"/>
        </w:rPr>
        <w:t>触点断开能力：</w:t>
      </w:r>
    </w:p>
    <w:p w14:paraId="6884ABC7">
      <w:pPr>
        <w:spacing w:line="360" w:lineRule="auto"/>
        <w:ind w:left="425"/>
        <w:rPr>
          <w:rFonts w:ascii="宋体"/>
          <w:color w:val="auto"/>
          <w:sz w:val="24"/>
          <w:szCs w:val="24"/>
          <w:highlight w:val="none"/>
        </w:rPr>
      </w:pPr>
      <w:r>
        <w:rPr>
          <w:rFonts w:hint="eastAsia" w:ascii="宋体"/>
          <w:color w:val="auto"/>
          <w:sz w:val="24"/>
          <w:szCs w:val="24"/>
          <w:highlight w:val="none"/>
        </w:rPr>
        <w:t>直流： 在</w:t>
      </w:r>
      <w:r>
        <w:rPr>
          <w:rFonts w:ascii="宋体"/>
          <w:color w:val="auto"/>
          <w:sz w:val="24"/>
          <w:szCs w:val="24"/>
          <w:highlight w:val="none"/>
        </w:rPr>
        <w:t>125V</w:t>
      </w:r>
      <w:r>
        <w:rPr>
          <w:rFonts w:hint="eastAsia" w:ascii="宋体"/>
          <w:color w:val="auto"/>
          <w:sz w:val="24"/>
          <w:szCs w:val="24"/>
          <w:highlight w:val="none"/>
        </w:rPr>
        <w:t>直流电压下的长期允许通过电流不小于</w:t>
      </w:r>
      <w:r>
        <w:rPr>
          <w:rFonts w:ascii="宋体"/>
          <w:color w:val="auto"/>
          <w:sz w:val="24"/>
          <w:szCs w:val="24"/>
          <w:highlight w:val="none"/>
        </w:rPr>
        <w:t>5A,</w:t>
      </w:r>
      <w:r>
        <w:rPr>
          <w:rFonts w:hint="eastAsia" w:ascii="宋体"/>
          <w:color w:val="auto"/>
          <w:sz w:val="24"/>
          <w:szCs w:val="24"/>
          <w:highlight w:val="none"/>
        </w:rPr>
        <w:t>在</w:t>
      </w:r>
      <w:r>
        <w:rPr>
          <w:rFonts w:ascii="宋体"/>
          <w:color w:val="auto"/>
          <w:sz w:val="24"/>
          <w:szCs w:val="24"/>
          <w:highlight w:val="none"/>
        </w:rPr>
        <w:t>125V</w:t>
      </w:r>
      <w:r>
        <w:rPr>
          <w:rFonts w:hint="eastAsia" w:ascii="宋体"/>
          <w:color w:val="auto"/>
          <w:sz w:val="24"/>
          <w:szCs w:val="24"/>
          <w:highlight w:val="none"/>
        </w:rPr>
        <w:t>直流具有电感负荷的直流电路</w:t>
      </w:r>
      <w:r>
        <w:rPr>
          <w:rFonts w:ascii="宋体"/>
          <w:color w:val="auto"/>
          <w:sz w:val="24"/>
          <w:szCs w:val="24"/>
          <w:highlight w:val="none"/>
        </w:rPr>
        <w:t>(T&lt;40ms)</w:t>
      </w:r>
      <w:r>
        <w:rPr>
          <w:rFonts w:hint="eastAsia" w:ascii="宋体"/>
          <w:color w:val="auto"/>
          <w:sz w:val="24"/>
          <w:szCs w:val="24"/>
          <w:highlight w:val="none"/>
        </w:rPr>
        <w:t>中的断开容量不小于</w:t>
      </w:r>
      <w:r>
        <w:rPr>
          <w:rFonts w:ascii="宋体"/>
          <w:color w:val="auto"/>
          <w:sz w:val="24"/>
          <w:szCs w:val="24"/>
          <w:highlight w:val="none"/>
        </w:rPr>
        <w:t>50W</w:t>
      </w:r>
      <w:r>
        <w:rPr>
          <w:rFonts w:hint="eastAsia" w:ascii="宋体"/>
          <w:color w:val="auto"/>
          <w:sz w:val="24"/>
          <w:szCs w:val="24"/>
          <w:highlight w:val="none"/>
        </w:rPr>
        <w:t xml:space="preserve">。     </w:t>
      </w:r>
    </w:p>
    <w:p w14:paraId="2D6C3A9B">
      <w:pPr>
        <w:spacing w:line="360" w:lineRule="auto"/>
        <w:rPr>
          <w:rFonts w:ascii="宋体"/>
          <w:color w:val="auto"/>
          <w:kern w:val="0"/>
          <w:sz w:val="24"/>
          <w:szCs w:val="24"/>
          <w:highlight w:val="none"/>
        </w:rPr>
      </w:pPr>
      <w:r>
        <w:rPr>
          <w:rFonts w:hint="eastAsia" w:ascii="宋体"/>
          <w:color w:val="auto"/>
          <w:sz w:val="24"/>
          <w:szCs w:val="24"/>
          <w:highlight w:val="none"/>
        </w:rPr>
        <w:t>交流： 220V AC  5A</w:t>
      </w:r>
      <w:r>
        <w:rPr>
          <w:rFonts w:ascii="宋体"/>
          <w:color w:val="auto"/>
          <w:sz w:val="24"/>
          <w:szCs w:val="24"/>
          <w:highlight w:val="none"/>
        </w:rPr>
        <w:t>(</w:t>
      </w:r>
      <w:r>
        <w:rPr>
          <w:rFonts w:hint="eastAsia" w:ascii="宋体"/>
          <w:color w:val="auto"/>
          <w:sz w:val="24"/>
          <w:szCs w:val="24"/>
          <w:highlight w:val="none"/>
        </w:rPr>
        <w:t>连续)。</w:t>
      </w:r>
    </w:p>
    <w:p w14:paraId="5F959FC1">
      <w:pPr>
        <w:numPr>
          <w:ilvl w:val="0"/>
          <w:numId w:val="63"/>
        </w:numPr>
        <w:spacing w:line="360" w:lineRule="auto"/>
        <w:rPr>
          <w:rFonts w:ascii="宋体"/>
          <w:color w:val="auto"/>
          <w:sz w:val="24"/>
          <w:szCs w:val="24"/>
          <w:highlight w:val="none"/>
        </w:rPr>
      </w:pPr>
      <w:r>
        <w:rPr>
          <w:rFonts w:hint="eastAsia" w:ascii="宋体"/>
          <w:color w:val="auto"/>
          <w:sz w:val="24"/>
          <w:szCs w:val="24"/>
          <w:highlight w:val="none"/>
        </w:rPr>
        <w:t>控制输出继电器接点闭合自保持时间：</w:t>
      </w:r>
      <w:r>
        <w:rPr>
          <w:rFonts w:ascii="宋体"/>
          <w:color w:val="auto"/>
          <w:sz w:val="24"/>
          <w:szCs w:val="24"/>
          <w:highlight w:val="none"/>
        </w:rPr>
        <w:t>20</w:t>
      </w:r>
      <w:r>
        <w:rPr>
          <w:rFonts w:hint="eastAsia" w:ascii="宋体"/>
          <w:color w:val="auto"/>
          <w:sz w:val="24"/>
          <w:szCs w:val="24"/>
          <w:highlight w:val="none"/>
        </w:rPr>
        <w:t>～</w:t>
      </w:r>
      <w:r>
        <w:rPr>
          <w:rFonts w:ascii="宋体"/>
          <w:color w:val="auto"/>
          <w:sz w:val="24"/>
          <w:szCs w:val="24"/>
          <w:highlight w:val="none"/>
        </w:rPr>
        <w:t>100ms(</w:t>
      </w:r>
      <w:r>
        <w:rPr>
          <w:rFonts w:hint="eastAsia" w:ascii="宋体"/>
          <w:color w:val="auto"/>
          <w:sz w:val="24"/>
          <w:szCs w:val="24"/>
          <w:highlight w:val="none"/>
        </w:rPr>
        <w:t>可调</w:t>
      </w:r>
      <w:r>
        <w:rPr>
          <w:rFonts w:ascii="宋体"/>
          <w:color w:val="auto"/>
          <w:sz w:val="24"/>
          <w:szCs w:val="24"/>
          <w:highlight w:val="none"/>
        </w:rPr>
        <w:t>)</w:t>
      </w:r>
    </w:p>
    <w:p w14:paraId="311AAF2C">
      <w:pPr>
        <w:spacing w:line="360" w:lineRule="auto"/>
        <w:rPr>
          <w:rFonts w:ascii="宋体"/>
          <w:color w:val="auto"/>
          <w:sz w:val="24"/>
          <w:szCs w:val="24"/>
          <w:highlight w:val="none"/>
        </w:rPr>
      </w:pPr>
      <w:r>
        <w:rPr>
          <w:rFonts w:hint="eastAsia" w:ascii="宋体"/>
          <w:color w:val="auto"/>
          <w:sz w:val="24"/>
          <w:szCs w:val="24"/>
          <w:highlight w:val="none"/>
        </w:rPr>
        <w:t>3.8</w:t>
      </w:r>
      <w:r>
        <w:rPr>
          <w:rFonts w:ascii="宋体"/>
          <w:color w:val="auto"/>
          <w:sz w:val="24"/>
          <w:szCs w:val="24"/>
          <w:highlight w:val="none"/>
        </w:rPr>
        <w:t>.1</w:t>
      </w:r>
      <w:r>
        <w:rPr>
          <w:rFonts w:hint="eastAsia" w:ascii="宋体"/>
          <w:color w:val="auto"/>
          <w:sz w:val="24"/>
          <w:szCs w:val="24"/>
          <w:highlight w:val="none"/>
        </w:rPr>
        <w:t>3测控单元屏上的显示和操作</w:t>
      </w:r>
    </w:p>
    <w:p w14:paraId="59B565FE">
      <w:pPr>
        <w:numPr>
          <w:ilvl w:val="0"/>
          <w:numId w:val="64"/>
        </w:numPr>
        <w:spacing w:line="360" w:lineRule="auto"/>
        <w:rPr>
          <w:rFonts w:ascii="宋体"/>
          <w:color w:val="auto"/>
          <w:sz w:val="24"/>
          <w:szCs w:val="24"/>
          <w:highlight w:val="none"/>
        </w:rPr>
      </w:pPr>
      <w:r>
        <w:rPr>
          <w:rFonts w:hint="eastAsia" w:ascii="宋体"/>
          <w:color w:val="auto"/>
          <w:sz w:val="24"/>
          <w:szCs w:val="24"/>
          <w:highlight w:val="none"/>
        </w:rPr>
        <w:t>主接线状态显示：本串电气单元的断路器，隔离开关等的状态信号。</w:t>
      </w:r>
    </w:p>
    <w:p w14:paraId="2A0808F6">
      <w:pPr>
        <w:numPr>
          <w:ilvl w:val="0"/>
          <w:numId w:val="64"/>
        </w:numPr>
        <w:spacing w:line="360" w:lineRule="auto"/>
        <w:rPr>
          <w:rFonts w:ascii="宋体"/>
          <w:color w:val="auto"/>
          <w:sz w:val="24"/>
          <w:szCs w:val="24"/>
          <w:highlight w:val="none"/>
        </w:rPr>
      </w:pPr>
      <w:r>
        <w:rPr>
          <w:rFonts w:hint="eastAsia" w:ascii="宋体"/>
          <w:color w:val="auto"/>
          <w:sz w:val="24"/>
          <w:szCs w:val="24"/>
          <w:highlight w:val="none"/>
        </w:rPr>
        <w:t>数字显示：本串电气单元的各相电流、电压，三相有功、无功等。</w:t>
      </w:r>
    </w:p>
    <w:p w14:paraId="7B27BBC9">
      <w:pPr>
        <w:numPr>
          <w:ilvl w:val="0"/>
          <w:numId w:val="64"/>
        </w:numPr>
        <w:spacing w:line="360" w:lineRule="auto"/>
        <w:rPr>
          <w:rFonts w:ascii="宋体"/>
          <w:color w:val="auto"/>
          <w:sz w:val="21"/>
          <w:szCs w:val="21"/>
          <w:highlight w:val="none"/>
        </w:rPr>
      </w:pPr>
      <w:r>
        <w:rPr>
          <w:rFonts w:hint="eastAsia" w:ascii="宋体"/>
          <w:color w:val="auto"/>
          <w:sz w:val="24"/>
          <w:szCs w:val="24"/>
          <w:highlight w:val="none"/>
        </w:rPr>
        <w:t>紧急操作按键</w:t>
      </w:r>
      <w:r>
        <w:rPr>
          <w:rFonts w:ascii="宋体"/>
          <w:color w:val="auto"/>
          <w:sz w:val="24"/>
          <w:szCs w:val="24"/>
          <w:highlight w:val="none"/>
        </w:rPr>
        <w:t>/</w:t>
      </w:r>
      <w:r>
        <w:rPr>
          <w:rFonts w:hint="eastAsia" w:ascii="宋体"/>
          <w:color w:val="auto"/>
          <w:sz w:val="24"/>
          <w:szCs w:val="24"/>
          <w:highlight w:val="none"/>
        </w:rPr>
        <w:t>手柄：远方</w:t>
      </w:r>
      <w:r>
        <w:rPr>
          <w:rFonts w:ascii="宋体"/>
          <w:color w:val="auto"/>
          <w:sz w:val="24"/>
          <w:szCs w:val="24"/>
          <w:highlight w:val="none"/>
        </w:rPr>
        <w:t>/</w:t>
      </w:r>
      <w:r>
        <w:rPr>
          <w:rFonts w:hint="eastAsia" w:ascii="宋体"/>
          <w:color w:val="auto"/>
          <w:sz w:val="24"/>
          <w:szCs w:val="24"/>
          <w:highlight w:val="none"/>
        </w:rPr>
        <w:t>就地操作选择，一对一断路器操作的分</w:t>
      </w:r>
      <w:r>
        <w:rPr>
          <w:rFonts w:ascii="宋体"/>
          <w:color w:val="auto"/>
          <w:sz w:val="24"/>
          <w:szCs w:val="24"/>
          <w:highlight w:val="none"/>
        </w:rPr>
        <w:t>/</w:t>
      </w:r>
      <w:r>
        <w:rPr>
          <w:rFonts w:hint="eastAsia" w:ascii="宋体"/>
          <w:color w:val="auto"/>
          <w:sz w:val="24"/>
          <w:szCs w:val="24"/>
          <w:highlight w:val="none"/>
        </w:rPr>
        <w:t>合选择，执行操作。</w:t>
      </w:r>
    </w:p>
    <w:p w14:paraId="61486262">
      <w:pPr>
        <w:spacing w:line="360" w:lineRule="auto"/>
        <w:rPr>
          <w:rFonts w:hint="eastAsia" w:ascii="宋体"/>
          <w:b/>
          <w:color w:val="auto"/>
          <w:sz w:val="24"/>
          <w:szCs w:val="24"/>
          <w:highlight w:val="none"/>
        </w:rPr>
      </w:pPr>
      <w:bookmarkStart w:id="47" w:name="_Toc61442370"/>
      <w:bookmarkStart w:id="48" w:name="_Toc320606850"/>
      <w:r>
        <w:rPr>
          <w:rFonts w:ascii="宋体"/>
          <w:b/>
          <w:color w:val="auto"/>
          <w:sz w:val="24"/>
          <w:szCs w:val="24"/>
          <w:highlight w:val="none"/>
        </w:rPr>
        <w:t xml:space="preserve">3.9  </w:t>
      </w:r>
      <w:r>
        <w:rPr>
          <w:rFonts w:hint="eastAsia" w:ascii="宋体"/>
          <w:b/>
          <w:color w:val="auto"/>
          <w:sz w:val="24"/>
          <w:szCs w:val="24"/>
          <w:highlight w:val="none"/>
        </w:rPr>
        <w:t>I/O测控单元信息量统计表</w:t>
      </w:r>
      <w:bookmarkEnd w:id="47"/>
      <w:bookmarkEnd w:id="48"/>
    </w:p>
    <w:tbl>
      <w:tblPr>
        <w:tblStyle w:val="31"/>
        <w:tblW w:w="8504" w:type="dxa"/>
        <w:jc w:val="center"/>
        <w:tblLayout w:type="fixed"/>
        <w:tblCellMar>
          <w:top w:w="0" w:type="dxa"/>
          <w:left w:w="108" w:type="dxa"/>
          <w:bottom w:w="0" w:type="dxa"/>
          <w:right w:w="108" w:type="dxa"/>
        </w:tblCellMar>
      </w:tblPr>
      <w:tblGrid>
        <w:gridCol w:w="1159"/>
        <w:gridCol w:w="1030"/>
        <w:gridCol w:w="1031"/>
        <w:gridCol w:w="1031"/>
        <w:gridCol w:w="1031"/>
        <w:gridCol w:w="1031"/>
        <w:gridCol w:w="1031"/>
        <w:gridCol w:w="1160"/>
      </w:tblGrid>
      <w:tr w14:paraId="13A72260">
        <w:tblPrEx>
          <w:tblCellMar>
            <w:top w:w="0" w:type="dxa"/>
            <w:left w:w="108" w:type="dxa"/>
            <w:bottom w:w="0" w:type="dxa"/>
            <w:right w:w="108" w:type="dxa"/>
          </w:tblCellMar>
        </w:tblPrEx>
        <w:trPr>
          <w:trHeight w:val="340" w:hRule="atLeast"/>
          <w:jc w:val="center"/>
        </w:trPr>
        <w:tc>
          <w:tcPr>
            <w:tcW w:w="1159" w:type="dxa"/>
            <w:vMerge w:val="restart"/>
            <w:tcBorders>
              <w:top w:val="single" w:color="auto" w:sz="4" w:space="0"/>
              <w:left w:val="single" w:color="auto" w:sz="4" w:space="0"/>
              <w:bottom w:val="single" w:color="auto" w:sz="4" w:space="0"/>
              <w:right w:val="single" w:color="auto" w:sz="4" w:space="0"/>
            </w:tcBorders>
            <w:noWrap/>
            <w:vAlign w:val="center"/>
          </w:tcPr>
          <w:p w14:paraId="3565EAC3">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测点类型</w:t>
            </w:r>
          </w:p>
        </w:tc>
        <w:tc>
          <w:tcPr>
            <w:tcW w:w="1030" w:type="dxa"/>
            <w:tcBorders>
              <w:top w:val="single" w:color="auto" w:sz="4" w:space="0"/>
              <w:left w:val="nil"/>
              <w:bottom w:val="single" w:color="auto" w:sz="4" w:space="0"/>
              <w:right w:val="single" w:color="auto" w:sz="4" w:space="0"/>
            </w:tcBorders>
            <w:noWrap/>
            <w:vAlign w:val="center"/>
          </w:tcPr>
          <w:p w14:paraId="7DE74348">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交流量</w:t>
            </w:r>
          </w:p>
        </w:tc>
        <w:tc>
          <w:tcPr>
            <w:tcW w:w="1031" w:type="dxa"/>
            <w:tcBorders>
              <w:top w:val="single" w:color="auto" w:sz="4" w:space="0"/>
              <w:left w:val="nil"/>
              <w:bottom w:val="single" w:color="auto" w:sz="4" w:space="0"/>
              <w:right w:val="single" w:color="auto" w:sz="4" w:space="0"/>
            </w:tcBorders>
            <w:noWrap/>
            <w:vAlign w:val="center"/>
          </w:tcPr>
          <w:p w14:paraId="2AB4D3D9">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开关量</w:t>
            </w:r>
          </w:p>
        </w:tc>
        <w:tc>
          <w:tcPr>
            <w:tcW w:w="1031" w:type="dxa"/>
            <w:tcBorders>
              <w:top w:val="single" w:color="auto" w:sz="4" w:space="0"/>
              <w:left w:val="nil"/>
              <w:bottom w:val="single" w:color="auto" w:sz="4" w:space="0"/>
              <w:right w:val="single" w:color="auto" w:sz="4" w:space="0"/>
            </w:tcBorders>
            <w:noWrap/>
            <w:vAlign w:val="center"/>
          </w:tcPr>
          <w:p w14:paraId="787AD5FA">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脉冲量</w:t>
            </w:r>
          </w:p>
        </w:tc>
        <w:tc>
          <w:tcPr>
            <w:tcW w:w="1031" w:type="dxa"/>
            <w:tcBorders>
              <w:top w:val="single" w:color="auto" w:sz="4" w:space="0"/>
              <w:left w:val="nil"/>
              <w:bottom w:val="single" w:color="auto" w:sz="4" w:space="0"/>
              <w:right w:val="single" w:color="auto" w:sz="4" w:space="0"/>
            </w:tcBorders>
            <w:noWrap/>
            <w:vAlign w:val="center"/>
          </w:tcPr>
          <w:p w14:paraId="4F7234D9">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直流量</w:t>
            </w:r>
          </w:p>
        </w:tc>
        <w:tc>
          <w:tcPr>
            <w:tcW w:w="1031" w:type="dxa"/>
            <w:tcBorders>
              <w:top w:val="single" w:color="auto" w:sz="4" w:space="0"/>
              <w:left w:val="nil"/>
              <w:bottom w:val="single" w:color="auto" w:sz="4" w:space="0"/>
              <w:right w:val="single" w:color="auto" w:sz="4" w:space="0"/>
            </w:tcBorders>
            <w:noWrap/>
            <w:vAlign w:val="center"/>
          </w:tcPr>
          <w:p w14:paraId="214A2419">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直流量</w:t>
            </w:r>
          </w:p>
        </w:tc>
        <w:tc>
          <w:tcPr>
            <w:tcW w:w="1031" w:type="dxa"/>
            <w:tcBorders>
              <w:top w:val="single" w:color="auto" w:sz="4" w:space="0"/>
              <w:left w:val="nil"/>
              <w:bottom w:val="single" w:color="auto" w:sz="4" w:space="0"/>
              <w:right w:val="single" w:color="auto" w:sz="4" w:space="0"/>
            </w:tcBorders>
            <w:noWrap/>
            <w:vAlign w:val="center"/>
          </w:tcPr>
          <w:p w14:paraId="7B519767">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开关量</w:t>
            </w:r>
          </w:p>
        </w:tc>
        <w:tc>
          <w:tcPr>
            <w:tcW w:w="1160" w:type="dxa"/>
            <w:vMerge w:val="restart"/>
            <w:tcBorders>
              <w:top w:val="single" w:color="auto" w:sz="4" w:space="0"/>
              <w:left w:val="single" w:color="auto" w:sz="4" w:space="0"/>
              <w:bottom w:val="single" w:color="auto" w:sz="4" w:space="0"/>
              <w:right w:val="single" w:color="auto" w:sz="4" w:space="0"/>
            </w:tcBorders>
            <w:noWrap/>
            <w:vAlign w:val="center"/>
          </w:tcPr>
          <w:p w14:paraId="3683F3FB">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备注</w:t>
            </w:r>
          </w:p>
        </w:tc>
      </w:tr>
      <w:tr w14:paraId="00E85698">
        <w:tblPrEx>
          <w:tblCellMar>
            <w:top w:w="0" w:type="dxa"/>
            <w:left w:w="108" w:type="dxa"/>
            <w:bottom w:w="0" w:type="dxa"/>
            <w:right w:w="108" w:type="dxa"/>
          </w:tblCellMar>
        </w:tblPrEx>
        <w:trPr>
          <w:trHeight w:val="340" w:hRule="atLeast"/>
          <w:jc w:val="center"/>
        </w:trPr>
        <w:tc>
          <w:tcPr>
            <w:tcW w:w="1159" w:type="dxa"/>
            <w:vMerge w:val="continue"/>
            <w:tcBorders>
              <w:top w:val="single" w:color="auto" w:sz="4" w:space="0"/>
              <w:left w:val="single" w:color="auto" w:sz="4" w:space="0"/>
              <w:bottom w:val="single" w:color="auto" w:sz="4" w:space="0"/>
              <w:right w:val="single" w:color="auto" w:sz="4" w:space="0"/>
            </w:tcBorders>
            <w:noWrap/>
            <w:vAlign w:val="center"/>
          </w:tcPr>
          <w:p w14:paraId="3D1E6DEE">
            <w:pPr>
              <w:spacing w:after="160" w:line="240" w:lineRule="auto"/>
              <w:rPr>
                <w:rFonts w:ascii="宋体" w:hAnsi="宋体" w:cs="宋体"/>
                <w:color w:val="auto"/>
                <w:sz w:val="21"/>
                <w:szCs w:val="21"/>
                <w:highlight w:val="none"/>
              </w:rPr>
            </w:pPr>
          </w:p>
        </w:tc>
        <w:tc>
          <w:tcPr>
            <w:tcW w:w="1030" w:type="dxa"/>
            <w:tcBorders>
              <w:top w:val="nil"/>
              <w:left w:val="nil"/>
              <w:bottom w:val="single" w:color="auto" w:sz="4" w:space="0"/>
              <w:right w:val="single" w:color="auto" w:sz="4" w:space="0"/>
            </w:tcBorders>
            <w:noWrap/>
            <w:vAlign w:val="center"/>
          </w:tcPr>
          <w:p w14:paraId="6832F73D">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输入</w:t>
            </w:r>
          </w:p>
        </w:tc>
        <w:tc>
          <w:tcPr>
            <w:tcW w:w="1031" w:type="dxa"/>
            <w:tcBorders>
              <w:top w:val="nil"/>
              <w:left w:val="nil"/>
              <w:bottom w:val="single" w:color="auto" w:sz="4" w:space="0"/>
              <w:right w:val="single" w:color="auto" w:sz="4" w:space="0"/>
            </w:tcBorders>
            <w:noWrap/>
            <w:vAlign w:val="center"/>
          </w:tcPr>
          <w:p w14:paraId="4D4D6B39">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输入</w:t>
            </w:r>
          </w:p>
        </w:tc>
        <w:tc>
          <w:tcPr>
            <w:tcW w:w="1031" w:type="dxa"/>
            <w:tcBorders>
              <w:top w:val="nil"/>
              <w:left w:val="nil"/>
              <w:bottom w:val="single" w:color="auto" w:sz="4" w:space="0"/>
              <w:right w:val="single" w:color="auto" w:sz="4" w:space="0"/>
            </w:tcBorders>
            <w:noWrap/>
            <w:vAlign w:val="center"/>
          </w:tcPr>
          <w:p w14:paraId="4CF2B9E5">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输入</w:t>
            </w:r>
          </w:p>
        </w:tc>
        <w:tc>
          <w:tcPr>
            <w:tcW w:w="1031" w:type="dxa"/>
            <w:tcBorders>
              <w:top w:val="nil"/>
              <w:left w:val="nil"/>
              <w:bottom w:val="single" w:color="auto" w:sz="4" w:space="0"/>
              <w:right w:val="single" w:color="auto" w:sz="4" w:space="0"/>
            </w:tcBorders>
            <w:noWrap/>
            <w:vAlign w:val="center"/>
          </w:tcPr>
          <w:p w14:paraId="152E2FE2">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输入</w:t>
            </w:r>
          </w:p>
        </w:tc>
        <w:tc>
          <w:tcPr>
            <w:tcW w:w="1031" w:type="dxa"/>
            <w:tcBorders>
              <w:top w:val="nil"/>
              <w:left w:val="nil"/>
              <w:bottom w:val="single" w:color="auto" w:sz="4" w:space="0"/>
              <w:right w:val="single" w:color="auto" w:sz="4" w:space="0"/>
            </w:tcBorders>
            <w:noWrap/>
            <w:vAlign w:val="center"/>
          </w:tcPr>
          <w:p w14:paraId="5AD4B551">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输出</w:t>
            </w:r>
          </w:p>
        </w:tc>
        <w:tc>
          <w:tcPr>
            <w:tcW w:w="1031" w:type="dxa"/>
            <w:tcBorders>
              <w:top w:val="nil"/>
              <w:left w:val="nil"/>
              <w:bottom w:val="single" w:color="auto" w:sz="4" w:space="0"/>
              <w:right w:val="single" w:color="auto" w:sz="4" w:space="0"/>
            </w:tcBorders>
            <w:noWrap/>
            <w:vAlign w:val="center"/>
          </w:tcPr>
          <w:p w14:paraId="3B47614B">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输出</w:t>
            </w:r>
          </w:p>
        </w:tc>
        <w:tc>
          <w:tcPr>
            <w:tcW w:w="1160" w:type="dxa"/>
            <w:vMerge w:val="continue"/>
            <w:tcBorders>
              <w:top w:val="single" w:color="auto" w:sz="4" w:space="0"/>
              <w:left w:val="single" w:color="auto" w:sz="4" w:space="0"/>
              <w:bottom w:val="single" w:color="auto" w:sz="4" w:space="0"/>
              <w:right w:val="single" w:color="auto" w:sz="4" w:space="0"/>
            </w:tcBorders>
            <w:noWrap/>
            <w:vAlign w:val="center"/>
          </w:tcPr>
          <w:p w14:paraId="68C2C794">
            <w:pPr>
              <w:spacing w:after="160" w:line="240" w:lineRule="auto"/>
              <w:rPr>
                <w:rFonts w:ascii="宋体" w:hAnsi="宋体" w:cs="宋体"/>
                <w:color w:val="auto"/>
                <w:sz w:val="21"/>
                <w:szCs w:val="21"/>
                <w:highlight w:val="none"/>
              </w:rPr>
            </w:pPr>
          </w:p>
        </w:tc>
      </w:tr>
      <w:tr w14:paraId="04D84DC0">
        <w:tblPrEx>
          <w:tblCellMar>
            <w:top w:w="0" w:type="dxa"/>
            <w:left w:w="108" w:type="dxa"/>
            <w:bottom w:w="0" w:type="dxa"/>
            <w:right w:w="108" w:type="dxa"/>
          </w:tblCellMar>
        </w:tblPrEx>
        <w:trPr>
          <w:trHeight w:val="340" w:hRule="atLeast"/>
          <w:jc w:val="center"/>
        </w:trPr>
        <w:tc>
          <w:tcPr>
            <w:tcW w:w="1159" w:type="dxa"/>
            <w:vMerge w:val="continue"/>
            <w:tcBorders>
              <w:top w:val="single" w:color="auto" w:sz="4" w:space="0"/>
              <w:left w:val="single" w:color="auto" w:sz="4" w:space="0"/>
              <w:bottom w:val="single" w:color="auto" w:sz="4" w:space="0"/>
              <w:right w:val="single" w:color="auto" w:sz="4" w:space="0"/>
            </w:tcBorders>
            <w:noWrap/>
            <w:vAlign w:val="center"/>
          </w:tcPr>
          <w:p w14:paraId="15EAC1D1">
            <w:pPr>
              <w:spacing w:after="160" w:line="240" w:lineRule="auto"/>
              <w:rPr>
                <w:rFonts w:ascii="宋体" w:hAnsi="宋体" w:cs="宋体"/>
                <w:color w:val="auto"/>
                <w:sz w:val="21"/>
                <w:szCs w:val="21"/>
                <w:highlight w:val="none"/>
              </w:rPr>
            </w:pPr>
          </w:p>
        </w:tc>
        <w:tc>
          <w:tcPr>
            <w:tcW w:w="1030" w:type="dxa"/>
            <w:tcBorders>
              <w:top w:val="nil"/>
              <w:left w:val="nil"/>
              <w:bottom w:val="single" w:color="auto" w:sz="4" w:space="0"/>
              <w:right w:val="single" w:color="auto" w:sz="4" w:space="0"/>
            </w:tcBorders>
            <w:noWrap/>
            <w:vAlign w:val="center"/>
          </w:tcPr>
          <w:p w14:paraId="245A35C7">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AI</w:t>
            </w:r>
          </w:p>
        </w:tc>
        <w:tc>
          <w:tcPr>
            <w:tcW w:w="1031" w:type="dxa"/>
            <w:tcBorders>
              <w:top w:val="nil"/>
              <w:left w:val="nil"/>
              <w:bottom w:val="single" w:color="auto" w:sz="4" w:space="0"/>
              <w:right w:val="single" w:color="auto" w:sz="4" w:space="0"/>
            </w:tcBorders>
            <w:noWrap/>
            <w:vAlign w:val="center"/>
          </w:tcPr>
          <w:p w14:paraId="410BF78B">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DI</w:t>
            </w:r>
          </w:p>
        </w:tc>
        <w:tc>
          <w:tcPr>
            <w:tcW w:w="1031" w:type="dxa"/>
            <w:tcBorders>
              <w:top w:val="nil"/>
              <w:left w:val="nil"/>
              <w:bottom w:val="single" w:color="auto" w:sz="4" w:space="0"/>
              <w:right w:val="single" w:color="auto" w:sz="4" w:space="0"/>
            </w:tcBorders>
            <w:noWrap/>
            <w:vAlign w:val="center"/>
          </w:tcPr>
          <w:p w14:paraId="238F9893">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PI</w:t>
            </w:r>
          </w:p>
        </w:tc>
        <w:tc>
          <w:tcPr>
            <w:tcW w:w="1031" w:type="dxa"/>
            <w:tcBorders>
              <w:top w:val="nil"/>
              <w:left w:val="nil"/>
              <w:bottom w:val="single" w:color="auto" w:sz="4" w:space="0"/>
              <w:right w:val="single" w:color="auto" w:sz="4" w:space="0"/>
            </w:tcBorders>
            <w:noWrap/>
            <w:vAlign w:val="center"/>
          </w:tcPr>
          <w:p w14:paraId="6F0D7BF3">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AI</w:t>
            </w:r>
          </w:p>
        </w:tc>
        <w:tc>
          <w:tcPr>
            <w:tcW w:w="1031" w:type="dxa"/>
            <w:tcBorders>
              <w:top w:val="nil"/>
              <w:left w:val="nil"/>
              <w:bottom w:val="single" w:color="auto" w:sz="4" w:space="0"/>
              <w:right w:val="single" w:color="auto" w:sz="4" w:space="0"/>
            </w:tcBorders>
            <w:noWrap/>
            <w:vAlign w:val="center"/>
          </w:tcPr>
          <w:p w14:paraId="6A00FAE1">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AO</w:t>
            </w:r>
          </w:p>
        </w:tc>
        <w:tc>
          <w:tcPr>
            <w:tcW w:w="1031" w:type="dxa"/>
            <w:tcBorders>
              <w:top w:val="nil"/>
              <w:left w:val="nil"/>
              <w:bottom w:val="single" w:color="auto" w:sz="4" w:space="0"/>
              <w:right w:val="single" w:color="auto" w:sz="4" w:space="0"/>
            </w:tcBorders>
            <w:noWrap/>
            <w:vAlign w:val="center"/>
          </w:tcPr>
          <w:p w14:paraId="056F2B4B">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DO</w:t>
            </w:r>
          </w:p>
        </w:tc>
        <w:tc>
          <w:tcPr>
            <w:tcW w:w="1160" w:type="dxa"/>
            <w:vMerge w:val="continue"/>
            <w:tcBorders>
              <w:top w:val="single" w:color="auto" w:sz="4" w:space="0"/>
              <w:left w:val="single" w:color="auto" w:sz="4" w:space="0"/>
              <w:bottom w:val="single" w:color="auto" w:sz="4" w:space="0"/>
              <w:right w:val="single" w:color="auto" w:sz="4" w:space="0"/>
            </w:tcBorders>
            <w:noWrap/>
            <w:vAlign w:val="center"/>
          </w:tcPr>
          <w:p w14:paraId="7612EEF0">
            <w:pPr>
              <w:spacing w:after="160" w:line="240" w:lineRule="auto"/>
              <w:rPr>
                <w:rFonts w:ascii="宋体" w:hAnsi="宋体" w:cs="宋体"/>
                <w:color w:val="auto"/>
                <w:sz w:val="21"/>
                <w:szCs w:val="21"/>
                <w:highlight w:val="none"/>
              </w:rPr>
            </w:pPr>
          </w:p>
        </w:tc>
      </w:tr>
      <w:tr w14:paraId="3C1B6F20">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44ECD3B8">
            <w:pPr>
              <w:spacing w:after="160" w:line="240" w:lineRule="auto"/>
              <w:jc w:val="center"/>
              <w:rPr>
                <w:rFonts w:ascii="宋体" w:hAnsi="宋体" w:cs="宋体"/>
                <w:color w:val="auto"/>
                <w:sz w:val="21"/>
                <w:szCs w:val="21"/>
                <w:highlight w:val="none"/>
              </w:rPr>
            </w:pPr>
          </w:p>
        </w:tc>
        <w:tc>
          <w:tcPr>
            <w:tcW w:w="1030" w:type="dxa"/>
            <w:tcBorders>
              <w:top w:val="single" w:color="auto" w:sz="4" w:space="0"/>
              <w:left w:val="nil"/>
              <w:bottom w:val="single" w:color="auto" w:sz="4" w:space="0"/>
              <w:right w:val="single" w:color="auto" w:sz="4" w:space="0"/>
            </w:tcBorders>
            <w:noWrap/>
            <w:vAlign w:val="center"/>
          </w:tcPr>
          <w:p w14:paraId="5EB6A474">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3FDA2C03">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7EF3FB07">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332B354C">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0AF255B7">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61954208">
            <w:pPr>
              <w:spacing w:after="160" w:line="240" w:lineRule="auto"/>
              <w:jc w:val="center"/>
              <w:rPr>
                <w:rFonts w:ascii="宋体" w:hAnsi="宋体" w:cs="宋体"/>
                <w:color w:val="auto"/>
                <w:sz w:val="21"/>
                <w:szCs w:val="21"/>
                <w:highlight w:val="none"/>
              </w:rPr>
            </w:pPr>
          </w:p>
        </w:tc>
        <w:tc>
          <w:tcPr>
            <w:tcW w:w="1160" w:type="dxa"/>
            <w:tcBorders>
              <w:top w:val="single" w:color="auto" w:sz="4" w:space="0"/>
              <w:left w:val="nil"/>
              <w:bottom w:val="single" w:color="auto" w:sz="4" w:space="0"/>
              <w:right w:val="single" w:color="auto" w:sz="4" w:space="0"/>
            </w:tcBorders>
            <w:noWrap/>
            <w:vAlign w:val="center"/>
          </w:tcPr>
          <w:p w14:paraId="2EBF4C4F">
            <w:pPr>
              <w:spacing w:after="160" w:line="240" w:lineRule="auto"/>
              <w:jc w:val="center"/>
              <w:rPr>
                <w:rFonts w:ascii="宋体" w:hAnsi="宋体" w:cs="宋体"/>
                <w:color w:val="auto"/>
                <w:sz w:val="21"/>
                <w:szCs w:val="21"/>
                <w:highlight w:val="none"/>
              </w:rPr>
            </w:pPr>
          </w:p>
        </w:tc>
      </w:tr>
      <w:tr w14:paraId="0E357D28">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6F62FEF2">
            <w:pPr>
              <w:spacing w:after="160" w:line="240" w:lineRule="auto"/>
              <w:jc w:val="center"/>
              <w:rPr>
                <w:rFonts w:ascii="宋体"/>
                <w:color w:val="auto"/>
                <w:sz w:val="21"/>
                <w:szCs w:val="21"/>
                <w:highlight w:val="none"/>
              </w:rPr>
            </w:pPr>
            <w:r>
              <w:rPr>
                <w:rFonts w:hint="eastAsia" w:ascii="宋体"/>
                <w:color w:val="auto"/>
                <w:sz w:val="21"/>
                <w:szCs w:val="21"/>
                <w:highlight w:val="none"/>
                <w:lang w:val="en-US" w:eastAsia="zh-CN"/>
              </w:rPr>
              <w:t>750kV</w:t>
            </w:r>
            <w:r>
              <w:rPr>
                <w:rFonts w:hint="eastAsia" w:ascii="宋体"/>
                <w:color w:val="auto"/>
                <w:sz w:val="21"/>
                <w:szCs w:val="21"/>
                <w:highlight w:val="none"/>
              </w:rPr>
              <w:t>边断路器（2台主变）</w:t>
            </w:r>
          </w:p>
        </w:tc>
        <w:tc>
          <w:tcPr>
            <w:tcW w:w="1030" w:type="dxa"/>
            <w:tcBorders>
              <w:top w:val="single" w:color="auto" w:sz="4" w:space="0"/>
              <w:left w:val="nil"/>
              <w:bottom w:val="single" w:color="auto" w:sz="4" w:space="0"/>
              <w:right w:val="single" w:color="auto" w:sz="4" w:space="0"/>
            </w:tcBorders>
            <w:noWrap/>
            <w:vAlign w:val="center"/>
          </w:tcPr>
          <w:p w14:paraId="4AD86D4E">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15*2</w:t>
            </w:r>
          </w:p>
        </w:tc>
        <w:tc>
          <w:tcPr>
            <w:tcW w:w="1031" w:type="dxa"/>
            <w:tcBorders>
              <w:top w:val="single" w:color="auto" w:sz="4" w:space="0"/>
              <w:left w:val="nil"/>
              <w:bottom w:val="single" w:color="auto" w:sz="4" w:space="0"/>
              <w:right w:val="single" w:color="auto" w:sz="4" w:space="0"/>
            </w:tcBorders>
            <w:noWrap/>
            <w:vAlign w:val="center"/>
          </w:tcPr>
          <w:p w14:paraId="28DC5250">
            <w:pPr>
              <w:spacing w:after="160" w:line="24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w:t>
            </w:r>
          </w:p>
        </w:tc>
        <w:tc>
          <w:tcPr>
            <w:tcW w:w="1031" w:type="dxa"/>
            <w:tcBorders>
              <w:top w:val="single" w:color="auto" w:sz="4" w:space="0"/>
              <w:left w:val="nil"/>
              <w:bottom w:val="single" w:color="auto" w:sz="4" w:space="0"/>
              <w:right w:val="single" w:color="auto" w:sz="4" w:space="0"/>
            </w:tcBorders>
            <w:noWrap/>
            <w:vAlign w:val="center"/>
          </w:tcPr>
          <w:p w14:paraId="7C64F92A">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0DD4A402">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799D83FE">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0673778F">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25*2</w:t>
            </w:r>
          </w:p>
        </w:tc>
        <w:tc>
          <w:tcPr>
            <w:tcW w:w="1160" w:type="dxa"/>
            <w:tcBorders>
              <w:top w:val="single" w:color="auto" w:sz="4" w:space="0"/>
              <w:left w:val="nil"/>
              <w:bottom w:val="single" w:color="auto" w:sz="4" w:space="0"/>
              <w:right w:val="single" w:color="auto" w:sz="4" w:space="0"/>
            </w:tcBorders>
            <w:noWrap/>
            <w:vAlign w:val="center"/>
          </w:tcPr>
          <w:p w14:paraId="6EFD6456">
            <w:pPr>
              <w:spacing w:after="160"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主变边断路器测控柜内设2台测控装置</w:t>
            </w:r>
          </w:p>
        </w:tc>
      </w:tr>
      <w:tr w14:paraId="5A75F2F1">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3E3DC330">
            <w:pPr>
              <w:spacing w:after="160" w:line="240" w:lineRule="auto"/>
              <w:jc w:val="center"/>
              <w:rPr>
                <w:rFonts w:ascii="宋体"/>
                <w:color w:val="auto"/>
                <w:sz w:val="21"/>
                <w:szCs w:val="21"/>
                <w:highlight w:val="none"/>
              </w:rPr>
            </w:pPr>
            <w:r>
              <w:rPr>
                <w:rFonts w:hint="eastAsia" w:ascii="宋体"/>
                <w:color w:val="auto"/>
                <w:sz w:val="21"/>
                <w:szCs w:val="21"/>
                <w:highlight w:val="none"/>
                <w:lang w:val="en-US" w:eastAsia="zh-CN"/>
              </w:rPr>
              <w:t>750kV</w:t>
            </w:r>
            <w:r>
              <w:rPr>
                <w:rFonts w:hint="eastAsia" w:ascii="宋体"/>
                <w:color w:val="auto"/>
                <w:sz w:val="21"/>
                <w:szCs w:val="21"/>
                <w:highlight w:val="none"/>
              </w:rPr>
              <w:t>中断路器（3台）</w:t>
            </w:r>
          </w:p>
        </w:tc>
        <w:tc>
          <w:tcPr>
            <w:tcW w:w="1030" w:type="dxa"/>
            <w:tcBorders>
              <w:top w:val="single" w:color="auto" w:sz="4" w:space="0"/>
              <w:left w:val="nil"/>
              <w:bottom w:val="single" w:color="auto" w:sz="4" w:space="0"/>
              <w:right w:val="single" w:color="auto" w:sz="4" w:space="0"/>
            </w:tcBorders>
            <w:noWrap/>
            <w:vAlign w:val="center"/>
          </w:tcPr>
          <w:p w14:paraId="495E687F">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10*3</w:t>
            </w:r>
          </w:p>
        </w:tc>
        <w:tc>
          <w:tcPr>
            <w:tcW w:w="1031" w:type="dxa"/>
            <w:tcBorders>
              <w:top w:val="single" w:color="auto" w:sz="4" w:space="0"/>
              <w:left w:val="nil"/>
              <w:bottom w:val="single" w:color="auto" w:sz="4" w:space="0"/>
              <w:right w:val="single" w:color="auto" w:sz="4" w:space="0"/>
            </w:tcBorders>
            <w:noWrap/>
            <w:vAlign w:val="center"/>
          </w:tcPr>
          <w:p w14:paraId="2E49A788">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90</w:t>
            </w:r>
            <w:r>
              <w:rPr>
                <w:rFonts w:hint="eastAsia" w:ascii="宋体" w:hAnsi="宋体" w:cs="宋体"/>
                <w:color w:val="auto"/>
                <w:sz w:val="21"/>
                <w:szCs w:val="21"/>
                <w:highlight w:val="none"/>
              </w:rPr>
              <w:t>*3</w:t>
            </w:r>
          </w:p>
        </w:tc>
        <w:tc>
          <w:tcPr>
            <w:tcW w:w="1031" w:type="dxa"/>
            <w:tcBorders>
              <w:top w:val="single" w:color="auto" w:sz="4" w:space="0"/>
              <w:left w:val="nil"/>
              <w:bottom w:val="single" w:color="auto" w:sz="4" w:space="0"/>
              <w:right w:val="single" w:color="auto" w:sz="4" w:space="0"/>
            </w:tcBorders>
            <w:noWrap/>
            <w:vAlign w:val="center"/>
          </w:tcPr>
          <w:p w14:paraId="1ADF31B5">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1F016947">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27CD78A4">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1E26EE67">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20*3</w:t>
            </w:r>
          </w:p>
        </w:tc>
        <w:tc>
          <w:tcPr>
            <w:tcW w:w="1160" w:type="dxa"/>
            <w:tcBorders>
              <w:top w:val="single" w:color="auto" w:sz="4" w:space="0"/>
              <w:left w:val="nil"/>
              <w:bottom w:val="single" w:color="auto" w:sz="4" w:space="0"/>
              <w:right w:val="single" w:color="auto" w:sz="4" w:space="0"/>
            </w:tcBorders>
            <w:noWrap/>
            <w:vAlign w:val="center"/>
          </w:tcPr>
          <w:p w14:paraId="03C5627A">
            <w:pPr>
              <w:spacing w:after="160" w:line="240" w:lineRule="auto"/>
              <w:jc w:val="center"/>
              <w:rPr>
                <w:rFonts w:ascii="宋体" w:hAnsi="宋体" w:cs="宋体"/>
                <w:color w:val="auto"/>
                <w:sz w:val="21"/>
                <w:szCs w:val="21"/>
                <w:highlight w:val="none"/>
              </w:rPr>
            </w:pPr>
          </w:p>
        </w:tc>
      </w:tr>
      <w:tr w14:paraId="24322B06">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6C3D5F4A">
            <w:pPr>
              <w:spacing w:after="160" w:line="240" w:lineRule="auto"/>
              <w:jc w:val="center"/>
              <w:rPr>
                <w:rFonts w:ascii="宋体"/>
                <w:color w:val="auto"/>
                <w:sz w:val="21"/>
                <w:szCs w:val="21"/>
                <w:highlight w:val="none"/>
              </w:rPr>
            </w:pPr>
            <w:r>
              <w:rPr>
                <w:rFonts w:hint="eastAsia" w:ascii="宋体"/>
                <w:color w:val="auto"/>
                <w:sz w:val="21"/>
                <w:szCs w:val="21"/>
                <w:highlight w:val="none"/>
                <w:lang w:val="en-US" w:eastAsia="zh-CN"/>
              </w:rPr>
              <w:t>750kV</w:t>
            </w:r>
            <w:r>
              <w:rPr>
                <w:rFonts w:hint="eastAsia" w:ascii="宋体"/>
                <w:color w:val="auto"/>
                <w:sz w:val="21"/>
                <w:szCs w:val="21"/>
                <w:highlight w:val="none"/>
              </w:rPr>
              <w:t>边断路器（</w:t>
            </w:r>
            <w:r>
              <w:rPr>
                <w:rFonts w:hint="eastAsia" w:ascii="宋体"/>
                <w:color w:val="auto"/>
                <w:sz w:val="21"/>
                <w:szCs w:val="21"/>
                <w:highlight w:val="none"/>
                <w:lang w:val="en-US" w:eastAsia="zh-CN"/>
              </w:rPr>
              <w:t>2回出线+高压抗电</w:t>
            </w:r>
            <w:r>
              <w:rPr>
                <w:rFonts w:hint="eastAsia" w:ascii="宋体"/>
                <w:color w:val="auto"/>
                <w:sz w:val="21"/>
                <w:szCs w:val="21"/>
                <w:highlight w:val="none"/>
              </w:rPr>
              <w:t>）</w:t>
            </w:r>
          </w:p>
        </w:tc>
        <w:tc>
          <w:tcPr>
            <w:tcW w:w="1030" w:type="dxa"/>
            <w:tcBorders>
              <w:top w:val="single" w:color="auto" w:sz="4" w:space="0"/>
              <w:left w:val="nil"/>
              <w:bottom w:val="single" w:color="auto" w:sz="4" w:space="0"/>
              <w:right w:val="single" w:color="auto" w:sz="4" w:space="0"/>
            </w:tcBorders>
            <w:noWrap/>
            <w:vAlign w:val="center"/>
          </w:tcPr>
          <w:p w14:paraId="11133566">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15*4</w:t>
            </w:r>
          </w:p>
        </w:tc>
        <w:tc>
          <w:tcPr>
            <w:tcW w:w="1031" w:type="dxa"/>
            <w:tcBorders>
              <w:top w:val="single" w:color="auto" w:sz="4" w:space="0"/>
              <w:left w:val="nil"/>
              <w:bottom w:val="single" w:color="auto" w:sz="4" w:space="0"/>
              <w:right w:val="single" w:color="auto" w:sz="4" w:space="0"/>
            </w:tcBorders>
            <w:noWrap/>
            <w:vAlign w:val="center"/>
          </w:tcPr>
          <w:p w14:paraId="09AF3EF8">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120</w:t>
            </w:r>
            <w:r>
              <w:rPr>
                <w:rFonts w:hint="eastAsia" w:ascii="宋体" w:hAnsi="宋体" w:cs="宋体"/>
                <w:color w:val="auto"/>
                <w:sz w:val="21"/>
                <w:szCs w:val="21"/>
                <w:highlight w:val="none"/>
              </w:rPr>
              <w:t>*4</w:t>
            </w:r>
          </w:p>
        </w:tc>
        <w:tc>
          <w:tcPr>
            <w:tcW w:w="1031" w:type="dxa"/>
            <w:tcBorders>
              <w:top w:val="single" w:color="auto" w:sz="4" w:space="0"/>
              <w:left w:val="nil"/>
              <w:bottom w:val="single" w:color="auto" w:sz="4" w:space="0"/>
              <w:right w:val="single" w:color="auto" w:sz="4" w:space="0"/>
            </w:tcBorders>
            <w:noWrap/>
            <w:vAlign w:val="center"/>
          </w:tcPr>
          <w:p w14:paraId="2DF52298">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5E0A2632">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06131819">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29955F8E">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25*4</w:t>
            </w:r>
          </w:p>
        </w:tc>
        <w:tc>
          <w:tcPr>
            <w:tcW w:w="1160" w:type="dxa"/>
            <w:tcBorders>
              <w:top w:val="single" w:color="auto" w:sz="4" w:space="0"/>
              <w:left w:val="nil"/>
              <w:bottom w:val="single" w:color="auto" w:sz="4" w:space="0"/>
              <w:right w:val="single" w:color="auto" w:sz="4" w:space="0"/>
            </w:tcBorders>
            <w:noWrap/>
            <w:vAlign w:val="center"/>
          </w:tcPr>
          <w:p w14:paraId="6AE6840E">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线路边断路器测控柜内设2台测控装置</w:t>
            </w:r>
          </w:p>
        </w:tc>
      </w:tr>
      <w:tr w14:paraId="48708ABE">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3921B9D6">
            <w:pPr>
              <w:spacing w:after="160" w:line="240" w:lineRule="auto"/>
              <w:jc w:val="center"/>
              <w:rPr>
                <w:rFonts w:ascii="宋体" w:hAnsi="宋体" w:cs="宋体"/>
                <w:color w:val="auto"/>
                <w:sz w:val="21"/>
                <w:szCs w:val="21"/>
                <w:highlight w:val="none"/>
              </w:rPr>
            </w:pPr>
            <w:r>
              <w:rPr>
                <w:rFonts w:hint="eastAsia" w:ascii="宋体"/>
                <w:color w:val="auto"/>
                <w:sz w:val="21"/>
                <w:szCs w:val="21"/>
                <w:highlight w:val="none"/>
                <w:lang w:val="en-US" w:eastAsia="zh-CN"/>
              </w:rPr>
              <w:t>750kV</w:t>
            </w:r>
            <w:r>
              <w:rPr>
                <w:rFonts w:hint="eastAsia" w:ascii="宋体"/>
                <w:color w:val="auto"/>
                <w:sz w:val="21"/>
                <w:szCs w:val="21"/>
                <w:highlight w:val="none"/>
              </w:rPr>
              <w:t>母设及公用测控（共2个）</w:t>
            </w:r>
          </w:p>
        </w:tc>
        <w:tc>
          <w:tcPr>
            <w:tcW w:w="1030" w:type="dxa"/>
            <w:tcBorders>
              <w:top w:val="single" w:color="auto" w:sz="4" w:space="0"/>
              <w:left w:val="nil"/>
              <w:bottom w:val="single" w:color="auto" w:sz="4" w:space="0"/>
              <w:right w:val="single" w:color="auto" w:sz="4" w:space="0"/>
            </w:tcBorders>
            <w:noWrap/>
            <w:vAlign w:val="center"/>
          </w:tcPr>
          <w:p w14:paraId="5D33746C">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3*2</w:t>
            </w:r>
          </w:p>
        </w:tc>
        <w:tc>
          <w:tcPr>
            <w:tcW w:w="1031" w:type="dxa"/>
            <w:tcBorders>
              <w:top w:val="single" w:color="auto" w:sz="4" w:space="0"/>
              <w:left w:val="nil"/>
              <w:bottom w:val="single" w:color="auto" w:sz="4" w:space="0"/>
              <w:right w:val="single" w:color="auto" w:sz="4" w:space="0"/>
            </w:tcBorders>
            <w:noWrap/>
            <w:vAlign w:val="center"/>
          </w:tcPr>
          <w:p w14:paraId="2FC1FD5A">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0*2</w:t>
            </w:r>
          </w:p>
        </w:tc>
        <w:tc>
          <w:tcPr>
            <w:tcW w:w="1031" w:type="dxa"/>
            <w:tcBorders>
              <w:top w:val="single" w:color="auto" w:sz="4" w:space="0"/>
              <w:left w:val="nil"/>
              <w:bottom w:val="single" w:color="auto" w:sz="4" w:space="0"/>
              <w:right w:val="single" w:color="auto" w:sz="4" w:space="0"/>
            </w:tcBorders>
            <w:noWrap/>
            <w:vAlign w:val="center"/>
          </w:tcPr>
          <w:p w14:paraId="2A96B1FF">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2A7E58C0">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16*2</w:t>
            </w:r>
          </w:p>
        </w:tc>
        <w:tc>
          <w:tcPr>
            <w:tcW w:w="1031" w:type="dxa"/>
            <w:tcBorders>
              <w:top w:val="single" w:color="auto" w:sz="4" w:space="0"/>
              <w:left w:val="nil"/>
              <w:bottom w:val="single" w:color="auto" w:sz="4" w:space="0"/>
              <w:right w:val="single" w:color="auto" w:sz="4" w:space="0"/>
            </w:tcBorders>
            <w:noWrap/>
            <w:vAlign w:val="center"/>
          </w:tcPr>
          <w:p w14:paraId="37E755C6">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0E49FD7E">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10*2</w:t>
            </w:r>
          </w:p>
        </w:tc>
        <w:tc>
          <w:tcPr>
            <w:tcW w:w="1160" w:type="dxa"/>
            <w:tcBorders>
              <w:top w:val="single" w:color="auto" w:sz="4" w:space="0"/>
              <w:left w:val="nil"/>
              <w:bottom w:val="single" w:color="auto" w:sz="4" w:space="0"/>
              <w:right w:val="single" w:color="auto" w:sz="4" w:space="0"/>
            </w:tcBorders>
            <w:noWrap/>
            <w:vAlign w:val="center"/>
          </w:tcPr>
          <w:p w14:paraId="16069933">
            <w:pPr>
              <w:spacing w:after="160" w:line="240" w:lineRule="auto"/>
              <w:jc w:val="center"/>
              <w:rPr>
                <w:rFonts w:ascii="宋体" w:hAnsi="宋体" w:cs="宋体"/>
                <w:color w:val="auto"/>
                <w:sz w:val="21"/>
                <w:szCs w:val="21"/>
                <w:highlight w:val="none"/>
              </w:rPr>
            </w:pPr>
          </w:p>
        </w:tc>
      </w:tr>
      <w:tr w14:paraId="02AB87D4">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13FD499A">
            <w:pPr>
              <w:spacing w:after="160"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color w:val="auto"/>
                <w:sz w:val="21"/>
                <w:szCs w:val="21"/>
                <w:highlight w:val="none"/>
                <w:lang w:val="en-US" w:eastAsia="zh-CN"/>
              </w:rPr>
              <w:t>110kV</w:t>
            </w:r>
            <w:r>
              <w:rPr>
                <w:rFonts w:hint="eastAsia" w:ascii="宋体"/>
                <w:color w:val="auto"/>
                <w:sz w:val="21"/>
                <w:szCs w:val="21"/>
                <w:highlight w:val="none"/>
              </w:rPr>
              <w:t>断路器（</w:t>
            </w:r>
            <w:r>
              <w:rPr>
                <w:rFonts w:hint="eastAsia" w:ascii="宋体"/>
                <w:color w:val="auto"/>
                <w:sz w:val="21"/>
                <w:szCs w:val="21"/>
                <w:highlight w:val="none"/>
                <w:lang w:val="en-US" w:eastAsia="zh-CN"/>
              </w:rPr>
              <w:t>1台起备变</w:t>
            </w:r>
            <w:r>
              <w:rPr>
                <w:rFonts w:hint="eastAsia" w:ascii="宋体"/>
                <w:color w:val="auto"/>
                <w:sz w:val="21"/>
                <w:szCs w:val="21"/>
                <w:highlight w:val="none"/>
              </w:rPr>
              <w:t>）</w:t>
            </w:r>
          </w:p>
        </w:tc>
        <w:tc>
          <w:tcPr>
            <w:tcW w:w="1030" w:type="dxa"/>
            <w:tcBorders>
              <w:top w:val="single" w:color="auto" w:sz="4" w:space="0"/>
              <w:left w:val="nil"/>
              <w:bottom w:val="single" w:color="auto" w:sz="4" w:space="0"/>
              <w:right w:val="single" w:color="auto" w:sz="4" w:space="0"/>
            </w:tcBorders>
            <w:noWrap/>
            <w:vAlign w:val="center"/>
          </w:tcPr>
          <w:p w14:paraId="5CF4CFC9">
            <w:pPr>
              <w:spacing w:after="160"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10</w:t>
            </w:r>
          </w:p>
        </w:tc>
        <w:tc>
          <w:tcPr>
            <w:tcW w:w="1031" w:type="dxa"/>
            <w:tcBorders>
              <w:top w:val="single" w:color="auto" w:sz="4" w:space="0"/>
              <w:left w:val="nil"/>
              <w:bottom w:val="single" w:color="auto" w:sz="4" w:space="0"/>
              <w:right w:val="single" w:color="auto" w:sz="4" w:space="0"/>
            </w:tcBorders>
            <w:noWrap/>
            <w:vAlign w:val="center"/>
          </w:tcPr>
          <w:p w14:paraId="39016976">
            <w:pPr>
              <w:spacing w:after="160"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60</w:t>
            </w:r>
          </w:p>
        </w:tc>
        <w:tc>
          <w:tcPr>
            <w:tcW w:w="1031" w:type="dxa"/>
            <w:tcBorders>
              <w:top w:val="single" w:color="auto" w:sz="4" w:space="0"/>
              <w:left w:val="nil"/>
              <w:bottom w:val="single" w:color="auto" w:sz="4" w:space="0"/>
              <w:right w:val="single" w:color="auto" w:sz="4" w:space="0"/>
            </w:tcBorders>
            <w:noWrap/>
            <w:vAlign w:val="center"/>
          </w:tcPr>
          <w:p w14:paraId="763D99B5">
            <w:pPr>
              <w:spacing w:after="160" w:line="240" w:lineRule="auto"/>
              <w:jc w:val="center"/>
              <w:rPr>
                <w:rFonts w:ascii="宋体" w:hAnsi="宋体" w:eastAsia="宋体" w:cs="宋体"/>
                <w:color w:val="auto"/>
                <w:kern w:val="2"/>
                <w:sz w:val="21"/>
                <w:szCs w:val="21"/>
                <w:highlight w:val="none"/>
                <w:lang w:val="en-US" w:eastAsia="zh-CN" w:bidi="ar-SA"/>
              </w:rPr>
            </w:pPr>
          </w:p>
        </w:tc>
        <w:tc>
          <w:tcPr>
            <w:tcW w:w="1031" w:type="dxa"/>
            <w:tcBorders>
              <w:top w:val="single" w:color="auto" w:sz="4" w:space="0"/>
              <w:left w:val="nil"/>
              <w:bottom w:val="single" w:color="auto" w:sz="4" w:space="0"/>
              <w:right w:val="single" w:color="auto" w:sz="4" w:space="0"/>
            </w:tcBorders>
            <w:noWrap/>
            <w:vAlign w:val="center"/>
          </w:tcPr>
          <w:p w14:paraId="39A12993">
            <w:pPr>
              <w:spacing w:after="160" w:line="240" w:lineRule="auto"/>
              <w:jc w:val="center"/>
              <w:rPr>
                <w:rFonts w:hint="eastAsia" w:ascii="宋体" w:hAnsi="宋体" w:eastAsia="宋体" w:cs="宋体"/>
                <w:color w:val="auto"/>
                <w:kern w:val="2"/>
                <w:sz w:val="21"/>
                <w:szCs w:val="21"/>
                <w:highlight w:val="none"/>
                <w:lang w:val="en-US" w:eastAsia="zh-CN" w:bidi="ar-SA"/>
              </w:rPr>
            </w:pPr>
          </w:p>
        </w:tc>
        <w:tc>
          <w:tcPr>
            <w:tcW w:w="1031" w:type="dxa"/>
            <w:tcBorders>
              <w:top w:val="single" w:color="auto" w:sz="4" w:space="0"/>
              <w:left w:val="nil"/>
              <w:bottom w:val="single" w:color="auto" w:sz="4" w:space="0"/>
              <w:right w:val="single" w:color="auto" w:sz="4" w:space="0"/>
            </w:tcBorders>
            <w:noWrap/>
            <w:vAlign w:val="center"/>
          </w:tcPr>
          <w:p w14:paraId="4B7A944B">
            <w:pPr>
              <w:spacing w:after="160" w:line="240" w:lineRule="auto"/>
              <w:jc w:val="center"/>
              <w:rPr>
                <w:rFonts w:ascii="宋体" w:hAnsi="宋体" w:eastAsia="宋体" w:cs="宋体"/>
                <w:color w:val="auto"/>
                <w:kern w:val="2"/>
                <w:sz w:val="21"/>
                <w:szCs w:val="21"/>
                <w:highlight w:val="none"/>
                <w:lang w:val="en-US" w:eastAsia="zh-CN" w:bidi="ar-SA"/>
              </w:rPr>
            </w:pPr>
          </w:p>
        </w:tc>
        <w:tc>
          <w:tcPr>
            <w:tcW w:w="1031" w:type="dxa"/>
            <w:tcBorders>
              <w:top w:val="single" w:color="auto" w:sz="4" w:space="0"/>
              <w:left w:val="nil"/>
              <w:bottom w:val="single" w:color="auto" w:sz="4" w:space="0"/>
              <w:right w:val="single" w:color="auto" w:sz="4" w:space="0"/>
            </w:tcBorders>
            <w:noWrap/>
            <w:vAlign w:val="center"/>
          </w:tcPr>
          <w:p w14:paraId="2DD0725A">
            <w:pPr>
              <w:spacing w:after="160"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20</w:t>
            </w:r>
          </w:p>
        </w:tc>
        <w:tc>
          <w:tcPr>
            <w:tcW w:w="1160" w:type="dxa"/>
            <w:tcBorders>
              <w:top w:val="single" w:color="auto" w:sz="4" w:space="0"/>
              <w:left w:val="nil"/>
              <w:bottom w:val="single" w:color="auto" w:sz="4" w:space="0"/>
              <w:right w:val="single" w:color="auto" w:sz="4" w:space="0"/>
            </w:tcBorders>
            <w:noWrap/>
            <w:vAlign w:val="center"/>
          </w:tcPr>
          <w:p w14:paraId="01147F5D">
            <w:pPr>
              <w:spacing w:after="160" w:line="240" w:lineRule="auto"/>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起备变110kV断路器测控柜内设2台测控装置</w:t>
            </w:r>
            <w:r>
              <w:rPr>
                <w:rFonts w:hint="eastAsia" w:ascii="宋体" w:hAnsi="宋体" w:cs="宋体"/>
                <w:color w:val="auto"/>
                <w:sz w:val="21"/>
                <w:szCs w:val="21"/>
                <w:highlight w:val="none"/>
              </w:rPr>
              <w:t>　</w:t>
            </w:r>
          </w:p>
        </w:tc>
      </w:tr>
      <w:tr w14:paraId="3A57783E">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449D05BD">
            <w:pPr>
              <w:spacing w:after="160" w:line="240" w:lineRule="auto"/>
              <w:jc w:val="center"/>
              <w:rPr>
                <w:rFonts w:ascii="宋体"/>
                <w:color w:val="auto"/>
                <w:sz w:val="21"/>
                <w:szCs w:val="21"/>
                <w:highlight w:val="none"/>
              </w:rPr>
            </w:pPr>
            <w:r>
              <w:rPr>
                <w:rFonts w:hint="eastAsia" w:ascii="宋体"/>
                <w:color w:val="auto"/>
                <w:sz w:val="21"/>
                <w:szCs w:val="21"/>
                <w:highlight w:val="none"/>
              </w:rPr>
              <w:t>机组测控（共2个，采集）</w:t>
            </w:r>
          </w:p>
        </w:tc>
        <w:tc>
          <w:tcPr>
            <w:tcW w:w="1030" w:type="dxa"/>
            <w:tcBorders>
              <w:top w:val="single" w:color="auto" w:sz="4" w:space="0"/>
              <w:left w:val="nil"/>
              <w:bottom w:val="single" w:color="auto" w:sz="4" w:space="0"/>
              <w:right w:val="single" w:color="auto" w:sz="4" w:space="0"/>
            </w:tcBorders>
            <w:noWrap/>
            <w:vAlign w:val="center"/>
          </w:tcPr>
          <w:p w14:paraId="0C47CB1D">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10*2</w:t>
            </w:r>
          </w:p>
        </w:tc>
        <w:tc>
          <w:tcPr>
            <w:tcW w:w="1031" w:type="dxa"/>
            <w:tcBorders>
              <w:top w:val="single" w:color="auto" w:sz="4" w:space="0"/>
              <w:left w:val="nil"/>
              <w:bottom w:val="single" w:color="auto" w:sz="4" w:space="0"/>
              <w:right w:val="single" w:color="auto" w:sz="4" w:space="0"/>
            </w:tcBorders>
            <w:noWrap/>
            <w:vAlign w:val="center"/>
          </w:tcPr>
          <w:p w14:paraId="3E239C21">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96</w:t>
            </w:r>
            <w:r>
              <w:rPr>
                <w:rFonts w:hint="eastAsia" w:ascii="宋体" w:hAnsi="宋体" w:cs="宋体"/>
                <w:color w:val="auto"/>
                <w:sz w:val="21"/>
                <w:szCs w:val="21"/>
                <w:highlight w:val="none"/>
              </w:rPr>
              <w:t>*2</w:t>
            </w:r>
          </w:p>
        </w:tc>
        <w:tc>
          <w:tcPr>
            <w:tcW w:w="1031" w:type="dxa"/>
            <w:tcBorders>
              <w:top w:val="single" w:color="auto" w:sz="4" w:space="0"/>
              <w:left w:val="nil"/>
              <w:bottom w:val="single" w:color="auto" w:sz="4" w:space="0"/>
              <w:right w:val="single" w:color="auto" w:sz="4" w:space="0"/>
            </w:tcBorders>
            <w:noWrap/>
            <w:vAlign w:val="center"/>
          </w:tcPr>
          <w:p w14:paraId="3F70CFA8">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390E9FE9">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rPr>
              <w:t>*2</w:t>
            </w:r>
          </w:p>
        </w:tc>
        <w:tc>
          <w:tcPr>
            <w:tcW w:w="1031" w:type="dxa"/>
            <w:tcBorders>
              <w:top w:val="single" w:color="auto" w:sz="4" w:space="0"/>
              <w:left w:val="nil"/>
              <w:bottom w:val="single" w:color="auto" w:sz="4" w:space="0"/>
              <w:right w:val="single" w:color="auto" w:sz="4" w:space="0"/>
            </w:tcBorders>
            <w:noWrap/>
            <w:vAlign w:val="center"/>
          </w:tcPr>
          <w:p w14:paraId="5755D326">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4025226F">
            <w:pPr>
              <w:spacing w:after="160" w:line="240" w:lineRule="auto"/>
              <w:jc w:val="center"/>
              <w:rPr>
                <w:rFonts w:ascii="宋体" w:hAnsi="宋体" w:cs="宋体"/>
                <w:color w:val="auto"/>
                <w:sz w:val="21"/>
                <w:szCs w:val="21"/>
                <w:highlight w:val="none"/>
              </w:rPr>
            </w:pPr>
          </w:p>
        </w:tc>
        <w:tc>
          <w:tcPr>
            <w:tcW w:w="1160" w:type="dxa"/>
            <w:tcBorders>
              <w:top w:val="single" w:color="auto" w:sz="4" w:space="0"/>
              <w:left w:val="nil"/>
              <w:bottom w:val="single" w:color="auto" w:sz="4" w:space="0"/>
              <w:right w:val="single" w:color="auto" w:sz="4" w:space="0"/>
            </w:tcBorders>
            <w:noWrap/>
            <w:vAlign w:val="center"/>
          </w:tcPr>
          <w:p w14:paraId="5A840FDA">
            <w:pPr>
              <w:spacing w:after="160" w:line="240" w:lineRule="auto"/>
              <w:jc w:val="center"/>
              <w:rPr>
                <w:rFonts w:ascii="宋体" w:hAnsi="宋体" w:cs="宋体"/>
                <w:color w:val="auto"/>
                <w:sz w:val="21"/>
                <w:szCs w:val="21"/>
                <w:highlight w:val="none"/>
              </w:rPr>
            </w:pPr>
          </w:p>
        </w:tc>
      </w:tr>
      <w:tr w14:paraId="1B7782EE">
        <w:tblPrEx>
          <w:tblCellMar>
            <w:top w:w="0" w:type="dxa"/>
            <w:left w:w="108" w:type="dxa"/>
            <w:bottom w:w="0" w:type="dxa"/>
            <w:right w:w="108" w:type="dxa"/>
          </w:tblCellMar>
        </w:tblPrEx>
        <w:trPr>
          <w:trHeight w:val="340" w:hRule="atLeast"/>
          <w:jc w:val="center"/>
        </w:trPr>
        <w:tc>
          <w:tcPr>
            <w:tcW w:w="1159" w:type="dxa"/>
            <w:tcBorders>
              <w:top w:val="single" w:color="auto" w:sz="4" w:space="0"/>
              <w:left w:val="single" w:color="auto" w:sz="4" w:space="0"/>
              <w:bottom w:val="single" w:color="auto" w:sz="4" w:space="0"/>
              <w:right w:val="single" w:color="auto" w:sz="4" w:space="0"/>
            </w:tcBorders>
            <w:noWrap/>
            <w:vAlign w:val="center"/>
          </w:tcPr>
          <w:p w14:paraId="47978870">
            <w:pPr>
              <w:spacing w:after="160" w:line="240" w:lineRule="auto"/>
              <w:jc w:val="center"/>
              <w:rPr>
                <w:rFonts w:ascii="宋体"/>
                <w:color w:val="auto"/>
                <w:sz w:val="21"/>
                <w:szCs w:val="21"/>
                <w:highlight w:val="none"/>
              </w:rPr>
            </w:pPr>
            <w:r>
              <w:rPr>
                <w:rFonts w:hint="eastAsia" w:ascii="宋体"/>
                <w:color w:val="auto"/>
                <w:sz w:val="21"/>
                <w:szCs w:val="21"/>
                <w:highlight w:val="none"/>
              </w:rPr>
              <w:t>AGC测控（共2个，控制）</w:t>
            </w:r>
          </w:p>
        </w:tc>
        <w:tc>
          <w:tcPr>
            <w:tcW w:w="1030" w:type="dxa"/>
            <w:tcBorders>
              <w:top w:val="single" w:color="auto" w:sz="4" w:space="0"/>
              <w:left w:val="nil"/>
              <w:bottom w:val="single" w:color="auto" w:sz="4" w:space="0"/>
              <w:right w:val="single" w:color="auto" w:sz="4" w:space="0"/>
            </w:tcBorders>
            <w:noWrap/>
            <w:vAlign w:val="center"/>
          </w:tcPr>
          <w:p w14:paraId="07CD0144">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4DBFD276">
            <w:pPr>
              <w:spacing w:after="160" w:line="240" w:lineRule="auto"/>
              <w:jc w:val="center"/>
              <w:rPr>
                <w:rFonts w:hint="default" w:ascii="宋体" w:hAnsi="宋体" w:eastAsia="宋体" w:cs="宋体"/>
                <w:color w:val="auto"/>
                <w:sz w:val="21"/>
                <w:szCs w:val="21"/>
                <w:highlight w:val="none"/>
                <w:lang w:val="en-US" w:eastAsia="zh-CN"/>
              </w:rPr>
            </w:pPr>
          </w:p>
        </w:tc>
        <w:tc>
          <w:tcPr>
            <w:tcW w:w="1031" w:type="dxa"/>
            <w:tcBorders>
              <w:top w:val="single" w:color="auto" w:sz="4" w:space="0"/>
              <w:left w:val="nil"/>
              <w:bottom w:val="single" w:color="auto" w:sz="4" w:space="0"/>
              <w:right w:val="single" w:color="auto" w:sz="4" w:space="0"/>
            </w:tcBorders>
            <w:noWrap/>
            <w:vAlign w:val="center"/>
          </w:tcPr>
          <w:p w14:paraId="4E2DE21F">
            <w:pPr>
              <w:spacing w:after="160" w:line="240" w:lineRule="auto"/>
              <w:jc w:val="center"/>
              <w:rPr>
                <w:rFonts w:ascii="宋体" w:hAnsi="宋体" w:cs="宋体"/>
                <w:color w:val="auto"/>
                <w:sz w:val="21"/>
                <w:szCs w:val="21"/>
                <w:highlight w:val="none"/>
              </w:rPr>
            </w:pPr>
          </w:p>
        </w:tc>
        <w:tc>
          <w:tcPr>
            <w:tcW w:w="1031" w:type="dxa"/>
            <w:tcBorders>
              <w:top w:val="single" w:color="auto" w:sz="4" w:space="0"/>
              <w:left w:val="nil"/>
              <w:bottom w:val="single" w:color="auto" w:sz="4" w:space="0"/>
              <w:right w:val="single" w:color="auto" w:sz="4" w:space="0"/>
            </w:tcBorders>
            <w:noWrap/>
            <w:vAlign w:val="center"/>
          </w:tcPr>
          <w:p w14:paraId="44B47823">
            <w:pPr>
              <w:spacing w:after="160"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8*2</w:t>
            </w:r>
          </w:p>
        </w:tc>
        <w:tc>
          <w:tcPr>
            <w:tcW w:w="1031" w:type="dxa"/>
            <w:tcBorders>
              <w:top w:val="single" w:color="auto" w:sz="4" w:space="0"/>
              <w:left w:val="nil"/>
              <w:bottom w:val="single" w:color="auto" w:sz="4" w:space="0"/>
              <w:right w:val="single" w:color="auto" w:sz="4" w:space="0"/>
            </w:tcBorders>
            <w:noWrap/>
            <w:vAlign w:val="center"/>
          </w:tcPr>
          <w:p w14:paraId="4D45E43C">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5*2</w:t>
            </w:r>
          </w:p>
        </w:tc>
        <w:tc>
          <w:tcPr>
            <w:tcW w:w="1031" w:type="dxa"/>
            <w:tcBorders>
              <w:top w:val="single" w:color="auto" w:sz="4" w:space="0"/>
              <w:left w:val="nil"/>
              <w:bottom w:val="single" w:color="auto" w:sz="4" w:space="0"/>
              <w:right w:val="single" w:color="auto" w:sz="4" w:space="0"/>
            </w:tcBorders>
            <w:noWrap/>
            <w:vAlign w:val="center"/>
          </w:tcPr>
          <w:p w14:paraId="31788D53">
            <w:pPr>
              <w:spacing w:after="160" w:line="24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8*2</w:t>
            </w:r>
          </w:p>
        </w:tc>
        <w:tc>
          <w:tcPr>
            <w:tcW w:w="1160" w:type="dxa"/>
            <w:tcBorders>
              <w:top w:val="single" w:color="auto" w:sz="4" w:space="0"/>
              <w:left w:val="nil"/>
              <w:bottom w:val="single" w:color="auto" w:sz="4" w:space="0"/>
              <w:right w:val="single" w:color="auto" w:sz="4" w:space="0"/>
            </w:tcBorders>
            <w:noWrap/>
            <w:vAlign w:val="center"/>
          </w:tcPr>
          <w:p w14:paraId="66EFCE89">
            <w:pPr>
              <w:spacing w:after="160" w:line="240" w:lineRule="auto"/>
              <w:jc w:val="center"/>
              <w:rPr>
                <w:rFonts w:ascii="宋体" w:hAnsi="宋体" w:cs="宋体"/>
                <w:color w:val="auto"/>
                <w:sz w:val="21"/>
                <w:szCs w:val="21"/>
                <w:highlight w:val="none"/>
              </w:rPr>
            </w:pPr>
          </w:p>
        </w:tc>
      </w:tr>
    </w:tbl>
    <w:p w14:paraId="35D5031B">
      <w:pPr>
        <w:pStyle w:val="3"/>
        <w:rPr>
          <w:color w:val="auto"/>
          <w:highlight w:val="none"/>
        </w:rPr>
      </w:pPr>
    </w:p>
    <w:p w14:paraId="3B59A88D">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断路器控制输出量应每点经重动继电器输出3个开关量.</w:t>
      </w:r>
    </w:p>
    <w:p w14:paraId="265C6A30">
      <w:pPr>
        <w:tabs>
          <w:tab w:val="left" w:pos="1275"/>
        </w:tabs>
        <w:spacing w:line="360" w:lineRule="auto"/>
        <w:ind w:firstLine="480" w:firstLineChars="200"/>
        <w:rPr>
          <w:rFonts w:hint="eastAsia" w:ascii="宋体"/>
          <w:color w:val="auto"/>
          <w:sz w:val="24"/>
          <w:szCs w:val="24"/>
          <w:highlight w:val="none"/>
        </w:rPr>
      </w:pPr>
      <w:r>
        <w:rPr>
          <w:rFonts w:hint="eastAsia" w:ascii="宋体"/>
          <w:color w:val="auto"/>
          <w:sz w:val="24"/>
          <w:szCs w:val="24"/>
          <w:highlight w:val="none"/>
        </w:rPr>
        <w:t>隔离开关的控制输出其中部分为电平量输出，部分为脉冲输出，在设计联络会确定。</w:t>
      </w:r>
    </w:p>
    <w:p w14:paraId="44AC0CDD">
      <w:pPr>
        <w:tabs>
          <w:tab w:val="left" w:pos="1275"/>
        </w:tabs>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I/O点数量为暂定，最终数量将根据工程实际需要在设计联络会确定</w:t>
      </w:r>
      <w:r>
        <w:rPr>
          <w:rFonts w:hint="eastAsia" w:ascii="宋体"/>
          <w:color w:val="auto"/>
          <w:sz w:val="24"/>
          <w:szCs w:val="24"/>
          <w:highlight w:val="none"/>
          <w:lang w:eastAsia="zh-CN"/>
        </w:rPr>
        <w:t>。</w:t>
      </w:r>
    </w:p>
    <w:p w14:paraId="73C8B292">
      <w:pPr>
        <w:spacing w:line="360" w:lineRule="auto"/>
        <w:rPr>
          <w:rFonts w:ascii="宋体"/>
          <w:b/>
          <w:color w:val="auto"/>
          <w:sz w:val="24"/>
          <w:szCs w:val="24"/>
          <w:highlight w:val="none"/>
        </w:rPr>
      </w:pPr>
      <w:bookmarkStart w:id="49" w:name="_Toc320606851"/>
      <w:bookmarkStart w:id="50" w:name="_Toc61442371"/>
      <w:r>
        <w:rPr>
          <w:rFonts w:ascii="宋体"/>
          <w:b/>
          <w:color w:val="auto"/>
          <w:sz w:val="24"/>
          <w:szCs w:val="24"/>
          <w:highlight w:val="none"/>
        </w:rPr>
        <w:t xml:space="preserve">3.10  </w:t>
      </w:r>
      <w:r>
        <w:rPr>
          <w:rFonts w:hint="eastAsia" w:ascii="宋体"/>
          <w:b/>
          <w:color w:val="auto"/>
          <w:sz w:val="24"/>
          <w:szCs w:val="24"/>
          <w:highlight w:val="none"/>
        </w:rPr>
        <w:t>升压站输出模拟量及计算量表</w:t>
      </w:r>
      <w:bookmarkEnd w:id="49"/>
      <w:bookmarkEnd w:id="50"/>
    </w:p>
    <w:p w14:paraId="7E5C24F8">
      <w:pPr>
        <w:rPr>
          <w:color w:val="auto"/>
          <w:spacing w:val="10"/>
          <w:sz w:val="21"/>
          <w:szCs w:val="21"/>
          <w:highlight w:val="none"/>
        </w:rPr>
      </w:pPr>
    </w:p>
    <w:tbl>
      <w:tblPr>
        <w:tblStyle w:val="31"/>
        <w:tblW w:w="853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95"/>
        <w:gridCol w:w="1985"/>
        <w:gridCol w:w="2410"/>
        <w:gridCol w:w="3543"/>
      </w:tblGrid>
      <w:tr w14:paraId="598933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595" w:type="dxa"/>
          </w:tcPr>
          <w:p w14:paraId="10D10878">
            <w:pPr>
              <w:jc w:val="center"/>
              <w:rPr>
                <w:rFonts w:ascii="宋体"/>
                <w:color w:val="auto"/>
                <w:sz w:val="21"/>
                <w:szCs w:val="21"/>
                <w:highlight w:val="none"/>
              </w:rPr>
            </w:pPr>
            <w:r>
              <w:rPr>
                <w:rFonts w:hint="eastAsia" w:ascii="宋体"/>
                <w:color w:val="auto"/>
                <w:sz w:val="21"/>
                <w:szCs w:val="21"/>
                <w:highlight w:val="none"/>
              </w:rPr>
              <w:t>序号</w:t>
            </w:r>
          </w:p>
        </w:tc>
        <w:tc>
          <w:tcPr>
            <w:tcW w:w="1985" w:type="dxa"/>
          </w:tcPr>
          <w:p w14:paraId="2EB92092">
            <w:pPr>
              <w:jc w:val="center"/>
              <w:rPr>
                <w:rFonts w:ascii="宋体"/>
                <w:color w:val="auto"/>
                <w:sz w:val="21"/>
                <w:szCs w:val="21"/>
                <w:highlight w:val="none"/>
              </w:rPr>
            </w:pPr>
            <w:r>
              <w:rPr>
                <w:rFonts w:hint="eastAsia" w:ascii="宋体"/>
                <w:color w:val="auto"/>
                <w:sz w:val="21"/>
                <w:szCs w:val="21"/>
                <w:highlight w:val="none"/>
              </w:rPr>
              <w:t>电气单元名称</w:t>
            </w:r>
          </w:p>
        </w:tc>
        <w:tc>
          <w:tcPr>
            <w:tcW w:w="2410" w:type="dxa"/>
          </w:tcPr>
          <w:p w14:paraId="717B74D6">
            <w:pPr>
              <w:jc w:val="center"/>
              <w:rPr>
                <w:rFonts w:ascii="宋体"/>
                <w:color w:val="auto"/>
                <w:sz w:val="21"/>
                <w:szCs w:val="21"/>
                <w:highlight w:val="none"/>
              </w:rPr>
            </w:pPr>
            <w:r>
              <w:rPr>
                <w:rFonts w:hint="eastAsia" w:ascii="宋体"/>
                <w:color w:val="auto"/>
                <w:sz w:val="21"/>
                <w:szCs w:val="21"/>
                <w:highlight w:val="none"/>
              </w:rPr>
              <w:t>输出交流量</w:t>
            </w:r>
          </w:p>
        </w:tc>
        <w:tc>
          <w:tcPr>
            <w:tcW w:w="3543" w:type="dxa"/>
          </w:tcPr>
          <w:p w14:paraId="1BAA0F0D">
            <w:pPr>
              <w:jc w:val="center"/>
              <w:rPr>
                <w:rFonts w:ascii="宋体"/>
                <w:color w:val="auto"/>
                <w:sz w:val="21"/>
                <w:szCs w:val="21"/>
                <w:highlight w:val="none"/>
              </w:rPr>
            </w:pPr>
            <w:r>
              <w:rPr>
                <w:rFonts w:hint="eastAsia" w:ascii="宋体"/>
                <w:color w:val="auto"/>
                <w:sz w:val="21"/>
                <w:szCs w:val="21"/>
                <w:highlight w:val="none"/>
              </w:rPr>
              <w:t>要求计算模拟量</w:t>
            </w:r>
          </w:p>
        </w:tc>
      </w:tr>
      <w:tr w14:paraId="4F7436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95" w:hRule="atLeast"/>
        </w:trPr>
        <w:tc>
          <w:tcPr>
            <w:tcW w:w="595" w:type="dxa"/>
          </w:tcPr>
          <w:p w14:paraId="48B5D7DB">
            <w:pPr>
              <w:jc w:val="center"/>
              <w:rPr>
                <w:rFonts w:ascii="宋体"/>
                <w:color w:val="auto"/>
                <w:sz w:val="21"/>
                <w:szCs w:val="21"/>
                <w:highlight w:val="none"/>
              </w:rPr>
            </w:pPr>
            <w:r>
              <w:rPr>
                <w:rFonts w:hint="eastAsia" w:ascii="宋体"/>
                <w:color w:val="auto"/>
                <w:sz w:val="21"/>
                <w:szCs w:val="21"/>
                <w:highlight w:val="none"/>
              </w:rPr>
              <w:t>1</w:t>
            </w:r>
          </w:p>
        </w:tc>
        <w:tc>
          <w:tcPr>
            <w:tcW w:w="1985" w:type="dxa"/>
          </w:tcPr>
          <w:p w14:paraId="57B4D749">
            <w:pPr>
              <w:rPr>
                <w:rFonts w:ascii="宋体"/>
                <w:color w:val="auto"/>
                <w:sz w:val="21"/>
                <w:szCs w:val="21"/>
                <w:highlight w:val="none"/>
              </w:rPr>
            </w:pPr>
            <w:r>
              <w:rPr>
                <w:rFonts w:hint="eastAsia" w:ascii="宋体"/>
                <w:color w:val="auto"/>
                <w:sz w:val="21"/>
                <w:szCs w:val="21"/>
                <w:highlight w:val="none"/>
                <w:lang w:val="en-US" w:eastAsia="zh-CN"/>
              </w:rPr>
              <w:t>750</w:t>
            </w:r>
            <w:r>
              <w:rPr>
                <w:rFonts w:ascii="宋体"/>
                <w:color w:val="auto"/>
                <w:sz w:val="21"/>
                <w:szCs w:val="21"/>
                <w:highlight w:val="none"/>
              </w:rPr>
              <w:t>kV</w:t>
            </w:r>
            <w:r>
              <w:rPr>
                <w:rFonts w:hint="eastAsia" w:ascii="宋体"/>
                <w:color w:val="auto"/>
                <w:sz w:val="21"/>
                <w:szCs w:val="21"/>
                <w:highlight w:val="none"/>
              </w:rPr>
              <w:t>线路</w:t>
            </w:r>
          </w:p>
        </w:tc>
        <w:tc>
          <w:tcPr>
            <w:tcW w:w="2410" w:type="dxa"/>
          </w:tcPr>
          <w:p w14:paraId="3EDBBB7A">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w:t>
            </w:r>
            <w:r>
              <w:rPr>
                <w:rFonts w:ascii="宋体"/>
                <w:color w:val="auto"/>
                <w:sz w:val="21"/>
                <w:szCs w:val="21"/>
                <w:highlight w:val="none"/>
              </w:rPr>
              <w:t>B</w:t>
            </w:r>
            <w:r>
              <w:rPr>
                <w:rFonts w:hint="eastAsia" w:ascii="宋体"/>
                <w:color w:val="auto"/>
                <w:sz w:val="21"/>
                <w:szCs w:val="21"/>
                <w:highlight w:val="none"/>
              </w:rPr>
              <w:t>、</w:t>
            </w:r>
            <w:r>
              <w:rPr>
                <w:rFonts w:ascii="宋体"/>
                <w:color w:val="auto"/>
                <w:sz w:val="21"/>
                <w:szCs w:val="21"/>
                <w:highlight w:val="none"/>
              </w:rPr>
              <w:t>C</w:t>
            </w:r>
            <w:r>
              <w:rPr>
                <w:rFonts w:hint="eastAsia" w:ascii="宋体"/>
                <w:color w:val="auto"/>
                <w:sz w:val="21"/>
                <w:szCs w:val="21"/>
                <w:highlight w:val="none"/>
              </w:rPr>
              <w:t>相电流</w:t>
            </w:r>
          </w:p>
          <w:p w14:paraId="3B240B90">
            <w:pPr>
              <w:rPr>
                <w:rFonts w:ascii="宋体"/>
                <w:color w:val="auto"/>
                <w:sz w:val="21"/>
                <w:szCs w:val="21"/>
                <w:highlight w:val="none"/>
              </w:rPr>
            </w:pPr>
            <w:r>
              <w:rPr>
                <w:rFonts w:ascii="宋体"/>
                <w:color w:val="auto"/>
                <w:sz w:val="21"/>
                <w:szCs w:val="21"/>
                <w:highlight w:val="none"/>
              </w:rPr>
              <w:t xml:space="preserve">UAB ,UBC ,UCA </w:t>
            </w:r>
            <w:r>
              <w:rPr>
                <w:rFonts w:hint="eastAsia" w:ascii="宋体"/>
                <w:color w:val="auto"/>
                <w:sz w:val="21"/>
                <w:szCs w:val="21"/>
                <w:highlight w:val="none"/>
              </w:rPr>
              <w:t>电压</w:t>
            </w:r>
          </w:p>
        </w:tc>
        <w:tc>
          <w:tcPr>
            <w:tcW w:w="3543" w:type="dxa"/>
          </w:tcPr>
          <w:p w14:paraId="6A8EAC2E">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w:t>
            </w:r>
            <w:r>
              <w:rPr>
                <w:rFonts w:ascii="宋体"/>
                <w:color w:val="auto"/>
                <w:sz w:val="21"/>
                <w:szCs w:val="21"/>
                <w:highlight w:val="none"/>
              </w:rPr>
              <w:t>B</w:t>
            </w:r>
            <w:r>
              <w:rPr>
                <w:rFonts w:hint="eastAsia" w:ascii="宋体"/>
                <w:color w:val="auto"/>
                <w:sz w:val="21"/>
                <w:szCs w:val="21"/>
                <w:highlight w:val="none"/>
              </w:rPr>
              <w:t>、</w:t>
            </w:r>
            <w:r>
              <w:rPr>
                <w:rFonts w:ascii="宋体"/>
                <w:color w:val="auto"/>
                <w:sz w:val="21"/>
                <w:szCs w:val="21"/>
                <w:highlight w:val="none"/>
              </w:rPr>
              <w:t>C</w:t>
            </w:r>
            <w:r>
              <w:rPr>
                <w:rFonts w:hint="eastAsia" w:ascii="宋体"/>
                <w:color w:val="auto"/>
                <w:sz w:val="21"/>
                <w:szCs w:val="21"/>
                <w:highlight w:val="none"/>
              </w:rPr>
              <w:t>相电流，</w:t>
            </w:r>
            <w:r>
              <w:rPr>
                <w:rFonts w:ascii="宋体"/>
                <w:color w:val="auto"/>
                <w:sz w:val="21"/>
                <w:szCs w:val="21"/>
                <w:highlight w:val="none"/>
              </w:rPr>
              <w:t>A</w:t>
            </w:r>
            <w:r>
              <w:rPr>
                <w:rFonts w:hint="eastAsia" w:ascii="宋体"/>
                <w:color w:val="auto"/>
                <w:sz w:val="21"/>
                <w:szCs w:val="21"/>
                <w:highlight w:val="none"/>
              </w:rPr>
              <w:t>相电压，有功、无功功率，功率因数，双向有功</w:t>
            </w:r>
          </w:p>
        </w:tc>
      </w:tr>
      <w:tr w14:paraId="766241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21" w:hRule="atLeast"/>
        </w:trPr>
        <w:tc>
          <w:tcPr>
            <w:tcW w:w="595" w:type="dxa"/>
          </w:tcPr>
          <w:p w14:paraId="292D83CA">
            <w:pPr>
              <w:jc w:val="center"/>
              <w:rPr>
                <w:rFonts w:ascii="宋体"/>
                <w:color w:val="auto"/>
                <w:sz w:val="21"/>
                <w:szCs w:val="21"/>
                <w:highlight w:val="none"/>
              </w:rPr>
            </w:pPr>
            <w:r>
              <w:rPr>
                <w:rFonts w:hint="eastAsia" w:ascii="宋体"/>
                <w:color w:val="auto"/>
                <w:sz w:val="21"/>
                <w:szCs w:val="21"/>
                <w:highlight w:val="none"/>
              </w:rPr>
              <w:t>2</w:t>
            </w:r>
          </w:p>
        </w:tc>
        <w:tc>
          <w:tcPr>
            <w:tcW w:w="1985" w:type="dxa"/>
          </w:tcPr>
          <w:p w14:paraId="51EDCDB9">
            <w:pPr>
              <w:rPr>
                <w:rFonts w:ascii="宋体"/>
                <w:color w:val="auto"/>
                <w:sz w:val="21"/>
                <w:szCs w:val="21"/>
                <w:highlight w:val="none"/>
              </w:rPr>
            </w:pPr>
            <w:r>
              <w:rPr>
                <w:rFonts w:hint="eastAsia" w:ascii="宋体"/>
                <w:color w:val="auto"/>
                <w:sz w:val="21"/>
                <w:szCs w:val="21"/>
                <w:highlight w:val="none"/>
              </w:rPr>
              <w:t>主变</w:t>
            </w:r>
            <w:r>
              <w:rPr>
                <w:rFonts w:hint="eastAsia" w:ascii="宋体"/>
                <w:color w:val="auto"/>
                <w:sz w:val="21"/>
                <w:szCs w:val="21"/>
                <w:highlight w:val="none"/>
                <w:lang w:val="en-US" w:eastAsia="zh-CN"/>
              </w:rPr>
              <w:t>750</w:t>
            </w:r>
            <w:r>
              <w:rPr>
                <w:rFonts w:ascii="宋体"/>
                <w:color w:val="auto"/>
                <w:sz w:val="21"/>
                <w:szCs w:val="21"/>
                <w:highlight w:val="none"/>
              </w:rPr>
              <w:t>kV</w:t>
            </w:r>
            <w:r>
              <w:rPr>
                <w:rFonts w:hint="eastAsia" w:ascii="宋体"/>
                <w:color w:val="auto"/>
                <w:sz w:val="21"/>
                <w:szCs w:val="21"/>
                <w:highlight w:val="none"/>
              </w:rPr>
              <w:t>侧</w:t>
            </w:r>
          </w:p>
        </w:tc>
        <w:tc>
          <w:tcPr>
            <w:tcW w:w="2410" w:type="dxa"/>
          </w:tcPr>
          <w:p w14:paraId="25513CD3">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w:t>
            </w:r>
            <w:r>
              <w:rPr>
                <w:rFonts w:ascii="宋体"/>
                <w:color w:val="auto"/>
                <w:sz w:val="21"/>
                <w:szCs w:val="21"/>
                <w:highlight w:val="none"/>
              </w:rPr>
              <w:t>B</w:t>
            </w:r>
            <w:r>
              <w:rPr>
                <w:rFonts w:hint="eastAsia" w:ascii="宋体"/>
                <w:color w:val="auto"/>
                <w:sz w:val="21"/>
                <w:szCs w:val="21"/>
                <w:highlight w:val="none"/>
              </w:rPr>
              <w:t>、</w:t>
            </w:r>
            <w:r>
              <w:rPr>
                <w:rFonts w:ascii="宋体"/>
                <w:color w:val="auto"/>
                <w:sz w:val="21"/>
                <w:szCs w:val="21"/>
                <w:highlight w:val="none"/>
              </w:rPr>
              <w:t>C</w:t>
            </w:r>
            <w:r>
              <w:rPr>
                <w:rFonts w:hint="eastAsia" w:ascii="宋体"/>
                <w:color w:val="auto"/>
                <w:sz w:val="21"/>
                <w:szCs w:val="21"/>
                <w:highlight w:val="none"/>
              </w:rPr>
              <w:t>相电流</w:t>
            </w:r>
          </w:p>
          <w:p w14:paraId="468F8AA0">
            <w:pPr>
              <w:rPr>
                <w:rFonts w:ascii="宋体"/>
                <w:color w:val="auto"/>
                <w:sz w:val="21"/>
                <w:szCs w:val="21"/>
                <w:highlight w:val="none"/>
              </w:rPr>
            </w:pPr>
            <w:r>
              <w:rPr>
                <w:rFonts w:ascii="宋体"/>
                <w:color w:val="auto"/>
                <w:sz w:val="21"/>
                <w:szCs w:val="21"/>
                <w:highlight w:val="none"/>
              </w:rPr>
              <w:t xml:space="preserve">UAB ,UBC ,UCA </w:t>
            </w:r>
            <w:r>
              <w:rPr>
                <w:rFonts w:hint="eastAsia" w:ascii="宋体"/>
                <w:color w:val="auto"/>
                <w:sz w:val="21"/>
                <w:szCs w:val="21"/>
                <w:highlight w:val="none"/>
              </w:rPr>
              <w:t>电压</w:t>
            </w:r>
          </w:p>
        </w:tc>
        <w:tc>
          <w:tcPr>
            <w:tcW w:w="3543" w:type="dxa"/>
          </w:tcPr>
          <w:p w14:paraId="67004074">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w:t>
            </w:r>
            <w:r>
              <w:rPr>
                <w:rFonts w:ascii="宋体"/>
                <w:color w:val="auto"/>
                <w:sz w:val="21"/>
                <w:szCs w:val="21"/>
                <w:highlight w:val="none"/>
              </w:rPr>
              <w:t>B</w:t>
            </w:r>
            <w:r>
              <w:rPr>
                <w:rFonts w:hint="eastAsia" w:ascii="宋体"/>
                <w:color w:val="auto"/>
                <w:sz w:val="21"/>
                <w:szCs w:val="21"/>
                <w:highlight w:val="none"/>
              </w:rPr>
              <w:t>、</w:t>
            </w:r>
            <w:r>
              <w:rPr>
                <w:rFonts w:ascii="宋体"/>
                <w:color w:val="auto"/>
                <w:sz w:val="21"/>
                <w:szCs w:val="21"/>
                <w:highlight w:val="none"/>
              </w:rPr>
              <w:t>C</w:t>
            </w:r>
            <w:r>
              <w:rPr>
                <w:rFonts w:hint="eastAsia" w:ascii="宋体"/>
                <w:color w:val="auto"/>
                <w:sz w:val="21"/>
                <w:szCs w:val="21"/>
                <w:highlight w:val="none"/>
              </w:rPr>
              <w:t>相电流，</w:t>
            </w:r>
            <w:r>
              <w:rPr>
                <w:rFonts w:ascii="宋体"/>
                <w:color w:val="auto"/>
                <w:sz w:val="21"/>
                <w:szCs w:val="21"/>
                <w:highlight w:val="none"/>
              </w:rPr>
              <w:t>A</w:t>
            </w:r>
            <w:r>
              <w:rPr>
                <w:rFonts w:hint="eastAsia" w:ascii="宋体"/>
                <w:color w:val="auto"/>
                <w:sz w:val="21"/>
                <w:szCs w:val="21"/>
                <w:highlight w:val="none"/>
              </w:rPr>
              <w:t>相电压，有功、无功功率，功率因数，双向有功</w:t>
            </w:r>
          </w:p>
        </w:tc>
      </w:tr>
      <w:tr w14:paraId="6ADF7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2" w:hRule="atLeast"/>
        </w:trPr>
        <w:tc>
          <w:tcPr>
            <w:tcW w:w="595" w:type="dxa"/>
          </w:tcPr>
          <w:p w14:paraId="5BFD632E">
            <w:pPr>
              <w:jc w:val="center"/>
              <w:rPr>
                <w:rFonts w:ascii="宋体"/>
                <w:color w:val="auto"/>
                <w:sz w:val="21"/>
                <w:szCs w:val="21"/>
                <w:highlight w:val="none"/>
              </w:rPr>
            </w:pPr>
            <w:r>
              <w:rPr>
                <w:rFonts w:hint="eastAsia" w:ascii="宋体"/>
                <w:color w:val="auto"/>
                <w:sz w:val="21"/>
                <w:szCs w:val="21"/>
                <w:highlight w:val="none"/>
              </w:rPr>
              <w:t>3</w:t>
            </w:r>
          </w:p>
        </w:tc>
        <w:tc>
          <w:tcPr>
            <w:tcW w:w="1985" w:type="dxa"/>
          </w:tcPr>
          <w:p w14:paraId="5A33AF88">
            <w:pPr>
              <w:rPr>
                <w:rFonts w:ascii="宋体"/>
                <w:color w:val="auto"/>
                <w:sz w:val="21"/>
                <w:szCs w:val="21"/>
                <w:highlight w:val="none"/>
              </w:rPr>
            </w:pPr>
            <w:r>
              <w:rPr>
                <w:rFonts w:hint="eastAsia" w:ascii="宋体"/>
                <w:color w:val="auto"/>
                <w:sz w:val="21"/>
                <w:szCs w:val="21"/>
                <w:highlight w:val="none"/>
                <w:lang w:val="en-US" w:eastAsia="zh-CN"/>
              </w:rPr>
              <w:t>750</w:t>
            </w:r>
            <w:r>
              <w:rPr>
                <w:rFonts w:ascii="宋体"/>
                <w:color w:val="auto"/>
                <w:sz w:val="21"/>
                <w:szCs w:val="21"/>
                <w:highlight w:val="none"/>
              </w:rPr>
              <w:t>kV</w:t>
            </w:r>
            <w:r>
              <w:rPr>
                <w:rFonts w:hint="eastAsia" w:ascii="宋体"/>
                <w:color w:val="auto"/>
                <w:sz w:val="21"/>
                <w:szCs w:val="21"/>
                <w:highlight w:val="none"/>
              </w:rPr>
              <w:t>断路器</w:t>
            </w:r>
          </w:p>
        </w:tc>
        <w:tc>
          <w:tcPr>
            <w:tcW w:w="2410" w:type="dxa"/>
          </w:tcPr>
          <w:p w14:paraId="32B8BD23">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相电流</w:t>
            </w:r>
          </w:p>
        </w:tc>
        <w:tc>
          <w:tcPr>
            <w:tcW w:w="3543" w:type="dxa"/>
          </w:tcPr>
          <w:p w14:paraId="2180A57A">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相电流</w:t>
            </w:r>
          </w:p>
        </w:tc>
      </w:tr>
      <w:tr w14:paraId="7E45A3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595" w:type="dxa"/>
          </w:tcPr>
          <w:p w14:paraId="1D075DA1">
            <w:pPr>
              <w:jc w:val="center"/>
              <w:rPr>
                <w:rFonts w:ascii="宋体"/>
                <w:color w:val="auto"/>
                <w:sz w:val="21"/>
                <w:szCs w:val="21"/>
                <w:highlight w:val="none"/>
              </w:rPr>
            </w:pPr>
            <w:r>
              <w:rPr>
                <w:rFonts w:hint="eastAsia" w:ascii="宋体"/>
                <w:color w:val="auto"/>
                <w:sz w:val="21"/>
                <w:szCs w:val="21"/>
                <w:highlight w:val="none"/>
              </w:rPr>
              <w:t>4</w:t>
            </w:r>
          </w:p>
        </w:tc>
        <w:tc>
          <w:tcPr>
            <w:tcW w:w="1985" w:type="dxa"/>
          </w:tcPr>
          <w:p w14:paraId="32DB5F3A">
            <w:pPr>
              <w:rPr>
                <w:rFonts w:ascii="宋体"/>
                <w:color w:val="auto"/>
                <w:sz w:val="21"/>
                <w:szCs w:val="21"/>
                <w:highlight w:val="none"/>
              </w:rPr>
            </w:pPr>
            <w:r>
              <w:rPr>
                <w:rFonts w:hint="eastAsia" w:ascii="宋体"/>
                <w:color w:val="auto"/>
                <w:sz w:val="21"/>
                <w:szCs w:val="21"/>
                <w:highlight w:val="none"/>
                <w:lang w:val="en-US" w:eastAsia="zh-CN"/>
              </w:rPr>
              <w:t>750</w:t>
            </w:r>
            <w:r>
              <w:rPr>
                <w:rFonts w:ascii="宋体"/>
                <w:color w:val="auto"/>
                <w:sz w:val="21"/>
                <w:szCs w:val="21"/>
                <w:highlight w:val="none"/>
              </w:rPr>
              <w:t>kV</w:t>
            </w:r>
            <w:r>
              <w:rPr>
                <w:rFonts w:hint="eastAsia" w:ascii="宋体"/>
                <w:color w:val="auto"/>
                <w:sz w:val="21"/>
                <w:szCs w:val="21"/>
                <w:highlight w:val="none"/>
              </w:rPr>
              <w:t>母线</w:t>
            </w:r>
          </w:p>
        </w:tc>
        <w:tc>
          <w:tcPr>
            <w:tcW w:w="2410" w:type="dxa"/>
          </w:tcPr>
          <w:p w14:paraId="39846334">
            <w:pPr>
              <w:rPr>
                <w:rFonts w:ascii="宋体"/>
                <w:color w:val="auto"/>
                <w:sz w:val="21"/>
                <w:szCs w:val="21"/>
                <w:highlight w:val="none"/>
              </w:rPr>
            </w:pPr>
            <w:r>
              <w:rPr>
                <w:rFonts w:ascii="宋体"/>
                <w:color w:val="auto"/>
                <w:sz w:val="21"/>
                <w:szCs w:val="21"/>
                <w:highlight w:val="none"/>
              </w:rPr>
              <w:t>UA</w:t>
            </w:r>
          </w:p>
        </w:tc>
        <w:tc>
          <w:tcPr>
            <w:tcW w:w="3543" w:type="dxa"/>
          </w:tcPr>
          <w:p w14:paraId="2A0EBD58">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相电压，母线频率</w:t>
            </w:r>
          </w:p>
        </w:tc>
      </w:tr>
      <w:tr w14:paraId="357699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595" w:type="dxa"/>
          </w:tcPr>
          <w:p w14:paraId="72C15982">
            <w:pPr>
              <w:jc w:val="center"/>
              <w:rPr>
                <w:rFonts w:ascii="宋体"/>
                <w:color w:val="auto"/>
                <w:sz w:val="21"/>
                <w:szCs w:val="21"/>
                <w:highlight w:val="none"/>
              </w:rPr>
            </w:pPr>
            <w:r>
              <w:rPr>
                <w:rFonts w:hint="eastAsia" w:ascii="宋体"/>
                <w:color w:val="auto"/>
                <w:sz w:val="21"/>
                <w:szCs w:val="21"/>
                <w:highlight w:val="none"/>
              </w:rPr>
              <w:t>5</w:t>
            </w:r>
          </w:p>
        </w:tc>
        <w:tc>
          <w:tcPr>
            <w:tcW w:w="1985" w:type="dxa"/>
          </w:tcPr>
          <w:p w14:paraId="1A621D62">
            <w:pPr>
              <w:rPr>
                <w:rFonts w:ascii="宋体"/>
                <w:color w:val="auto"/>
                <w:sz w:val="21"/>
                <w:szCs w:val="21"/>
                <w:highlight w:val="none"/>
              </w:rPr>
            </w:pPr>
            <w:r>
              <w:rPr>
                <w:rFonts w:hint="eastAsia" w:ascii="宋体"/>
                <w:color w:val="auto"/>
                <w:sz w:val="21"/>
                <w:szCs w:val="21"/>
                <w:highlight w:val="none"/>
              </w:rPr>
              <w:t>高压起备变</w:t>
            </w:r>
            <w:r>
              <w:rPr>
                <w:rFonts w:hint="eastAsia" w:ascii="宋体"/>
                <w:color w:val="auto"/>
                <w:sz w:val="21"/>
                <w:szCs w:val="21"/>
                <w:highlight w:val="none"/>
                <w:lang w:val="en-US" w:eastAsia="zh-CN"/>
              </w:rPr>
              <w:t>110</w:t>
            </w:r>
            <w:r>
              <w:rPr>
                <w:rFonts w:ascii="宋体"/>
                <w:color w:val="auto"/>
                <w:sz w:val="21"/>
                <w:szCs w:val="21"/>
                <w:highlight w:val="none"/>
              </w:rPr>
              <w:t>kV</w:t>
            </w:r>
            <w:r>
              <w:rPr>
                <w:rFonts w:hint="eastAsia" w:ascii="宋体"/>
                <w:color w:val="auto"/>
                <w:sz w:val="21"/>
                <w:szCs w:val="21"/>
                <w:highlight w:val="none"/>
              </w:rPr>
              <w:t>侧</w:t>
            </w:r>
          </w:p>
        </w:tc>
        <w:tc>
          <w:tcPr>
            <w:tcW w:w="2410" w:type="dxa"/>
          </w:tcPr>
          <w:p w14:paraId="69F86B83">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w:t>
            </w:r>
            <w:r>
              <w:rPr>
                <w:rFonts w:ascii="宋体"/>
                <w:color w:val="auto"/>
                <w:sz w:val="21"/>
                <w:szCs w:val="21"/>
                <w:highlight w:val="none"/>
              </w:rPr>
              <w:t>B</w:t>
            </w:r>
            <w:r>
              <w:rPr>
                <w:rFonts w:hint="eastAsia" w:ascii="宋体"/>
                <w:color w:val="auto"/>
                <w:sz w:val="21"/>
                <w:szCs w:val="21"/>
                <w:highlight w:val="none"/>
              </w:rPr>
              <w:t>、</w:t>
            </w:r>
            <w:r>
              <w:rPr>
                <w:rFonts w:ascii="宋体"/>
                <w:color w:val="auto"/>
                <w:sz w:val="21"/>
                <w:szCs w:val="21"/>
                <w:highlight w:val="none"/>
              </w:rPr>
              <w:t>C</w:t>
            </w:r>
            <w:r>
              <w:rPr>
                <w:rFonts w:hint="eastAsia" w:ascii="宋体"/>
                <w:color w:val="auto"/>
                <w:sz w:val="21"/>
                <w:szCs w:val="21"/>
                <w:highlight w:val="none"/>
              </w:rPr>
              <w:t>相电流</w:t>
            </w:r>
          </w:p>
          <w:p w14:paraId="663D9EBA">
            <w:pPr>
              <w:rPr>
                <w:rFonts w:ascii="宋体"/>
                <w:color w:val="auto"/>
                <w:sz w:val="21"/>
                <w:szCs w:val="21"/>
                <w:highlight w:val="none"/>
              </w:rPr>
            </w:pPr>
            <w:r>
              <w:rPr>
                <w:rFonts w:ascii="宋体"/>
                <w:color w:val="auto"/>
                <w:sz w:val="21"/>
                <w:szCs w:val="21"/>
                <w:highlight w:val="none"/>
              </w:rPr>
              <w:t xml:space="preserve">UAB ,UBC ,UCA </w:t>
            </w:r>
            <w:r>
              <w:rPr>
                <w:rFonts w:hint="eastAsia" w:ascii="宋体"/>
                <w:color w:val="auto"/>
                <w:sz w:val="21"/>
                <w:szCs w:val="21"/>
                <w:highlight w:val="none"/>
              </w:rPr>
              <w:t>电压</w:t>
            </w:r>
          </w:p>
        </w:tc>
        <w:tc>
          <w:tcPr>
            <w:tcW w:w="3543" w:type="dxa"/>
          </w:tcPr>
          <w:p w14:paraId="312C883E">
            <w:pPr>
              <w:rPr>
                <w:rFonts w:ascii="宋体"/>
                <w:color w:val="auto"/>
                <w:sz w:val="21"/>
                <w:szCs w:val="21"/>
                <w:highlight w:val="none"/>
              </w:rPr>
            </w:pPr>
            <w:r>
              <w:rPr>
                <w:rFonts w:ascii="宋体"/>
                <w:color w:val="auto"/>
                <w:sz w:val="21"/>
                <w:szCs w:val="21"/>
                <w:highlight w:val="none"/>
              </w:rPr>
              <w:t>A</w:t>
            </w:r>
            <w:r>
              <w:rPr>
                <w:rFonts w:hint="eastAsia" w:ascii="宋体"/>
                <w:color w:val="auto"/>
                <w:sz w:val="21"/>
                <w:szCs w:val="21"/>
                <w:highlight w:val="none"/>
              </w:rPr>
              <w:t>、</w:t>
            </w:r>
            <w:r>
              <w:rPr>
                <w:rFonts w:ascii="宋体"/>
                <w:color w:val="auto"/>
                <w:sz w:val="21"/>
                <w:szCs w:val="21"/>
                <w:highlight w:val="none"/>
              </w:rPr>
              <w:t>B</w:t>
            </w:r>
            <w:r>
              <w:rPr>
                <w:rFonts w:hint="eastAsia" w:ascii="宋体"/>
                <w:color w:val="auto"/>
                <w:sz w:val="21"/>
                <w:szCs w:val="21"/>
                <w:highlight w:val="none"/>
              </w:rPr>
              <w:t>、</w:t>
            </w:r>
            <w:r>
              <w:rPr>
                <w:rFonts w:ascii="宋体"/>
                <w:color w:val="auto"/>
                <w:sz w:val="21"/>
                <w:szCs w:val="21"/>
                <w:highlight w:val="none"/>
              </w:rPr>
              <w:t>C</w:t>
            </w:r>
            <w:r>
              <w:rPr>
                <w:rFonts w:hint="eastAsia" w:ascii="宋体"/>
                <w:color w:val="auto"/>
                <w:sz w:val="21"/>
                <w:szCs w:val="21"/>
                <w:highlight w:val="none"/>
              </w:rPr>
              <w:t>相电流，有功功率</w:t>
            </w:r>
          </w:p>
        </w:tc>
      </w:tr>
    </w:tbl>
    <w:p w14:paraId="52694C03">
      <w:pPr>
        <w:spacing w:line="360" w:lineRule="auto"/>
        <w:ind w:left="680" w:right="912" w:hanging="680"/>
        <w:rPr>
          <w:rFonts w:ascii="宋体"/>
          <w:color w:val="auto"/>
          <w:sz w:val="24"/>
          <w:szCs w:val="24"/>
          <w:highlight w:val="none"/>
        </w:rPr>
      </w:pPr>
      <w:r>
        <w:rPr>
          <w:rFonts w:hint="eastAsia" w:ascii="宋体"/>
          <w:color w:val="auto"/>
          <w:sz w:val="24"/>
          <w:szCs w:val="24"/>
          <w:highlight w:val="none"/>
        </w:rPr>
        <w:t>注：1、表中各量仅为各电气单元二次侧输出量，各电气单元需配置足够的输入交流量，以满足各电气单元计算模拟量要求。</w:t>
      </w:r>
    </w:p>
    <w:p w14:paraId="57133B36">
      <w:pPr>
        <w:spacing w:line="360" w:lineRule="auto"/>
        <w:ind w:left="716" w:leftChars="170" w:hanging="240" w:hangingChars="100"/>
        <w:rPr>
          <w:rFonts w:ascii="宋体"/>
          <w:color w:val="auto"/>
          <w:kern w:val="0"/>
          <w:sz w:val="24"/>
          <w:szCs w:val="24"/>
          <w:highlight w:val="none"/>
        </w:rPr>
      </w:pPr>
      <w:r>
        <w:rPr>
          <w:rFonts w:hint="eastAsia" w:ascii="宋体"/>
          <w:color w:val="auto"/>
          <w:sz w:val="24"/>
          <w:szCs w:val="24"/>
          <w:highlight w:val="none"/>
        </w:rPr>
        <w:t>2、各</w:t>
      </w:r>
      <w:r>
        <w:rPr>
          <w:rFonts w:hint="eastAsia" w:ascii="宋体"/>
          <w:color w:val="auto"/>
          <w:sz w:val="24"/>
          <w:szCs w:val="24"/>
          <w:highlight w:val="none"/>
          <w:lang w:val="en-US" w:eastAsia="zh-CN"/>
        </w:rPr>
        <w:t>75</w:t>
      </w:r>
      <w:r>
        <w:rPr>
          <w:rFonts w:hint="eastAsia" w:ascii="宋体"/>
          <w:color w:val="auto"/>
          <w:sz w:val="24"/>
          <w:szCs w:val="24"/>
          <w:highlight w:val="none"/>
        </w:rPr>
        <w:t>0kV断路器和</w:t>
      </w:r>
      <w:r>
        <w:rPr>
          <w:rFonts w:hint="eastAsia" w:ascii="宋体"/>
          <w:color w:val="auto"/>
          <w:sz w:val="24"/>
          <w:szCs w:val="24"/>
          <w:highlight w:val="none"/>
          <w:lang w:val="en-US" w:eastAsia="zh-CN"/>
        </w:rPr>
        <w:t>11</w:t>
      </w:r>
      <w:r>
        <w:rPr>
          <w:rFonts w:hint="eastAsia" w:ascii="宋体"/>
          <w:color w:val="auto"/>
          <w:sz w:val="24"/>
          <w:szCs w:val="24"/>
          <w:highlight w:val="none"/>
        </w:rPr>
        <w:t>0kV断路器所在电气单元I/O单元应满足同期功能要求。</w:t>
      </w:r>
    </w:p>
    <w:p w14:paraId="4F65511B">
      <w:pPr>
        <w:pStyle w:val="11"/>
        <w:tabs>
          <w:tab w:val="left" w:pos="1575"/>
        </w:tabs>
        <w:spacing w:line="360" w:lineRule="auto"/>
        <w:rPr>
          <w:color w:val="auto"/>
          <w:kern w:val="0"/>
          <w:sz w:val="21"/>
          <w:szCs w:val="21"/>
          <w:highlight w:val="none"/>
        </w:rPr>
      </w:pPr>
    </w:p>
    <w:p w14:paraId="06681255">
      <w:pPr>
        <w:spacing w:line="360" w:lineRule="auto"/>
        <w:rPr>
          <w:rFonts w:ascii="宋体"/>
          <w:b/>
          <w:color w:val="auto"/>
          <w:sz w:val="24"/>
          <w:szCs w:val="24"/>
          <w:highlight w:val="none"/>
        </w:rPr>
      </w:pPr>
      <w:bookmarkStart w:id="51" w:name="_Toc61442372"/>
      <w:bookmarkStart w:id="52" w:name="_Toc320606852"/>
      <w:r>
        <w:rPr>
          <w:rFonts w:ascii="宋体"/>
          <w:b/>
          <w:color w:val="auto"/>
          <w:sz w:val="24"/>
          <w:szCs w:val="24"/>
          <w:highlight w:val="none"/>
        </w:rPr>
        <w:t xml:space="preserve">3.11 </w:t>
      </w:r>
      <w:r>
        <w:rPr>
          <w:rFonts w:hint="eastAsia" w:ascii="宋体"/>
          <w:b/>
          <w:color w:val="auto"/>
          <w:sz w:val="24"/>
          <w:szCs w:val="24"/>
          <w:highlight w:val="none"/>
        </w:rPr>
        <w:t>通讯接口分类表</w:t>
      </w:r>
      <w:bookmarkEnd w:id="51"/>
      <w:bookmarkEnd w:id="52"/>
    </w:p>
    <w:tbl>
      <w:tblPr>
        <w:tblStyle w:val="31"/>
        <w:tblW w:w="0" w:type="auto"/>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720"/>
        <w:gridCol w:w="4740"/>
      </w:tblGrid>
      <w:tr w14:paraId="070CF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Align w:val="center"/>
          </w:tcPr>
          <w:p w14:paraId="3C536D78">
            <w:pPr>
              <w:spacing w:line="360" w:lineRule="auto"/>
              <w:rPr>
                <w:rFonts w:ascii="宋体"/>
                <w:color w:val="auto"/>
                <w:sz w:val="24"/>
                <w:szCs w:val="24"/>
                <w:highlight w:val="none"/>
              </w:rPr>
            </w:pPr>
            <w:r>
              <w:rPr>
                <w:rFonts w:hint="eastAsia" w:ascii="宋体"/>
                <w:color w:val="auto"/>
                <w:sz w:val="24"/>
                <w:szCs w:val="24"/>
                <w:highlight w:val="none"/>
              </w:rPr>
              <w:t>通过网关工作站</w:t>
            </w:r>
          </w:p>
        </w:tc>
        <w:tc>
          <w:tcPr>
            <w:tcW w:w="4740" w:type="dxa"/>
            <w:vAlign w:val="center"/>
          </w:tcPr>
          <w:p w14:paraId="58C51692">
            <w:pPr>
              <w:spacing w:line="360" w:lineRule="auto"/>
              <w:jc w:val="center"/>
              <w:rPr>
                <w:rFonts w:ascii="宋体"/>
                <w:color w:val="auto"/>
                <w:sz w:val="24"/>
                <w:szCs w:val="24"/>
                <w:highlight w:val="none"/>
              </w:rPr>
            </w:pPr>
            <w:r>
              <w:rPr>
                <w:rFonts w:ascii="宋体"/>
                <w:color w:val="auto"/>
                <w:sz w:val="24"/>
                <w:szCs w:val="24"/>
                <w:highlight w:val="none"/>
              </w:rPr>
              <w:t>SIS</w:t>
            </w:r>
          </w:p>
        </w:tc>
      </w:tr>
      <w:tr w14:paraId="5CCB65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restart"/>
          </w:tcPr>
          <w:p w14:paraId="209C2C7A">
            <w:pPr>
              <w:spacing w:line="360" w:lineRule="auto"/>
              <w:rPr>
                <w:rFonts w:ascii="宋体"/>
                <w:color w:val="auto"/>
                <w:sz w:val="24"/>
                <w:szCs w:val="24"/>
                <w:highlight w:val="none"/>
              </w:rPr>
            </w:pPr>
            <w:r>
              <w:rPr>
                <w:rFonts w:hint="eastAsia" w:ascii="宋体"/>
                <w:color w:val="auto"/>
                <w:sz w:val="24"/>
                <w:szCs w:val="24"/>
                <w:highlight w:val="none"/>
              </w:rPr>
              <w:t>通过远动通信装置</w:t>
            </w:r>
          </w:p>
        </w:tc>
        <w:tc>
          <w:tcPr>
            <w:tcW w:w="4740" w:type="dxa"/>
          </w:tcPr>
          <w:p w14:paraId="6D75D967">
            <w:pPr>
              <w:spacing w:line="360" w:lineRule="auto"/>
              <w:rPr>
                <w:rFonts w:ascii="宋体"/>
                <w:color w:val="auto"/>
                <w:sz w:val="24"/>
                <w:szCs w:val="24"/>
                <w:highlight w:val="none"/>
                <w:u w:val="single"/>
              </w:rPr>
            </w:pPr>
            <w:r>
              <w:rPr>
                <w:rFonts w:hint="eastAsia" w:ascii="宋体"/>
                <w:color w:val="auto"/>
                <w:sz w:val="24"/>
                <w:szCs w:val="24"/>
                <w:highlight w:val="none"/>
                <w:u w:val="single"/>
                <w:lang w:val="en-US" w:eastAsia="zh-CN"/>
              </w:rPr>
              <w:t>西北</w:t>
            </w:r>
            <w:r>
              <w:rPr>
                <w:rFonts w:hint="eastAsia" w:ascii="宋体"/>
                <w:color w:val="auto"/>
                <w:sz w:val="24"/>
                <w:szCs w:val="24"/>
                <w:highlight w:val="none"/>
                <w:u w:val="single"/>
              </w:rPr>
              <w:t>网调</w:t>
            </w:r>
          </w:p>
        </w:tc>
      </w:tr>
      <w:tr w14:paraId="06164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061A61B4">
            <w:pPr>
              <w:keepNext/>
              <w:keepLines/>
              <w:adjustRightInd w:val="0"/>
              <w:spacing w:before="120" w:after="120" w:line="360" w:lineRule="auto"/>
              <w:textAlignment w:val="baseline"/>
              <w:outlineLvl w:val="2"/>
              <w:rPr>
                <w:rFonts w:ascii="宋体"/>
                <w:color w:val="auto"/>
                <w:sz w:val="24"/>
                <w:szCs w:val="24"/>
                <w:highlight w:val="none"/>
              </w:rPr>
            </w:pPr>
          </w:p>
        </w:tc>
        <w:tc>
          <w:tcPr>
            <w:tcW w:w="4740" w:type="dxa"/>
          </w:tcPr>
          <w:p w14:paraId="5B10ACA2">
            <w:pPr>
              <w:spacing w:line="360" w:lineRule="auto"/>
              <w:rPr>
                <w:rFonts w:ascii="宋体"/>
                <w:color w:val="auto"/>
                <w:sz w:val="24"/>
                <w:szCs w:val="24"/>
                <w:highlight w:val="none"/>
                <w:u w:val="single"/>
              </w:rPr>
            </w:pPr>
            <w:r>
              <w:rPr>
                <w:rFonts w:hint="eastAsia" w:ascii="宋体"/>
                <w:color w:val="auto"/>
                <w:sz w:val="24"/>
                <w:szCs w:val="24"/>
                <w:highlight w:val="none"/>
                <w:u w:val="single"/>
                <w:lang w:val="en-US" w:eastAsia="zh-CN"/>
              </w:rPr>
              <w:t>甘肃</w:t>
            </w:r>
            <w:r>
              <w:rPr>
                <w:rFonts w:hint="eastAsia" w:ascii="宋体"/>
                <w:color w:val="auto"/>
                <w:sz w:val="24"/>
                <w:szCs w:val="24"/>
                <w:highlight w:val="none"/>
                <w:u w:val="single"/>
              </w:rPr>
              <w:t>省调</w:t>
            </w:r>
          </w:p>
        </w:tc>
      </w:tr>
      <w:tr w14:paraId="59E41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0E8C2B0C">
            <w:pPr>
              <w:keepNext/>
              <w:keepLines/>
              <w:adjustRightInd w:val="0"/>
              <w:spacing w:before="120" w:after="120" w:line="360" w:lineRule="auto"/>
              <w:textAlignment w:val="baseline"/>
              <w:outlineLvl w:val="2"/>
              <w:rPr>
                <w:rFonts w:ascii="宋体"/>
                <w:color w:val="auto"/>
                <w:sz w:val="24"/>
                <w:szCs w:val="24"/>
                <w:highlight w:val="none"/>
              </w:rPr>
            </w:pPr>
          </w:p>
        </w:tc>
        <w:tc>
          <w:tcPr>
            <w:tcW w:w="4740" w:type="dxa"/>
          </w:tcPr>
          <w:p w14:paraId="1562C579">
            <w:pPr>
              <w:spacing w:line="360" w:lineRule="auto"/>
              <w:rPr>
                <w:rFonts w:ascii="宋体"/>
                <w:color w:val="auto"/>
                <w:sz w:val="24"/>
                <w:szCs w:val="24"/>
                <w:highlight w:val="none"/>
              </w:rPr>
            </w:pPr>
            <w:r>
              <w:rPr>
                <w:rFonts w:hint="eastAsia" w:ascii="宋体"/>
                <w:color w:val="auto"/>
                <w:sz w:val="24"/>
                <w:szCs w:val="24"/>
                <w:highlight w:val="none"/>
              </w:rPr>
              <w:t>地调</w:t>
            </w:r>
          </w:p>
        </w:tc>
      </w:tr>
      <w:tr w14:paraId="77925B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48F6099B">
            <w:pPr>
              <w:keepNext/>
              <w:keepLines/>
              <w:adjustRightInd w:val="0"/>
              <w:spacing w:before="120" w:after="120" w:line="360" w:lineRule="auto"/>
              <w:textAlignment w:val="baseline"/>
              <w:outlineLvl w:val="2"/>
              <w:rPr>
                <w:rFonts w:ascii="宋体"/>
                <w:color w:val="auto"/>
                <w:sz w:val="24"/>
                <w:szCs w:val="24"/>
                <w:highlight w:val="none"/>
              </w:rPr>
            </w:pPr>
          </w:p>
        </w:tc>
        <w:tc>
          <w:tcPr>
            <w:tcW w:w="4740" w:type="dxa"/>
          </w:tcPr>
          <w:p w14:paraId="1B06B2B5">
            <w:pPr>
              <w:spacing w:line="360" w:lineRule="auto"/>
              <w:rPr>
                <w:rFonts w:ascii="宋体"/>
                <w:color w:val="auto"/>
                <w:sz w:val="24"/>
                <w:szCs w:val="24"/>
                <w:highlight w:val="none"/>
              </w:rPr>
            </w:pPr>
            <w:r>
              <w:rPr>
                <w:rFonts w:hint="eastAsia" w:ascii="宋体"/>
                <w:color w:val="auto"/>
                <w:sz w:val="24"/>
                <w:szCs w:val="24"/>
                <w:highlight w:val="none"/>
              </w:rPr>
              <w:t>AVC装置</w:t>
            </w:r>
          </w:p>
        </w:tc>
      </w:tr>
      <w:tr w14:paraId="3C1B3C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49A5102D">
            <w:pPr>
              <w:keepNext/>
              <w:keepLines/>
              <w:adjustRightInd w:val="0"/>
              <w:spacing w:before="120" w:after="120" w:line="360" w:lineRule="auto"/>
              <w:textAlignment w:val="baseline"/>
              <w:outlineLvl w:val="2"/>
              <w:rPr>
                <w:rFonts w:ascii="宋体"/>
                <w:color w:val="auto"/>
                <w:sz w:val="24"/>
                <w:szCs w:val="24"/>
                <w:highlight w:val="none"/>
              </w:rPr>
            </w:pPr>
          </w:p>
        </w:tc>
        <w:tc>
          <w:tcPr>
            <w:tcW w:w="4740" w:type="dxa"/>
          </w:tcPr>
          <w:p w14:paraId="07F094C9">
            <w:pPr>
              <w:spacing w:line="360" w:lineRule="auto"/>
              <w:rPr>
                <w:rFonts w:ascii="宋体"/>
                <w:color w:val="auto"/>
                <w:sz w:val="24"/>
                <w:szCs w:val="24"/>
                <w:highlight w:val="none"/>
              </w:rPr>
            </w:pPr>
            <w:r>
              <w:rPr>
                <w:rFonts w:hint="eastAsia" w:ascii="宋体"/>
                <w:color w:val="auto"/>
                <w:sz w:val="24"/>
                <w:szCs w:val="24"/>
                <w:highlight w:val="none"/>
              </w:rPr>
              <w:t>数据网接入设备</w:t>
            </w:r>
          </w:p>
        </w:tc>
      </w:tr>
      <w:tr w14:paraId="3BB47A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restart"/>
          </w:tcPr>
          <w:p w14:paraId="2B00CFD6">
            <w:pPr>
              <w:spacing w:line="360" w:lineRule="auto"/>
              <w:rPr>
                <w:rFonts w:ascii="宋体"/>
                <w:color w:val="auto"/>
                <w:sz w:val="24"/>
                <w:szCs w:val="24"/>
                <w:highlight w:val="none"/>
              </w:rPr>
            </w:pPr>
            <w:r>
              <w:rPr>
                <w:rFonts w:hint="eastAsia" w:ascii="宋体"/>
                <w:color w:val="auto"/>
                <w:sz w:val="24"/>
                <w:szCs w:val="24"/>
                <w:highlight w:val="none"/>
              </w:rPr>
              <w:t>专用信息管理机</w:t>
            </w:r>
          </w:p>
        </w:tc>
        <w:tc>
          <w:tcPr>
            <w:tcW w:w="4740" w:type="dxa"/>
            <w:tcBorders>
              <w:bottom w:val="single" w:color="auto" w:sz="6" w:space="0"/>
            </w:tcBorders>
          </w:tcPr>
          <w:p w14:paraId="2E3FC62D">
            <w:pPr>
              <w:spacing w:line="360" w:lineRule="auto"/>
              <w:rPr>
                <w:rFonts w:ascii="宋体"/>
                <w:color w:val="auto"/>
                <w:sz w:val="24"/>
                <w:szCs w:val="24"/>
                <w:highlight w:val="none"/>
              </w:rPr>
            </w:pPr>
            <w:r>
              <w:rPr>
                <w:rFonts w:hint="eastAsia" w:ascii="宋体"/>
                <w:color w:val="auto"/>
                <w:sz w:val="24"/>
                <w:szCs w:val="24"/>
                <w:highlight w:val="none"/>
              </w:rPr>
              <w:t>线路保护信息管理子站</w:t>
            </w:r>
          </w:p>
        </w:tc>
      </w:tr>
      <w:tr w14:paraId="2A6972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202B57E2">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tcBorders>
              <w:bottom w:val="single" w:color="auto" w:sz="6" w:space="0"/>
            </w:tcBorders>
          </w:tcPr>
          <w:p w14:paraId="583E1E52">
            <w:pPr>
              <w:spacing w:line="360" w:lineRule="auto"/>
              <w:rPr>
                <w:rFonts w:ascii="宋体"/>
                <w:color w:val="auto"/>
                <w:sz w:val="24"/>
                <w:szCs w:val="24"/>
                <w:highlight w:val="none"/>
              </w:rPr>
            </w:pPr>
            <w:r>
              <w:rPr>
                <w:rFonts w:hint="eastAsia" w:ascii="宋体"/>
                <w:color w:val="auto"/>
                <w:sz w:val="24"/>
                <w:szCs w:val="24"/>
                <w:highlight w:val="none"/>
              </w:rPr>
              <w:t>电能量计量系统</w:t>
            </w:r>
          </w:p>
        </w:tc>
      </w:tr>
      <w:tr w14:paraId="6E6139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172A2309">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tcBorders>
              <w:bottom w:val="single" w:color="auto" w:sz="6" w:space="0"/>
            </w:tcBorders>
          </w:tcPr>
          <w:p w14:paraId="623DEC4C">
            <w:pPr>
              <w:spacing w:line="360" w:lineRule="auto"/>
              <w:rPr>
                <w:rFonts w:ascii="宋体"/>
                <w:color w:val="auto"/>
                <w:sz w:val="24"/>
                <w:szCs w:val="24"/>
                <w:highlight w:val="none"/>
              </w:rPr>
            </w:pPr>
            <w:r>
              <w:rPr>
                <w:rFonts w:hint="eastAsia" w:ascii="宋体"/>
                <w:color w:val="auto"/>
                <w:sz w:val="24"/>
                <w:szCs w:val="24"/>
                <w:highlight w:val="none"/>
              </w:rPr>
              <w:t>A组110V直流系统</w:t>
            </w:r>
          </w:p>
        </w:tc>
      </w:tr>
      <w:tr w14:paraId="0D71BD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113A9E9F">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tcPr>
          <w:p w14:paraId="4446E0A3">
            <w:pPr>
              <w:spacing w:line="360" w:lineRule="auto"/>
              <w:rPr>
                <w:rFonts w:ascii="宋体"/>
                <w:color w:val="auto"/>
                <w:sz w:val="24"/>
                <w:szCs w:val="24"/>
                <w:highlight w:val="none"/>
              </w:rPr>
            </w:pPr>
            <w:r>
              <w:rPr>
                <w:rFonts w:hint="eastAsia" w:ascii="宋体"/>
                <w:color w:val="auto"/>
                <w:sz w:val="24"/>
                <w:szCs w:val="24"/>
                <w:highlight w:val="none"/>
              </w:rPr>
              <w:t>B组110V直流系统</w:t>
            </w:r>
          </w:p>
        </w:tc>
      </w:tr>
      <w:tr w14:paraId="53229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39991B0E">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vAlign w:val="top"/>
          </w:tcPr>
          <w:p w14:paraId="10DB7EB0">
            <w:pPr>
              <w:spacing w:line="360" w:lineRule="auto"/>
              <w:rPr>
                <w:rFonts w:ascii="宋体"/>
                <w:color w:val="auto"/>
                <w:sz w:val="24"/>
                <w:szCs w:val="24"/>
                <w:highlight w:val="none"/>
              </w:rPr>
            </w:pPr>
            <w:r>
              <w:rPr>
                <w:rFonts w:hint="eastAsia" w:ascii="宋体"/>
                <w:color w:val="auto"/>
                <w:sz w:val="24"/>
                <w:szCs w:val="24"/>
                <w:highlight w:val="none"/>
              </w:rPr>
              <w:t>A组-48V直流系统</w:t>
            </w:r>
          </w:p>
        </w:tc>
      </w:tr>
      <w:tr w14:paraId="55FEB4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3223FF00">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vAlign w:val="top"/>
          </w:tcPr>
          <w:p w14:paraId="77B1E69B">
            <w:pPr>
              <w:spacing w:line="360" w:lineRule="auto"/>
              <w:rPr>
                <w:rFonts w:hint="default" w:ascii="宋体"/>
                <w:color w:val="auto"/>
                <w:sz w:val="24"/>
                <w:szCs w:val="24"/>
                <w:highlight w:val="none"/>
                <w:lang w:val="en-US"/>
              </w:rPr>
            </w:pPr>
            <w:r>
              <w:rPr>
                <w:rFonts w:hint="eastAsia" w:ascii="宋体"/>
                <w:color w:val="auto"/>
                <w:sz w:val="24"/>
                <w:szCs w:val="24"/>
                <w:highlight w:val="none"/>
              </w:rPr>
              <w:t>B组-48V直流系统</w:t>
            </w:r>
          </w:p>
        </w:tc>
      </w:tr>
      <w:tr w14:paraId="4F878C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2D838C9C">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vAlign w:val="top"/>
          </w:tcPr>
          <w:p w14:paraId="0CCDAB45">
            <w:pPr>
              <w:spacing w:line="360" w:lineRule="auto"/>
              <w:rPr>
                <w:rFonts w:hint="default" w:ascii="宋体" w:hAnsi="Times New Roman" w:eastAsia="宋体" w:cs="Times New Roman"/>
                <w:color w:val="auto"/>
                <w:kern w:val="2"/>
                <w:sz w:val="24"/>
                <w:szCs w:val="24"/>
                <w:highlight w:val="none"/>
                <w:lang w:val="en-US" w:eastAsia="zh-CN" w:bidi="ar-SA"/>
              </w:rPr>
            </w:pPr>
            <w:r>
              <w:rPr>
                <w:rFonts w:hint="eastAsia" w:ascii="宋体"/>
                <w:color w:val="auto"/>
                <w:sz w:val="24"/>
                <w:szCs w:val="24"/>
                <w:highlight w:val="none"/>
              </w:rPr>
              <w:t>A组</w:t>
            </w:r>
            <w:r>
              <w:rPr>
                <w:rFonts w:hint="eastAsia" w:ascii="宋体"/>
                <w:color w:val="auto"/>
                <w:sz w:val="24"/>
                <w:szCs w:val="24"/>
                <w:highlight w:val="none"/>
                <w:lang w:val="en-US" w:eastAsia="zh-CN"/>
              </w:rPr>
              <w:t>UPS</w:t>
            </w:r>
            <w:r>
              <w:rPr>
                <w:rFonts w:hint="eastAsia" w:ascii="宋体"/>
                <w:color w:val="auto"/>
                <w:sz w:val="24"/>
                <w:szCs w:val="24"/>
                <w:highlight w:val="none"/>
              </w:rPr>
              <w:t>系统</w:t>
            </w:r>
          </w:p>
        </w:tc>
      </w:tr>
      <w:tr w14:paraId="1C334A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380FC19E">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vAlign w:val="top"/>
          </w:tcPr>
          <w:p w14:paraId="1FF2D67A">
            <w:pPr>
              <w:spacing w:line="360" w:lineRule="auto"/>
              <w:rPr>
                <w:rFonts w:hint="eastAsia" w:ascii="宋体" w:hAnsi="Times New Roman" w:eastAsia="宋体" w:cs="Times New Roman"/>
                <w:color w:val="auto"/>
                <w:kern w:val="2"/>
                <w:sz w:val="24"/>
                <w:szCs w:val="24"/>
                <w:highlight w:val="none"/>
                <w:lang w:val="en-US" w:eastAsia="zh-CN" w:bidi="ar-SA"/>
              </w:rPr>
            </w:pPr>
            <w:r>
              <w:rPr>
                <w:rFonts w:hint="eastAsia" w:ascii="宋体"/>
                <w:color w:val="auto"/>
                <w:sz w:val="24"/>
                <w:szCs w:val="24"/>
                <w:highlight w:val="none"/>
              </w:rPr>
              <w:t>B组</w:t>
            </w:r>
            <w:r>
              <w:rPr>
                <w:rFonts w:hint="eastAsia" w:ascii="宋体"/>
                <w:color w:val="auto"/>
                <w:sz w:val="24"/>
                <w:szCs w:val="24"/>
                <w:highlight w:val="none"/>
                <w:lang w:val="en-US" w:eastAsia="zh-CN"/>
              </w:rPr>
              <w:t>UPS</w:t>
            </w:r>
            <w:r>
              <w:rPr>
                <w:rFonts w:hint="eastAsia" w:ascii="宋体"/>
                <w:color w:val="auto"/>
                <w:sz w:val="24"/>
                <w:szCs w:val="24"/>
                <w:highlight w:val="none"/>
              </w:rPr>
              <w:t>系统</w:t>
            </w:r>
          </w:p>
        </w:tc>
      </w:tr>
      <w:tr w14:paraId="2DEF1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3720" w:type="dxa"/>
            <w:vMerge w:val="continue"/>
          </w:tcPr>
          <w:p w14:paraId="12212631">
            <w:pPr>
              <w:keepNext/>
              <w:keepLines/>
              <w:adjustRightInd w:val="0"/>
              <w:spacing w:before="120" w:after="120" w:line="360" w:lineRule="auto"/>
              <w:textAlignment w:val="baseline"/>
              <w:outlineLvl w:val="2"/>
              <w:rPr>
                <w:rFonts w:ascii="宋体"/>
                <w:color w:val="auto"/>
                <w:kern w:val="0"/>
                <w:sz w:val="24"/>
                <w:szCs w:val="24"/>
                <w:highlight w:val="none"/>
              </w:rPr>
            </w:pPr>
          </w:p>
        </w:tc>
        <w:tc>
          <w:tcPr>
            <w:tcW w:w="4740" w:type="dxa"/>
          </w:tcPr>
          <w:p w14:paraId="2A3A9078">
            <w:pPr>
              <w:spacing w:line="360" w:lineRule="auto"/>
              <w:rPr>
                <w:rFonts w:hint="eastAsia" w:ascii="宋体"/>
                <w:color w:val="auto"/>
                <w:sz w:val="24"/>
                <w:szCs w:val="24"/>
                <w:highlight w:val="none"/>
                <w:lang w:val="en-US" w:eastAsia="zh-CN"/>
              </w:rPr>
            </w:pPr>
            <w:r>
              <w:rPr>
                <w:rFonts w:hint="eastAsia" w:ascii="宋体"/>
                <w:color w:val="auto"/>
                <w:sz w:val="24"/>
                <w:szCs w:val="24"/>
                <w:highlight w:val="none"/>
                <w:lang w:val="en-US" w:eastAsia="zh-CN"/>
              </w:rPr>
              <w:t>750、110</w:t>
            </w:r>
            <w:r>
              <w:rPr>
                <w:rFonts w:ascii="宋体"/>
                <w:color w:val="auto"/>
                <w:sz w:val="24"/>
                <w:szCs w:val="24"/>
                <w:highlight w:val="none"/>
              </w:rPr>
              <w:t xml:space="preserve">kV </w:t>
            </w:r>
            <w:r>
              <w:rPr>
                <w:rFonts w:hint="eastAsia" w:ascii="宋体"/>
                <w:color w:val="auto"/>
                <w:sz w:val="24"/>
                <w:szCs w:val="24"/>
                <w:highlight w:val="none"/>
              </w:rPr>
              <w:t>SF6气体泄漏在线监测和报警装置</w:t>
            </w:r>
          </w:p>
        </w:tc>
      </w:tr>
    </w:tbl>
    <w:p w14:paraId="61736C2C">
      <w:pPr>
        <w:spacing w:line="360" w:lineRule="auto"/>
        <w:rPr>
          <w:rFonts w:hint="eastAsia" w:ascii="宋体"/>
          <w:b/>
          <w:color w:val="auto"/>
          <w:sz w:val="24"/>
          <w:szCs w:val="24"/>
          <w:highlight w:val="none"/>
          <w:lang w:val="en-US" w:eastAsia="zh-CN"/>
        </w:rPr>
      </w:pPr>
      <w:bookmarkStart w:id="53" w:name="_Toc61442373"/>
      <w:bookmarkStart w:id="54" w:name="_Toc320606853"/>
    </w:p>
    <w:p w14:paraId="5E543B56">
      <w:pPr>
        <w:spacing w:line="360" w:lineRule="auto"/>
        <w:rPr>
          <w:rFonts w:hint="eastAsia" w:ascii="宋体"/>
          <w:b/>
          <w:bCs w:val="0"/>
          <w:color w:val="auto"/>
          <w:sz w:val="24"/>
          <w:szCs w:val="24"/>
          <w:highlight w:val="none"/>
          <w:lang w:val="en-US" w:eastAsia="zh-CN"/>
        </w:rPr>
      </w:pPr>
      <w:r>
        <w:rPr>
          <w:rFonts w:hint="eastAsia" w:ascii="宋体"/>
          <w:b/>
          <w:bCs w:val="0"/>
          <w:color w:val="auto"/>
          <w:sz w:val="24"/>
          <w:szCs w:val="24"/>
          <w:highlight w:val="none"/>
          <w:lang w:val="en-US" w:eastAsia="zh-CN"/>
        </w:rPr>
        <w:t>3.12电度表屏</w:t>
      </w:r>
    </w:p>
    <w:p w14:paraId="1892FD3C">
      <w:pPr>
        <w:pStyle w:val="12"/>
        <w:rPr>
          <w:rFonts w:hint="eastAsia"/>
          <w:b/>
          <w:color w:val="auto"/>
          <w:sz w:val="24"/>
          <w:szCs w:val="24"/>
          <w:highlight w:val="none"/>
          <w:lang w:val="en-US" w:eastAsia="zh-CN"/>
        </w:rPr>
      </w:pPr>
      <w:r>
        <w:rPr>
          <w:rFonts w:hint="eastAsia"/>
          <w:b/>
          <w:color w:val="auto"/>
          <w:sz w:val="24"/>
          <w:szCs w:val="24"/>
          <w:highlight w:val="none"/>
          <w:lang w:val="en-US" w:eastAsia="zh-CN"/>
        </w:rPr>
        <w:t>3.12.1 基本要求</w:t>
      </w:r>
    </w:p>
    <w:p w14:paraId="5214B2C0">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lang w:val="en-US" w:eastAsia="zh-CN"/>
        </w:rPr>
      </w:pPr>
      <w:r>
        <w:rPr>
          <w:rFonts w:hint="eastAsia" w:ascii="宋体" w:hAnsi="Times New Roman" w:eastAsia="宋体" w:cs="Times New Roman"/>
          <w:color w:val="auto"/>
          <w:sz w:val="24"/>
          <w:szCs w:val="24"/>
          <w:highlight w:val="none"/>
        </w:rPr>
        <w:t>(1)电能表应具备双网口， 与ERTU组双网。电能表应具有校时功能，并提供工具支持现场手动校时。电度表选用高精度全电子多功能电能表。</w:t>
      </w:r>
      <w:r>
        <w:rPr>
          <w:rFonts w:hint="eastAsia" w:ascii="宋体"/>
          <w:color w:val="auto"/>
          <w:sz w:val="24"/>
          <w:szCs w:val="24"/>
          <w:highlight w:val="none"/>
        </w:rPr>
        <w:t>关口表与采集器需满足国网甘肃省电力公司现货交易要求。</w:t>
      </w:r>
      <w:r>
        <w:rPr>
          <w:rFonts w:hint="eastAsia" w:ascii="宋体" w:cs="Times New Roman"/>
          <w:color w:val="auto"/>
          <w:sz w:val="24"/>
          <w:szCs w:val="24"/>
          <w:highlight w:val="none"/>
          <w:lang w:val="en-US" w:eastAsia="zh-CN"/>
        </w:rPr>
        <w:t>投标人负责提供各电度表屏与电能量采集终端组网通讯所需的通讯光缆、</w:t>
      </w:r>
      <w:r>
        <w:rPr>
          <w:rFonts w:hint="eastAsia" w:ascii="宋体" w:hAnsi="Times New Roman" w:eastAsia="宋体" w:cs="Times New Roman"/>
          <w:color w:val="auto"/>
          <w:sz w:val="24"/>
          <w:szCs w:val="24"/>
          <w:highlight w:val="none"/>
        </w:rPr>
        <w:t>光纤接线盒、同轴电缆、尾缆、网线等附件。</w:t>
      </w:r>
      <w:r>
        <w:rPr>
          <w:rFonts w:hint="eastAsia" w:ascii="宋体" w:hAnsi="Times New Roman" w:eastAsia="宋体" w:cs="Times New Roman"/>
          <w:color w:val="auto"/>
          <w:sz w:val="24"/>
          <w:szCs w:val="24"/>
          <w:highlight w:val="none"/>
        </w:rPr>
        <w:t>多功能电度表品牌选用红相、仪斯卡、埃尔斯特或相当</w:t>
      </w:r>
      <w:r>
        <w:rPr>
          <w:rFonts w:hint="eastAsia" w:ascii="宋体" w:cs="Times New Roman"/>
          <w:color w:val="auto"/>
          <w:sz w:val="24"/>
          <w:szCs w:val="24"/>
          <w:highlight w:val="none"/>
          <w:lang w:val="en-US" w:eastAsia="zh-CN"/>
        </w:rPr>
        <w:t>于。</w:t>
      </w:r>
    </w:p>
    <w:p w14:paraId="535C294C">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(2)电能表类型为三相四线装置、六线接线多功能电能表；</w:t>
      </w:r>
    </w:p>
    <w:p w14:paraId="6F104315">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(3)电能表精度为有功0.2s级，无功1.0级；</w:t>
      </w:r>
    </w:p>
    <w:p w14:paraId="54A07289">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(4)输入电压：PT二次电压3*57.7/100V，50Hz；输入电流：CT二次额定电流1A/5A。</w:t>
      </w:r>
    </w:p>
    <w:p w14:paraId="3584C833">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(5)支持IEC61107电表规约。</w:t>
      </w:r>
    </w:p>
    <w:p w14:paraId="1A29706E">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(6)具有测量双方向有功和四象限无功电能量功能；</w:t>
      </w:r>
    </w:p>
    <w:p w14:paraId="43E236DC">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(7)具有2组独立负荷曲线，每组负荷曲线至少可设置20通道，积分周期1至30分钟可设置。负荷曲线容量不小于4M。</w:t>
      </w:r>
    </w:p>
    <w:p w14:paraId="0BBB0721">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(8)至少可设置4个费率寄存器，10个时段。</w:t>
      </w:r>
    </w:p>
    <w:p w14:paraId="2FC0F119">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(9)电量冻结周期不少于15个。</w:t>
      </w:r>
    </w:p>
    <w:p w14:paraId="63DB0091">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(10)电能表可编程，以便对应不同一次侧电流、电压参数。</w:t>
      </w:r>
    </w:p>
    <w:p w14:paraId="7D3BE5A6">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(11)通信接口模块化设计，使通信系统和测量系统完全独立，可方便通信系统升级。具有2个以太网口2个RS485接口（4个独立通信口）和4路脉冲输出方式；</w:t>
      </w:r>
    </w:p>
    <w:p w14:paraId="1AB99B42">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(12)具有失电、失压记录功能；</w:t>
      </w:r>
    </w:p>
    <w:p w14:paraId="099F56F0">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(13)具有当地窗口显示功能，显示位数不少于8位。</w:t>
      </w:r>
    </w:p>
    <w:p w14:paraId="4D50595E">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(14)电能表由三相电压供电时，若只有任一相电压，关口电能表的数据处理和通信部分能正常工作，内部三相电压完全失压后，能立即切换到外接辅助电源。辅助工作电源：50至230V交流或直流。</w:t>
      </w:r>
    </w:p>
    <w:p w14:paraId="47305303">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(15)电能表可通过软件设置供电电源优先级，可选择PT电源优先还是辅助电源优先。</w:t>
      </w:r>
    </w:p>
    <w:p w14:paraId="7962B3A0">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(16)电能表应能自动对数据保存，掉电后数据不丢失。</w:t>
      </w:r>
    </w:p>
    <w:p w14:paraId="5E2CDBE5">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(17)实时电流、电压、频率、功率因数、相角测量，实现电能质量监测</w:t>
      </w:r>
    </w:p>
    <w:p w14:paraId="6164C149">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(18)电能表应具备铅封，以防止非法修改参数。</w:t>
      </w:r>
    </w:p>
    <w:p w14:paraId="28D285B8">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(19)电能表应具有不同费率时段记录最大需量的功能，积分周期可以选择5、10、15、30、60分钟，具有连续保存12个月每月最大需量的功能。</w:t>
      </w:r>
    </w:p>
    <w:p w14:paraId="650F0916">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(20)事件记录不能用软件清除</w:t>
      </w:r>
    </w:p>
    <w:p w14:paraId="5D8D7402">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(21)电能表具有基波、谐波电能量分别计量功能。能分别显示总的和分时段的基波、谐波电能量，并可手动或自动冻结，自动冻结的周期及时刻可设置，可保存至少15个冻结值。基波、谐波电能量可分别存为负荷曲线供采集器采集。存储周期可设置。LED脉冲输出可用于全波、基波、谐波的精度检测。</w:t>
      </w:r>
    </w:p>
    <w:p w14:paraId="154B45DB">
      <w:pPr>
        <w:topLinePunct w:val="0"/>
        <w:adjustRightInd/>
        <w:snapToGrid/>
        <w:spacing w:after="0" w:line="360" w:lineRule="auto"/>
        <w:ind w:firstLine="480" w:firstLineChars="200"/>
        <w:rPr>
          <w:rFonts w:hint="eastAsia" w:ascii="宋体" w:hAnsi="Times New Roman" w:eastAsia="宋体" w:cs="Times New Roman"/>
          <w:color w:val="auto"/>
          <w:sz w:val="24"/>
          <w:szCs w:val="24"/>
          <w:highlight w:val="none"/>
        </w:rPr>
      </w:pPr>
      <w:r>
        <w:rPr>
          <w:rFonts w:hint="eastAsia" w:ascii="宋体" w:hAnsi="Times New Roman" w:eastAsia="宋体" w:cs="Times New Roman"/>
          <w:color w:val="auto"/>
          <w:sz w:val="24"/>
          <w:szCs w:val="24"/>
          <w:highlight w:val="none"/>
        </w:rPr>
        <w:t>(22) 通信交换机要求见下表</w:t>
      </w:r>
    </w:p>
    <w:tbl>
      <w:tblPr>
        <w:tblStyle w:val="31"/>
        <w:tblpPr w:leftFromText="180" w:rightFromText="180" w:vertAnchor="text" w:tblpXSpec="center" w:tblpY="1"/>
        <w:tblOverlap w:val="never"/>
        <w:tblW w:w="8513" w:type="dxa"/>
        <w:jc w:val="center"/>
        <w:tblLayout w:type="autofit"/>
        <w:tblCellMar>
          <w:top w:w="0" w:type="dxa"/>
          <w:left w:w="108" w:type="dxa"/>
          <w:bottom w:w="0" w:type="dxa"/>
          <w:right w:w="108" w:type="dxa"/>
        </w:tblCellMar>
      </w:tblPr>
      <w:tblGrid>
        <w:gridCol w:w="2124"/>
        <w:gridCol w:w="6389"/>
      </w:tblGrid>
      <w:tr w14:paraId="2B722795">
        <w:tblPrEx>
          <w:tblCellMar>
            <w:top w:w="0" w:type="dxa"/>
            <w:left w:w="108" w:type="dxa"/>
            <w:bottom w:w="0" w:type="dxa"/>
            <w:right w:w="108" w:type="dxa"/>
          </w:tblCellMar>
        </w:tblPrEx>
        <w:trPr>
          <w:trHeight w:val="330" w:hRule="atLeast"/>
          <w:jc w:val="center"/>
        </w:trPr>
        <w:tc>
          <w:tcPr>
            <w:tcW w:w="2122" w:type="dxa"/>
            <w:tcBorders>
              <w:top w:val="single" w:color="auto" w:sz="4" w:space="0"/>
              <w:left w:val="single" w:color="auto" w:sz="4" w:space="0"/>
              <w:bottom w:val="single" w:color="auto" w:sz="4" w:space="0"/>
              <w:right w:val="single" w:color="auto" w:sz="4" w:space="0"/>
            </w:tcBorders>
            <w:shd w:val="clear" w:color="000000" w:fill="FFFFFF"/>
            <w:vAlign w:val="center"/>
          </w:tcPr>
          <w:p w14:paraId="54BBB4EC">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管理接口</w:t>
            </w:r>
          </w:p>
        </w:tc>
        <w:tc>
          <w:tcPr>
            <w:tcW w:w="6381" w:type="dxa"/>
            <w:tcBorders>
              <w:top w:val="single" w:color="auto" w:sz="4" w:space="0"/>
              <w:left w:val="single" w:color="auto" w:sz="4" w:space="0"/>
              <w:bottom w:val="single" w:color="auto" w:sz="4" w:space="0"/>
              <w:right w:val="single" w:color="auto" w:sz="4" w:space="0"/>
            </w:tcBorders>
            <w:shd w:val="clear" w:color="000000" w:fill="FFFFFF"/>
            <w:vAlign w:val="center"/>
          </w:tcPr>
          <w:p w14:paraId="214BA912">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任一业务接口或RS232口</w:t>
            </w:r>
          </w:p>
        </w:tc>
      </w:tr>
      <w:tr w14:paraId="4E2808A1">
        <w:tblPrEx>
          <w:tblCellMar>
            <w:top w:w="0" w:type="dxa"/>
            <w:left w:w="108" w:type="dxa"/>
            <w:bottom w:w="0" w:type="dxa"/>
            <w:right w:w="108" w:type="dxa"/>
          </w:tblCellMar>
        </w:tblPrEx>
        <w:trPr>
          <w:trHeight w:val="326" w:hRule="atLeast"/>
          <w:jc w:val="center"/>
        </w:trPr>
        <w:tc>
          <w:tcPr>
            <w:tcW w:w="2122" w:type="dxa"/>
            <w:tcBorders>
              <w:top w:val="single" w:color="auto" w:sz="4" w:space="0"/>
              <w:left w:val="single" w:color="auto" w:sz="4" w:space="0"/>
              <w:bottom w:val="single" w:color="auto" w:sz="4" w:space="0"/>
              <w:right w:val="single" w:color="auto" w:sz="4" w:space="0"/>
            </w:tcBorders>
            <w:shd w:val="clear" w:color="000000" w:fill="FFFFFF"/>
            <w:vAlign w:val="center"/>
          </w:tcPr>
          <w:p w14:paraId="4E5B28C7">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固定业务接口</w:t>
            </w:r>
          </w:p>
        </w:tc>
        <w:tc>
          <w:tcPr>
            <w:tcW w:w="6381" w:type="dxa"/>
            <w:tcBorders>
              <w:top w:val="single" w:color="auto" w:sz="4" w:space="0"/>
              <w:left w:val="single" w:color="auto" w:sz="4" w:space="0"/>
              <w:bottom w:val="single" w:color="auto" w:sz="4" w:space="0"/>
              <w:right w:val="single" w:color="auto" w:sz="4" w:space="0"/>
            </w:tcBorders>
            <w:shd w:val="clear" w:color="000000" w:fill="FFFFFF"/>
            <w:vAlign w:val="center"/>
          </w:tcPr>
          <w:p w14:paraId="068DB7AA">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2光口+16(电口) 1000/100/10M自适应</w:t>
            </w:r>
          </w:p>
        </w:tc>
      </w:tr>
      <w:tr w14:paraId="0588A201">
        <w:tblPrEx>
          <w:tblCellMar>
            <w:top w:w="0" w:type="dxa"/>
            <w:left w:w="108" w:type="dxa"/>
            <w:bottom w:w="0" w:type="dxa"/>
            <w:right w:w="108" w:type="dxa"/>
          </w:tblCellMar>
        </w:tblPrEx>
        <w:trPr>
          <w:trHeight w:val="330" w:hRule="atLeast"/>
          <w:jc w:val="center"/>
        </w:trPr>
        <w:tc>
          <w:tcPr>
            <w:tcW w:w="2122" w:type="dxa"/>
            <w:tcBorders>
              <w:top w:val="single" w:color="auto" w:sz="4" w:space="0"/>
              <w:left w:val="single" w:color="auto" w:sz="4" w:space="0"/>
              <w:bottom w:val="single" w:color="auto" w:sz="4" w:space="0"/>
              <w:right w:val="single" w:color="auto" w:sz="4" w:space="0"/>
            </w:tcBorders>
            <w:shd w:val="clear" w:color="000000" w:fill="FFFFFF"/>
            <w:vAlign w:val="center"/>
          </w:tcPr>
          <w:p w14:paraId="4B35554D">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Console口</w:t>
            </w:r>
          </w:p>
        </w:tc>
        <w:tc>
          <w:tcPr>
            <w:tcW w:w="6381" w:type="dxa"/>
            <w:tcBorders>
              <w:top w:val="single" w:color="auto" w:sz="4" w:space="0"/>
              <w:left w:val="single" w:color="auto" w:sz="4" w:space="0"/>
              <w:bottom w:val="single" w:color="auto" w:sz="4" w:space="0"/>
              <w:right w:val="single" w:color="auto" w:sz="4" w:space="0"/>
            </w:tcBorders>
            <w:shd w:val="clear" w:color="000000" w:fill="FFFFFF"/>
            <w:vAlign w:val="center"/>
          </w:tcPr>
          <w:p w14:paraId="140B95C0">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1*(RS232 RJ45)</w:t>
            </w:r>
          </w:p>
        </w:tc>
      </w:tr>
      <w:tr w14:paraId="5CCD4F60">
        <w:tblPrEx>
          <w:tblCellMar>
            <w:top w:w="0" w:type="dxa"/>
            <w:left w:w="108" w:type="dxa"/>
            <w:bottom w:w="0" w:type="dxa"/>
            <w:right w:w="108" w:type="dxa"/>
          </w:tblCellMar>
        </w:tblPrEx>
        <w:trPr>
          <w:trHeight w:val="330" w:hRule="atLeast"/>
          <w:jc w:val="center"/>
        </w:trPr>
        <w:tc>
          <w:tcPr>
            <w:tcW w:w="2122" w:type="dxa"/>
            <w:tcBorders>
              <w:top w:val="single" w:color="auto" w:sz="4" w:space="0"/>
              <w:left w:val="single" w:color="auto" w:sz="4" w:space="0"/>
              <w:bottom w:val="single" w:color="auto" w:sz="4" w:space="0"/>
              <w:right w:val="single" w:color="auto" w:sz="4" w:space="0"/>
            </w:tcBorders>
            <w:shd w:val="clear" w:color="000000" w:fill="FFFFFF"/>
            <w:vAlign w:val="center"/>
          </w:tcPr>
          <w:p w14:paraId="32DCDE83">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网络协议</w:t>
            </w:r>
          </w:p>
        </w:tc>
        <w:tc>
          <w:tcPr>
            <w:tcW w:w="6381" w:type="dxa"/>
            <w:tcBorders>
              <w:top w:val="single" w:color="auto" w:sz="4" w:space="0"/>
              <w:left w:val="single" w:color="auto" w:sz="4" w:space="0"/>
              <w:bottom w:val="single" w:color="auto" w:sz="4" w:space="0"/>
              <w:right w:val="single" w:color="auto" w:sz="4" w:space="0"/>
            </w:tcBorders>
            <w:shd w:val="clear" w:color="000000" w:fill="FFFFFF"/>
            <w:vAlign w:val="center"/>
          </w:tcPr>
          <w:p w14:paraId="4BF9A6BD">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支持IGMP Snooping、TFTP、HTTP、Telnet等</w:t>
            </w:r>
          </w:p>
        </w:tc>
      </w:tr>
      <w:tr w14:paraId="19C61F39">
        <w:tblPrEx>
          <w:tblCellMar>
            <w:top w:w="0" w:type="dxa"/>
            <w:left w:w="108" w:type="dxa"/>
            <w:bottom w:w="0" w:type="dxa"/>
            <w:right w:w="108" w:type="dxa"/>
          </w:tblCellMar>
        </w:tblPrEx>
        <w:trPr>
          <w:trHeight w:val="225" w:hRule="atLeast"/>
          <w:jc w:val="center"/>
        </w:trPr>
        <w:tc>
          <w:tcPr>
            <w:tcW w:w="2122" w:type="dxa"/>
            <w:tcBorders>
              <w:top w:val="single" w:color="auto" w:sz="4" w:space="0"/>
              <w:left w:val="single" w:color="auto" w:sz="4" w:space="0"/>
              <w:bottom w:val="single" w:color="auto" w:sz="4" w:space="0"/>
              <w:right w:val="single" w:color="auto" w:sz="4" w:space="0"/>
            </w:tcBorders>
            <w:shd w:val="clear" w:color="000000" w:fill="FFFFFF"/>
            <w:vAlign w:val="center"/>
          </w:tcPr>
          <w:p w14:paraId="3E7E0A77">
            <w:pPr>
              <w:topLinePunct/>
              <w:adjustRightInd w:val="0"/>
              <w:snapToGrid w:val="0"/>
              <w:spacing w:after="160" w:line="24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交换机高级功能</w:t>
            </w:r>
          </w:p>
        </w:tc>
        <w:tc>
          <w:tcPr>
            <w:tcW w:w="6381" w:type="dxa"/>
            <w:tcBorders>
              <w:top w:val="single" w:color="auto" w:sz="4" w:space="0"/>
              <w:left w:val="nil"/>
              <w:bottom w:val="single" w:color="auto" w:sz="4" w:space="0"/>
              <w:right w:val="single" w:color="auto" w:sz="4" w:space="0"/>
            </w:tcBorders>
            <w:shd w:val="clear" w:color="000000" w:fill="FFFFFF"/>
            <w:vAlign w:val="center"/>
          </w:tcPr>
          <w:p w14:paraId="3EFC5679">
            <w:pPr>
              <w:topLinePunct/>
              <w:adjustRightInd w:val="0"/>
              <w:snapToGrid w:val="0"/>
              <w:spacing w:after="160" w:line="360" w:lineRule="auto"/>
              <w:ind w:firstLine="0" w:firstLineChars="0"/>
              <w:rPr>
                <w:rFonts w:ascii="宋体" w:hAnsi="宋体" w:cs="宋体"/>
                <w:color w:val="auto"/>
                <w:sz w:val="24"/>
                <w:szCs w:val="24"/>
                <w:highlight w:val="none"/>
              </w:rPr>
            </w:pPr>
            <w:r>
              <w:rPr>
                <w:rFonts w:hint="eastAsia" w:ascii="宋体" w:hAnsi="宋体" w:cs="宋体"/>
                <w:color w:val="auto"/>
                <w:sz w:val="24"/>
                <w:szCs w:val="24"/>
                <w:highlight w:val="none"/>
              </w:rPr>
              <w:t>支持基于IP、MAC的端口安全；支持基于VLAN的管理限制；支持SNMP日志记录；支持管理地址冲突检测、地址重学习检测、信号触点、设备状 态指示、双工不匹配检测、冷启自检、切换转储；支持环网保护，自愈保护时间≤20ms ；支持SNMP网管，RSTP STP生成树协议，支持网络风暴抑制功能， 支持环网协议，支持VLAN，支持端口镜像功能。支持瞬间环网冗 余保护，瞬间自愈时间小于20ms； 无风扇，宽温、宽压设计； 支持端口聚合（Trunking）功能，允许在网络节点之间建立多链 路冗余通道； 掉电报警(IPA)功能；支持基于端口和Tag的VLAN划分、支持QinQ 协议；密码保护：管理操作都必须通过用户名和密码验证；SNMP v3报文加密：通过对数据进行鉴别和加密，确保数据从合法数据源发 出以及机密性和不被篡改；支持基于SNMP，Web、Telnet和Console等多种方式的管理，支持开放的OPC 接口； 支持静态路由，BGP OSFP三层路由； 采用优质防雷器件，防雷击，可抗感应高压，防浪涌等。</w:t>
            </w:r>
          </w:p>
        </w:tc>
      </w:tr>
    </w:tbl>
    <w:p w14:paraId="511F7617">
      <w:pPr>
        <w:spacing w:line="360" w:lineRule="auto"/>
        <w:rPr>
          <w:rFonts w:hint="eastAsia"/>
          <w:color w:val="auto"/>
          <w:sz w:val="24"/>
          <w:szCs w:val="24"/>
          <w:highlight w:val="none"/>
          <w:lang w:val="en-US" w:eastAsia="zh-CN"/>
        </w:rPr>
      </w:pPr>
    </w:p>
    <w:p w14:paraId="4CC68EDC">
      <w:pPr>
        <w:spacing w:line="360" w:lineRule="auto"/>
        <w:rPr>
          <w:rFonts w:hint="eastAsia"/>
          <w:color w:val="auto"/>
          <w:sz w:val="24"/>
          <w:szCs w:val="24"/>
          <w:highlight w:val="none"/>
          <w:lang w:val="en-US" w:eastAsia="zh-CN"/>
        </w:rPr>
      </w:pPr>
      <w:r>
        <w:rPr>
          <w:rFonts w:hint="eastAsia"/>
          <w:color w:val="auto"/>
          <w:sz w:val="24"/>
          <w:szCs w:val="24"/>
          <w:highlight w:val="none"/>
          <w:lang w:val="en-US" w:eastAsia="zh-CN"/>
        </w:rPr>
        <w:t>3.12.2 电度表屏组屏方案</w:t>
      </w:r>
    </w:p>
    <w:p w14:paraId="3A1BAA80">
      <w:p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2面机组电度表屏</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每面</w:t>
      </w:r>
      <w:r>
        <w:rPr>
          <w:rFonts w:hint="eastAsia" w:ascii="宋体" w:hAnsi="宋体" w:eastAsia="宋体" w:cs="宋体"/>
          <w:color w:val="auto"/>
          <w:sz w:val="24"/>
          <w:szCs w:val="24"/>
          <w:highlight w:val="none"/>
        </w:rPr>
        <w:t>含发电机</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只、厂变</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只、励磁变1只，共</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只电度表。</w:t>
      </w:r>
      <w:r>
        <w:rPr>
          <w:rFonts w:hint="eastAsia" w:ascii="宋体" w:hAnsi="宋体" w:cs="宋体"/>
          <w:color w:val="auto"/>
          <w:sz w:val="24"/>
          <w:szCs w:val="24"/>
          <w:highlight w:val="none"/>
          <w:lang w:val="en-US" w:eastAsia="zh-CN"/>
        </w:rPr>
        <w:t>每面</w:t>
      </w:r>
      <w:r>
        <w:rPr>
          <w:rFonts w:hint="eastAsia" w:ascii="宋体" w:hAnsi="宋体" w:eastAsia="宋体" w:cs="宋体"/>
          <w:color w:val="auto"/>
          <w:sz w:val="24"/>
          <w:szCs w:val="24"/>
          <w:highlight w:val="none"/>
        </w:rPr>
        <w:t>预留</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只三相四线装置六线接线电度表接线及接线盒。</w:t>
      </w:r>
      <w:r>
        <w:rPr>
          <w:rFonts w:hint="eastAsia" w:ascii="宋体" w:hAnsi="宋体" w:cs="宋体"/>
          <w:color w:val="auto"/>
          <w:sz w:val="24"/>
          <w:szCs w:val="24"/>
          <w:highlight w:val="none"/>
          <w:lang w:val="en-US" w:eastAsia="zh-CN"/>
        </w:rPr>
        <w:t>1面</w:t>
      </w:r>
      <w:r>
        <w:rPr>
          <w:rFonts w:hint="eastAsia" w:ascii="宋体" w:hAnsi="宋体" w:eastAsia="宋体" w:cs="宋体"/>
          <w:color w:val="auto"/>
          <w:sz w:val="24"/>
          <w:szCs w:val="24"/>
          <w:highlight w:val="none"/>
        </w:rPr>
        <w:t>关口电度表屏内</w:t>
      </w:r>
      <w:r>
        <w:rPr>
          <w:rFonts w:hint="eastAsia" w:ascii="宋体" w:hAnsi="宋体" w:cs="宋体"/>
          <w:color w:val="auto"/>
          <w:sz w:val="24"/>
          <w:szCs w:val="24"/>
          <w:highlight w:val="none"/>
          <w:lang w:val="en-US" w:eastAsia="zh-CN"/>
        </w:rPr>
        <w:t>含主变高压侧4只</w:t>
      </w:r>
      <w:r>
        <w:rPr>
          <w:rFonts w:hint="eastAsia" w:ascii="宋体" w:hAnsi="宋体" w:cs="宋体"/>
          <w:color w:val="auto"/>
          <w:sz w:val="24"/>
          <w:szCs w:val="24"/>
          <w:highlight w:val="none"/>
          <w:lang w:val="en-US" w:eastAsia="zh-CN"/>
        </w:rPr>
        <w:t>（由投标人提供）</w:t>
      </w:r>
      <w:r>
        <w:rPr>
          <w:rFonts w:hint="eastAsia" w:ascii="宋体" w:hAnsi="宋体" w:cs="宋体"/>
          <w:color w:val="auto"/>
          <w:sz w:val="24"/>
          <w:szCs w:val="24"/>
          <w:highlight w:val="none"/>
          <w:lang w:val="en-US" w:eastAsia="zh-CN"/>
        </w:rPr>
        <w:t>、起备变2只</w:t>
      </w:r>
      <w:r>
        <w:rPr>
          <w:rFonts w:hint="eastAsia" w:ascii="宋体" w:hAnsi="宋体" w:cs="宋体"/>
          <w:color w:val="auto"/>
          <w:sz w:val="24"/>
          <w:szCs w:val="24"/>
          <w:highlight w:val="none"/>
          <w:lang w:val="en-US" w:eastAsia="zh-CN"/>
        </w:rPr>
        <w:t>（由国网供电公司提供）</w:t>
      </w:r>
      <w:r>
        <w:rPr>
          <w:rFonts w:hint="eastAsia" w:ascii="宋体" w:hAnsi="宋体" w:cs="宋体"/>
          <w:color w:val="auto"/>
          <w:sz w:val="24"/>
          <w:szCs w:val="24"/>
          <w:highlight w:val="none"/>
          <w:lang w:val="en-US" w:eastAsia="zh-CN"/>
        </w:rPr>
        <w:t>，并预留</w:t>
      </w:r>
      <w:r>
        <w:rPr>
          <w:rFonts w:hint="eastAsia" w:ascii="宋体" w:hAnsi="宋体" w:eastAsia="宋体" w:cs="宋体"/>
          <w:color w:val="auto"/>
          <w:sz w:val="24"/>
          <w:szCs w:val="24"/>
          <w:highlight w:val="none"/>
        </w:rPr>
        <w:t>3只三相四线装置六线接线电度表接线及接线盒</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1面线路电度表屏内</w:t>
      </w:r>
      <w:r>
        <w:rPr>
          <w:rFonts w:hint="eastAsia" w:ascii="宋体" w:hAnsi="宋体" w:cs="宋体"/>
          <w:color w:val="auto"/>
          <w:sz w:val="24"/>
          <w:szCs w:val="24"/>
          <w:highlight w:val="none"/>
        </w:rPr>
        <w:t>金武换流站750kV 高抗一</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出线一、高抗二、出线二各1只</w:t>
      </w:r>
      <w:r>
        <w:rPr>
          <w:rFonts w:hint="eastAsia" w:ascii="宋体" w:hAnsi="宋体" w:cs="宋体"/>
          <w:color w:val="auto"/>
          <w:sz w:val="24"/>
          <w:szCs w:val="24"/>
          <w:highlight w:val="none"/>
        </w:rPr>
        <w:t>电度表</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共4</w:t>
      </w:r>
      <w:r>
        <w:rPr>
          <w:rFonts w:hint="eastAsia" w:ascii="宋体" w:hAnsi="宋体" w:eastAsia="宋体" w:cs="宋体"/>
          <w:color w:val="auto"/>
          <w:sz w:val="24"/>
          <w:szCs w:val="24"/>
          <w:highlight w:val="none"/>
        </w:rPr>
        <w:t>只</w:t>
      </w:r>
      <w:r>
        <w:rPr>
          <w:rFonts w:hint="eastAsia" w:ascii="宋体" w:hAnsi="宋体" w:cs="宋体"/>
          <w:color w:val="auto"/>
          <w:sz w:val="24"/>
          <w:szCs w:val="24"/>
          <w:highlight w:val="none"/>
          <w:lang w:val="en-US" w:eastAsia="zh-CN"/>
        </w:rPr>
        <w:t>电度</w:t>
      </w:r>
      <w:r>
        <w:rPr>
          <w:rFonts w:hint="eastAsia" w:ascii="宋体" w:hAnsi="宋体" w:eastAsia="宋体" w:cs="宋体"/>
          <w:color w:val="auto"/>
          <w:sz w:val="24"/>
          <w:szCs w:val="24"/>
          <w:highlight w:val="none"/>
        </w:rPr>
        <w:t>表，并预留</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只三相四线装置六线接线电度表接线及接线盒。电度表屏尺寸800X600X2260。</w:t>
      </w:r>
      <w:r>
        <w:rPr>
          <w:rFonts w:hint="eastAsia" w:ascii="宋体" w:hAnsi="宋体" w:eastAsia="宋体" w:cs="宋体"/>
          <w:color w:val="auto"/>
          <w:sz w:val="24"/>
          <w:szCs w:val="24"/>
          <w:highlight w:val="none"/>
        </w:rPr>
        <w:t>因现阶段本项目关口点未审定，电度表组屏方式为暂定，以施工图阶段为准。</w:t>
      </w:r>
      <w:r>
        <w:rPr>
          <w:rFonts w:hint="eastAsia" w:ascii="宋体" w:hAnsi="宋体" w:cs="宋体"/>
          <w:color w:val="auto"/>
          <w:sz w:val="24"/>
          <w:szCs w:val="24"/>
          <w:highlight w:val="none"/>
          <w:lang w:val="en-US" w:eastAsia="zh-CN"/>
        </w:rPr>
        <w:t>投标人需提供由法定授权计量检定机构出具的检定报告及检定合格证。</w:t>
      </w:r>
    </w:p>
    <w:p w14:paraId="3DF67EDA">
      <w:pPr>
        <w:spacing w:line="360" w:lineRule="auto"/>
        <w:ind w:firstLine="480" w:firstLineChars="200"/>
        <w:rPr>
          <w:rFonts w:hint="default" w:ascii="宋体" w:hAnsi="宋体" w:eastAsia="宋体" w:cs="宋体"/>
          <w:color w:val="auto"/>
          <w:sz w:val="24"/>
          <w:szCs w:val="24"/>
          <w:highlight w:val="none"/>
        </w:rPr>
      </w:pPr>
    </w:p>
    <w:p w14:paraId="068FF173">
      <w:pPr>
        <w:pStyle w:val="12"/>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3.13 时间同步系统</w:t>
      </w:r>
    </w:p>
    <w:p w14:paraId="3C690A9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本工程全厂设计一套全厂时钟对时系统，含1套网控主时钟，</w:t>
      </w:r>
      <w:r>
        <w:rPr>
          <w:rFonts w:hint="eastAsia" w:ascii="宋体" w:hAnsi="宋体" w:cs="宋体"/>
          <w:color w:val="auto"/>
          <w:sz w:val="24"/>
          <w:szCs w:val="24"/>
          <w:highlight w:val="none"/>
          <w:lang w:val="en-US" w:eastAsia="zh-CN"/>
        </w:rPr>
        <w:t>布置在网控继电器室，</w:t>
      </w:r>
      <w:r>
        <w:rPr>
          <w:rFonts w:hint="eastAsia" w:ascii="宋体" w:hAnsi="宋体" w:cs="宋体"/>
          <w:color w:val="auto"/>
          <w:sz w:val="24"/>
          <w:szCs w:val="24"/>
          <w:highlight w:val="none"/>
        </w:rPr>
        <w:t>2套机组时钟分屏，</w:t>
      </w:r>
      <w:r>
        <w:rPr>
          <w:rFonts w:hint="eastAsia" w:ascii="宋体" w:hAnsi="宋体" w:cs="宋体"/>
          <w:color w:val="auto"/>
          <w:sz w:val="24"/>
          <w:szCs w:val="24"/>
          <w:highlight w:val="none"/>
          <w:lang w:val="en-US" w:eastAsia="zh-CN"/>
        </w:rPr>
        <w:t>布置在机组继电器室，</w:t>
      </w:r>
      <w:r>
        <w:rPr>
          <w:rFonts w:hint="eastAsia" w:ascii="宋体" w:hAnsi="宋体" w:cs="宋体"/>
          <w:color w:val="auto"/>
          <w:sz w:val="24"/>
          <w:szCs w:val="24"/>
          <w:highlight w:val="none"/>
        </w:rPr>
        <w:t>用于两台机组的对时系统。</w:t>
      </w:r>
    </w:p>
    <w:p w14:paraId="078FD13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扩展系统：2套</w:t>
      </w:r>
    </w:p>
    <w:p w14:paraId="577F539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联接方式：主时钟与扩展柜采用光纤，其它采用485/232五类屏蔽线方式。</w:t>
      </w:r>
    </w:p>
    <w:p w14:paraId="165C8AB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设备安装形式：无屏蔽、无防静电措施的房间内</w:t>
      </w:r>
    </w:p>
    <w:p w14:paraId="2B8DD0AB">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3.13.</w:t>
      </w:r>
      <w:r>
        <w:rPr>
          <w:rFonts w:hint="eastAsia"/>
          <w:color w:val="auto"/>
          <w:sz w:val="24"/>
          <w:szCs w:val="24"/>
          <w:highlight w:val="none"/>
        </w:rPr>
        <w:t>1 工作范围</w:t>
      </w:r>
    </w:p>
    <w:p w14:paraId="761CB2C0">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投标人</w:t>
      </w:r>
      <w:r>
        <w:rPr>
          <w:rFonts w:hint="eastAsia"/>
          <w:color w:val="auto"/>
          <w:sz w:val="24"/>
          <w:szCs w:val="24"/>
          <w:highlight w:val="none"/>
        </w:rPr>
        <w:t>的工作范围包括时钟接收装置及对时系统，并进行现场安装、设备启动和投运现场验收等技术服务。</w:t>
      </w:r>
    </w:p>
    <w:p w14:paraId="65925D8A">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3.13.</w:t>
      </w:r>
      <w:r>
        <w:rPr>
          <w:rFonts w:hint="eastAsia"/>
          <w:color w:val="auto"/>
          <w:sz w:val="24"/>
          <w:szCs w:val="24"/>
          <w:highlight w:val="none"/>
        </w:rPr>
        <w:t xml:space="preserve">2 </w:t>
      </w:r>
      <w:r>
        <w:rPr>
          <w:rFonts w:hint="eastAsia"/>
          <w:color w:val="auto"/>
          <w:sz w:val="24"/>
          <w:szCs w:val="24"/>
          <w:highlight w:val="none"/>
          <w:lang w:eastAsia="zh-CN"/>
        </w:rPr>
        <w:t>投标人</w:t>
      </w:r>
      <w:r>
        <w:rPr>
          <w:rFonts w:hint="eastAsia"/>
          <w:color w:val="auto"/>
          <w:sz w:val="24"/>
          <w:szCs w:val="24"/>
          <w:highlight w:val="none"/>
        </w:rPr>
        <w:t>的职责</w:t>
      </w:r>
    </w:p>
    <w:p w14:paraId="77A59440">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投标人</w:t>
      </w:r>
      <w:r>
        <w:rPr>
          <w:rFonts w:hint="eastAsia"/>
          <w:color w:val="auto"/>
          <w:sz w:val="24"/>
          <w:szCs w:val="24"/>
          <w:highlight w:val="none"/>
        </w:rPr>
        <w:t>的职责将包括下列内容，但不仅仅限于此内容。</w:t>
      </w:r>
    </w:p>
    <w:p w14:paraId="39F26668">
      <w:pPr>
        <w:spacing w:line="360" w:lineRule="auto"/>
        <w:ind w:firstLine="480" w:firstLineChars="200"/>
        <w:rPr>
          <w:rFonts w:hint="eastAsia"/>
          <w:color w:val="auto"/>
          <w:sz w:val="24"/>
          <w:szCs w:val="24"/>
          <w:highlight w:val="none"/>
        </w:rPr>
      </w:pPr>
      <w:r>
        <w:rPr>
          <w:rFonts w:hint="eastAsia"/>
          <w:color w:val="auto"/>
          <w:sz w:val="24"/>
          <w:szCs w:val="24"/>
          <w:highlight w:val="none"/>
        </w:rPr>
        <w:t>提供一套符合本技术规范书要求的时间同步对时系统。</w:t>
      </w:r>
    </w:p>
    <w:p w14:paraId="0D776699">
      <w:pPr>
        <w:spacing w:line="360" w:lineRule="auto"/>
        <w:ind w:firstLine="480" w:firstLineChars="200"/>
        <w:rPr>
          <w:rFonts w:hint="eastAsia"/>
          <w:color w:val="auto"/>
          <w:sz w:val="24"/>
          <w:szCs w:val="24"/>
          <w:highlight w:val="none"/>
        </w:rPr>
      </w:pPr>
      <w:r>
        <w:rPr>
          <w:rFonts w:hint="eastAsia"/>
          <w:color w:val="auto"/>
          <w:sz w:val="24"/>
          <w:szCs w:val="24"/>
          <w:highlight w:val="none"/>
        </w:rPr>
        <w:t>主动与需要对时接口的设备厂商联系，获取与其他设备之间连接的接口要求，并负责连通，并整理统计接口清单。</w:t>
      </w:r>
    </w:p>
    <w:p w14:paraId="52618E92">
      <w:pPr>
        <w:spacing w:line="360" w:lineRule="auto"/>
        <w:ind w:firstLine="480" w:firstLineChars="200"/>
        <w:rPr>
          <w:rFonts w:hint="eastAsia"/>
          <w:color w:val="auto"/>
          <w:sz w:val="24"/>
          <w:szCs w:val="24"/>
          <w:highlight w:val="none"/>
        </w:rPr>
      </w:pPr>
      <w:r>
        <w:rPr>
          <w:rFonts w:hint="eastAsia"/>
          <w:color w:val="auto"/>
          <w:sz w:val="24"/>
          <w:szCs w:val="24"/>
          <w:highlight w:val="none"/>
        </w:rPr>
        <w:t>提供系统结构配置图和对时信号接线图。</w:t>
      </w:r>
    </w:p>
    <w:p w14:paraId="115E1F27">
      <w:pPr>
        <w:spacing w:line="360" w:lineRule="auto"/>
        <w:ind w:firstLine="480" w:firstLineChars="200"/>
        <w:rPr>
          <w:rFonts w:hint="eastAsia"/>
          <w:color w:val="auto"/>
          <w:sz w:val="24"/>
          <w:szCs w:val="24"/>
          <w:highlight w:val="none"/>
        </w:rPr>
      </w:pPr>
      <w:r>
        <w:rPr>
          <w:rFonts w:hint="eastAsia"/>
          <w:color w:val="auto"/>
          <w:sz w:val="24"/>
          <w:szCs w:val="24"/>
          <w:highlight w:val="none"/>
        </w:rPr>
        <w:t>提供系统内以及全厂所有需对时设备的连接光缆（采用铠装光缆）、电缆、特殊电缆，预制电缆，对时信号双侧接口设备盒元器件、连接附件、电源插座等。并负责开列相关的清册。</w:t>
      </w:r>
    </w:p>
    <w:p w14:paraId="09171C31">
      <w:pPr>
        <w:spacing w:line="360" w:lineRule="auto"/>
        <w:ind w:firstLine="480" w:firstLineChars="200"/>
        <w:rPr>
          <w:rFonts w:hint="eastAsia"/>
          <w:color w:val="auto"/>
          <w:sz w:val="24"/>
          <w:szCs w:val="24"/>
          <w:highlight w:val="none"/>
        </w:rPr>
      </w:pPr>
      <w:r>
        <w:rPr>
          <w:rFonts w:hint="eastAsia"/>
          <w:color w:val="auto"/>
          <w:sz w:val="24"/>
          <w:szCs w:val="24"/>
          <w:highlight w:val="none"/>
        </w:rPr>
        <w:t>负责与所有需对时设备的相关接线、调试等。</w:t>
      </w:r>
    </w:p>
    <w:p w14:paraId="235932FC">
      <w:pPr>
        <w:spacing w:line="360" w:lineRule="auto"/>
        <w:ind w:firstLine="480" w:firstLineChars="200"/>
        <w:rPr>
          <w:rFonts w:hint="eastAsia"/>
          <w:color w:val="auto"/>
          <w:sz w:val="24"/>
          <w:szCs w:val="24"/>
          <w:highlight w:val="none"/>
        </w:rPr>
      </w:pPr>
      <w:r>
        <w:rPr>
          <w:rFonts w:hint="eastAsia"/>
          <w:color w:val="auto"/>
          <w:sz w:val="24"/>
          <w:szCs w:val="24"/>
          <w:highlight w:val="none"/>
        </w:rPr>
        <w:t>负责参加举行的设计联络会。</w:t>
      </w:r>
    </w:p>
    <w:p w14:paraId="0809440D">
      <w:pPr>
        <w:spacing w:line="360" w:lineRule="auto"/>
        <w:ind w:firstLine="480" w:firstLineChars="200"/>
        <w:rPr>
          <w:rFonts w:hint="eastAsia"/>
          <w:color w:val="auto"/>
          <w:sz w:val="24"/>
          <w:szCs w:val="24"/>
          <w:highlight w:val="none"/>
        </w:rPr>
      </w:pPr>
      <w:r>
        <w:rPr>
          <w:rFonts w:hint="eastAsia"/>
          <w:color w:val="auto"/>
          <w:sz w:val="24"/>
          <w:szCs w:val="24"/>
          <w:highlight w:val="none"/>
        </w:rPr>
        <w:t>负责提供工厂验收试验（FAT）和现场验收试验（SAT）的大纲，并经</w:t>
      </w:r>
      <w:r>
        <w:rPr>
          <w:rFonts w:hint="eastAsia"/>
          <w:color w:val="auto"/>
          <w:sz w:val="24"/>
          <w:szCs w:val="24"/>
          <w:highlight w:val="none"/>
          <w:lang w:eastAsia="zh-CN"/>
        </w:rPr>
        <w:t>招标人</w:t>
      </w:r>
      <w:r>
        <w:rPr>
          <w:rFonts w:hint="eastAsia"/>
          <w:color w:val="auto"/>
          <w:sz w:val="24"/>
          <w:szCs w:val="24"/>
          <w:highlight w:val="none"/>
        </w:rPr>
        <w:t>确认。</w:t>
      </w:r>
    </w:p>
    <w:p w14:paraId="566B97AB">
      <w:pPr>
        <w:spacing w:line="360" w:lineRule="auto"/>
        <w:ind w:firstLine="480" w:firstLineChars="200"/>
        <w:rPr>
          <w:rFonts w:hint="eastAsia"/>
          <w:color w:val="auto"/>
          <w:sz w:val="24"/>
          <w:szCs w:val="24"/>
          <w:highlight w:val="none"/>
        </w:rPr>
      </w:pPr>
      <w:r>
        <w:rPr>
          <w:rFonts w:hint="eastAsia"/>
          <w:color w:val="auto"/>
          <w:sz w:val="24"/>
          <w:szCs w:val="24"/>
          <w:highlight w:val="none"/>
        </w:rPr>
        <w:t>负责工厂验收试验（FAT）。</w:t>
      </w:r>
    </w:p>
    <w:p w14:paraId="3273A430">
      <w:pPr>
        <w:spacing w:line="360" w:lineRule="auto"/>
        <w:ind w:firstLine="480" w:firstLineChars="200"/>
        <w:rPr>
          <w:rFonts w:hint="eastAsia"/>
          <w:color w:val="auto"/>
          <w:sz w:val="24"/>
          <w:szCs w:val="24"/>
          <w:highlight w:val="none"/>
        </w:rPr>
      </w:pPr>
      <w:r>
        <w:rPr>
          <w:rFonts w:hint="eastAsia"/>
          <w:color w:val="auto"/>
          <w:sz w:val="24"/>
          <w:szCs w:val="24"/>
          <w:highlight w:val="none"/>
        </w:rPr>
        <w:t>参加并指导现场验收试验（SAT）。</w:t>
      </w:r>
    </w:p>
    <w:p w14:paraId="2779999E">
      <w:pPr>
        <w:spacing w:line="360" w:lineRule="auto"/>
        <w:ind w:firstLine="480" w:firstLineChars="200"/>
        <w:rPr>
          <w:rFonts w:hint="eastAsia"/>
          <w:color w:val="auto"/>
          <w:sz w:val="24"/>
          <w:szCs w:val="24"/>
          <w:highlight w:val="none"/>
        </w:rPr>
      </w:pPr>
      <w:r>
        <w:rPr>
          <w:rFonts w:hint="eastAsia"/>
          <w:color w:val="auto"/>
          <w:sz w:val="24"/>
          <w:szCs w:val="24"/>
          <w:highlight w:val="none"/>
        </w:rPr>
        <w:t>负责供货范围内设备的投运、试验验收、试运行和保修期内的故障排除。</w:t>
      </w:r>
    </w:p>
    <w:p w14:paraId="1A68DF1B">
      <w:pPr>
        <w:spacing w:line="360" w:lineRule="auto"/>
        <w:ind w:firstLine="480" w:firstLineChars="200"/>
        <w:rPr>
          <w:rFonts w:hint="eastAsia"/>
          <w:color w:val="auto"/>
          <w:sz w:val="24"/>
          <w:szCs w:val="24"/>
          <w:highlight w:val="none"/>
        </w:rPr>
      </w:pPr>
      <w:r>
        <w:rPr>
          <w:rFonts w:hint="eastAsia"/>
          <w:color w:val="auto"/>
          <w:sz w:val="24"/>
          <w:szCs w:val="24"/>
          <w:highlight w:val="none"/>
        </w:rPr>
        <w:t>负责供货范围内所有设备的包装运输。</w:t>
      </w:r>
    </w:p>
    <w:p w14:paraId="01C19268">
      <w:pPr>
        <w:spacing w:line="360" w:lineRule="auto"/>
        <w:ind w:firstLine="480" w:firstLineChars="200"/>
        <w:rPr>
          <w:rFonts w:hint="eastAsia"/>
          <w:color w:val="auto"/>
          <w:sz w:val="24"/>
          <w:szCs w:val="24"/>
          <w:highlight w:val="none"/>
        </w:rPr>
      </w:pPr>
      <w:r>
        <w:rPr>
          <w:rFonts w:hint="eastAsia"/>
          <w:color w:val="auto"/>
          <w:sz w:val="24"/>
          <w:szCs w:val="24"/>
          <w:highlight w:val="none"/>
        </w:rPr>
        <w:t>提供供货范围内所有设备的技术文件、参考资料、图纸和手册。</w:t>
      </w:r>
    </w:p>
    <w:p w14:paraId="79683CAF">
      <w:pPr>
        <w:spacing w:line="360" w:lineRule="auto"/>
        <w:ind w:firstLine="480" w:firstLineChars="200"/>
        <w:rPr>
          <w:rFonts w:hint="eastAsia"/>
          <w:color w:val="auto"/>
          <w:sz w:val="24"/>
          <w:szCs w:val="24"/>
          <w:highlight w:val="none"/>
        </w:rPr>
      </w:pPr>
      <w:r>
        <w:rPr>
          <w:rFonts w:hint="eastAsia"/>
          <w:color w:val="auto"/>
          <w:sz w:val="24"/>
          <w:szCs w:val="24"/>
          <w:highlight w:val="none"/>
        </w:rPr>
        <w:t>提供调试时需要的专用工具和试验仪器仪表。</w:t>
      </w:r>
    </w:p>
    <w:p w14:paraId="5B06F732">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3.13.</w:t>
      </w:r>
      <w:r>
        <w:rPr>
          <w:rFonts w:hint="eastAsia"/>
          <w:color w:val="auto"/>
          <w:sz w:val="24"/>
          <w:szCs w:val="24"/>
          <w:highlight w:val="none"/>
        </w:rPr>
        <w:t>3时钟同步系统功能</w:t>
      </w:r>
    </w:p>
    <w:p w14:paraId="364EF2D4">
      <w:pPr>
        <w:spacing w:line="360" w:lineRule="auto"/>
        <w:ind w:firstLine="480" w:firstLineChars="200"/>
        <w:rPr>
          <w:rFonts w:hint="eastAsia"/>
          <w:color w:val="auto"/>
          <w:sz w:val="24"/>
          <w:szCs w:val="24"/>
          <w:highlight w:val="none"/>
        </w:rPr>
      </w:pPr>
      <w:r>
        <w:rPr>
          <w:rFonts w:hint="eastAsia"/>
          <w:color w:val="auto"/>
          <w:sz w:val="24"/>
          <w:szCs w:val="24"/>
          <w:highlight w:val="none"/>
        </w:rPr>
        <w:t>时钟同步系统的主要功能就是为全厂用时设备提供统一的时间基准，如计算机监控系统、保护装置、故障录波器、DCS系统及各PLC系统等。</w:t>
      </w:r>
    </w:p>
    <w:p w14:paraId="7A69F15C">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7</w:t>
      </w:r>
      <w:r>
        <w:rPr>
          <w:rFonts w:hint="eastAsia"/>
          <w:color w:val="auto"/>
          <w:sz w:val="24"/>
          <w:szCs w:val="24"/>
          <w:highlight w:val="none"/>
          <w:lang w:val="en-US" w:eastAsia="zh-CN"/>
        </w:rPr>
        <w:t>50</w:t>
      </w:r>
      <w:r>
        <w:rPr>
          <w:rFonts w:hint="eastAsia"/>
          <w:color w:val="auto"/>
          <w:sz w:val="24"/>
          <w:szCs w:val="24"/>
          <w:highlight w:val="none"/>
        </w:rPr>
        <w:t>kV网络继电器室每台主时钟授时终端采用单授时源“双北斗”模式，且仅用北斗，不能接收和处理GPS等其他卫星导航系统信号。</w:t>
      </w:r>
    </w:p>
    <w:p w14:paraId="13B7C331">
      <w:pPr>
        <w:spacing w:line="360" w:lineRule="auto"/>
        <w:ind w:firstLine="480" w:firstLineChars="200"/>
        <w:rPr>
          <w:rFonts w:hint="eastAsia"/>
          <w:color w:val="auto"/>
          <w:sz w:val="24"/>
          <w:szCs w:val="24"/>
          <w:highlight w:val="none"/>
        </w:rPr>
      </w:pPr>
      <w:r>
        <w:rPr>
          <w:rFonts w:hint="eastAsia"/>
          <w:color w:val="auto"/>
          <w:sz w:val="24"/>
          <w:szCs w:val="24"/>
          <w:highlight w:val="none"/>
        </w:rPr>
        <w:t>1、2号机电气继电器室分别各安装一面时钟扩展柜，各扩展柜与主时钟相连，接收主时钟发送的基准时间。1、2号机电气继电器室至</w:t>
      </w:r>
      <w:r>
        <w:rPr>
          <w:rFonts w:hint="eastAsia"/>
          <w:color w:val="auto"/>
          <w:sz w:val="24"/>
          <w:szCs w:val="24"/>
          <w:highlight w:val="none"/>
          <w:lang w:eastAsia="zh-CN"/>
        </w:rPr>
        <w:t>7</w:t>
      </w:r>
      <w:r>
        <w:rPr>
          <w:rFonts w:hint="eastAsia"/>
          <w:color w:val="auto"/>
          <w:sz w:val="24"/>
          <w:szCs w:val="24"/>
          <w:highlight w:val="none"/>
          <w:lang w:val="en-US" w:eastAsia="zh-CN"/>
        </w:rPr>
        <w:t>5</w:t>
      </w:r>
      <w:r>
        <w:rPr>
          <w:rFonts w:hint="eastAsia"/>
          <w:color w:val="auto"/>
          <w:sz w:val="24"/>
          <w:szCs w:val="24"/>
          <w:highlight w:val="none"/>
        </w:rPr>
        <w:t>0kV继电器室距离约为</w:t>
      </w:r>
      <w:r>
        <w:rPr>
          <w:rFonts w:hint="eastAsia"/>
          <w:color w:val="auto"/>
          <w:sz w:val="24"/>
          <w:szCs w:val="24"/>
          <w:highlight w:val="none"/>
          <w:lang w:val="en-US" w:eastAsia="zh-CN"/>
        </w:rPr>
        <w:t>400</w:t>
      </w:r>
      <w:r>
        <w:rPr>
          <w:rFonts w:hint="eastAsia"/>
          <w:color w:val="auto"/>
          <w:sz w:val="24"/>
          <w:szCs w:val="24"/>
          <w:highlight w:val="none"/>
        </w:rPr>
        <w:t>米。</w:t>
      </w:r>
    </w:p>
    <w:p w14:paraId="01B923A0">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3.13.</w:t>
      </w:r>
      <w:r>
        <w:rPr>
          <w:rFonts w:hint="eastAsia"/>
          <w:color w:val="auto"/>
          <w:sz w:val="24"/>
          <w:szCs w:val="24"/>
          <w:highlight w:val="none"/>
        </w:rPr>
        <w:t>4 全站同步时间同步系统技术参数和性能要求</w:t>
      </w:r>
      <w:r>
        <w:rPr>
          <w:rFonts w:hint="eastAsia"/>
          <w:color w:val="auto"/>
          <w:sz w:val="24"/>
          <w:szCs w:val="24"/>
          <w:highlight w:val="none"/>
        </w:rPr>
        <w:tab/>
      </w:r>
    </w:p>
    <w:p w14:paraId="79988A70">
      <w:pPr>
        <w:spacing w:line="360" w:lineRule="auto"/>
        <w:ind w:firstLine="480" w:firstLineChars="200"/>
        <w:rPr>
          <w:rFonts w:hint="eastAsia"/>
          <w:color w:val="auto"/>
          <w:sz w:val="24"/>
          <w:szCs w:val="24"/>
          <w:highlight w:val="none"/>
        </w:rPr>
      </w:pPr>
      <w:r>
        <w:rPr>
          <w:rFonts w:hint="eastAsia"/>
          <w:color w:val="auto"/>
          <w:sz w:val="24"/>
          <w:szCs w:val="24"/>
          <w:highlight w:val="none"/>
        </w:rPr>
        <w:t>全站同步时间同步系统设备选用</w:t>
      </w:r>
      <w:r>
        <w:rPr>
          <w:rFonts w:hint="eastAsia" w:asciiTheme="minorEastAsia" w:hAnsiTheme="minorEastAsia" w:eastAsiaTheme="minorEastAsia" w:cstheme="minorEastAsia"/>
          <w:b/>
          <w:bCs/>
          <w:color w:val="auto"/>
          <w:sz w:val="24"/>
          <w:szCs w:val="21"/>
          <w:highlight w:val="none"/>
        </w:rPr>
        <w:t>中元华电、北京四方、南瑞继保</w:t>
      </w:r>
      <w:r>
        <w:rPr>
          <w:rFonts w:hint="eastAsia"/>
          <w:color w:val="auto"/>
          <w:sz w:val="24"/>
          <w:szCs w:val="24"/>
          <w:highlight w:val="none"/>
        </w:rPr>
        <w:t>或相当于品牌产品。</w:t>
      </w:r>
    </w:p>
    <w:p w14:paraId="3EC478CD">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3.13.</w:t>
      </w:r>
      <w:r>
        <w:rPr>
          <w:rFonts w:hint="eastAsia"/>
          <w:color w:val="auto"/>
          <w:sz w:val="24"/>
          <w:szCs w:val="24"/>
          <w:highlight w:val="none"/>
        </w:rPr>
        <w:t>4.1 应遵循的主要现行标准</w:t>
      </w:r>
    </w:p>
    <w:p w14:paraId="4996EB96">
      <w:pPr>
        <w:spacing w:line="360" w:lineRule="auto"/>
        <w:ind w:firstLine="480" w:firstLineChars="200"/>
        <w:rPr>
          <w:rFonts w:hint="eastAsia"/>
          <w:color w:val="auto"/>
          <w:sz w:val="24"/>
          <w:szCs w:val="24"/>
          <w:highlight w:val="none"/>
        </w:rPr>
      </w:pPr>
      <w:r>
        <w:rPr>
          <w:rFonts w:hint="eastAsia"/>
          <w:color w:val="auto"/>
          <w:sz w:val="24"/>
          <w:szCs w:val="24"/>
          <w:highlight w:val="none"/>
        </w:rPr>
        <w:t>除非另作特别规定，所有合同设备，包括</w:t>
      </w:r>
      <w:r>
        <w:rPr>
          <w:rFonts w:hint="eastAsia"/>
          <w:color w:val="auto"/>
          <w:sz w:val="24"/>
          <w:szCs w:val="24"/>
          <w:highlight w:val="none"/>
          <w:lang w:eastAsia="zh-CN"/>
        </w:rPr>
        <w:t>投标人</w:t>
      </w:r>
      <w:r>
        <w:rPr>
          <w:rFonts w:hint="eastAsia"/>
          <w:color w:val="auto"/>
          <w:sz w:val="24"/>
          <w:szCs w:val="24"/>
          <w:highlight w:val="none"/>
        </w:rPr>
        <w:t>从他处获得的全部设备或附件，都必须满足最新版本的IEC标准和国际单位制。但</w:t>
      </w:r>
      <w:r>
        <w:rPr>
          <w:rFonts w:hint="eastAsia"/>
          <w:color w:val="auto"/>
          <w:sz w:val="24"/>
          <w:szCs w:val="24"/>
          <w:highlight w:val="none"/>
          <w:lang w:eastAsia="zh-CN"/>
        </w:rPr>
        <w:t>投标人</w:t>
      </w:r>
      <w:r>
        <w:rPr>
          <w:rFonts w:hint="eastAsia"/>
          <w:color w:val="auto"/>
          <w:sz w:val="24"/>
          <w:szCs w:val="24"/>
          <w:highlight w:val="none"/>
        </w:rPr>
        <w:t>也可以提请同意采用技术上等效满足原产国国家标准的设备和材料，供</w:t>
      </w:r>
      <w:r>
        <w:rPr>
          <w:rFonts w:hint="eastAsia"/>
          <w:color w:val="auto"/>
          <w:sz w:val="24"/>
          <w:szCs w:val="24"/>
          <w:highlight w:val="none"/>
          <w:lang w:eastAsia="zh-CN"/>
        </w:rPr>
        <w:t>招标人</w:t>
      </w:r>
      <w:r>
        <w:rPr>
          <w:rFonts w:hint="eastAsia"/>
          <w:color w:val="auto"/>
          <w:sz w:val="24"/>
          <w:szCs w:val="24"/>
          <w:highlight w:val="none"/>
        </w:rPr>
        <w:t>确认。标准和规范仅规定了最低要求，只要</w:t>
      </w:r>
      <w:r>
        <w:rPr>
          <w:rFonts w:hint="eastAsia"/>
          <w:color w:val="auto"/>
          <w:sz w:val="24"/>
          <w:szCs w:val="24"/>
          <w:highlight w:val="none"/>
          <w:lang w:eastAsia="zh-CN"/>
        </w:rPr>
        <w:t>投标人</w:t>
      </w:r>
      <w:r>
        <w:rPr>
          <w:rFonts w:hint="eastAsia"/>
          <w:color w:val="auto"/>
          <w:sz w:val="24"/>
          <w:szCs w:val="24"/>
          <w:highlight w:val="none"/>
        </w:rPr>
        <w:t>认为有必要且经</w:t>
      </w:r>
      <w:r>
        <w:rPr>
          <w:rFonts w:hint="eastAsia"/>
          <w:color w:val="auto"/>
          <w:sz w:val="24"/>
          <w:szCs w:val="24"/>
          <w:highlight w:val="none"/>
          <w:lang w:eastAsia="zh-CN"/>
        </w:rPr>
        <w:t>招标人</w:t>
      </w:r>
      <w:r>
        <w:rPr>
          <w:rFonts w:hint="eastAsia"/>
          <w:color w:val="auto"/>
          <w:sz w:val="24"/>
          <w:szCs w:val="24"/>
          <w:highlight w:val="none"/>
        </w:rPr>
        <w:t>认可，即可超越这些标准，采用更好、更经济的设计和材料，使</w:t>
      </w:r>
      <w:r>
        <w:rPr>
          <w:rFonts w:hint="eastAsia"/>
          <w:color w:val="auto"/>
          <w:sz w:val="24"/>
          <w:szCs w:val="24"/>
          <w:highlight w:val="none"/>
          <w:lang w:eastAsia="zh-CN"/>
        </w:rPr>
        <w:t>投标人</w:t>
      </w:r>
      <w:r>
        <w:rPr>
          <w:rFonts w:hint="eastAsia"/>
          <w:color w:val="auto"/>
          <w:sz w:val="24"/>
          <w:szCs w:val="24"/>
          <w:highlight w:val="none"/>
        </w:rPr>
        <w:t>的设备持续稳定地运行。</w:t>
      </w:r>
    </w:p>
    <w:p w14:paraId="7769AAFC">
      <w:pPr>
        <w:spacing w:line="360" w:lineRule="auto"/>
        <w:ind w:firstLine="480" w:firstLineChars="200"/>
        <w:rPr>
          <w:rFonts w:hint="eastAsia"/>
          <w:color w:val="auto"/>
          <w:sz w:val="24"/>
          <w:szCs w:val="24"/>
          <w:highlight w:val="none"/>
        </w:rPr>
      </w:pPr>
      <w:r>
        <w:rPr>
          <w:rFonts w:hint="eastAsia"/>
          <w:color w:val="auto"/>
          <w:sz w:val="24"/>
          <w:szCs w:val="24"/>
          <w:highlight w:val="none"/>
        </w:rPr>
        <w:t>除上述标准以外，</w:t>
      </w:r>
      <w:r>
        <w:rPr>
          <w:rFonts w:hint="eastAsia"/>
          <w:color w:val="auto"/>
          <w:sz w:val="24"/>
          <w:szCs w:val="24"/>
          <w:highlight w:val="none"/>
          <w:lang w:eastAsia="zh-CN"/>
        </w:rPr>
        <w:t>投标人</w:t>
      </w:r>
      <w:r>
        <w:rPr>
          <w:rFonts w:hint="eastAsia"/>
          <w:color w:val="auto"/>
          <w:sz w:val="24"/>
          <w:szCs w:val="24"/>
          <w:highlight w:val="none"/>
        </w:rPr>
        <w:t>还应符合</w:t>
      </w:r>
      <w:r>
        <w:rPr>
          <w:rFonts w:hint="eastAsia"/>
          <w:color w:val="auto"/>
          <w:sz w:val="24"/>
          <w:szCs w:val="24"/>
          <w:highlight w:val="none"/>
          <w:lang w:eastAsia="zh-CN"/>
        </w:rPr>
        <w:t>招标人</w:t>
      </w:r>
      <w:r>
        <w:rPr>
          <w:rFonts w:hint="eastAsia"/>
          <w:color w:val="auto"/>
          <w:sz w:val="24"/>
          <w:szCs w:val="24"/>
          <w:highlight w:val="none"/>
        </w:rPr>
        <w:t>国家、地方和行业的有关规定和相关的标准。</w:t>
      </w:r>
    </w:p>
    <w:p w14:paraId="718B7865">
      <w:pPr>
        <w:spacing w:line="360" w:lineRule="auto"/>
        <w:ind w:firstLine="480" w:firstLineChars="200"/>
        <w:rPr>
          <w:rFonts w:hint="eastAsia"/>
          <w:color w:val="auto"/>
          <w:sz w:val="24"/>
          <w:szCs w:val="24"/>
          <w:highlight w:val="none"/>
        </w:rPr>
      </w:pPr>
      <w:r>
        <w:rPr>
          <w:rFonts w:hint="eastAsia"/>
          <w:color w:val="auto"/>
          <w:sz w:val="24"/>
          <w:szCs w:val="24"/>
          <w:highlight w:val="none"/>
          <w:lang w:eastAsia="zh-CN"/>
        </w:rPr>
        <w:t>投标人</w:t>
      </w:r>
      <w:r>
        <w:rPr>
          <w:rFonts w:hint="eastAsia"/>
          <w:color w:val="auto"/>
          <w:sz w:val="24"/>
          <w:szCs w:val="24"/>
          <w:highlight w:val="none"/>
        </w:rPr>
        <w:t>提供的设备和服务应满足</w:t>
      </w:r>
      <w:r>
        <w:rPr>
          <w:rFonts w:hint="eastAsia"/>
          <w:color w:val="auto"/>
          <w:sz w:val="24"/>
          <w:szCs w:val="24"/>
          <w:highlight w:val="none"/>
          <w:lang w:eastAsia="zh-CN"/>
        </w:rPr>
        <w:t>招标人</w:t>
      </w:r>
      <w:r>
        <w:rPr>
          <w:rFonts w:hint="eastAsia"/>
          <w:color w:val="auto"/>
          <w:sz w:val="24"/>
          <w:szCs w:val="24"/>
          <w:highlight w:val="none"/>
        </w:rPr>
        <w:t>国家和行业标准。</w:t>
      </w:r>
    </w:p>
    <w:p w14:paraId="6A3C38A8">
      <w:pPr>
        <w:spacing w:line="360" w:lineRule="auto"/>
        <w:ind w:firstLine="480" w:firstLineChars="200"/>
        <w:rPr>
          <w:rFonts w:hint="eastAsia"/>
          <w:color w:val="auto"/>
          <w:sz w:val="24"/>
          <w:szCs w:val="24"/>
          <w:highlight w:val="none"/>
        </w:rPr>
      </w:pPr>
      <w:r>
        <w:rPr>
          <w:rFonts w:hint="eastAsia"/>
          <w:color w:val="auto"/>
          <w:sz w:val="24"/>
          <w:szCs w:val="24"/>
          <w:highlight w:val="none"/>
        </w:rPr>
        <w:t>如标准、规范与本规范书的技术规范有明显的冲突，则</w:t>
      </w:r>
      <w:r>
        <w:rPr>
          <w:rFonts w:hint="eastAsia"/>
          <w:color w:val="auto"/>
          <w:sz w:val="24"/>
          <w:szCs w:val="24"/>
          <w:highlight w:val="none"/>
          <w:lang w:eastAsia="zh-CN"/>
        </w:rPr>
        <w:t>投标人</w:t>
      </w:r>
      <w:r>
        <w:rPr>
          <w:rFonts w:hint="eastAsia"/>
          <w:color w:val="auto"/>
          <w:sz w:val="24"/>
          <w:szCs w:val="24"/>
          <w:highlight w:val="none"/>
        </w:rPr>
        <w:t>应在制造设备前，用书面形式将冲突和解决办法告知</w:t>
      </w:r>
      <w:r>
        <w:rPr>
          <w:rFonts w:hint="eastAsia"/>
          <w:color w:val="auto"/>
          <w:sz w:val="24"/>
          <w:szCs w:val="24"/>
          <w:highlight w:val="none"/>
          <w:lang w:eastAsia="zh-CN"/>
        </w:rPr>
        <w:t>招标人</w:t>
      </w:r>
      <w:r>
        <w:rPr>
          <w:rFonts w:hint="eastAsia"/>
          <w:color w:val="auto"/>
          <w:sz w:val="24"/>
          <w:szCs w:val="24"/>
          <w:highlight w:val="none"/>
        </w:rPr>
        <w:t>，并经</w:t>
      </w:r>
      <w:r>
        <w:rPr>
          <w:rFonts w:hint="eastAsia"/>
          <w:color w:val="auto"/>
          <w:sz w:val="24"/>
          <w:szCs w:val="24"/>
          <w:highlight w:val="none"/>
          <w:lang w:eastAsia="zh-CN"/>
        </w:rPr>
        <w:t>招标人</w:t>
      </w:r>
      <w:r>
        <w:rPr>
          <w:rFonts w:hint="eastAsia"/>
          <w:color w:val="auto"/>
          <w:sz w:val="24"/>
          <w:szCs w:val="24"/>
          <w:highlight w:val="none"/>
        </w:rPr>
        <w:t>确认后，才能进行设备制造。</w:t>
      </w:r>
    </w:p>
    <w:p w14:paraId="68129CE1">
      <w:pPr>
        <w:spacing w:line="360" w:lineRule="auto"/>
        <w:ind w:firstLine="480" w:firstLineChars="200"/>
        <w:rPr>
          <w:rFonts w:hint="eastAsia"/>
          <w:color w:val="auto"/>
          <w:sz w:val="24"/>
          <w:szCs w:val="24"/>
          <w:highlight w:val="none"/>
        </w:rPr>
      </w:pPr>
      <w:r>
        <w:rPr>
          <w:rFonts w:hint="eastAsia"/>
          <w:color w:val="auto"/>
          <w:sz w:val="24"/>
          <w:szCs w:val="24"/>
          <w:highlight w:val="none"/>
        </w:rPr>
        <w:t xml:space="preserve">3. </w:t>
      </w:r>
      <w:r>
        <w:rPr>
          <w:rFonts w:hint="eastAsia"/>
          <w:color w:val="auto"/>
          <w:sz w:val="24"/>
          <w:szCs w:val="24"/>
          <w:highlight w:val="none"/>
          <w:lang w:val="en-US" w:eastAsia="zh-CN"/>
        </w:rPr>
        <w:t>1</w:t>
      </w:r>
      <w:r>
        <w:rPr>
          <w:rFonts w:hint="eastAsia"/>
          <w:color w:val="auto"/>
          <w:sz w:val="24"/>
          <w:szCs w:val="24"/>
          <w:highlight w:val="none"/>
        </w:rPr>
        <w:t>3.4.2技术要求总则</w:t>
      </w:r>
    </w:p>
    <w:p w14:paraId="134F7DC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（1）配置的时间同步系统标准时间同步系统主要用于满足电厂内需要标准时间的计算机监控系统、保护装置（暂按IEC61850规约）、故障录波器及DCS系统、SIS系统、全厂辅网系统、远动系统、保护信息子站、电能</w:t>
      </w:r>
      <w:r>
        <w:rPr>
          <w:rFonts w:hint="eastAsia" w:ascii="宋体" w:hAnsi="宋体" w:cs="宋体"/>
          <w:color w:val="auto"/>
          <w:sz w:val="24"/>
          <w:szCs w:val="24"/>
          <w:highlight w:val="none"/>
          <w:lang w:val="en-US" w:eastAsia="zh-CN"/>
        </w:rPr>
        <w:t>采集</w:t>
      </w:r>
      <w:r>
        <w:rPr>
          <w:rFonts w:hint="eastAsia" w:ascii="宋体" w:hAnsi="宋体" w:cs="宋体"/>
          <w:color w:val="auto"/>
          <w:sz w:val="24"/>
          <w:szCs w:val="24"/>
          <w:highlight w:val="none"/>
        </w:rPr>
        <w:t>系统等的时间同步接口，</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还应考虑预留对时接口。因许多设备暂未招标，故以下接口形式及接口数量均为预估，最终因以招标后的实际接口形式和数量为准，现场发生变化时不引起商务变化：使电厂内各设备具有统一的时间基准。</w:t>
      </w:r>
    </w:p>
    <w:p w14:paraId="00AAF89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同步时钟系统需满足《电力系统治安反恐防范要求第2部分：火力发电企业》（GA1800.2-2021）关于卫星信号防干扰的要求（6.13条），相关功能应具备检测报告。同步时钟系统本身应通过中国电科院“四统一、四规范”检测。</w:t>
      </w:r>
    </w:p>
    <w:p w14:paraId="367EC5F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共配置两台主时钟，每台主时钟应能接受北斗星授时信号。正常情况下，主时钟的时间信号以北斗授时信号为准；当某一台主时钟发生故障时，该主时钟能自动切换到另一备用时钟。时钟同步系统由主时钟单元和从时钟（扩展）单元组成，主时钟单元配两台时钟，一主一备，互为冗余，且具备自动切换功能，两台主时钟均可接收北斗时钟源输入。主从单元之间的时标信号连接采用双光纤连接，确保从时钟单元时间基准信号的稳定性。主时钟单元和从时钟（扩展）单元均支持内部守时模块，并可通过网络化管理软件进行参数配置和功能管理。</w:t>
      </w:r>
    </w:p>
    <w:p w14:paraId="3F4C94E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（4）时间保持单元的切换：</w:t>
      </w:r>
    </w:p>
    <w:p w14:paraId="1C30646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主时钟内部应具备时间保持单元，当接收到外部时间基准信号时，主时钟被外部基准信号同步；当接收不到外部时间基准信号时，保持一定的走时准确度，使输出的时间同步信号仍能保证一定的准确度。</w:t>
      </w:r>
    </w:p>
    <w:p w14:paraId="48E4510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标准时间同步钟本体的时间保持单元的时钟准确度应优于7×10-8 （1分钟4.2μs）。</w:t>
      </w:r>
    </w:p>
    <w:p w14:paraId="52EC6D5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扩展装置的内部应具备时间保持单元，当接收到外部时间基准信号时，被外部基准信号同步；当接收不到外部时间基准信号时，保持一定的走时准确度，使输出的时间同步信号仍能保证一定的准确度。</w:t>
      </w:r>
    </w:p>
    <w:p w14:paraId="62E9F7D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扩展装置的时间保持单元的时钟准确度应优于7×10-8（1分钟4.2μs）。</w:t>
      </w:r>
    </w:p>
    <w:p w14:paraId="721A198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当外部时间基准信号从消失到恢复时，主时钟应自动切换到正常状态工作，切换时间应小于0.5s。切换时主时钟输出的时间同步信号不得出错：时间报文不得有错码，脉冲码不得多发或少发。</w:t>
      </w:r>
    </w:p>
    <w:p w14:paraId="6692BD7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当外部时间基准信号从消失到恢复时，扩展装置应自动切换到正常状态工作，切换时间应小于0.5s。切换时主时钟输出的时间同步信号不得出错：时间报文不得有错码，脉冲码不得多发或少发。</w:t>
      </w:r>
    </w:p>
    <w:p w14:paraId="68C2C34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（5）应具有时间信号扩展功能，以满足用户不同要求方便地扩展时间信号的输出数量。</w:t>
      </w:r>
    </w:p>
    <w:p w14:paraId="181A2B8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（6）输出的时间信号应满足秒(1PPS)、分(1PPM)、时(1PPH)、天(1PPD)、IRIG-B（DC）时码、IRIG-B（AC）时码以及串行口等方式。</w:t>
      </w:r>
    </w:p>
    <w:p w14:paraId="43F0EC1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（7）应具有工作状态指示和告警信号输出功能。</w:t>
      </w:r>
    </w:p>
    <w:p w14:paraId="7B17E8C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①工作状态指示</w:t>
      </w:r>
    </w:p>
    <w:p w14:paraId="6C99F40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主时钟面板上应有下列工作状态指示：</w:t>
      </w:r>
    </w:p>
    <w:p w14:paraId="4C60BF9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电源正常指示。</w:t>
      </w:r>
    </w:p>
    <w:p w14:paraId="1AAA6A5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外部时间基准信号锁定（接收外部时间基准信号正常），指示用于同步的外部时间基准信号是时间同步卫星信号还是IRIG-B（DC）时码。</w:t>
      </w:r>
    </w:p>
    <w:p w14:paraId="137F4B0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1PPS时间信号输出。</w:t>
      </w:r>
    </w:p>
    <w:p w14:paraId="605C306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扩展装置的面板上应有下列工作状态指示：</w:t>
      </w:r>
    </w:p>
    <w:p w14:paraId="7653A0B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电源正常指示。</w:t>
      </w:r>
    </w:p>
    <w:p w14:paraId="06A7BFD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所接收的外部时间基准信号是否正常。指示所锁定的外部时间基准信号通道。</w:t>
      </w:r>
    </w:p>
    <w:p w14:paraId="192B036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1PPS时间信号输出。</w:t>
      </w:r>
    </w:p>
    <w:p w14:paraId="4FE6301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②告警输出</w:t>
      </w:r>
    </w:p>
    <w:p w14:paraId="2670760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主时钟应有下列告警信号输出：</w:t>
      </w:r>
    </w:p>
    <w:p w14:paraId="4402D1B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电源中断。</w:t>
      </w:r>
    </w:p>
    <w:p w14:paraId="320476C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外部时间基准信号消失，应有2路告警输出，分别针对时间同步卫星信号消失和IRIG-B（DC）时码消失。</w:t>
      </w:r>
    </w:p>
    <w:p w14:paraId="0DF3CBD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设备自检出错。</w:t>
      </w:r>
    </w:p>
    <w:p w14:paraId="186E43B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扩展装置应有下列告警输出：</w:t>
      </w:r>
    </w:p>
    <w:p w14:paraId="3D1BB9C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电源中断。</w:t>
      </w:r>
    </w:p>
    <w:p w14:paraId="3F8A69D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外部时间基准信号消失,应有2路告警输出，分别针对IRIG-B(DC)输入1信号消失和IRIG-B（DC）输入2信号消失。</w:t>
      </w:r>
    </w:p>
    <w:p w14:paraId="30ADE30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设备自检出错。</w:t>
      </w:r>
    </w:p>
    <w:p w14:paraId="2355247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告警信号的电接口类型为继电器空接点（工作电压为250V）。</w:t>
      </w:r>
    </w:p>
    <w:p w14:paraId="7999FA0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（8）应有时间显示功能，显示年、月、日、时、分、秒。</w:t>
      </w:r>
    </w:p>
    <w:p w14:paraId="7197B89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（9）采用两路直流电源或两路UPS电源供电，电源能可靠切换,任何一路电源消失，主时钟及信号扩展装置仍保持正常工作。</w:t>
      </w:r>
    </w:p>
    <w:p w14:paraId="53CA8D8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（10）可靠性：</w:t>
      </w:r>
    </w:p>
    <w:p w14:paraId="178E181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①防震：</w:t>
      </w:r>
    </w:p>
    <w:p w14:paraId="4979330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主时钟和扩展设备的结构和包装应保证正常运输中受震后仍能正常工作。</w:t>
      </w:r>
    </w:p>
    <w:p w14:paraId="3E05532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②平均无故障间隔时间（MTBF）：在正常使用条件下应不小于50000h。正常使用条件下无须维护。</w:t>
      </w:r>
    </w:p>
    <w:p w14:paraId="1170073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（11）可维修性</w:t>
      </w:r>
    </w:p>
    <w:p w14:paraId="0EDE47D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ab/>
      </w:r>
      <w:r>
        <w:rPr>
          <w:rFonts w:hint="eastAsia" w:ascii="宋体" w:hAnsi="宋体" w:cs="宋体"/>
          <w:color w:val="auto"/>
          <w:sz w:val="24"/>
          <w:szCs w:val="24"/>
          <w:highlight w:val="none"/>
        </w:rPr>
        <w:t>采用更换损坏部件维修的办法，主时钟和扩展装置的平均维修时间（MTTR）不大于30min。</w:t>
      </w:r>
    </w:p>
    <w:p w14:paraId="4C2D635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（12）安全性</w:t>
      </w:r>
    </w:p>
    <w:p w14:paraId="1C7099C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ab/>
      </w:r>
      <w:r>
        <w:rPr>
          <w:rFonts w:hint="eastAsia" w:ascii="宋体" w:hAnsi="宋体" w:cs="宋体"/>
          <w:color w:val="auto"/>
          <w:sz w:val="24"/>
          <w:szCs w:val="24"/>
          <w:highlight w:val="none"/>
        </w:rPr>
        <w:t>主时钟和扩展装置的各种输入、输出接口均应相互在电气上隔离，以减少电磁干扰对时间信号与各被同步设备的影响。</w:t>
      </w:r>
    </w:p>
    <w:p w14:paraId="6AB7E6F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ab/>
      </w:r>
      <w:r>
        <w:rPr>
          <w:rFonts w:hint="eastAsia" w:ascii="宋体" w:hAnsi="宋体" w:cs="宋体"/>
          <w:color w:val="auto"/>
          <w:sz w:val="24"/>
          <w:szCs w:val="24"/>
          <w:highlight w:val="none"/>
        </w:rPr>
        <w:t>主时钟和扩展装置的各种输入、输出接口发生短暂（持续时间≤5min）短路或接地时，不应给设备带来永久性损伤。</w:t>
      </w:r>
    </w:p>
    <w:p w14:paraId="14702D1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时间同步系统装置要求考虑防雷设计，根据现场情况厂家应该考虑时间同步系统外接防雷装置。</w:t>
      </w:r>
    </w:p>
    <w:p w14:paraId="0260490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（13）技术参数要求</w:t>
      </w:r>
    </w:p>
    <w:p w14:paraId="3E2571C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①接收频率：1575.42MHz。</w:t>
      </w:r>
    </w:p>
    <w:p w14:paraId="482BE15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②接收灵敏度：捕获〈-130dBm，跟踪〈-130dBm</w:t>
      </w:r>
    </w:p>
    <w:p w14:paraId="7199ECD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③同时跟踪：正常状态下可同时跟踪8~12颗同步系统卫星；</w:t>
      </w:r>
    </w:p>
    <w:p w14:paraId="2D87994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装置冷起动时不小于4颗卫星；</w:t>
      </w:r>
    </w:p>
    <w:p w14:paraId="333B518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装置热起动时不小于1颗卫星。</w:t>
      </w:r>
    </w:p>
    <w:p w14:paraId="412289A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④捕获时间：装置冷起动时小于20min，装置热起动时小于2min。</w:t>
      </w:r>
    </w:p>
    <w:p w14:paraId="6EF14C9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⑤内部的时钟准确度优于7*10-8。</w:t>
      </w:r>
    </w:p>
    <w:p w14:paraId="74872CE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⑥尺寸为标准的N*U工业机箱。</w:t>
      </w:r>
    </w:p>
    <w:p w14:paraId="5717A58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⑦电源:</w:t>
      </w:r>
    </w:p>
    <w:p w14:paraId="09EA99E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交流输入电压：220V±20；频率50Hz±1Hz。</w:t>
      </w:r>
    </w:p>
    <w:p w14:paraId="3C03057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直流输入电压：110V±20</w:t>
      </w:r>
    </w:p>
    <w:p w14:paraId="51B3A55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⑧功耗：〈15W。</w:t>
      </w:r>
    </w:p>
    <w:p w14:paraId="4093C8B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⑨天线馈线长度≥60米。</w:t>
      </w:r>
    </w:p>
    <w:p w14:paraId="776963E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⑩时间同步系统装置增加天脉冲对时信号，以用于对所有测控装置的对时，并在</w:t>
      </w:r>
      <w:r>
        <w:rPr>
          <w:rFonts w:hint="eastAsia" w:ascii="宋体" w:hAnsi="宋体" w:cs="宋体"/>
          <w:color w:val="auto"/>
          <w:sz w:val="24"/>
          <w:szCs w:val="24"/>
          <w:highlight w:val="none"/>
          <w:lang w:val="en-US" w:eastAsia="zh-CN"/>
        </w:rPr>
        <w:t>750</w:t>
      </w:r>
      <w:r>
        <w:rPr>
          <w:rFonts w:hint="eastAsia" w:ascii="宋体" w:hAnsi="宋体" w:cs="宋体"/>
          <w:color w:val="auto"/>
          <w:sz w:val="24"/>
          <w:szCs w:val="24"/>
          <w:highlight w:val="none"/>
        </w:rPr>
        <w:t>kV升压站计算机监控系统后台显示对时记录。</w:t>
      </w:r>
    </w:p>
    <w:p w14:paraId="0B42699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（14）全厂需对时的计算机监控系统有（暂定）：</w:t>
      </w:r>
    </w:p>
    <w:p w14:paraId="0816D07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1）信息系统，全厂共1套，经SNMP（暂定）协议进行时间同步。</w:t>
      </w:r>
    </w:p>
    <w:p w14:paraId="6CAC756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2）DCS系统，主机布置在主厂房DCS电子设备间，直接与电气主时钟完成时间同步:需要一路IRIG-B(DC)对时信号，另外预留一路IRIG-B(DC)对时信号。</w:t>
      </w:r>
    </w:p>
    <w:p w14:paraId="1D08F0C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数字仪表墙：需要1路IRIG-B(DC)对时信号，预留一路NTP接口信号。</w:t>
      </w:r>
    </w:p>
    <w:p w14:paraId="061B875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3）网络计算机监控系统，全厂共1套。主机2路IRIG-B(DC)对时信号；站控层系统测控装置10路IRIG-B(DC)对时信号；站控层机组测控装置4路IRIG-B(DC)对时信号。</w:t>
      </w:r>
    </w:p>
    <w:p w14:paraId="09748B8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4）机组直流系统，每机组3套，全厂共6套。6路IRIG-B(DC)对时信号；</w:t>
      </w:r>
    </w:p>
    <w:p w14:paraId="4AF53BD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5）机组UPS系统，每机组2套，全厂共4套。4路IRIG-B(DC)对时信号；</w:t>
      </w:r>
    </w:p>
    <w:p w14:paraId="3DA9EDE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6）机组快切装置，每机组2套，全厂共4套。4路IRIG-B(DC)对时信号；</w:t>
      </w:r>
    </w:p>
    <w:p w14:paraId="77DDDA1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7）公用快切装置，</w:t>
      </w:r>
      <w:r>
        <w:rPr>
          <w:rFonts w:hint="eastAsia" w:ascii="宋体" w:hAnsi="宋体" w:cs="宋体"/>
          <w:color w:val="auto"/>
          <w:sz w:val="24"/>
          <w:szCs w:val="24"/>
          <w:highlight w:val="none"/>
        </w:rPr>
        <w:t>全厂共</w:t>
      </w:r>
      <w:r>
        <w:rPr>
          <w:rFonts w:hint="eastAsia" w:ascii="宋体" w:hAnsi="宋体" w:eastAsia="宋体" w:cs="宋体"/>
          <w:color w:val="auto"/>
          <w:sz w:val="24"/>
          <w:szCs w:val="24"/>
          <w:highlight w:val="none"/>
          <w:lang w:eastAsia="zh-CN"/>
        </w:rPr>
        <w:t>1</w:t>
      </w:r>
      <w:r>
        <w:rPr>
          <w:rFonts w:hint="eastAsia" w:ascii="宋体" w:hAnsi="宋体" w:cs="宋体"/>
          <w:color w:val="auto"/>
          <w:sz w:val="24"/>
          <w:szCs w:val="24"/>
          <w:highlight w:val="none"/>
        </w:rPr>
        <w:t>套。</w:t>
      </w:r>
      <w:r>
        <w:rPr>
          <w:rFonts w:hint="eastAsia" w:ascii="宋体" w:hAnsi="宋体" w:eastAsia="宋体" w:cs="宋体"/>
          <w:color w:val="auto"/>
          <w:sz w:val="24"/>
          <w:szCs w:val="24"/>
          <w:highlight w:val="none"/>
          <w:lang w:eastAsia="zh-CN"/>
        </w:rPr>
        <w:t>1</w:t>
      </w:r>
      <w:r>
        <w:rPr>
          <w:rFonts w:hint="eastAsia" w:ascii="宋体" w:hAnsi="宋体" w:cs="宋体"/>
          <w:color w:val="auto"/>
          <w:sz w:val="24"/>
          <w:szCs w:val="24"/>
          <w:highlight w:val="none"/>
        </w:rPr>
        <w:t>路IRIG-B(DC)对时信号</w:t>
      </w:r>
      <w:r>
        <w:rPr>
          <w:rFonts w:hint="eastAsia" w:ascii="宋体" w:hAnsi="宋体" w:cs="宋体"/>
          <w:color w:val="auto"/>
          <w:sz w:val="24"/>
          <w:szCs w:val="24"/>
          <w:highlight w:val="none"/>
        </w:rPr>
        <w:t>；</w:t>
      </w:r>
    </w:p>
    <w:p w14:paraId="4BEA3DC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8）机组同期装置，每机组1套，全厂共2套。</w:t>
      </w:r>
      <w:r>
        <w:rPr>
          <w:rFonts w:hint="eastAsia" w:ascii="宋体" w:hAnsi="宋体" w:eastAsia="宋体" w:cs="宋体"/>
          <w:color w:val="auto"/>
          <w:sz w:val="24"/>
          <w:szCs w:val="24"/>
          <w:highlight w:val="none"/>
          <w:lang w:eastAsia="zh-CN"/>
        </w:rPr>
        <w:t>2</w:t>
      </w:r>
      <w:r>
        <w:rPr>
          <w:rFonts w:hint="eastAsia" w:ascii="宋体" w:hAnsi="宋体" w:cs="宋体"/>
          <w:color w:val="auto"/>
          <w:sz w:val="24"/>
          <w:szCs w:val="24"/>
          <w:highlight w:val="none"/>
        </w:rPr>
        <w:t>路IRIG-B(DC)对时信号</w:t>
      </w:r>
      <w:r>
        <w:rPr>
          <w:rFonts w:hint="eastAsia" w:ascii="宋体" w:hAnsi="宋体" w:cs="宋体"/>
          <w:color w:val="auto"/>
          <w:sz w:val="24"/>
          <w:szCs w:val="24"/>
          <w:highlight w:val="none"/>
        </w:rPr>
        <w:t>；</w:t>
      </w:r>
    </w:p>
    <w:p w14:paraId="26CCB6C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汽轮机</w:t>
      </w:r>
      <w:r>
        <w:rPr>
          <w:rFonts w:hint="eastAsia" w:ascii="宋体" w:hAnsi="宋体" w:cs="宋体"/>
          <w:color w:val="auto"/>
          <w:sz w:val="24"/>
          <w:szCs w:val="24"/>
          <w:highlight w:val="none"/>
        </w:rPr>
        <w:t>控制系统</w:t>
      </w:r>
      <w:r>
        <w:rPr>
          <w:rFonts w:hint="eastAsia" w:ascii="宋体" w:hAnsi="宋体" w:cs="宋体"/>
          <w:color w:val="auto"/>
          <w:sz w:val="24"/>
          <w:szCs w:val="24"/>
          <w:highlight w:val="none"/>
          <w:lang w:val="en-US" w:eastAsia="zh-CN"/>
        </w:rPr>
        <w:t>DEH</w:t>
      </w:r>
      <w:r>
        <w:rPr>
          <w:rFonts w:hint="eastAsia" w:ascii="宋体" w:hAnsi="宋体" w:cs="宋体"/>
          <w:color w:val="auto"/>
          <w:sz w:val="24"/>
          <w:szCs w:val="24"/>
          <w:highlight w:val="none"/>
        </w:rPr>
        <w:t>：1路IRIG-B(DC)对时信号。</w:t>
      </w:r>
    </w:p>
    <w:p w14:paraId="4CDCB51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10）保护装置对时预估如下：</w:t>
      </w:r>
    </w:p>
    <w:p w14:paraId="11F1AD88">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a</w:t>
      </w:r>
      <w:r>
        <w:rPr>
          <w:rFonts w:hint="eastAsia" w:ascii="宋体" w:hAnsi="宋体" w:cs="宋体"/>
          <w:color w:val="auto"/>
          <w:sz w:val="24"/>
          <w:szCs w:val="24"/>
          <w:highlight w:val="none"/>
        </w:rPr>
        <w:t>）发变组保护装置，每机组2套电量保护和1套非电量保护，全厂共2台机组。对每1套保护需独立提供对时信号。布置分别在#1、#2电气继电器室；</w:t>
      </w:r>
    </w:p>
    <w:p w14:paraId="0BFDA144">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b</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起</w:t>
      </w:r>
      <w:r>
        <w:rPr>
          <w:rFonts w:hint="eastAsia" w:ascii="宋体" w:hAnsi="宋体" w:cs="宋体"/>
          <w:color w:val="auto"/>
          <w:sz w:val="24"/>
          <w:szCs w:val="24"/>
          <w:highlight w:val="none"/>
        </w:rPr>
        <w:t>备变保护装置，全厂共2套电量保护和1套非电量保护，对每1套保护需独立提供对时信号。布置在#1电气继电器室；</w:t>
      </w:r>
    </w:p>
    <w:p w14:paraId="24231410">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c</w:t>
      </w:r>
      <w:r>
        <w:rPr>
          <w:rFonts w:hint="eastAsia" w:ascii="宋体" w:hAnsi="宋体" w:cs="宋体"/>
          <w:color w:val="auto"/>
          <w:sz w:val="24"/>
          <w:szCs w:val="24"/>
          <w:highlight w:val="none"/>
        </w:rPr>
        <w:t>）发变组故障录波装置，每机组1套，全厂共2台机组</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对每1套</w:t>
      </w:r>
      <w:r>
        <w:rPr>
          <w:rFonts w:hint="eastAsia" w:ascii="宋体" w:hAnsi="宋体" w:cs="宋体"/>
          <w:color w:val="auto"/>
          <w:sz w:val="24"/>
          <w:szCs w:val="24"/>
          <w:highlight w:val="none"/>
          <w:lang w:val="en-US" w:eastAsia="zh-CN"/>
        </w:rPr>
        <w:t>装置</w:t>
      </w:r>
      <w:r>
        <w:rPr>
          <w:rFonts w:hint="eastAsia" w:ascii="宋体" w:hAnsi="宋体" w:cs="宋体"/>
          <w:color w:val="auto"/>
          <w:sz w:val="24"/>
          <w:szCs w:val="24"/>
          <w:highlight w:val="none"/>
        </w:rPr>
        <w:t>需独立提供对时信号。分别布置在#1、#2电气继电器室；</w:t>
      </w:r>
    </w:p>
    <w:p w14:paraId="22FE53AA">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d</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110kV</w:t>
      </w:r>
      <w:r>
        <w:rPr>
          <w:rFonts w:hint="eastAsia" w:ascii="宋体" w:hAnsi="宋体" w:cs="宋体"/>
          <w:color w:val="auto"/>
          <w:sz w:val="24"/>
          <w:szCs w:val="24"/>
          <w:highlight w:val="none"/>
        </w:rPr>
        <w:t>线路保护装置屏，</w:t>
      </w: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rPr>
        <w:t>面屏，对每面屏保护需独立提供对时信号，布置在网络继电器室；</w:t>
      </w:r>
    </w:p>
    <w:p w14:paraId="5DF777D8">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e</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750kV</w:t>
      </w:r>
      <w:r>
        <w:rPr>
          <w:rFonts w:hint="eastAsia" w:ascii="宋体" w:hAnsi="宋体" w:cs="宋体"/>
          <w:color w:val="auto"/>
          <w:sz w:val="24"/>
          <w:szCs w:val="24"/>
          <w:highlight w:val="none"/>
        </w:rPr>
        <w:t>线路</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一）</w:t>
      </w:r>
      <w:r>
        <w:rPr>
          <w:rFonts w:hint="eastAsia" w:ascii="宋体" w:hAnsi="宋体" w:cs="宋体"/>
          <w:color w:val="auto"/>
          <w:sz w:val="24"/>
          <w:szCs w:val="24"/>
          <w:highlight w:val="none"/>
        </w:rPr>
        <w:t>（二）保护装置屏，</w:t>
      </w:r>
      <w:r>
        <w:rPr>
          <w:rFonts w:hint="eastAsia" w:ascii="宋体" w:hAnsi="宋体" w:cs="宋体"/>
          <w:color w:val="auto"/>
          <w:sz w:val="24"/>
          <w:szCs w:val="24"/>
          <w:highlight w:val="none"/>
          <w:lang w:eastAsia="zh-CN"/>
        </w:rPr>
        <w:t>4</w:t>
      </w:r>
      <w:r>
        <w:rPr>
          <w:rFonts w:hint="eastAsia" w:ascii="宋体" w:hAnsi="宋体" w:cs="宋体"/>
          <w:color w:val="auto"/>
          <w:sz w:val="24"/>
          <w:szCs w:val="24"/>
          <w:highlight w:val="none"/>
        </w:rPr>
        <w:t>面屏，对每面屏保护需独立提供对时信号，布置在网络继电器室；</w:t>
      </w:r>
    </w:p>
    <w:p w14:paraId="0C660118">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f</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750kV</w:t>
      </w:r>
      <w:r>
        <w:rPr>
          <w:rFonts w:hint="eastAsia" w:ascii="宋体" w:hAnsi="宋体" w:cs="宋体"/>
          <w:color w:val="auto"/>
          <w:sz w:val="24"/>
          <w:szCs w:val="24"/>
          <w:highlight w:val="none"/>
        </w:rPr>
        <w:t>断路器保护屏，</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面屏，对每个屏保护装置需独立提供对时信号，布置在网络继电器室；</w:t>
      </w:r>
    </w:p>
    <w:p w14:paraId="68C751C7">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g</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750kV</w:t>
      </w:r>
      <w:r>
        <w:rPr>
          <w:rFonts w:hint="eastAsia" w:ascii="宋体" w:hAnsi="宋体" w:cs="宋体"/>
          <w:color w:val="auto"/>
          <w:sz w:val="24"/>
          <w:szCs w:val="24"/>
          <w:highlight w:val="none"/>
        </w:rPr>
        <w:t>母线保护屏，4面屏，对每面屏保护需独立提供对时信号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布置在网络继电器室；</w:t>
      </w:r>
    </w:p>
    <w:p w14:paraId="034E644D">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H</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75</w:t>
      </w:r>
      <w:r>
        <w:rPr>
          <w:rFonts w:hint="eastAsia" w:ascii="宋体" w:hAnsi="宋体" w:cs="宋体"/>
          <w:color w:val="auto"/>
          <w:sz w:val="24"/>
          <w:szCs w:val="24"/>
          <w:highlight w:val="none"/>
        </w:rPr>
        <w:t>0kV故障录波装置</w:t>
      </w:r>
      <w:r>
        <w:rPr>
          <w:rFonts w:hint="eastAsia" w:ascii="宋体" w:hAnsi="宋体" w:cs="宋体"/>
          <w:color w:val="auto"/>
          <w:sz w:val="24"/>
          <w:szCs w:val="24"/>
          <w:highlight w:val="none"/>
          <w:lang w:val="en-US" w:eastAsia="zh-CN"/>
        </w:rPr>
        <w:t>和行波测距装置</w:t>
      </w:r>
      <w:r>
        <w:rPr>
          <w:rFonts w:hint="eastAsia" w:ascii="宋体" w:hAnsi="宋体" w:cs="宋体"/>
          <w:color w:val="auto"/>
          <w:sz w:val="24"/>
          <w:szCs w:val="24"/>
          <w:highlight w:val="none"/>
        </w:rPr>
        <w:t>，全厂</w:t>
      </w:r>
      <w:r>
        <w:rPr>
          <w:rFonts w:hint="eastAsia" w:ascii="宋体" w:hAnsi="宋体" w:cs="宋体"/>
          <w:color w:val="auto"/>
          <w:sz w:val="24"/>
          <w:szCs w:val="24"/>
          <w:highlight w:val="none"/>
          <w:lang w:val="en-US" w:eastAsia="zh-CN"/>
        </w:rPr>
        <w:t>共</w:t>
      </w:r>
      <w:r>
        <w:rPr>
          <w:rFonts w:hint="eastAsia" w:ascii="宋体" w:hAnsi="宋体" w:cs="宋体"/>
          <w:color w:val="auto"/>
          <w:sz w:val="24"/>
          <w:szCs w:val="24"/>
          <w:highlight w:val="none"/>
        </w:rPr>
        <w:t>1套，布置在网络继电器室；</w:t>
      </w:r>
    </w:p>
    <w:p w14:paraId="1C16EDC2">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i</w:t>
      </w:r>
      <w:r>
        <w:rPr>
          <w:rFonts w:hint="eastAsia" w:ascii="宋体" w:hAnsi="宋体" w:cs="宋体"/>
          <w:color w:val="auto"/>
          <w:sz w:val="24"/>
          <w:szCs w:val="24"/>
          <w:highlight w:val="none"/>
        </w:rPr>
        <w:t>）保护及故障录波信息子站主机，全厂共1套。布置在网络继电器室；</w:t>
      </w:r>
    </w:p>
    <w:p w14:paraId="7B97AB9B">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j</w:t>
      </w:r>
      <w:r>
        <w:rPr>
          <w:rFonts w:hint="eastAsia" w:ascii="宋体" w:hAnsi="宋体" w:cs="宋体"/>
          <w:color w:val="auto"/>
          <w:sz w:val="24"/>
          <w:szCs w:val="24"/>
          <w:highlight w:val="none"/>
        </w:rPr>
        <w:t>）电能量</w:t>
      </w:r>
      <w:r>
        <w:rPr>
          <w:rFonts w:hint="eastAsia" w:ascii="宋体" w:hAnsi="宋体" w:cs="宋体"/>
          <w:color w:val="auto"/>
          <w:sz w:val="24"/>
          <w:szCs w:val="24"/>
          <w:highlight w:val="none"/>
          <w:lang w:val="en-US" w:eastAsia="zh-CN"/>
        </w:rPr>
        <w:t>采集</w:t>
      </w:r>
      <w:r>
        <w:rPr>
          <w:rFonts w:hint="eastAsia" w:ascii="宋体" w:hAnsi="宋体" w:cs="宋体"/>
          <w:color w:val="auto"/>
          <w:sz w:val="24"/>
          <w:szCs w:val="24"/>
          <w:highlight w:val="none"/>
        </w:rPr>
        <w:t>屏，全厂共1套，布置在网络继电器室；</w:t>
      </w:r>
    </w:p>
    <w:p w14:paraId="211F7CE3">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k</w:t>
      </w:r>
      <w:r>
        <w:rPr>
          <w:rFonts w:hint="eastAsia" w:ascii="宋体" w:hAnsi="宋体" w:cs="宋体"/>
          <w:color w:val="auto"/>
          <w:sz w:val="24"/>
          <w:szCs w:val="24"/>
          <w:highlight w:val="none"/>
        </w:rPr>
        <w:t>）远动装置，全厂共2套，布置在网络继电器室；</w:t>
      </w:r>
    </w:p>
    <w:p w14:paraId="00ABE48A">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l</w:t>
      </w:r>
      <w:r>
        <w:rPr>
          <w:rFonts w:hint="eastAsia" w:ascii="宋体" w:hAnsi="宋体" w:cs="宋体"/>
          <w:color w:val="auto"/>
          <w:sz w:val="24"/>
          <w:szCs w:val="24"/>
          <w:highlight w:val="none"/>
        </w:rPr>
        <w:t>）二次系统安全防护屏，全厂共2套，布置在网络继电器室；</w:t>
      </w:r>
    </w:p>
    <w:p w14:paraId="3C69E7E3">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m</w:t>
      </w:r>
      <w:r>
        <w:rPr>
          <w:rFonts w:hint="eastAsia" w:ascii="宋体" w:hAnsi="宋体" w:cs="宋体"/>
          <w:color w:val="auto"/>
          <w:sz w:val="24"/>
          <w:szCs w:val="24"/>
          <w:highlight w:val="none"/>
        </w:rPr>
        <w:t>）数据网接入设备，全厂共2套，布置在网络继电器室；</w:t>
      </w:r>
    </w:p>
    <w:p w14:paraId="256FCF47">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n</w:t>
      </w:r>
      <w:r>
        <w:rPr>
          <w:rFonts w:hint="eastAsia" w:ascii="宋体" w:hAnsi="宋体" w:cs="宋体"/>
          <w:color w:val="auto"/>
          <w:sz w:val="24"/>
          <w:szCs w:val="24"/>
          <w:highlight w:val="none"/>
        </w:rPr>
        <w:t>）关口点计量表屏，全厂共1套，布置在网络继电器室；</w:t>
      </w:r>
    </w:p>
    <w:p w14:paraId="1558D114">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o</w:t>
      </w:r>
      <w:r>
        <w:rPr>
          <w:rFonts w:hint="eastAsia" w:ascii="宋体" w:hAnsi="宋体" w:cs="宋体"/>
          <w:color w:val="auto"/>
          <w:sz w:val="24"/>
          <w:szCs w:val="24"/>
          <w:highlight w:val="none"/>
        </w:rPr>
        <w:t>）网络监控系统间隔层测控屏，全厂共</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面，布置在机组电气继电器室和网络继电器室；</w:t>
      </w:r>
    </w:p>
    <w:p w14:paraId="3CDD314D">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p</w:t>
      </w:r>
      <w:r>
        <w:rPr>
          <w:rFonts w:hint="eastAsia" w:ascii="宋体" w:hAnsi="宋体" w:cs="宋体"/>
          <w:color w:val="auto"/>
          <w:sz w:val="24"/>
          <w:szCs w:val="24"/>
          <w:highlight w:val="none"/>
        </w:rPr>
        <w:t>）网络直流系统，全厂共2套，布置在网络继电器室；</w:t>
      </w:r>
    </w:p>
    <w:p w14:paraId="01F584BB">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q</w:t>
      </w:r>
      <w:r>
        <w:rPr>
          <w:rFonts w:hint="eastAsia" w:ascii="宋体" w:hAnsi="宋体" w:cs="宋体"/>
          <w:color w:val="auto"/>
          <w:sz w:val="24"/>
          <w:szCs w:val="24"/>
          <w:highlight w:val="none"/>
        </w:rPr>
        <w:t>）事故总测控装置屏：全厂1套</w:t>
      </w:r>
    </w:p>
    <w:p w14:paraId="5D968176">
      <w:pPr>
        <w:spacing w:line="360" w:lineRule="auto"/>
        <w:ind w:firstLine="480" w:firstLineChars="20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eastAsia="zh-CN"/>
        </w:rPr>
        <w:t>r</w:t>
      </w:r>
      <w:r>
        <w:rPr>
          <w:rFonts w:hint="eastAsia" w:ascii="宋体" w:hAnsi="宋体" w:cs="宋体"/>
          <w:color w:val="auto"/>
          <w:sz w:val="24"/>
          <w:szCs w:val="24"/>
          <w:highlight w:val="none"/>
        </w:rPr>
        <w:t>）对功角监测装置的对时要求，如下：</w:t>
      </w:r>
    </w:p>
    <w:p w14:paraId="679C692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a</w:t>
      </w:r>
      <w:r>
        <w:rPr>
          <w:rFonts w:hint="eastAsia" w:ascii="宋体" w:hAnsi="宋体" w:eastAsia="宋体" w:cs="宋体"/>
          <w:color w:val="auto"/>
          <w:sz w:val="24"/>
          <w:szCs w:val="24"/>
          <w:highlight w:val="none"/>
          <w:lang w:val="en-US" w:eastAsia="zh-CN"/>
        </w:rPr>
        <w:t>a</w:t>
      </w:r>
      <w:r>
        <w:rPr>
          <w:rFonts w:hint="eastAsia" w:ascii="宋体" w:hAnsi="宋体" w:cs="宋体"/>
          <w:color w:val="auto"/>
          <w:sz w:val="24"/>
          <w:szCs w:val="24"/>
          <w:highlight w:val="none"/>
        </w:rPr>
        <w:t>）锁星正常情况下，对时信号精度应优于±1us；锁星异常情况下，时钟系统应能继续维持对时信号输出，时间准确度应优于0.92μs /min（55μs /h）。</w:t>
      </w:r>
    </w:p>
    <w:p w14:paraId="2ABB134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b</w:t>
      </w:r>
      <w:r>
        <w:rPr>
          <w:rFonts w:hint="eastAsia" w:ascii="宋体" w:hAnsi="宋体" w:eastAsia="宋体" w:cs="宋体"/>
          <w:color w:val="auto"/>
          <w:sz w:val="24"/>
          <w:szCs w:val="24"/>
          <w:highlight w:val="none"/>
          <w:lang w:val="en-US" w:eastAsia="zh-CN"/>
        </w:rPr>
        <w:t>b</w:t>
      </w:r>
      <w:r>
        <w:rPr>
          <w:rFonts w:hint="eastAsia" w:ascii="宋体" w:hAnsi="宋体" w:cs="宋体"/>
          <w:color w:val="auto"/>
          <w:sz w:val="24"/>
          <w:szCs w:val="24"/>
          <w:highlight w:val="none"/>
        </w:rPr>
        <w:t>）使用IRIG-B(DC)对时码，统一对时系统的IRIG-B定义必须与标准&lt;&lt;IEEE-C37.118标准&gt;&gt;定义严格保持一致。</w:t>
      </w:r>
    </w:p>
    <w:p w14:paraId="148E9FA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c</w:t>
      </w:r>
      <w:r>
        <w:rPr>
          <w:rFonts w:hint="eastAsia" w:ascii="宋体" w:hAnsi="宋体" w:eastAsia="宋体" w:cs="宋体"/>
          <w:color w:val="auto"/>
          <w:sz w:val="24"/>
          <w:szCs w:val="24"/>
          <w:highlight w:val="none"/>
          <w:lang w:val="en-US" w:eastAsia="zh-CN"/>
        </w:rPr>
        <w:t>c</w:t>
      </w:r>
      <w:r>
        <w:rPr>
          <w:rFonts w:hint="eastAsia" w:ascii="宋体" w:hAnsi="宋体" w:cs="宋体"/>
          <w:color w:val="auto"/>
          <w:sz w:val="24"/>
          <w:szCs w:val="24"/>
          <w:highlight w:val="none"/>
        </w:rPr>
        <w:t>）对时接口统一采用光纤接口，多模，820nm，ST接口。</w:t>
      </w:r>
    </w:p>
    <w:p w14:paraId="5E8060C2">
      <w:p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d</w:t>
      </w:r>
      <w:r>
        <w:rPr>
          <w:rFonts w:hint="eastAsia" w:ascii="宋体" w:hAnsi="宋体" w:eastAsia="宋体" w:cs="宋体"/>
          <w:color w:val="auto"/>
          <w:sz w:val="24"/>
          <w:szCs w:val="24"/>
          <w:highlight w:val="none"/>
          <w:lang w:val="en-US" w:eastAsia="zh-CN"/>
        </w:rPr>
        <w:t>d</w:t>
      </w:r>
      <w:r>
        <w:rPr>
          <w:rFonts w:hint="eastAsia" w:ascii="宋体" w:hAnsi="宋体" w:cs="宋体"/>
          <w:color w:val="auto"/>
          <w:sz w:val="24"/>
          <w:szCs w:val="24"/>
          <w:highlight w:val="none"/>
        </w:rPr>
        <w:t>）根据现场要求，需要时钟同步厂家装置提供8口光输出。</w:t>
      </w:r>
    </w:p>
    <w:p w14:paraId="3FD88A0F">
      <w:pPr>
        <w:ind w:firstLine="560" w:firstLineChars="200"/>
        <w:rPr>
          <w:rFonts w:hint="default"/>
          <w:color w:val="auto"/>
          <w:highlight w:val="none"/>
          <w:lang w:val="en-US" w:eastAsia="zh-CN"/>
        </w:rPr>
      </w:pPr>
    </w:p>
    <w:p w14:paraId="69699FA6">
      <w:pPr>
        <w:spacing w:line="360" w:lineRule="auto"/>
        <w:rPr>
          <w:rFonts w:ascii="宋体"/>
          <w:b/>
          <w:color w:val="auto"/>
          <w:sz w:val="24"/>
          <w:szCs w:val="24"/>
          <w:highlight w:val="none"/>
        </w:rPr>
      </w:pPr>
      <w:r>
        <w:rPr>
          <w:rFonts w:hint="eastAsia" w:ascii="宋体"/>
          <w:b/>
          <w:color w:val="auto"/>
          <w:sz w:val="24"/>
          <w:szCs w:val="24"/>
          <w:highlight w:val="none"/>
        </w:rPr>
        <w:t>3.1</w:t>
      </w:r>
      <w:r>
        <w:rPr>
          <w:rFonts w:hint="eastAsia" w:ascii="宋体"/>
          <w:b/>
          <w:color w:val="auto"/>
          <w:sz w:val="24"/>
          <w:szCs w:val="24"/>
          <w:highlight w:val="none"/>
          <w:lang w:val="en-US" w:eastAsia="zh-CN"/>
        </w:rPr>
        <w:t>4</w:t>
      </w:r>
      <w:r>
        <w:rPr>
          <w:rFonts w:hint="eastAsia" w:ascii="宋体"/>
          <w:b/>
          <w:color w:val="auto"/>
          <w:sz w:val="24"/>
          <w:szCs w:val="24"/>
          <w:highlight w:val="none"/>
        </w:rPr>
        <w:t xml:space="preserve"> 机柜的技术要求</w:t>
      </w:r>
      <w:bookmarkEnd w:id="53"/>
      <w:bookmarkEnd w:id="54"/>
    </w:p>
    <w:p w14:paraId="69B1FEB4">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1机柜及所有安装在柜内的成套设备或单个组件，应保证有足够的机械强度以及在指定环境条件下满足本</w:t>
      </w:r>
      <w:r>
        <w:rPr>
          <w:rFonts w:hint="eastAsia" w:ascii="宋体"/>
          <w:color w:val="auto"/>
          <w:sz w:val="24"/>
          <w:szCs w:val="24"/>
          <w:highlight w:val="none"/>
        </w:rPr>
        <w:t>技术规范</w:t>
      </w:r>
      <w:r>
        <w:rPr>
          <w:rFonts w:ascii="宋体"/>
          <w:color w:val="auto"/>
          <w:sz w:val="24"/>
          <w:szCs w:val="24"/>
          <w:highlight w:val="none"/>
        </w:rPr>
        <w:t>对电气性能的要求，柜上设备应采用嵌入式或插件式安装和背后接线。投标人应对内部接线的正确性全面负责，并对所供应设备的特性和功能全面负责。</w:t>
      </w:r>
    </w:p>
    <w:p w14:paraId="6AAF1BBF">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2</w:t>
      </w:r>
      <w:r>
        <w:rPr>
          <w:rFonts w:hint="eastAsia" w:ascii="宋体"/>
          <w:color w:val="auto"/>
          <w:sz w:val="24"/>
          <w:szCs w:val="24"/>
          <w:highlight w:val="none"/>
        </w:rPr>
        <w:t>机柜应符合</w:t>
      </w:r>
      <w:r>
        <w:rPr>
          <w:rFonts w:ascii="宋体"/>
          <w:color w:val="auto"/>
          <w:sz w:val="24"/>
          <w:szCs w:val="24"/>
          <w:highlight w:val="none"/>
        </w:rPr>
        <w:t>IP</w:t>
      </w:r>
      <w:r>
        <w:rPr>
          <w:rFonts w:hint="eastAsia" w:ascii="宋体"/>
          <w:color w:val="auto"/>
          <w:sz w:val="24"/>
          <w:szCs w:val="24"/>
          <w:highlight w:val="none"/>
        </w:rPr>
        <w:t>4</w:t>
      </w:r>
      <w:r>
        <w:rPr>
          <w:rFonts w:hint="eastAsia" w:ascii="宋体"/>
          <w:color w:val="auto"/>
          <w:sz w:val="24"/>
          <w:szCs w:val="24"/>
          <w:highlight w:val="none"/>
          <w:lang w:val="en-US" w:eastAsia="zh-CN"/>
        </w:rPr>
        <w:t>2</w:t>
      </w:r>
      <w:r>
        <w:rPr>
          <w:rFonts w:hint="eastAsia" w:ascii="宋体"/>
          <w:color w:val="auto"/>
          <w:sz w:val="24"/>
          <w:szCs w:val="24"/>
          <w:highlight w:val="none"/>
        </w:rPr>
        <w:t>的要求。</w:t>
      </w:r>
      <w:r>
        <w:rPr>
          <w:rFonts w:ascii="宋体"/>
          <w:color w:val="auto"/>
          <w:sz w:val="24"/>
          <w:szCs w:val="24"/>
          <w:highlight w:val="none"/>
        </w:rPr>
        <w:t>柜</w:t>
      </w:r>
      <w:r>
        <w:rPr>
          <w:rFonts w:ascii="宋体"/>
          <w:color w:val="auto"/>
          <w:sz w:val="24"/>
          <w:szCs w:val="24"/>
          <w:highlight w:val="none"/>
        </w:rPr>
        <w:t>板材</w:t>
      </w:r>
      <w:r>
        <w:rPr>
          <w:rFonts w:hint="eastAsia" w:ascii="宋体" w:hAnsi="宋体" w:eastAsia="宋体" w:cs="宋体"/>
          <w:bCs w:val="0"/>
          <w:snapToGrid/>
          <w:color w:val="auto"/>
          <w:sz w:val="24"/>
          <w:szCs w:val="24"/>
          <w:highlight w:val="none"/>
        </w:rPr>
        <w:t>为镀锌钢板，</w:t>
      </w:r>
      <w:r>
        <w:rPr>
          <w:rFonts w:ascii="宋体"/>
          <w:color w:val="auto"/>
          <w:sz w:val="24"/>
          <w:szCs w:val="24"/>
          <w:highlight w:val="none"/>
        </w:rPr>
        <w:t>厚度不小于2.</w:t>
      </w:r>
      <w:r>
        <w:rPr>
          <w:rFonts w:hint="eastAsia" w:ascii="宋体"/>
          <w:color w:val="auto"/>
          <w:sz w:val="24"/>
          <w:szCs w:val="24"/>
          <w:highlight w:val="none"/>
          <w:lang w:eastAsia="zh-CN"/>
        </w:rPr>
        <w:t>0</w:t>
      </w:r>
      <w:r>
        <w:rPr>
          <w:rFonts w:ascii="宋体"/>
          <w:color w:val="auto"/>
          <w:sz w:val="24"/>
          <w:szCs w:val="24"/>
          <w:highlight w:val="none"/>
        </w:rPr>
        <w:t>mm；</w:t>
      </w:r>
      <w:r>
        <w:rPr>
          <w:rFonts w:ascii="宋体"/>
          <w:color w:val="auto"/>
          <w:sz w:val="24"/>
          <w:szCs w:val="24"/>
          <w:highlight w:val="none"/>
        </w:rPr>
        <w:t>柜内交、直流，强、弱电，正、负极电源与普通端子要分开最少要隔开一个空端子。</w:t>
      </w:r>
    </w:p>
    <w:p w14:paraId="1B249E2E">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3</w:t>
      </w:r>
      <w:r>
        <w:rPr>
          <w:rFonts w:hint="eastAsia" w:ascii="宋体"/>
          <w:color w:val="auto"/>
          <w:sz w:val="24"/>
          <w:szCs w:val="24"/>
          <w:highlight w:val="none"/>
        </w:rPr>
        <w:t>为方便招标人使用和维护设备，应利用标准化元件和组件。</w:t>
      </w:r>
    </w:p>
    <w:p w14:paraId="7E3B74AA">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4</w:t>
      </w:r>
      <w:r>
        <w:rPr>
          <w:rFonts w:hint="eastAsia" w:ascii="宋体"/>
          <w:color w:val="auto"/>
          <w:sz w:val="24"/>
          <w:szCs w:val="24"/>
          <w:highlight w:val="none"/>
        </w:rPr>
        <w:t>机柜应前后开门，前门上应有玻璃窗，可监视内部的设备，门在开闭时，不应造成监控装置误动作。</w:t>
      </w:r>
      <w:r>
        <w:rPr>
          <w:rFonts w:ascii="宋体"/>
          <w:color w:val="auto"/>
          <w:sz w:val="24"/>
          <w:szCs w:val="24"/>
          <w:highlight w:val="none"/>
        </w:rPr>
        <w:t>后门采用双开门。</w:t>
      </w:r>
      <w:r>
        <w:rPr>
          <w:rFonts w:hint="eastAsia" w:ascii="宋体" w:hAnsi="宋体" w:eastAsia="宋体" w:cs="宋体"/>
          <w:bCs w:val="0"/>
          <w:snapToGrid/>
          <w:color w:val="auto"/>
          <w:sz w:val="24"/>
          <w:szCs w:val="24"/>
          <w:highlight w:val="none"/>
        </w:rPr>
        <w:t>门板材料为镀锌钢板，厚度不小于</w:t>
      </w:r>
      <w:r>
        <w:rPr>
          <w:rFonts w:hint="eastAsia" w:ascii="宋体" w:hAnsi="宋体" w:cs="宋体"/>
          <w:bCs w:val="0"/>
          <w:snapToGrid/>
          <w:color w:val="auto"/>
          <w:sz w:val="24"/>
          <w:szCs w:val="24"/>
          <w:highlight w:val="none"/>
          <w:lang w:val="en-US" w:eastAsia="zh-CN"/>
        </w:rPr>
        <w:t>1.</w:t>
      </w:r>
      <w:r>
        <w:rPr>
          <w:rFonts w:hint="eastAsia" w:ascii="宋体" w:hAnsi="Times New Roman" w:cs="Times New Roman"/>
          <w:bCs w:val="0"/>
          <w:snapToGrid/>
          <w:color w:val="auto"/>
          <w:sz w:val="24"/>
          <w:szCs w:val="24"/>
          <w:highlight w:val="none"/>
          <w:lang w:val="en-US" w:eastAsia="zh-CN"/>
        </w:rPr>
        <w:t>5</w:t>
      </w:r>
      <w:r>
        <w:rPr>
          <w:rFonts w:hint="eastAsia" w:ascii="宋体" w:hAnsi="Times New Roman" w:eastAsia="宋体" w:cs="Times New Roman"/>
          <w:bCs w:val="0"/>
          <w:snapToGrid/>
          <w:color w:val="auto"/>
          <w:sz w:val="24"/>
          <w:szCs w:val="24"/>
          <w:highlight w:val="none"/>
        </w:rPr>
        <w:t>mm</w:t>
      </w:r>
      <w:r>
        <w:rPr>
          <w:rFonts w:hint="eastAsia" w:ascii="宋体" w:hAnsi="Times New Roman" w:eastAsia="宋体" w:cs="Times New Roman"/>
          <w:bCs w:val="0"/>
          <w:snapToGrid/>
          <w:color w:val="auto"/>
          <w:sz w:val="24"/>
          <w:szCs w:val="24"/>
          <w:highlight w:val="none"/>
          <w:lang w:eastAsia="zh-CN"/>
        </w:rPr>
        <w:t>。</w:t>
      </w:r>
    </w:p>
    <w:p w14:paraId="5D3DFC12">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5</w:t>
      </w:r>
      <w:r>
        <w:rPr>
          <w:rFonts w:hint="eastAsia" w:ascii="宋体"/>
          <w:color w:val="auto"/>
          <w:sz w:val="24"/>
          <w:szCs w:val="24"/>
          <w:highlight w:val="none"/>
        </w:rPr>
        <w:t>整块柜应有足够强度，运输过程应有加固，并应提供监控柜说明书，保证在起吊、运输、存放和安装时的安全，柜底部应有安装孔。</w:t>
      </w:r>
    </w:p>
    <w:p w14:paraId="2372FE57">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6</w:t>
      </w:r>
      <w:r>
        <w:rPr>
          <w:rFonts w:hint="eastAsia" w:ascii="宋体"/>
          <w:color w:val="auto"/>
          <w:sz w:val="24"/>
          <w:szCs w:val="24"/>
          <w:highlight w:val="none"/>
        </w:rPr>
        <w:t>机柜及其中设备应能适用于地震地区。</w:t>
      </w:r>
    </w:p>
    <w:p w14:paraId="670A5C31">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7</w:t>
      </w:r>
      <w:r>
        <w:rPr>
          <w:rFonts w:hint="eastAsia" w:ascii="宋体"/>
          <w:color w:val="auto"/>
          <w:sz w:val="24"/>
          <w:szCs w:val="24"/>
          <w:highlight w:val="none"/>
        </w:rPr>
        <w:t>机柜上设备应采用嵌入式或半嵌入式安装和背后接线。</w:t>
      </w:r>
    </w:p>
    <w:p w14:paraId="51668A32">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8</w:t>
      </w:r>
      <w:r>
        <w:rPr>
          <w:rFonts w:hint="eastAsia" w:ascii="宋体"/>
          <w:color w:val="auto"/>
          <w:sz w:val="24"/>
          <w:szCs w:val="24"/>
          <w:highlight w:val="none"/>
        </w:rPr>
        <w:t>机柜内应有适当的照明灯，电源电压是交流</w:t>
      </w:r>
      <w:r>
        <w:rPr>
          <w:rFonts w:ascii="宋体"/>
          <w:color w:val="auto"/>
          <w:sz w:val="24"/>
          <w:szCs w:val="24"/>
          <w:highlight w:val="none"/>
        </w:rPr>
        <w:t>220V</w:t>
      </w:r>
      <w:r>
        <w:rPr>
          <w:rFonts w:hint="eastAsia" w:ascii="宋体"/>
          <w:color w:val="auto"/>
          <w:sz w:val="24"/>
          <w:szCs w:val="24"/>
          <w:highlight w:val="none"/>
        </w:rPr>
        <w:t>，并配置检修多用分接电源插座。</w:t>
      </w:r>
    </w:p>
    <w:p w14:paraId="365F91E1">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9</w:t>
      </w:r>
      <w:r>
        <w:rPr>
          <w:rFonts w:hint="eastAsia" w:ascii="宋体"/>
          <w:color w:val="auto"/>
          <w:sz w:val="24"/>
          <w:szCs w:val="24"/>
          <w:highlight w:val="none"/>
        </w:rPr>
        <w:t>每块屏柜应装有 2 根截面不小于 100m</w:t>
      </w:r>
      <w:r>
        <w:rPr>
          <w:rFonts w:hint="eastAsia" w:ascii="宋体"/>
          <w:color w:val="auto"/>
          <w:sz w:val="24"/>
          <w:szCs w:val="24"/>
          <w:highlight w:val="none"/>
          <w:lang w:val="en-US" w:eastAsia="zh-CN"/>
        </w:rPr>
        <w:t>m</w:t>
      </w:r>
      <w:r>
        <w:rPr>
          <w:rFonts w:hint="eastAsia" w:ascii="宋体"/>
          <w:color w:val="auto"/>
          <w:sz w:val="24"/>
          <w:szCs w:val="24"/>
          <w:highlight w:val="none"/>
        </w:rPr>
        <w:t>2 的铜接地母线。一根接地母线不安装绝缘子，与屏直接相连接，用于一次接地，保护装置的外壳接地接于此母排。另一根安装绝缘子，通过绝缘子固定在屏柜上，用于外部二次电缆的屏蔽层接地，接地母线应配齐相应的螺栓、螺帽。监控柜应有良好的防电磁干扰的屏蔽功能。</w:t>
      </w:r>
      <w:r>
        <w:rPr>
          <w:rFonts w:ascii="宋体"/>
          <w:color w:val="auto"/>
          <w:sz w:val="24"/>
          <w:szCs w:val="24"/>
          <w:highlight w:val="none"/>
        </w:rPr>
        <w:t>所有柜上的接地线与接地母线的连接至少用两个螺丝。</w:t>
      </w:r>
    </w:p>
    <w:p w14:paraId="53C2F92B">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10</w:t>
      </w:r>
      <w:r>
        <w:rPr>
          <w:rFonts w:hint="eastAsia" w:ascii="宋体"/>
          <w:color w:val="auto"/>
          <w:sz w:val="24"/>
          <w:szCs w:val="24"/>
          <w:highlight w:val="none"/>
        </w:rPr>
        <w:t>机柜应能上下进出电缆。</w:t>
      </w:r>
    </w:p>
    <w:p w14:paraId="5B86162C">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11</w:t>
      </w:r>
      <w:r>
        <w:rPr>
          <w:rFonts w:hint="eastAsia" w:ascii="宋体"/>
          <w:color w:val="auto"/>
          <w:sz w:val="24"/>
          <w:szCs w:val="24"/>
          <w:highlight w:val="none"/>
        </w:rPr>
        <w:t>电压和电流互感器的中性点仅在引入柜内的端子排上接地，且每组次级中性点只能有一个接地点。</w:t>
      </w:r>
    </w:p>
    <w:p w14:paraId="15D56BC0">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12</w:t>
      </w:r>
      <w:r>
        <w:rPr>
          <w:rFonts w:hint="eastAsia" w:ascii="宋体"/>
          <w:color w:val="auto"/>
          <w:sz w:val="24"/>
          <w:szCs w:val="24"/>
          <w:highlight w:val="none"/>
        </w:rPr>
        <w:t>柜内I/O测控单元的输入、输出均接至端子排。柜内设备的安排及端子排的布置，应保证各套装置的独立性，在一套装置检修时不影响其他任何一套装置的正常运行。</w:t>
      </w:r>
    </w:p>
    <w:p w14:paraId="64A718AC">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13</w:t>
      </w:r>
      <w:r>
        <w:rPr>
          <w:rFonts w:hint="eastAsia" w:ascii="宋体"/>
          <w:color w:val="auto"/>
          <w:sz w:val="24"/>
          <w:szCs w:val="24"/>
          <w:highlight w:val="none"/>
        </w:rPr>
        <w:t>柜中内部接线应采用耐热、耐潮和阻燃的交联聚乙烯绝缘铜线，一般控制导线应不小于</w:t>
      </w:r>
      <w:r>
        <w:rPr>
          <w:rFonts w:ascii="宋体"/>
          <w:color w:val="auto"/>
          <w:sz w:val="24"/>
          <w:szCs w:val="24"/>
          <w:highlight w:val="none"/>
        </w:rPr>
        <w:t>1.5mm</w:t>
      </w:r>
      <w:r>
        <w:rPr>
          <w:rFonts w:ascii="宋体"/>
          <w:color w:val="auto"/>
          <w:sz w:val="24"/>
          <w:szCs w:val="24"/>
          <w:highlight w:val="none"/>
          <w:vertAlign w:val="superscript"/>
        </w:rPr>
        <w:t>2</w:t>
      </w:r>
      <w:r>
        <w:rPr>
          <w:rFonts w:hint="eastAsia" w:ascii="宋体"/>
          <w:color w:val="auto"/>
          <w:sz w:val="24"/>
          <w:szCs w:val="24"/>
          <w:highlight w:val="none"/>
        </w:rPr>
        <w:t>，</w:t>
      </w:r>
      <w:r>
        <w:rPr>
          <w:rFonts w:ascii="宋体"/>
          <w:color w:val="auto"/>
          <w:sz w:val="24"/>
          <w:szCs w:val="24"/>
          <w:highlight w:val="none"/>
        </w:rPr>
        <w:t>PT</w:t>
      </w:r>
      <w:r>
        <w:rPr>
          <w:rFonts w:hint="eastAsia" w:ascii="宋体"/>
          <w:color w:val="auto"/>
          <w:sz w:val="24"/>
          <w:szCs w:val="24"/>
          <w:highlight w:val="none"/>
        </w:rPr>
        <w:t>及断路器跳闸及合闸等控制回路的控制导线不应小于2</w:t>
      </w:r>
      <w:r>
        <w:rPr>
          <w:rFonts w:ascii="宋体"/>
          <w:color w:val="auto"/>
          <w:sz w:val="24"/>
          <w:szCs w:val="24"/>
          <w:highlight w:val="none"/>
        </w:rPr>
        <w:t>.5mm</w:t>
      </w:r>
      <w:r>
        <w:rPr>
          <w:rFonts w:ascii="宋体"/>
          <w:color w:val="auto"/>
          <w:sz w:val="24"/>
          <w:szCs w:val="24"/>
          <w:highlight w:val="none"/>
          <w:vertAlign w:val="superscript"/>
        </w:rPr>
        <w:t>2</w:t>
      </w:r>
      <w:r>
        <w:rPr>
          <w:rFonts w:hint="eastAsia" w:ascii="宋体"/>
          <w:color w:val="auto"/>
          <w:sz w:val="24"/>
          <w:szCs w:val="24"/>
          <w:highlight w:val="none"/>
        </w:rPr>
        <w:t>，</w:t>
      </w:r>
      <w:r>
        <w:rPr>
          <w:rFonts w:hint="eastAsia" w:ascii="宋体"/>
          <w:color w:val="auto"/>
          <w:sz w:val="24"/>
          <w:szCs w:val="24"/>
          <w:highlight w:val="none"/>
          <w:lang w:val="en-US" w:eastAsia="zh-CN"/>
        </w:rPr>
        <w:t>C</w:t>
      </w:r>
      <w:r>
        <w:rPr>
          <w:rFonts w:ascii="宋体"/>
          <w:color w:val="auto"/>
          <w:sz w:val="24"/>
          <w:szCs w:val="24"/>
          <w:highlight w:val="none"/>
        </w:rPr>
        <w:t>T</w:t>
      </w:r>
      <w:r>
        <w:rPr>
          <w:rFonts w:hint="eastAsia" w:ascii="宋体"/>
          <w:color w:val="auto"/>
          <w:sz w:val="24"/>
          <w:szCs w:val="24"/>
          <w:highlight w:val="none"/>
        </w:rPr>
        <w:t>回路的控制导线不应小于</w:t>
      </w:r>
      <w:r>
        <w:rPr>
          <w:rFonts w:hint="eastAsia" w:ascii="宋体"/>
          <w:color w:val="auto"/>
          <w:sz w:val="24"/>
          <w:szCs w:val="24"/>
          <w:highlight w:val="none"/>
          <w:lang w:val="en-US" w:eastAsia="zh-CN"/>
        </w:rPr>
        <w:t>4</w:t>
      </w:r>
      <w:r>
        <w:rPr>
          <w:rFonts w:ascii="宋体"/>
          <w:color w:val="auto"/>
          <w:sz w:val="24"/>
          <w:szCs w:val="24"/>
          <w:highlight w:val="none"/>
        </w:rPr>
        <w:t>mm</w:t>
      </w:r>
      <w:r>
        <w:rPr>
          <w:rFonts w:ascii="宋体"/>
          <w:color w:val="auto"/>
          <w:sz w:val="24"/>
          <w:szCs w:val="24"/>
          <w:highlight w:val="none"/>
          <w:vertAlign w:val="superscript"/>
        </w:rPr>
        <w:t>2</w:t>
      </w:r>
      <w:r>
        <w:rPr>
          <w:rFonts w:hint="eastAsia" w:ascii="宋体"/>
          <w:color w:val="auto"/>
          <w:sz w:val="24"/>
          <w:szCs w:val="24"/>
          <w:highlight w:val="none"/>
        </w:rPr>
        <w:t>。</w:t>
      </w:r>
    </w:p>
    <w:p w14:paraId="60733993">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14</w:t>
      </w:r>
      <w:r>
        <w:rPr>
          <w:rFonts w:hint="eastAsia" w:ascii="宋体"/>
          <w:color w:val="auto"/>
          <w:sz w:val="24"/>
          <w:szCs w:val="24"/>
          <w:highlight w:val="none"/>
        </w:rPr>
        <w:t>导线应无损伤，导线的端头应采用压紧型联接件。投标人应提供走线槽，以便于固定电缆及端子排的接线。接到端子排上的导线应该有标志条和标志套管标明。</w:t>
      </w:r>
    </w:p>
    <w:p w14:paraId="14157DC5">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15</w:t>
      </w:r>
      <w:r>
        <w:rPr>
          <w:rFonts w:hint="eastAsia" w:ascii="宋体"/>
          <w:color w:val="auto"/>
          <w:sz w:val="24"/>
          <w:szCs w:val="24"/>
          <w:highlight w:val="none"/>
        </w:rPr>
        <w:t>端子排应保证足够的绝缘水平，端子排应该分段，端子排应至少有</w:t>
      </w:r>
      <w:r>
        <w:rPr>
          <w:rFonts w:ascii="宋体"/>
          <w:color w:val="auto"/>
          <w:sz w:val="24"/>
          <w:szCs w:val="24"/>
          <w:highlight w:val="none"/>
        </w:rPr>
        <w:t>10%</w:t>
      </w:r>
      <w:r>
        <w:rPr>
          <w:rFonts w:hint="eastAsia" w:ascii="宋体"/>
          <w:color w:val="auto"/>
          <w:sz w:val="24"/>
          <w:szCs w:val="24"/>
          <w:highlight w:val="none"/>
        </w:rPr>
        <w:t>备用端子，且可在必要时再增加，外部接入的一根电缆中所有导线应接于靠近的端子上。端子排离门应有一段距离，端子排底部距地面高度应</w:t>
      </w:r>
      <w:r>
        <w:rPr>
          <w:rFonts w:hint="eastAsia" w:ascii="宋体"/>
          <w:color w:val="auto"/>
          <w:sz w:val="24"/>
          <w:szCs w:val="24"/>
          <w:highlight w:val="none"/>
        </w:rPr>
        <w:sym w:font="Symbol" w:char="F0B3"/>
      </w:r>
      <w:r>
        <w:rPr>
          <w:rFonts w:hint="eastAsia" w:ascii="宋体"/>
          <w:color w:val="auto"/>
          <w:sz w:val="24"/>
          <w:szCs w:val="24"/>
          <w:highlight w:val="none"/>
        </w:rPr>
        <w:t>60cm。</w:t>
      </w:r>
      <w:r>
        <w:rPr>
          <w:rFonts w:ascii="宋体"/>
          <w:color w:val="auto"/>
          <w:sz w:val="24"/>
          <w:szCs w:val="24"/>
          <w:highlight w:val="none"/>
        </w:rPr>
        <w:t>采用凤凰端子</w:t>
      </w:r>
      <w:r>
        <w:rPr>
          <w:rFonts w:hint="eastAsia" w:ascii="宋体"/>
          <w:color w:val="auto"/>
          <w:sz w:val="24"/>
          <w:szCs w:val="24"/>
          <w:highlight w:val="none"/>
        </w:rPr>
        <w:t>。</w:t>
      </w:r>
    </w:p>
    <w:p w14:paraId="3E5F0FE1">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所有二次端子选用凤凰阻燃压接型端子，额定值为</w:t>
      </w:r>
      <w:r>
        <w:rPr>
          <w:rFonts w:ascii="宋体"/>
          <w:color w:val="auto"/>
          <w:sz w:val="24"/>
          <w:szCs w:val="24"/>
          <w:highlight w:val="none"/>
        </w:rPr>
        <w:t>1000V</w:t>
      </w:r>
      <w:r>
        <w:rPr>
          <w:rFonts w:hint="eastAsia" w:ascii="宋体"/>
          <w:color w:val="auto"/>
          <w:sz w:val="24"/>
          <w:szCs w:val="24"/>
          <w:highlight w:val="none"/>
        </w:rPr>
        <w:t>、</w:t>
      </w:r>
      <w:r>
        <w:rPr>
          <w:rFonts w:ascii="宋体"/>
          <w:color w:val="auto"/>
          <w:sz w:val="24"/>
          <w:szCs w:val="24"/>
          <w:highlight w:val="none"/>
        </w:rPr>
        <w:t>10A</w:t>
      </w:r>
      <w:r>
        <w:rPr>
          <w:rFonts w:hint="eastAsia" w:ascii="宋体"/>
          <w:color w:val="auto"/>
          <w:sz w:val="24"/>
          <w:szCs w:val="24"/>
          <w:highlight w:val="none"/>
        </w:rPr>
        <w:t>。电流回路应采用专用的</w:t>
      </w:r>
      <w:r>
        <w:rPr>
          <w:rFonts w:hint="eastAsia" w:ascii="宋体" w:hAnsi="宋体"/>
          <w:color w:val="auto"/>
          <w:sz w:val="24"/>
          <w:szCs w:val="24"/>
          <w:highlight w:val="none"/>
        </w:rPr>
        <w:t>URTK/S</w:t>
      </w:r>
      <w:r>
        <w:rPr>
          <w:rFonts w:hint="eastAsia" w:ascii="宋体"/>
          <w:color w:val="auto"/>
          <w:sz w:val="24"/>
          <w:szCs w:val="24"/>
          <w:highlight w:val="none"/>
        </w:rPr>
        <w:t>型端子，PT二次电压回路应采用专用的</w:t>
      </w:r>
      <w:r>
        <w:rPr>
          <w:rFonts w:hint="eastAsia" w:ascii="宋体" w:hAnsi="宋体"/>
          <w:color w:val="auto"/>
          <w:sz w:val="24"/>
          <w:szCs w:val="24"/>
          <w:highlight w:val="none"/>
        </w:rPr>
        <w:t>URTK/S-BEN1</w:t>
      </w:r>
      <w:r>
        <w:rPr>
          <w:rFonts w:hint="eastAsia" w:ascii="宋体"/>
          <w:color w:val="auto"/>
          <w:sz w:val="24"/>
          <w:szCs w:val="24"/>
          <w:highlight w:val="none"/>
        </w:rPr>
        <w:t>0型端子。端子排中交、直流回路、电流回路、电压回路、合闸回路、跳闸回路的端子间均应有空端子隔离。</w:t>
      </w:r>
      <w:r>
        <w:rPr>
          <w:rFonts w:ascii="宋体"/>
          <w:color w:val="auto"/>
          <w:sz w:val="24"/>
          <w:szCs w:val="24"/>
          <w:highlight w:val="none"/>
        </w:rPr>
        <w:t>CT</w:t>
      </w:r>
      <w:r>
        <w:rPr>
          <w:rFonts w:hint="eastAsia" w:ascii="宋体"/>
          <w:color w:val="auto"/>
          <w:sz w:val="24"/>
          <w:szCs w:val="24"/>
          <w:highlight w:val="none"/>
        </w:rPr>
        <w:t>和</w:t>
      </w:r>
      <w:r>
        <w:rPr>
          <w:rFonts w:ascii="宋体"/>
          <w:color w:val="auto"/>
          <w:sz w:val="24"/>
          <w:szCs w:val="24"/>
          <w:highlight w:val="none"/>
        </w:rPr>
        <w:t>PT</w:t>
      </w:r>
      <w:r>
        <w:rPr>
          <w:rFonts w:hint="eastAsia" w:ascii="宋体"/>
          <w:color w:val="auto"/>
          <w:sz w:val="24"/>
          <w:szCs w:val="24"/>
          <w:highlight w:val="none"/>
        </w:rPr>
        <w:t>的二次回路应提供标准的试验端子并具有隔离板，便于断开或短接装置的输入与输出回路。端子排间应有足够的绝缘，端子排应根据功能分段排列，并应至少留有</w:t>
      </w:r>
      <w:r>
        <w:rPr>
          <w:rFonts w:ascii="宋体"/>
          <w:color w:val="auto"/>
          <w:sz w:val="24"/>
          <w:szCs w:val="24"/>
          <w:highlight w:val="none"/>
        </w:rPr>
        <w:t>20%</w:t>
      </w:r>
      <w:r>
        <w:rPr>
          <w:rFonts w:hint="eastAsia" w:ascii="宋体"/>
          <w:color w:val="auto"/>
          <w:sz w:val="24"/>
          <w:szCs w:val="24"/>
          <w:highlight w:val="none"/>
        </w:rPr>
        <w:t>的备用端子。端子排间应留有足够的空间，便于外部电缆的连接。</w:t>
      </w:r>
      <w:r>
        <w:rPr>
          <w:rFonts w:ascii="宋体"/>
          <w:color w:val="auto"/>
          <w:sz w:val="24"/>
          <w:szCs w:val="24"/>
          <w:highlight w:val="none"/>
        </w:rPr>
        <w:t>端子排上的导线固定采用平头铜螺丝。</w:t>
      </w:r>
    </w:p>
    <w:p w14:paraId="24EBD572">
      <w:pPr>
        <w:spacing w:line="360" w:lineRule="auto"/>
        <w:ind w:firstLine="456"/>
        <w:rPr>
          <w:rFonts w:ascii="宋体"/>
          <w:color w:val="auto"/>
          <w:sz w:val="24"/>
          <w:szCs w:val="24"/>
          <w:highlight w:val="none"/>
        </w:rPr>
      </w:pPr>
      <w:r>
        <w:rPr>
          <w:rFonts w:hint="eastAsia" w:ascii="宋体"/>
          <w:color w:val="auto"/>
          <w:sz w:val="24"/>
          <w:szCs w:val="24"/>
          <w:highlight w:val="none"/>
        </w:rPr>
        <w:t>每个端子上一般只能接一根导线。断路器的跳闸及合闸回路以及正、负直流电源不能接在相邻的端子上。</w:t>
      </w:r>
    </w:p>
    <w:p w14:paraId="7BD58F73">
      <w:pPr>
        <w:spacing w:line="360" w:lineRule="auto"/>
        <w:rPr>
          <w:rFonts w:ascii="宋体"/>
          <w:color w:val="auto"/>
          <w:sz w:val="24"/>
          <w:szCs w:val="24"/>
          <w:highlight w:val="none"/>
        </w:rPr>
      </w:pPr>
      <w:r>
        <w:rPr>
          <w:rFonts w:hint="eastAsia" w:ascii="宋体"/>
          <w:color w:val="auto"/>
          <w:sz w:val="24"/>
          <w:szCs w:val="24"/>
          <w:highlight w:val="none"/>
        </w:rPr>
        <w:t>所有端子的额定值为</w:t>
      </w:r>
      <w:r>
        <w:rPr>
          <w:rFonts w:ascii="宋体"/>
          <w:color w:val="auto"/>
          <w:sz w:val="24"/>
          <w:szCs w:val="24"/>
          <w:highlight w:val="none"/>
        </w:rPr>
        <w:t>10A</w:t>
      </w:r>
      <w:r>
        <w:rPr>
          <w:rFonts w:hint="eastAsia" w:ascii="宋体"/>
          <w:color w:val="auto"/>
          <w:sz w:val="24"/>
          <w:szCs w:val="24"/>
          <w:highlight w:val="none"/>
        </w:rPr>
        <w:t>，</w:t>
      </w:r>
      <w:r>
        <w:rPr>
          <w:rFonts w:ascii="宋体"/>
          <w:color w:val="auto"/>
          <w:sz w:val="24"/>
          <w:szCs w:val="24"/>
          <w:highlight w:val="none"/>
        </w:rPr>
        <w:t>1000V</w:t>
      </w:r>
      <w:r>
        <w:rPr>
          <w:rFonts w:hint="eastAsia" w:ascii="宋体"/>
          <w:color w:val="auto"/>
          <w:sz w:val="24"/>
          <w:szCs w:val="24"/>
          <w:highlight w:val="none"/>
        </w:rPr>
        <w:t>；电流端子应允许接10</w:t>
      </w:r>
      <w:r>
        <w:rPr>
          <w:rFonts w:ascii="宋体"/>
          <w:color w:val="auto"/>
          <w:sz w:val="24"/>
          <w:szCs w:val="24"/>
          <w:highlight w:val="none"/>
        </w:rPr>
        <w:t>mm</w:t>
      </w:r>
      <w:r>
        <w:rPr>
          <w:rFonts w:ascii="宋体"/>
          <w:color w:val="auto"/>
          <w:sz w:val="24"/>
          <w:szCs w:val="24"/>
          <w:highlight w:val="none"/>
          <w:vertAlign w:val="superscript"/>
        </w:rPr>
        <w:t>2</w:t>
      </w:r>
      <w:r>
        <w:rPr>
          <w:rFonts w:hint="eastAsia" w:ascii="宋体"/>
          <w:color w:val="auto"/>
          <w:sz w:val="24"/>
          <w:szCs w:val="24"/>
          <w:highlight w:val="none"/>
        </w:rPr>
        <w:t>的电缆导线。</w:t>
      </w:r>
      <w:r>
        <w:rPr>
          <w:rFonts w:ascii="宋体"/>
          <w:color w:val="auto"/>
          <w:sz w:val="24"/>
          <w:szCs w:val="24"/>
          <w:highlight w:val="none"/>
        </w:rPr>
        <w:t>普通控制信号端子允许接</w:t>
      </w:r>
      <w:r>
        <w:rPr>
          <w:rFonts w:hint="eastAsia" w:ascii="宋体"/>
          <w:color w:val="auto"/>
          <w:sz w:val="24"/>
          <w:szCs w:val="24"/>
          <w:highlight w:val="none"/>
        </w:rPr>
        <w:t>4</w:t>
      </w:r>
      <w:r>
        <w:rPr>
          <w:rFonts w:ascii="宋体"/>
          <w:color w:val="auto"/>
          <w:sz w:val="24"/>
          <w:szCs w:val="24"/>
          <w:highlight w:val="none"/>
        </w:rPr>
        <w:t xml:space="preserve"> mm</w:t>
      </w:r>
      <w:r>
        <w:rPr>
          <w:rFonts w:ascii="宋体"/>
          <w:color w:val="auto"/>
          <w:sz w:val="24"/>
          <w:szCs w:val="24"/>
          <w:highlight w:val="none"/>
          <w:vertAlign w:val="superscript"/>
        </w:rPr>
        <w:t>2</w:t>
      </w:r>
      <w:r>
        <w:rPr>
          <w:rFonts w:ascii="宋体"/>
          <w:color w:val="auto"/>
          <w:sz w:val="24"/>
          <w:szCs w:val="24"/>
          <w:highlight w:val="none"/>
        </w:rPr>
        <w:t>的电缆导线，柜内电源所接端子允许接6 mm</w:t>
      </w:r>
      <w:r>
        <w:rPr>
          <w:rFonts w:ascii="宋体"/>
          <w:color w:val="auto"/>
          <w:sz w:val="24"/>
          <w:szCs w:val="24"/>
          <w:highlight w:val="none"/>
          <w:vertAlign w:val="superscript"/>
        </w:rPr>
        <w:t>2</w:t>
      </w:r>
      <w:r>
        <w:rPr>
          <w:rFonts w:ascii="宋体"/>
          <w:color w:val="auto"/>
          <w:sz w:val="24"/>
          <w:szCs w:val="24"/>
          <w:highlight w:val="none"/>
        </w:rPr>
        <w:t>的电缆导线。</w:t>
      </w:r>
    </w:p>
    <w:p w14:paraId="03CD2B8D">
      <w:pPr>
        <w:spacing w:line="360" w:lineRule="auto"/>
        <w:rPr>
          <w:rFonts w:ascii="宋体"/>
          <w:color w:val="auto"/>
          <w:sz w:val="24"/>
          <w:szCs w:val="24"/>
          <w:highlight w:val="none"/>
        </w:rPr>
      </w:pPr>
      <w:r>
        <w:rPr>
          <w:rFonts w:hint="eastAsia" w:ascii="宋体"/>
          <w:color w:val="auto"/>
          <w:sz w:val="24"/>
          <w:szCs w:val="24"/>
          <w:highlight w:val="none"/>
        </w:rPr>
        <w:t>端子排前应保留足够空间，便于电缆连接。</w:t>
      </w:r>
    </w:p>
    <w:p w14:paraId="0E25940B">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16CT</w:t>
      </w:r>
      <w:r>
        <w:rPr>
          <w:rFonts w:hint="eastAsia" w:ascii="宋体"/>
          <w:color w:val="auto"/>
          <w:sz w:val="24"/>
          <w:szCs w:val="24"/>
          <w:highlight w:val="none"/>
        </w:rPr>
        <w:t>或</w:t>
      </w:r>
      <w:r>
        <w:rPr>
          <w:rFonts w:ascii="宋体"/>
          <w:color w:val="auto"/>
          <w:sz w:val="24"/>
          <w:szCs w:val="24"/>
          <w:highlight w:val="none"/>
        </w:rPr>
        <w:t>PT</w:t>
      </w:r>
      <w:r>
        <w:rPr>
          <w:rFonts w:hint="eastAsia" w:ascii="宋体"/>
          <w:color w:val="auto"/>
          <w:sz w:val="24"/>
          <w:szCs w:val="24"/>
          <w:highlight w:val="none"/>
        </w:rPr>
        <w:t>输入线应通过电流、电压试验部件接入监控装置，并采用便于电流回路测试的端子，以便对装置进行隔离和试验，对所有装置的跳闸出口回路应提供各回路分别操作的试验部件或连接片，以便于必要时解除其出口回路。</w:t>
      </w:r>
    </w:p>
    <w:p w14:paraId="73B41B04">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17</w:t>
      </w:r>
      <w:r>
        <w:rPr>
          <w:rFonts w:hint="eastAsia" w:ascii="宋体"/>
          <w:color w:val="auto"/>
          <w:sz w:val="24"/>
          <w:szCs w:val="24"/>
          <w:highlight w:val="none"/>
        </w:rPr>
        <w:t>直流电源应采用双极直流型快速小开关，并具有合适的断流能力和指示器。</w:t>
      </w:r>
    </w:p>
    <w:p w14:paraId="07E5BA80">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18</w:t>
      </w:r>
      <w:r>
        <w:rPr>
          <w:rFonts w:hint="eastAsia" w:ascii="宋体"/>
          <w:color w:val="auto"/>
          <w:sz w:val="24"/>
          <w:szCs w:val="24"/>
          <w:highlight w:val="none"/>
        </w:rPr>
        <w:t>机柜的内部和外部必须清洁，应清除内部所有杂物及内外一切污迹。</w:t>
      </w:r>
    </w:p>
    <w:p w14:paraId="735A80B8">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19</w:t>
      </w:r>
      <w:r>
        <w:rPr>
          <w:rFonts w:hint="eastAsia" w:ascii="宋体"/>
          <w:color w:val="auto"/>
          <w:sz w:val="24"/>
          <w:szCs w:val="24"/>
          <w:highlight w:val="none"/>
        </w:rPr>
        <w:t>机柜的所有表面应该清洗过，刷一层底漆和二道罩漆，投标人应保证柜内外油漆过的表面在运输、储藏和正常运行时的防腐蚀性能。</w:t>
      </w:r>
    </w:p>
    <w:p w14:paraId="39DFD178">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20</w:t>
      </w:r>
      <w:r>
        <w:rPr>
          <w:rFonts w:hint="eastAsia" w:ascii="宋体"/>
          <w:color w:val="auto"/>
          <w:sz w:val="24"/>
          <w:szCs w:val="24"/>
          <w:highlight w:val="none"/>
        </w:rPr>
        <w:t>机柜及其上的装置</w:t>
      </w:r>
      <w:r>
        <w:rPr>
          <w:rFonts w:ascii="宋体"/>
          <w:color w:val="auto"/>
          <w:sz w:val="24"/>
          <w:szCs w:val="24"/>
          <w:highlight w:val="none"/>
        </w:rPr>
        <w:t>(</w:t>
      </w:r>
      <w:r>
        <w:rPr>
          <w:rFonts w:hint="eastAsia" w:ascii="宋体"/>
          <w:color w:val="auto"/>
          <w:sz w:val="24"/>
          <w:szCs w:val="24"/>
          <w:highlight w:val="none"/>
        </w:rPr>
        <w:t>包括继电器、控制开关、控制回路的熔丝、开关及其他独立设备</w:t>
      </w:r>
      <w:r>
        <w:rPr>
          <w:rFonts w:ascii="宋体"/>
          <w:color w:val="auto"/>
          <w:sz w:val="24"/>
          <w:szCs w:val="24"/>
          <w:highlight w:val="none"/>
        </w:rPr>
        <w:t>)</w:t>
      </w:r>
      <w:r>
        <w:rPr>
          <w:rFonts w:hint="eastAsia" w:ascii="宋体"/>
          <w:color w:val="auto"/>
          <w:sz w:val="24"/>
          <w:szCs w:val="24"/>
          <w:highlight w:val="none"/>
        </w:rPr>
        <w:t>都应有标签框，以便于清楚的识别，外壳可移动的设备，在设备本体上也要有同样的识别标记。</w:t>
      </w:r>
    </w:p>
    <w:p w14:paraId="5317874B">
      <w:pPr>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21</w:t>
      </w:r>
      <w:r>
        <w:rPr>
          <w:rFonts w:hint="eastAsia" w:ascii="宋体"/>
          <w:color w:val="auto"/>
          <w:sz w:val="24"/>
          <w:szCs w:val="24"/>
          <w:highlight w:val="none"/>
        </w:rPr>
        <w:t>对于那些必须按制造厂的规定才能运行更换的部件和插件，应有特殊的符号标出。</w:t>
      </w:r>
    </w:p>
    <w:p w14:paraId="4C21BE7C">
      <w:pPr>
        <w:tabs>
          <w:tab w:val="left" w:pos="840"/>
        </w:tabs>
        <w:spacing w:line="360" w:lineRule="auto"/>
        <w:rPr>
          <w:rFonts w:ascii="宋体"/>
          <w:color w:val="auto"/>
          <w:sz w:val="24"/>
          <w:szCs w:val="24"/>
          <w:highlight w:val="none"/>
        </w:rPr>
      </w:pPr>
      <w:r>
        <w:rPr>
          <w:rFonts w:hint="eastAsia" w:ascii="宋体"/>
          <w:color w:val="auto"/>
          <w:sz w:val="24"/>
          <w:szCs w:val="24"/>
          <w:highlight w:val="none"/>
          <w:lang w:eastAsia="zh-CN"/>
        </w:rPr>
        <w:t>3.14.</w:t>
      </w:r>
      <w:r>
        <w:rPr>
          <w:rFonts w:ascii="宋体"/>
          <w:color w:val="auto"/>
          <w:sz w:val="24"/>
          <w:szCs w:val="24"/>
          <w:highlight w:val="none"/>
        </w:rPr>
        <w:t>22</w:t>
      </w:r>
      <w:r>
        <w:rPr>
          <w:rFonts w:hint="eastAsia" w:ascii="宋体"/>
          <w:color w:val="auto"/>
          <w:sz w:val="24"/>
          <w:szCs w:val="24"/>
          <w:highlight w:val="none"/>
        </w:rPr>
        <w:t>柜的外形尺寸：</w:t>
      </w:r>
      <w:r>
        <w:rPr>
          <w:rFonts w:ascii="宋体"/>
          <w:color w:val="auto"/>
          <w:sz w:val="24"/>
          <w:szCs w:val="24"/>
          <w:highlight w:val="none"/>
          <w:u w:val="single"/>
        </w:rPr>
        <w:t>2260</w:t>
      </w:r>
      <w:r>
        <w:rPr>
          <w:rFonts w:hint="eastAsia" w:ascii="宋体"/>
          <w:color w:val="auto"/>
          <w:sz w:val="24"/>
          <w:szCs w:val="24"/>
          <w:highlight w:val="none"/>
          <w:u w:val="single"/>
        </w:rPr>
        <w:t>×</w:t>
      </w:r>
      <w:r>
        <w:rPr>
          <w:rFonts w:ascii="宋体"/>
          <w:color w:val="auto"/>
          <w:sz w:val="24"/>
          <w:szCs w:val="24"/>
          <w:highlight w:val="none"/>
          <w:u w:val="single"/>
        </w:rPr>
        <w:t>800</w:t>
      </w:r>
      <w:r>
        <w:rPr>
          <w:rFonts w:hint="eastAsia" w:ascii="宋体"/>
          <w:color w:val="auto"/>
          <w:sz w:val="24"/>
          <w:szCs w:val="24"/>
          <w:highlight w:val="none"/>
          <w:u w:val="single"/>
        </w:rPr>
        <w:t>×</w:t>
      </w:r>
      <w:r>
        <w:rPr>
          <w:rFonts w:ascii="宋体"/>
          <w:color w:val="auto"/>
          <w:sz w:val="24"/>
          <w:szCs w:val="24"/>
          <w:highlight w:val="none"/>
          <w:u w:val="single"/>
        </w:rPr>
        <w:t>600</w:t>
      </w:r>
      <w:r>
        <w:rPr>
          <w:rFonts w:ascii="宋体"/>
          <w:color w:val="auto"/>
          <w:sz w:val="24"/>
          <w:szCs w:val="24"/>
          <w:highlight w:val="none"/>
        </w:rPr>
        <w:t>(</w:t>
      </w:r>
      <w:r>
        <w:rPr>
          <w:rFonts w:hint="eastAsia" w:ascii="宋体"/>
          <w:color w:val="auto"/>
          <w:sz w:val="24"/>
          <w:szCs w:val="24"/>
          <w:highlight w:val="none"/>
        </w:rPr>
        <w:t>高×宽×深</w:t>
      </w:r>
      <w:r>
        <w:rPr>
          <w:rFonts w:ascii="宋体"/>
          <w:color w:val="auto"/>
          <w:sz w:val="24"/>
          <w:szCs w:val="24"/>
          <w:highlight w:val="none"/>
        </w:rPr>
        <w:t>)</w:t>
      </w:r>
      <w:r>
        <w:rPr>
          <w:rFonts w:hint="eastAsia" w:ascii="宋体"/>
          <w:color w:val="auto"/>
          <w:sz w:val="24"/>
          <w:szCs w:val="24"/>
          <w:highlight w:val="none"/>
        </w:rPr>
        <w:t>。柜内设备不应影响柜的前后门的正常开关。</w:t>
      </w:r>
      <w:r>
        <w:rPr>
          <w:rStyle w:val="33"/>
          <w:rFonts w:hint="eastAsia" w:asciiTheme="minorEastAsia" w:hAnsiTheme="minorEastAsia" w:eastAsiaTheme="minorEastAsia" w:cstheme="minorEastAsia"/>
          <w:color w:val="auto"/>
          <w:sz w:val="24"/>
          <w:szCs w:val="24"/>
          <w:highlight w:val="none"/>
        </w:rPr>
        <w:t>屏柜色标浅灰RAL 7035</w:t>
      </w:r>
      <w:r>
        <w:rPr>
          <w:rFonts w:ascii="宋体"/>
          <w:color w:val="auto"/>
          <w:sz w:val="24"/>
          <w:szCs w:val="24"/>
          <w:highlight w:val="none"/>
        </w:rPr>
        <w:t>。</w:t>
      </w:r>
    </w:p>
    <w:p w14:paraId="4DC07E79">
      <w:pPr>
        <w:tabs>
          <w:tab w:val="left" w:pos="840"/>
        </w:tabs>
        <w:spacing w:line="360" w:lineRule="auto"/>
        <w:rPr>
          <w:rFonts w:ascii="宋体"/>
          <w:color w:val="auto"/>
          <w:kern w:val="0"/>
          <w:sz w:val="24"/>
          <w:szCs w:val="24"/>
          <w:highlight w:val="none"/>
        </w:rPr>
      </w:pPr>
    </w:p>
    <w:p w14:paraId="507AE66E">
      <w:pPr>
        <w:numPr>
          <w:ilvl w:val="0"/>
          <w:numId w:val="65"/>
        </w:numPr>
        <w:spacing w:line="360" w:lineRule="auto"/>
        <w:rPr>
          <w:rFonts w:ascii="宋体"/>
          <w:b/>
          <w:color w:val="auto"/>
          <w:sz w:val="28"/>
          <w:szCs w:val="28"/>
          <w:highlight w:val="none"/>
        </w:rPr>
      </w:pPr>
      <w:bookmarkStart w:id="55" w:name="_Toc320606854"/>
      <w:bookmarkStart w:id="56" w:name="_Toc61442374"/>
      <w:r>
        <w:rPr>
          <w:rFonts w:hint="eastAsia" w:ascii="宋体"/>
          <w:b/>
          <w:color w:val="auto"/>
          <w:sz w:val="28"/>
          <w:szCs w:val="28"/>
          <w:highlight w:val="none"/>
        </w:rPr>
        <w:t>投标人提供的系统和硬件设备技术参数</w:t>
      </w:r>
      <w:bookmarkEnd w:id="55"/>
      <w:bookmarkEnd w:id="56"/>
    </w:p>
    <w:p w14:paraId="2428B748">
      <w:pPr>
        <w:spacing w:line="360" w:lineRule="auto"/>
        <w:rPr>
          <w:rFonts w:ascii="宋体"/>
          <w:color w:val="auto"/>
          <w:sz w:val="24"/>
          <w:szCs w:val="24"/>
          <w:highlight w:val="none"/>
        </w:rPr>
      </w:pPr>
      <w:r>
        <w:rPr>
          <w:rFonts w:hint="eastAsia" w:ascii="宋体"/>
          <w:color w:val="auto"/>
          <w:sz w:val="24"/>
          <w:szCs w:val="24"/>
          <w:highlight w:val="none"/>
        </w:rPr>
        <w:t>系统指标应至少包括下列各项：</w:t>
      </w:r>
    </w:p>
    <w:tbl>
      <w:tblPr>
        <w:tblStyle w:val="31"/>
        <w:tblW w:w="4938" w:type="pct"/>
        <w:tblInd w:w="0" w:type="dxa"/>
        <w:tblLayout w:type="fixed"/>
        <w:tblCellMar>
          <w:top w:w="0" w:type="dxa"/>
          <w:left w:w="108" w:type="dxa"/>
          <w:bottom w:w="0" w:type="dxa"/>
          <w:right w:w="108" w:type="dxa"/>
        </w:tblCellMar>
      </w:tblPr>
      <w:tblGrid>
        <w:gridCol w:w="674"/>
        <w:gridCol w:w="2130"/>
        <w:gridCol w:w="849"/>
        <w:gridCol w:w="1559"/>
        <w:gridCol w:w="1700"/>
        <w:gridCol w:w="1700"/>
      </w:tblGrid>
      <w:tr w14:paraId="0242509F">
        <w:tblPrEx>
          <w:tblCellMar>
            <w:top w:w="0" w:type="dxa"/>
            <w:left w:w="108" w:type="dxa"/>
            <w:bottom w:w="0" w:type="dxa"/>
            <w:right w:w="108" w:type="dxa"/>
          </w:tblCellMar>
        </w:tblPrEx>
        <w:trPr>
          <w:trHeight w:val="328" w:hRule="atLeast"/>
        </w:trPr>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14:paraId="2A4A6213">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序号</w:t>
            </w:r>
          </w:p>
        </w:tc>
        <w:tc>
          <w:tcPr>
            <w:tcW w:w="1236" w:type="pct"/>
            <w:tcBorders>
              <w:top w:val="single" w:color="auto" w:sz="4" w:space="0"/>
              <w:left w:val="nil"/>
              <w:bottom w:val="single" w:color="auto" w:sz="4" w:space="0"/>
              <w:right w:val="single" w:color="auto" w:sz="4" w:space="0"/>
            </w:tcBorders>
            <w:shd w:val="clear" w:color="auto" w:fill="auto"/>
            <w:vAlign w:val="center"/>
          </w:tcPr>
          <w:p w14:paraId="1453565D">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名 称</w:t>
            </w:r>
          </w:p>
        </w:tc>
        <w:tc>
          <w:tcPr>
            <w:tcW w:w="493" w:type="pct"/>
            <w:tcBorders>
              <w:top w:val="single" w:color="auto" w:sz="4" w:space="0"/>
              <w:left w:val="nil"/>
              <w:bottom w:val="single" w:color="auto" w:sz="4" w:space="0"/>
              <w:right w:val="single" w:color="auto" w:sz="4" w:space="0"/>
            </w:tcBorders>
            <w:shd w:val="clear" w:color="auto" w:fill="auto"/>
            <w:vAlign w:val="center"/>
          </w:tcPr>
          <w:p w14:paraId="53977D38">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单位</w:t>
            </w:r>
          </w:p>
        </w:tc>
        <w:tc>
          <w:tcPr>
            <w:tcW w:w="905" w:type="pct"/>
            <w:tcBorders>
              <w:top w:val="single" w:color="auto" w:sz="4" w:space="0"/>
              <w:left w:val="nil"/>
              <w:bottom w:val="single" w:color="auto" w:sz="4" w:space="0"/>
              <w:right w:val="single" w:color="auto" w:sz="4" w:space="0"/>
            </w:tcBorders>
            <w:shd w:val="clear" w:color="auto" w:fill="auto"/>
            <w:vAlign w:val="center"/>
          </w:tcPr>
          <w:p w14:paraId="680EBA3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要 求 值</w:t>
            </w:r>
          </w:p>
        </w:tc>
        <w:tc>
          <w:tcPr>
            <w:tcW w:w="987" w:type="pct"/>
            <w:tcBorders>
              <w:top w:val="single" w:color="auto" w:sz="4" w:space="0"/>
              <w:left w:val="nil"/>
              <w:bottom w:val="single" w:color="auto" w:sz="4" w:space="0"/>
              <w:right w:val="single" w:color="auto" w:sz="4" w:space="0"/>
            </w:tcBorders>
          </w:tcPr>
          <w:p w14:paraId="2478D476">
            <w:pPr>
              <w:widowControl/>
              <w:jc w:val="center"/>
              <w:rPr>
                <w:rFonts w:ascii="宋体" w:hAnsi="宋体" w:cs="宋体"/>
                <w:color w:val="auto"/>
                <w:kern w:val="0"/>
                <w:sz w:val="20"/>
                <w:highlight w:val="none"/>
              </w:rPr>
            </w:pPr>
            <w:r>
              <w:rPr>
                <w:rFonts w:hint="eastAsia" w:ascii="宋体" w:hAnsi="宋体" w:cs="宋体"/>
                <w:color w:val="auto"/>
                <w:kern w:val="0"/>
                <w:sz w:val="20"/>
                <w:highlight w:val="none"/>
                <w:lang w:eastAsia="zh-CN"/>
              </w:rPr>
              <w:t>投标人</w:t>
            </w:r>
            <w:r>
              <w:rPr>
                <w:rFonts w:hint="eastAsia" w:ascii="宋体" w:hAnsi="宋体" w:cs="宋体"/>
                <w:color w:val="auto"/>
                <w:kern w:val="0"/>
                <w:sz w:val="20"/>
                <w:highlight w:val="none"/>
              </w:rPr>
              <w:t>提供值</w:t>
            </w:r>
          </w:p>
        </w:tc>
        <w:tc>
          <w:tcPr>
            <w:tcW w:w="987" w:type="pct"/>
            <w:tcBorders>
              <w:top w:val="single" w:color="auto" w:sz="4" w:space="0"/>
              <w:left w:val="single" w:color="auto" w:sz="4" w:space="0"/>
              <w:bottom w:val="single" w:color="auto" w:sz="4" w:space="0"/>
              <w:right w:val="single" w:color="auto" w:sz="4" w:space="0"/>
            </w:tcBorders>
            <w:shd w:val="clear" w:color="auto" w:fill="auto"/>
            <w:vAlign w:val="center"/>
          </w:tcPr>
          <w:p w14:paraId="2B0892EC">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备注</w:t>
            </w:r>
          </w:p>
        </w:tc>
      </w:tr>
      <w:tr w14:paraId="766B0D58">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FCEA22A">
            <w:pPr>
              <w:pStyle w:val="55"/>
              <w:widowControl/>
              <w:numPr>
                <w:ilvl w:val="0"/>
                <w:numId w:val="66"/>
              </w:numPr>
              <w:ind w:firstLineChars="0"/>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2ADB2277">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交流采样测量值误差</w:t>
            </w:r>
          </w:p>
        </w:tc>
        <w:tc>
          <w:tcPr>
            <w:tcW w:w="493" w:type="pct"/>
            <w:tcBorders>
              <w:top w:val="nil"/>
              <w:left w:val="nil"/>
              <w:bottom w:val="single" w:color="auto" w:sz="4" w:space="0"/>
              <w:right w:val="single" w:color="auto" w:sz="4" w:space="0"/>
            </w:tcBorders>
            <w:shd w:val="clear" w:color="auto" w:fill="auto"/>
            <w:noWrap/>
            <w:vAlign w:val="center"/>
          </w:tcPr>
          <w:p w14:paraId="012EF0DE">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1DA76578">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+0.2%(I,U)</w:t>
            </w:r>
            <w:r>
              <w:rPr>
                <w:rFonts w:hint="eastAsia" w:ascii="宋体" w:hAnsi="宋体" w:cs="宋体"/>
                <w:color w:val="auto"/>
                <w:kern w:val="0"/>
                <w:sz w:val="20"/>
                <w:highlight w:val="none"/>
              </w:rPr>
              <w:t>，</w:t>
            </w:r>
            <w:r>
              <w:rPr>
                <w:rFonts w:ascii="宋体" w:hAnsi="宋体" w:cs="宋体"/>
                <w:color w:val="auto"/>
                <w:kern w:val="0"/>
                <w:sz w:val="20"/>
                <w:highlight w:val="none"/>
              </w:rPr>
              <w:sym w:font="Symbol" w:char="F0A3"/>
            </w:r>
            <w:r>
              <w:rPr>
                <w:rFonts w:ascii="宋体" w:hAnsi="宋体" w:cs="宋体"/>
                <w:color w:val="auto"/>
                <w:kern w:val="0"/>
                <w:sz w:val="20"/>
                <w:highlight w:val="none"/>
              </w:rPr>
              <w:t>+0.5%(P,Q)</w:t>
            </w:r>
          </w:p>
        </w:tc>
        <w:tc>
          <w:tcPr>
            <w:tcW w:w="987" w:type="pct"/>
            <w:tcBorders>
              <w:top w:val="single" w:color="auto" w:sz="4" w:space="0"/>
              <w:left w:val="nil"/>
              <w:bottom w:val="single" w:color="auto" w:sz="4" w:space="0"/>
              <w:right w:val="single" w:color="auto" w:sz="4" w:space="0"/>
            </w:tcBorders>
          </w:tcPr>
          <w:p w14:paraId="46BAF35E">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823462A">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测量值指标</w:t>
            </w:r>
          </w:p>
        </w:tc>
      </w:tr>
      <w:tr w14:paraId="66C754DA">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B24FDE3">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21667B9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模数转换分辨率</w:t>
            </w:r>
          </w:p>
        </w:tc>
        <w:tc>
          <w:tcPr>
            <w:tcW w:w="493" w:type="pct"/>
            <w:tcBorders>
              <w:top w:val="nil"/>
              <w:left w:val="nil"/>
              <w:bottom w:val="single" w:color="auto" w:sz="4" w:space="0"/>
              <w:right w:val="single" w:color="auto" w:sz="4" w:space="0"/>
            </w:tcBorders>
            <w:shd w:val="clear" w:color="auto" w:fill="auto"/>
            <w:vAlign w:val="center"/>
          </w:tcPr>
          <w:p w14:paraId="4C85D593">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符号位</w:t>
            </w:r>
          </w:p>
        </w:tc>
        <w:tc>
          <w:tcPr>
            <w:tcW w:w="905" w:type="pct"/>
            <w:tcBorders>
              <w:top w:val="nil"/>
              <w:left w:val="nil"/>
              <w:bottom w:val="single" w:color="auto" w:sz="4" w:space="0"/>
              <w:right w:val="single" w:color="auto" w:sz="4" w:space="0"/>
            </w:tcBorders>
            <w:shd w:val="clear" w:color="auto" w:fill="auto"/>
            <w:noWrap/>
            <w:vAlign w:val="center"/>
          </w:tcPr>
          <w:p w14:paraId="0A2D6224">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ascii="宋体" w:hAnsi="宋体" w:cs="宋体"/>
                <w:color w:val="auto"/>
                <w:kern w:val="0"/>
                <w:sz w:val="20"/>
                <w:highlight w:val="none"/>
              </w:rPr>
              <w:t>1</w:t>
            </w:r>
            <w:r>
              <w:rPr>
                <w:rFonts w:hint="eastAsia" w:ascii="宋体" w:hAnsi="宋体" w:cs="宋体"/>
                <w:color w:val="auto"/>
                <w:kern w:val="0"/>
                <w:sz w:val="20"/>
                <w:highlight w:val="none"/>
              </w:rPr>
              <w:t>6bit+1位</w:t>
            </w:r>
          </w:p>
        </w:tc>
        <w:tc>
          <w:tcPr>
            <w:tcW w:w="987" w:type="pct"/>
            <w:tcBorders>
              <w:top w:val="single" w:color="auto" w:sz="4" w:space="0"/>
              <w:left w:val="nil"/>
              <w:bottom w:val="single" w:color="auto" w:sz="4" w:space="0"/>
              <w:right w:val="single" w:color="auto" w:sz="4" w:space="0"/>
            </w:tcBorders>
          </w:tcPr>
          <w:p w14:paraId="2FF4303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E144879">
            <w:pPr>
              <w:jc w:val="center"/>
              <w:rPr>
                <w:rFonts w:ascii="宋体" w:hAnsi="宋体" w:cs="宋体"/>
                <w:color w:val="auto"/>
                <w:kern w:val="0"/>
                <w:sz w:val="20"/>
                <w:highlight w:val="none"/>
              </w:rPr>
            </w:pPr>
            <w:r>
              <w:rPr>
                <w:rFonts w:hint="eastAsia" w:ascii="宋体" w:hAnsi="宋体" w:cs="宋体"/>
                <w:color w:val="auto"/>
                <w:kern w:val="0"/>
                <w:sz w:val="20"/>
                <w:highlight w:val="none"/>
              </w:rPr>
              <w:t>测量值指标</w:t>
            </w:r>
          </w:p>
        </w:tc>
      </w:tr>
      <w:tr w14:paraId="430CDD15">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2A4D09DA">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5217166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电网频率测量误差</w:t>
            </w:r>
          </w:p>
        </w:tc>
        <w:tc>
          <w:tcPr>
            <w:tcW w:w="493" w:type="pct"/>
            <w:tcBorders>
              <w:top w:val="nil"/>
              <w:left w:val="nil"/>
              <w:bottom w:val="single" w:color="auto" w:sz="4" w:space="0"/>
              <w:right w:val="single" w:color="auto" w:sz="4" w:space="0"/>
            </w:tcBorders>
            <w:shd w:val="clear" w:color="auto" w:fill="auto"/>
            <w:vAlign w:val="center"/>
          </w:tcPr>
          <w:p w14:paraId="68872F43">
            <w:pPr>
              <w:widowControl/>
              <w:jc w:val="center"/>
              <w:rPr>
                <w:rFonts w:ascii="宋体" w:hAnsi="宋体" w:cs="宋体"/>
                <w:color w:val="auto"/>
                <w:kern w:val="0"/>
                <w:sz w:val="20"/>
                <w:highlight w:val="none"/>
              </w:rPr>
            </w:pPr>
            <w:r>
              <w:rPr>
                <w:rFonts w:ascii="宋体" w:hAnsi="宋体" w:cs="宋体"/>
                <w:color w:val="auto"/>
                <w:kern w:val="0"/>
                <w:sz w:val="20"/>
                <w:highlight w:val="none"/>
              </w:rPr>
              <w:t>Hz</w:t>
            </w:r>
          </w:p>
        </w:tc>
        <w:tc>
          <w:tcPr>
            <w:tcW w:w="905" w:type="pct"/>
            <w:tcBorders>
              <w:top w:val="nil"/>
              <w:left w:val="nil"/>
              <w:bottom w:val="single" w:color="auto" w:sz="4" w:space="0"/>
              <w:right w:val="single" w:color="auto" w:sz="4" w:space="0"/>
            </w:tcBorders>
            <w:shd w:val="clear" w:color="auto" w:fill="auto"/>
            <w:noWrap/>
            <w:vAlign w:val="center"/>
          </w:tcPr>
          <w:p w14:paraId="40054474">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0.01</w:t>
            </w:r>
          </w:p>
        </w:tc>
        <w:tc>
          <w:tcPr>
            <w:tcW w:w="987" w:type="pct"/>
            <w:tcBorders>
              <w:top w:val="single" w:color="auto" w:sz="4" w:space="0"/>
              <w:left w:val="nil"/>
              <w:bottom w:val="single" w:color="auto" w:sz="4" w:space="0"/>
              <w:right w:val="single" w:color="auto" w:sz="4" w:space="0"/>
            </w:tcBorders>
          </w:tcPr>
          <w:p w14:paraId="5986ECCE">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2006818">
            <w:pPr>
              <w:jc w:val="center"/>
              <w:rPr>
                <w:rFonts w:ascii="宋体" w:hAnsi="宋体" w:cs="宋体"/>
                <w:color w:val="auto"/>
                <w:kern w:val="0"/>
                <w:sz w:val="20"/>
                <w:highlight w:val="none"/>
              </w:rPr>
            </w:pPr>
            <w:r>
              <w:rPr>
                <w:rFonts w:hint="eastAsia" w:ascii="宋体" w:hAnsi="宋体" w:cs="宋体"/>
                <w:color w:val="auto"/>
                <w:kern w:val="0"/>
                <w:sz w:val="20"/>
                <w:highlight w:val="none"/>
              </w:rPr>
              <w:t>测量值指标</w:t>
            </w:r>
          </w:p>
        </w:tc>
      </w:tr>
      <w:tr w14:paraId="7A1EBE9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E93D251">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18357791">
            <w:pPr>
              <w:jc w:val="center"/>
              <w:rPr>
                <w:rFonts w:ascii="宋体" w:hAnsi="宋体" w:cs="宋体"/>
                <w:color w:val="auto"/>
                <w:kern w:val="0"/>
                <w:sz w:val="20"/>
                <w:highlight w:val="none"/>
              </w:rPr>
            </w:pPr>
            <w:r>
              <w:rPr>
                <w:rFonts w:hint="eastAsia" w:ascii="宋体" w:hAnsi="宋体" w:cs="宋体"/>
                <w:color w:val="auto"/>
                <w:kern w:val="0"/>
                <w:sz w:val="20"/>
                <w:highlight w:val="none"/>
              </w:rPr>
              <w:t>交流采样速率</w:t>
            </w:r>
          </w:p>
        </w:tc>
        <w:tc>
          <w:tcPr>
            <w:tcW w:w="493" w:type="pct"/>
            <w:tcBorders>
              <w:top w:val="nil"/>
              <w:left w:val="nil"/>
              <w:bottom w:val="single" w:color="auto" w:sz="4" w:space="0"/>
              <w:right w:val="single" w:color="auto" w:sz="4" w:space="0"/>
            </w:tcBorders>
            <w:shd w:val="clear" w:color="auto" w:fill="auto"/>
            <w:vAlign w:val="center"/>
          </w:tcPr>
          <w:p w14:paraId="3E46EDFB">
            <w:pPr>
              <w:widowControl/>
              <w:jc w:val="center"/>
              <w:rPr>
                <w:rFonts w:ascii="宋体" w:hAnsi="宋体" w:cs="宋体"/>
                <w:color w:val="auto"/>
                <w:kern w:val="0"/>
                <w:sz w:val="20"/>
                <w:highlight w:val="none"/>
              </w:rPr>
            </w:pPr>
            <w:r>
              <w:rPr>
                <w:rFonts w:ascii="宋体" w:hAnsi="宋体" w:cs="宋体"/>
                <w:color w:val="auto"/>
                <w:kern w:val="0"/>
                <w:sz w:val="20"/>
                <w:highlight w:val="none"/>
              </w:rPr>
              <w:t>bit/Hz</w:t>
            </w:r>
          </w:p>
        </w:tc>
        <w:tc>
          <w:tcPr>
            <w:tcW w:w="905" w:type="pct"/>
            <w:tcBorders>
              <w:top w:val="nil"/>
              <w:left w:val="nil"/>
              <w:bottom w:val="single" w:color="auto" w:sz="4" w:space="0"/>
              <w:right w:val="single" w:color="auto" w:sz="4" w:space="0"/>
            </w:tcBorders>
            <w:shd w:val="clear" w:color="auto" w:fill="auto"/>
            <w:noWrap/>
            <w:vAlign w:val="center"/>
          </w:tcPr>
          <w:p w14:paraId="7105574B">
            <w:pPr>
              <w:jc w:val="center"/>
              <w:rPr>
                <w:rFonts w:ascii="宋体" w:hAnsi="宋体" w:cs="宋体"/>
                <w:color w:val="auto"/>
                <w:kern w:val="0"/>
                <w:sz w:val="20"/>
                <w:highlight w:val="none"/>
              </w:rPr>
            </w:pPr>
            <w:r>
              <w:rPr>
                <w:rFonts w:ascii="宋体" w:hAnsi="宋体" w:cs="宋体"/>
                <w:color w:val="auto"/>
                <w:kern w:val="0"/>
                <w:sz w:val="20"/>
                <w:highlight w:val="none"/>
              </w:rPr>
              <w:t>&gt;32</w:t>
            </w:r>
          </w:p>
        </w:tc>
        <w:tc>
          <w:tcPr>
            <w:tcW w:w="987" w:type="pct"/>
            <w:tcBorders>
              <w:top w:val="single" w:color="auto" w:sz="4" w:space="0"/>
              <w:left w:val="nil"/>
              <w:bottom w:val="single" w:color="auto" w:sz="4" w:space="0"/>
              <w:right w:val="single" w:color="auto" w:sz="4" w:space="0"/>
            </w:tcBorders>
          </w:tcPr>
          <w:p w14:paraId="253C1171">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4F8D26C">
            <w:pPr>
              <w:jc w:val="center"/>
              <w:rPr>
                <w:rFonts w:ascii="宋体" w:hAnsi="宋体" w:cs="宋体"/>
                <w:color w:val="auto"/>
                <w:kern w:val="0"/>
                <w:sz w:val="20"/>
                <w:highlight w:val="none"/>
              </w:rPr>
            </w:pPr>
            <w:r>
              <w:rPr>
                <w:rFonts w:hint="eastAsia" w:ascii="宋体" w:hAnsi="宋体" w:cs="宋体"/>
                <w:color w:val="auto"/>
                <w:kern w:val="0"/>
                <w:sz w:val="20"/>
                <w:highlight w:val="none"/>
              </w:rPr>
              <w:t>测量值指标</w:t>
            </w:r>
          </w:p>
        </w:tc>
      </w:tr>
      <w:tr w14:paraId="161F6178">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5F68066A">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0885A9D7">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控制命令从生成到输出的时间</w:t>
            </w:r>
          </w:p>
        </w:tc>
        <w:tc>
          <w:tcPr>
            <w:tcW w:w="493" w:type="pct"/>
            <w:tcBorders>
              <w:top w:val="nil"/>
              <w:left w:val="nil"/>
              <w:bottom w:val="single" w:color="auto" w:sz="4" w:space="0"/>
              <w:right w:val="single" w:color="auto" w:sz="4" w:space="0"/>
            </w:tcBorders>
            <w:shd w:val="clear" w:color="auto" w:fill="auto"/>
            <w:vAlign w:val="center"/>
          </w:tcPr>
          <w:p w14:paraId="6A7CEDC2">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1F90CF09">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1</w:t>
            </w:r>
          </w:p>
        </w:tc>
        <w:tc>
          <w:tcPr>
            <w:tcW w:w="987" w:type="pct"/>
            <w:tcBorders>
              <w:top w:val="single" w:color="auto" w:sz="4" w:space="0"/>
              <w:left w:val="nil"/>
              <w:bottom w:val="single" w:color="auto" w:sz="4" w:space="0"/>
              <w:right w:val="single" w:color="auto" w:sz="4" w:space="0"/>
            </w:tcBorders>
          </w:tcPr>
          <w:p w14:paraId="08CEBD57">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DCF2D5D">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4B46201B">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241D8512">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482D667F">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画面实时数据更新周期模拟量</w:t>
            </w:r>
          </w:p>
        </w:tc>
        <w:tc>
          <w:tcPr>
            <w:tcW w:w="493" w:type="pct"/>
            <w:tcBorders>
              <w:top w:val="nil"/>
              <w:left w:val="nil"/>
              <w:bottom w:val="single" w:color="auto" w:sz="4" w:space="0"/>
              <w:right w:val="single" w:color="auto" w:sz="4" w:space="0"/>
            </w:tcBorders>
            <w:shd w:val="clear" w:color="auto" w:fill="auto"/>
            <w:vAlign w:val="center"/>
          </w:tcPr>
          <w:p w14:paraId="1551A026">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43F35879">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3</w:t>
            </w:r>
          </w:p>
        </w:tc>
        <w:tc>
          <w:tcPr>
            <w:tcW w:w="987" w:type="pct"/>
            <w:tcBorders>
              <w:top w:val="single" w:color="auto" w:sz="4" w:space="0"/>
              <w:left w:val="nil"/>
              <w:bottom w:val="single" w:color="auto" w:sz="4" w:space="0"/>
              <w:right w:val="single" w:color="auto" w:sz="4" w:space="0"/>
            </w:tcBorders>
          </w:tcPr>
          <w:p w14:paraId="6B8BC0B9">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E844508">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13DF3ED8">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D3CA7C1">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204E6168">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画面实时数据更新周期开关量</w:t>
            </w:r>
          </w:p>
        </w:tc>
        <w:tc>
          <w:tcPr>
            <w:tcW w:w="493" w:type="pct"/>
            <w:tcBorders>
              <w:top w:val="nil"/>
              <w:left w:val="nil"/>
              <w:bottom w:val="single" w:color="auto" w:sz="4" w:space="0"/>
              <w:right w:val="single" w:color="auto" w:sz="4" w:space="0"/>
            </w:tcBorders>
            <w:shd w:val="clear" w:color="auto" w:fill="auto"/>
            <w:vAlign w:val="center"/>
          </w:tcPr>
          <w:p w14:paraId="6CE56EB3">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47B48419">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2</w:t>
            </w:r>
          </w:p>
        </w:tc>
        <w:tc>
          <w:tcPr>
            <w:tcW w:w="987" w:type="pct"/>
            <w:tcBorders>
              <w:top w:val="single" w:color="auto" w:sz="4" w:space="0"/>
              <w:left w:val="nil"/>
              <w:bottom w:val="single" w:color="auto" w:sz="4" w:space="0"/>
              <w:right w:val="single" w:color="auto" w:sz="4" w:space="0"/>
            </w:tcBorders>
          </w:tcPr>
          <w:p w14:paraId="33E9C236">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A29969D">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0431FB5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4C81D49">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74A1DEF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主机数据库刷新周期：</w:t>
            </w:r>
          </w:p>
        </w:tc>
        <w:tc>
          <w:tcPr>
            <w:tcW w:w="493" w:type="pct"/>
            <w:tcBorders>
              <w:top w:val="nil"/>
              <w:left w:val="nil"/>
              <w:bottom w:val="single" w:color="auto" w:sz="4" w:space="0"/>
              <w:right w:val="single" w:color="auto" w:sz="4" w:space="0"/>
            </w:tcBorders>
            <w:shd w:val="clear" w:color="auto" w:fill="auto"/>
            <w:vAlign w:val="center"/>
          </w:tcPr>
          <w:p w14:paraId="7D1D5378">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6735AC54">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1</w:t>
            </w:r>
          </w:p>
        </w:tc>
        <w:tc>
          <w:tcPr>
            <w:tcW w:w="987" w:type="pct"/>
            <w:tcBorders>
              <w:top w:val="single" w:color="auto" w:sz="4" w:space="0"/>
              <w:left w:val="nil"/>
              <w:bottom w:val="single" w:color="auto" w:sz="4" w:space="0"/>
              <w:right w:val="single" w:color="auto" w:sz="4" w:space="0"/>
            </w:tcBorders>
          </w:tcPr>
          <w:p w14:paraId="25E6BD34">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9D05757">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3BA050D2">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0BA8B2B">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63762EF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画面整幅调用响应时间：实时画面</w:t>
            </w:r>
          </w:p>
        </w:tc>
        <w:tc>
          <w:tcPr>
            <w:tcW w:w="493" w:type="pct"/>
            <w:tcBorders>
              <w:top w:val="nil"/>
              <w:left w:val="nil"/>
              <w:bottom w:val="single" w:color="auto" w:sz="4" w:space="0"/>
              <w:right w:val="single" w:color="auto" w:sz="4" w:space="0"/>
            </w:tcBorders>
            <w:shd w:val="clear" w:color="auto" w:fill="auto"/>
            <w:noWrap/>
            <w:vAlign w:val="center"/>
          </w:tcPr>
          <w:p w14:paraId="2D4272D5">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4AA1C137">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1</w:t>
            </w:r>
          </w:p>
        </w:tc>
        <w:tc>
          <w:tcPr>
            <w:tcW w:w="987" w:type="pct"/>
            <w:tcBorders>
              <w:top w:val="single" w:color="auto" w:sz="4" w:space="0"/>
              <w:left w:val="nil"/>
              <w:bottom w:val="single" w:color="auto" w:sz="4" w:space="0"/>
              <w:right w:val="single" w:color="auto" w:sz="4" w:space="0"/>
            </w:tcBorders>
          </w:tcPr>
          <w:p w14:paraId="070BBD92">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09D045D">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37EB57CB">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2966DAC3">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639A41A1">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画面整幅调用响应时间：其他画面</w:t>
            </w:r>
          </w:p>
        </w:tc>
        <w:tc>
          <w:tcPr>
            <w:tcW w:w="493" w:type="pct"/>
            <w:tcBorders>
              <w:top w:val="nil"/>
              <w:left w:val="nil"/>
              <w:bottom w:val="single" w:color="auto" w:sz="4" w:space="0"/>
              <w:right w:val="single" w:color="auto" w:sz="4" w:space="0"/>
            </w:tcBorders>
            <w:shd w:val="clear" w:color="auto" w:fill="auto"/>
            <w:vAlign w:val="center"/>
          </w:tcPr>
          <w:p w14:paraId="76F45C4C">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22970344">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2</w:t>
            </w:r>
          </w:p>
        </w:tc>
        <w:tc>
          <w:tcPr>
            <w:tcW w:w="987" w:type="pct"/>
            <w:tcBorders>
              <w:top w:val="single" w:color="auto" w:sz="4" w:space="0"/>
              <w:left w:val="nil"/>
              <w:bottom w:val="single" w:color="auto" w:sz="4" w:space="0"/>
              <w:right w:val="single" w:color="auto" w:sz="4" w:space="0"/>
            </w:tcBorders>
          </w:tcPr>
          <w:p w14:paraId="02584132">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E3CD52D">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77CF9E31">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13F0B21">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4FDB43FA">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画面实时数据刷新周期</w:t>
            </w:r>
          </w:p>
        </w:tc>
        <w:tc>
          <w:tcPr>
            <w:tcW w:w="493" w:type="pct"/>
            <w:tcBorders>
              <w:top w:val="nil"/>
              <w:left w:val="nil"/>
              <w:bottom w:val="single" w:color="auto" w:sz="4" w:space="0"/>
              <w:right w:val="single" w:color="auto" w:sz="4" w:space="0"/>
            </w:tcBorders>
            <w:shd w:val="clear" w:color="auto" w:fill="auto"/>
            <w:vAlign w:val="center"/>
          </w:tcPr>
          <w:p w14:paraId="78ACB0BA">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5A12702C">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1</w:t>
            </w:r>
            <w:r>
              <w:rPr>
                <w:rFonts w:hint="eastAsia" w:ascii="宋体" w:hAnsi="宋体" w:cs="宋体"/>
                <w:color w:val="auto"/>
                <w:kern w:val="0"/>
                <w:sz w:val="20"/>
                <w:highlight w:val="none"/>
              </w:rPr>
              <w:t>～</w:t>
            </w:r>
            <w:r>
              <w:rPr>
                <w:rFonts w:ascii="宋体" w:hAnsi="宋体" w:cs="宋体"/>
                <w:color w:val="auto"/>
                <w:kern w:val="0"/>
                <w:sz w:val="20"/>
                <w:highlight w:val="none"/>
              </w:rPr>
              <w:t>10</w:t>
            </w:r>
            <w:r>
              <w:rPr>
                <w:rFonts w:hint="eastAsia" w:ascii="宋体" w:hAnsi="宋体" w:cs="宋体"/>
                <w:color w:val="auto"/>
                <w:kern w:val="0"/>
                <w:sz w:val="20"/>
                <w:highlight w:val="none"/>
              </w:rPr>
              <w:t>，可调</w:t>
            </w:r>
          </w:p>
        </w:tc>
        <w:tc>
          <w:tcPr>
            <w:tcW w:w="987" w:type="pct"/>
            <w:tcBorders>
              <w:top w:val="single" w:color="auto" w:sz="4" w:space="0"/>
              <w:left w:val="nil"/>
              <w:bottom w:val="single" w:color="auto" w:sz="4" w:space="0"/>
              <w:right w:val="single" w:color="auto" w:sz="4" w:space="0"/>
            </w:tcBorders>
          </w:tcPr>
          <w:p w14:paraId="650FE839">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AA67012">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0C7E7F0B">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8286EA1">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5E8CCA5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遥测信息响应时间（从I/O输入端至远动通信装置出口）</w:t>
            </w:r>
          </w:p>
        </w:tc>
        <w:tc>
          <w:tcPr>
            <w:tcW w:w="493" w:type="pct"/>
            <w:tcBorders>
              <w:top w:val="nil"/>
              <w:left w:val="nil"/>
              <w:bottom w:val="single" w:color="auto" w:sz="4" w:space="0"/>
              <w:right w:val="single" w:color="auto" w:sz="4" w:space="0"/>
            </w:tcBorders>
            <w:shd w:val="clear" w:color="auto" w:fill="auto"/>
            <w:vAlign w:val="center"/>
          </w:tcPr>
          <w:p w14:paraId="0825D6DB">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2614744D">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3</w:t>
            </w:r>
          </w:p>
        </w:tc>
        <w:tc>
          <w:tcPr>
            <w:tcW w:w="987" w:type="pct"/>
            <w:tcBorders>
              <w:top w:val="single" w:color="auto" w:sz="4" w:space="0"/>
              <w:left w:val="nil"/>
              <w:bottom w:val="single" w:color="auto" w:sz="4" w:space="0"/>
              <w:right w:val="single" w:color="auto" w:sz="4" w:space="0"/>
            </w:tcBorders>
          </w:tcPr>
          <w:p w14:paraId="6B1677E6">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5133523">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04B77E1E">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87EB3A4">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30B7AAE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遥信变换响应时间（从I/O输入端至远动通信装置出口）</w:t>
            </w:r>
          </w:p>
        </w:tc>
        <w:tc>
          <w:tcPr>
            <w:tcW w:w="493" w:type="pct"/>
            <w:tcBorders>
              <w:top w:val="nil"/>
              <w:left w:val="nil"/>
              <w:bottom w:val="single" w:color="auto" w:sz="4" w:space="0"/>
              <w:right w:val="single" w:color="auto" w:sz="4" w:space="0"/>
            </w:tcBorders>
            <w:shd w:val="clear" w:color="auto" w:fill="auto"/>
            <w:noWrap/>
            <w:vAlign w:val="center"/>
          </w:tcPr>
          <w:p w14:paraId="1AD1AF0F">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219CD683">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2</w:t>
            </w:r>
          </w:p>
        </w:tc>
        <w:tc>
          <w:tcPr>
            <w:tcW w:w="987" w:type="pct"/>
            <w:tcBorders>
              <w:top w:val="single" w:color="auto" w:sz="4" w:space="0"/>
              <w:left w:val="nil"/>
              <w:bottom w:val="single" w:color="auto" w:sz="4" w:space="0"/>
              <w:right w:val="single" w:color="auto" w:sz="4" w:space="0"/>
            </w:tcBorders>
          </w:tcPr>
          <w:p w14:paraId="1928C77F">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CE43DAA">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0022BC6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6CF17CE">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767279F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遥控接受到远方调度中心AGC命令至发到</w:t>
            </w:r>
            <w:r>
              <w:rPr>
                <w:rFonts w:ascii="宋体" w:hAnsi="宋体" w:cs="宋体"/>
                <w:color w:val="auto"/>
                <w:kern w:val="0"/>
                <w:sz w:val="20"/>
                <w:highlight w:val="none"/>
              </w:rPr>
              <w:t>I</w:t>
            </w:r>
            <w:r>
              <w:rPr>
                <w:rFonts w:hint="eastAsia" w:ascii="宋体" w:hAnsi="宋体" w:cs="宋体"/>
                <w:color w:val="auto"/>
                <w:kern w:val="0"/>
                <w:sz w:val="20"/>
                <w:highlight w:val="none"/>
              </w:rPr>
              <w:t>/O卡件输出时间</w:t>
            </w:r>
          </w:p>
        </w:tc>
        <w:tc>
          <w:tcPr>
            <w:tcW w:w="493" w:type="pct"/>
            <w:tcBorders>
              <w:top w:val="nil"/>
              <w:left w:val="nil"/>
              <w:bottom w:val="single" w:color="auto" w:sz="4" w:space="0"/>
              <w:right w:val="single" w:color="auto" w:sz="4" w:space="0"/>
            </w:tcBorders>
            <w:shd w:val="clear" w:color="auto" w:fill="auto"/>
            <w:noWrap/>
            <w:vAlign w:val="center"/>
          </w:tcPr>
          <w:p w14:paraId="14DF5E04">
            <w:pPr>
              <w:widowControl/>
              <w:jc w:val="center"/>
              <w:rPr>
                <w:rFonts w:ascii="宋体" w:hAnsi="宋体" w:cs="宋体"/>
                <w:color w:val="auto"/>
                <w:kern w:val="0"/>
                <w:sz w:val="20"/>
                <w:highlight w:val="none"/>
              </w:rPr>
            </w:pPr>
            <w:r>
              <w:rPr>
                <w:rFonts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2DEE282A">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1</w:t>
            </w:r>
          </w:p>
        </w:tc>
        <w:tc>
          <w:tcPr>
            <w:tcW w:w="987" w:type="pct"/>
            <w:tcBorders>
              <w:top w:val="single" w:color="auto" w:sz="4" w:space="0"/>
              <w:left w:val="nil"/>
              <w:bottom w:val="single" w:color="auto" w:sz="4" w:space="0"/>
              <w:right w:val="single" w:color="auto" w:sz="4" w:space="0"/>
            </w:tcBorders>
          </w:tcPr>
          <w:p w14:paraId="6A329B10">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4E07F4E">
            <w:pPr>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0611328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3309962">
            <w:pPr>
              <w:pStyle w:val="55"/>
              <w:widowControl/>
              <w:numPr>
                <w:ilvl w:val="0"/>
                <w:numId w:val="66"/>
              </w:numPr>
              <w:ind w:firstLineChars="0"/>
              <w:jc w:val="center"/>
              <w:rPr>
                <w:rFonts w:ascii="宋体" w:hAnsi="宋体" w:eastAsia="宋体" w:cs="宋体"/>
                <w:color w:val="auto"/>
                <w:kern w:val="0"/>
                <w:sz w:val="20"/>
                <w:szCs w:val="20"/>
                <w:highlight w:val="none"/>
              </w:rPr>
            </w:pPr>
          </w:p>
        </w:tc>
        <w:tc>
          <w:tcPr>
            <w:tcW w:w="1236" w:type="pct"/>
            <w:tcBorders>
              <w:top w:val="nil"/>
              <w:left w:val="nil"/>
              <w:bottom w:val="single" w:color="auto" w:sz="4" w:space="0"/>
              <w:right w:val="single" w:color="auto" w:sz="4" w:space="0"/>
            </w:tcBorders>
            <w:shd w:val="clear" w:color="auto" w:fill="auto"/>
            <w:vAlign w:val="center"/>
          </w:tcPr>
          <w:p w14:paraId="0835AB86">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SOE</w:t>
            </w:r>
            <w:r>
              <w:rPr>
                <w:rFonts w:hint="eastAsia" w:ascii="宋体" w:hAnsi="宋体" w:cs="宋体"/>
                <w:color w:val="auto"/>
                <w:kern w:val="0"/>
                <w:sz w:val="20"/>
                <w:highlight w:val="none"/>
              </w:rPr>
              <w:t>分辨率</w:t>
            </w:r>
          </w:p>
        </w:tc>
        <w:tc>
          <w:tcPr>
            <w:tcW w:w="493" w:type="pct"/>
            <w:tcBorders>
              <w:top w:val="nil"/>
              <w:left w:val="nil"/>
              <w:bottom w:val="single" w:color="auto" w:sz="4" w:space="0"/>
              <w:right w:val="single" w:color="auto" w:sz="4" w:space="0"/>
            </w:tcBorders>
            <w:shd w:val="clear" w:color="auto" w:fill="auto"/>
            <w:vAlign w:val="center"/>
          </w:tcPr>
          <w:p w14:paraId="559AA304">
            <w:pPr>
              <w:widowControl/>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ms</w:t>
            </w:r>
          </w:p>
        </w:tc>
        <w:tc>
          <w:tcPr>
            <w:tcW w:w="905" w:type="pct"/>
            <w:tcBorders>
              <w:top w:val="nil"/>
              <w:left w:val="nil"/>
              <w:bottom w:val="single" w:color="auto" w:sz="4" w:space="0"/>
              <w:right w:val="single" w:color="auto" w:sz="4" w:space="0"/>
            </w:tcBorders>
            <w:shd w:val="clear" w:color="auto" w:fill="auto"/>
            <w:noWrap/>
            <w:vAlign w:val="center"/>
          </w:tcPr>
          <w:p w14:paraId="4AF7A75A">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2</w:t>
            </w:r>
            <w:r>
              <w:rPr>
                <w:rFonts w:hint="eastAsia" w:ascii="宋体" w:hAnsi="宋体" w:cs="宋体"/>
                <w:color w:val="auto"/>
                <w:kern w:val="0"/>
                <w:sz w:val="20"/>
                <w:highlight w:val="none"/>
              </w:rPr>
              <w:t>（站控层）；</w:t>
            </w: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1</w:t>
            </w:r>
            <w:r>
              <w:rPr>
                <w:rFonts w:hint="eastAsia" w:ascii="宋体" w:hAnsi="宋体" w:cs="宋体"/>
                <w:color w:val="auto"/>
                <w:kern w:val="0"/>
                <w:sz w:val="20"/>
                <w:highlight w:val="none"/>
              </w:rPr>
              <w:t>（间隔层测控装置）</w:t>
            </w:r>
          </w:p>
        </w:tc>
        <w:tc>
          <w:tcPr>
            <w:tcW w:w="987" w:type="pct"/>
            <w:tcBorders>
              <w:top w:val="single" w:color="auto" w:sz="4" w:space="0"/>
              <w:left w:val="nil"/>
              <w:bottom w:val="single" w:color="auto" w:sz="4" w:space="0"/>
              <w:right w:val="single" w:color="auto" w:sz="4" w:space="0"/>
            </w:tcBorders>
          </w:tcPr>
          <w:p w14:paraId="674165AD">
            <w:pPr>
              <w:spacing w:before="60" w:after="60" w:line="360" w:lineRule="auto"/>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E05983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系统实时响应指标</w:t>
            </w:r>
          </w:p>
        </w:tc>
      </w:tr>
      <w:tr w14:paraId="37977939">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56EA4B13">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86C4ADA">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事故前：</w:t>
            </w:r>
            <w:r>
              <w:rPr>
                <w:rFonts w:ascii="宋体" w:hAnsi="宋体" w:cs="宋体"/>
                <w:color w:val="auto"/>
                <w:kern w:val="0"/>
                <w:sz w:val="20"/>
                <w:highlight w:val="none"/>
              </w:rPr>
              <w:t>1</w:t>
            </w:r>
            <w:r>
              <w:rPr>
                <w:rFonts w:hint="eastAsia" w:ascii="宋体" w:hAnsi="宋体" w:cs="宋体"/>
                <w:color w:val="auto"/>
                <w:kern w:val="0"/>
                <w:sz w:val="20"/>
                <w:highlight w:val="none"/>
              </w:rPr>
              <w:t>分钟</w:t>
            </w:r>
          </w:p>
        </w:tc>
        <w:tc>
          <w:tcPr>
            <w:tcW w:w="493" w:type="pct"/>
            <w:tcBorders>
              <w:top w:val="nil"/>
              <w:left w:val="nil"/>
              <w:bottom w:val="single" w:color="auto" w:sz="4" w:space="0"/>
              <w:right w:val="single" w:color="auto" w:sz="4" w:space="0"/>
            </w:tcBorders>
            <w:shd w:val="clear" w:color="auto" w:fill="auto"/>
            <w:noWrap/>
            <w:vAlign w:val="center"/>
          </w:tcPr>
          <w:p w14:paraId="123E9259">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48F3E5D8">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每帧间隔按全系统实时数据扫描周期</w:t>
            </w:r>
          </w:p>
          <w:p w14:paraId="1F2714F8">
            <w:pPr>
              <w:spacing w:before="60" w:after="60" w:line="360" w:lineRule="auto"/>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721CF07E">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F6FA2D9">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事故追忆</w:t>
            </w:r>
          </w:p>
        </w:tc>
      </w:tr>
      <w:tr w14:paraId="3D058FA3">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A1399E3">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76F5BA1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事故后：</w:t>
            </w:r>
            <w:r>
              <w:rPr>
                <w:rFonts w:ascii="宋体" w:hAnsi="宋体" w:cs="宋体"/>
                <w:color w:val="auto"/>
                <w:kern w:val="0"/>
                <w:sz w:val="20"/>
                <w:highlight w:val="none"/>
              </w:rPr>
              <w:t>2</w:t>
            </w:r>
            <w:r>
              <w:rPr>
                <w:rFonts w:hint="eastAsia" w:ascii="宋体" w:hAnsi="宋体" w:cs="宋体"/>
                <w:color w:val="auto"/>
                <w:kern w:val="0"/>
                <w:sz w:val="20"/>
                <w:highlight w:val="none"/>
              </w:rPr>
              <w:t>分钟</w:t>
            </w:r>
          </w:p>
        </w:tc>
        <w:tc>
          <w:tcPr>
            <w:tcW w:w="493" w:type="pct"/>
            <w:tcBorders>
              <w:top w:val="nil"/>
              <w:left w:val="nil"/>
              <w:bottom w:val="single" w:color="auto" w:sz="4" w:space="0"/>
              <w:right w:val="single" w:color="auto" w:sz="4" w:space="0"/>
            </w:tcBorders>
            <w:shd w:val="clear" w:color="auto" w:fill="auto"/>
            <w:noWrap/>
            <w:vAlign w:val="center"/>
          </w:tcPr>
          <w:p w14:paraId="0931E1F1">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6E2B3A1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每帧间隔按全系统实时数据扫描周期</w:t>
            </w:r>
          </w:p>
        </w:tc>
        <w:tc>
          <w:tcPr>
            <w:tcW w:w="987" w:type="pct"/>
            <w:tcBorders>
              <w:top w:val="single" w:color="auto" w:sz="4" w:space="0"/>
              <w:left w:val="nil"/>
              <w:bottom w:val="single" w:color="auto" w:sz="4" w:space="0"/>
              <w:right w:val="single" w:color="auto" w:sz="4" w:space="0"/>
            </w:tcBorders>
          </w:tcPr>
          <w:p w14:paraId="7A707EFE">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E914113">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事故追忆</w:t>
            </w:r>
          </w:p>
        </w:tc>
      </w:tr>
      <w:tr w14:paraId="0D946005">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4193D65">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759B8C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追忆量</w:t>
            </w:r>
          </w:p>
        </w:tc>
        <w:tc>
          <w:tcPr>
            <w:tcW w:w="493" w:type="pct"/>
            <w:tcBorders>
              <w:top w:val="nil"/>
              <w:left w:val="nil"/>
              <w:bottom w:val="single" w:color="auto" w:sz="4" w:space="0"/>
              <w:right w:val="single" w:color="auto" w:sz="4" w:space="0"/>
            </w:tcBorders>
            <w:shd w:val="clear" w:color="auto" w:fill="auto"/>
            <w:noWrap/>
            <w:vAlign w:val="center"/>
          </w:tcPr>
          <w:p w14:paraId="1D954F17">
            <w:pPr>
              <w:widowControl/>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个</w:t>
            </w:r>
          </w:p>
        </w:tc>
        <w:tc>
          <w:tcPr>
            <w:tcW w:w="905" w:type="pct"/>
            <w:tcBorders>
              <w:top w:val="nil"/>
              <w:left w:val="nil"/>
              <w:bottom w:val="single" w:color="auto" w:sz="4" w:space="0"/>
              <w:right w:val="single" w:color="auto" w:sz="4" w:space="0"/>
            </w:tcBorders>
            <w:shd w:val="clear" w:color="auto" w:fill="auto"/>
            <w:noWrap/>
            <w:vAlign w:val="center"/>
          </w:tcPr>
          <w:p w14:paraId="48F6CE75">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400</w:t>
            </w:r>
          </w:p>
        </w:tc>
        <w:tc>
          <w:tcPr>
            <w:tcW w:w="987" w:type="pct"/>
            <w:tcBorders>
              <w:top w:val="single" w:color="auto" w:sz="4" w:space="0"/>
              <w:left w:val="nil"/>
              <w:bottom w:val="single" w:color="auto" w:sz="4" w:space="0"/>
              <w:right w:val="single" w:color="auto" w:sz="4" w:space="0"/>
            </w:tcBorders>
          </w:tcPr>
          <w:p w14:paraId="7911D0D8">
            <w:pPr>
              <w:widowControl/>
              <w:spacing w:before="60" w:after="60" w:line="360" w:lineRule="auto"/>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F45479C">
            <w:pPr>
              <w:widowControl/>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事故追忆</w:t>
            </w:r>
          </w:p>
        </w:tc>
      </w:tr>
      <w:tr w14:paraId="02E79469">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5932B8EB">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22F37AA">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模拟量</w:t>
            </w:r>
          </w:p>
        </w:tc>
        <w:tc>
          <w:tcPr>
            <w:tcW w:w="493" w:type="pct"/>
            <w:tcBorders>
              <w:top w:val="nil"/>
              <w:left w:val="nil"/>
              <w:bottom w:val="single" w:color="auto" w:sz="4" w:space="0"/>
              <w:right w:val="single" w:color="auto" w:sz="4" w:space="0"/>
            </w:tcBorders>
            <w:shd w:val="clear" w:color="auto" w:fill="auto"/>
            <w:noWrap/>
            <w:vAlign w:val="center"/>
          </w:tcPr>
          <w:p w14:paraId="6B6D5926">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点</w:t>
            </w:r>
          </w:p>
        </w:tc>
        <w:tc>
          <w:tcPr>
            <w:tcW w:w="905" w:type="pct"/>
            <w:tcBorders>
              <w:top w:val="nil"/>
              <w:left w:val="nil"/>
              <w:bottom w:val="single" w:color="auto" w:sz="4" w:space="0"/>
              <w:right w:val="single" w:color="auto" w:sz="4" w:space="0"/>
            </w:tcBorders>
            <w:shd w:val="clear" w:color="auto" w:fill="auto"/>
            <w:noWrap/>
            <w:vAlign w:val="center"/>
          </w:tcPr>
          <w:p w14:paraId="59A7EDF4">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hint="eastAsia" w:ascii="宋体" w:hAnsi="宋体" w:cs="宋体"/>
                <w:color w:val="auto"/>
                <w:kern w:val="0"/>
                <w:sz w:val="20"/>
                <w:highlight w:val="none"/>
              </w:rPr>
              <w:t>3000</w:t>
            </w:r>
          </w:p>
        </w:tc>
        <w:tc>
          <w:tcPr>
            <w:tcW w:w="987" w:type="pct"/>
            <w:tcBorders>
              <w:top w:val="single" w:color="auto" w:sz="4" w:space="0"/>
              <w:left w:val="nil"/>
              <w:bottom w:val="single" w:color="auto" w:sz="4" w:space="0"/>
              <w:right w:val="single" w:color="auto" w:sz="4" w:space="0"/>
            </w:tcBorders>
          </w:tcPr>
          <w:p w14:paraId="6343E561">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ECDFD25">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实时数据库容量</w:t>
            </w:r>
          </w:p>
        </w:tc>
      </w:tr>
      <w:tr w14:paraId="0EC6378F">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0D44ADB">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9B5FAF8">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开关量</w:t>
            </w:r>
          </w:p>
        </w:tc>
        <w:tc>
          <w:tcPr>
            <w:tcW w:w="493" w:type="pct"/>
            <w:tcBorders>
              <w:top w:val="nil"/>
              <w:left w:val="nil"/>
              <w:bottom w:val="single" w:color="auto" w:sz="4" w:space="0"/>
              <w:right w:val="single" w:color="auto" w:sz="4" w:space="0"/>
            </w:tcBorders>
            <w:shd w:val="clear" w:color="auto" w:fill="auto"/>
            <w:noWrap/>
            <w:vAlign w:val="center"/>
          </w:tcPr>
          <w:p w14:paraId="60AFD518">
            <w:pPr>
              <w:jc w:val="center"/>
              <w:rPr>
                <w:rFonts w:ascii="宋体" w:hAnsi="宋体" w:cs="宋体"/>
                <w:color w:val="auto"/>
                <w:kern w:val="0"/>
                <w:sz w:val="20"/>
                <w:highlight w:val="none"/>
              </w:rPr>
            </w:pPr>
            <w:r>
              <w:rPr>
                <w:rFonts w:hint="eastAsia" w:ascii="宋体" w:hAnsi="宋体" w:cs="宋体"/>
                <w:color w:val="auto"/>
                <w:kern w:val="0"/>
                <w:sz w:val="20"/>
                <w:highlight w:val="none"/>
              </w:rPr>
              <w:t>点</w:t>
            </w:r>
          </w:p>
        </w:tc>
        <w:tc>
          <w:tcPr>
            <w:tcW w:w="905" w:type="pct"/>
            <w:tcBorders>
              <w:top w:val="nil"/>
              <w:left w:val="nil"/>
              <w:bottom w:val="single" w:color="auto" w:sz="4" w:space="0"/>
              <w:right w:val="single" w:color="auto" w:sz="4" w:space="0"/>
            </w:tcBorders>
            <w:shd w:val="clear" w:color="auto" w:fill="auto"/>
            <w:noWrap/>
            <w:vAlign w:val="center"/>
          </w:tcPr>
          <w:p w14:paraId="493B17D4">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hint="eastAsia" w:ascii="宋体" w:hAnsi="宋体" w:cs="宋体"/>
                <w:color w:val="auto"/>
                <w:kern w:val="0"/>
                <w:sz w:val="20"/>
                <w:highlight w:val="none"/>
              </w:rPr>
              <w:t>5000</w:t>
            </w:r>
          </w:p>
        </w:tc>
        <w:tc>
          <w:tcPr>
            <w:tcW w:w="987" w:type="pct"/>
            <w:tcBorders>
              <w:top w:val="single" w:color="auto" w:sz="4" w:space="0"/>
              <w:left w:val="nil"/>
              <w:bottom w:val="single" w:color="auto" w:sz="4" w:space="0"/>
              <w:right w:val="single" w:color="auto" w:sz="4" w:space="0"/>
            </w:tcBorders>
          </w:tcPr>
          <w:p w14:paraId="254A2D27">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199D54E">
            <w:pPr>
              <w:jc w:val="center"/>
              <w:rPr>
                <w:rFonts w:ascii="宋体" w:hAnsi="宋体" w:cs="宋体"/>
                <w:color w:val="auto"/>
                <w:kern w:val="0"/>
                <w:sz w:val="20"/>
                <w:highlight w:val="none"/>
              </w:rPr>
            </w:pPr>
            <w:r>
              <w:rPr>
                <w:rFonts w:hint="eastAsia" w:ascii="宋体" w:hAnsi="宋体" w:cs="宋体"/>
                <w:color w:val="auto"/>
                <w:kern w:val="0"/>
                <w:sz w:val="20"/>
                <w:highlight w:val="none"/>
              </w:rPr>
              <w:t>实时数据库容量</w:t>
            </w:r>
          </w:p>
        </w:tc>
      </w:tr>
      <w:tr w14:paraId="7CDD1F1F">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E7C8003">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51347DE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遥控</w:t>
            </w:r>
          </w:p>
        </w:tc>
        <w:tc>
          <w:tcPr>
            <w:tcW w:w="493" w:type="pct"/>
            <w:tcBorders>
              <w:top w:val="nil"/>
              <w:left w:val="nil"/>
              <w:bottom w:val="single" w:color="auto" w:sz="4" w:space="0"/>
              <w:right w:val="single" w:color="auto" w:sz="4" w:space="0"/>
            </w:tcBorders>
            <w:shd w:val="clear" w:color="auto" w:fill="auto"/>
            <w:noWrap/>
            <w:vAlign w:val="center"/>
          </w:tcPr>
          <w:p w14:paraId="6D5E93A8">
            <w:pPr>
              <w:jc w:val="center"/>
              <w:rPr>
                <w:rFonts w:ascii="宋体" w:hAnsi="宋体" w:cs="宋体"/>
                <w:color w:val="auto"/>
                <w:kern w:val="0"/>
                <w:sz w:val="20"/>
                <w:highlight w:val="none"/>
              </w:rPr>
            </w:pPr>
            <w:r>
              <w:rPr>
                <w:rFonts w:hint="eastAsia" w:ascii="宋体" w:hAnsi="宋体" w:cs="宋体"/>
                <w:color w:val="auto"/>
                <w:kern w:val="0"/>
                <w:sz w:val="20"/>
                <w:highlight w:val="none"/>
              </w:rPr>
              <w:t>点</w:t>
            </w:r>
          </w:p>
        </w:tc>
        <w:tc>
          <w:tcPr>
            <w:tcW w:w="905" w:type="pct"/>
            <w:tcBorders>
              <w:top w:val="nil"/>
              <w:left w:val="nil"/>
              <w:bottom w:val="single" w:color="auto" w:sz="4" w:space="0"/>
              <w:right w:val="single" w:color="auto" w:sz="4" w:space="0"/>
            </w:tcBorders>
            <w:shd w:val="clear" w:color="auto" w:fill="auto"/>
            <w:noWrap/>
            <w:vAlign w:val="center"/>
          </w:tcPr>
          <w:p w14:paraId="77B84431">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hint="eastAsia" w:ascii="宋体" w:hAnsi="宋体" w:cs="宋体"/>
                <w:color w:val="auto"/>
                <w:kern w:val="0"/>
                <w:sz w:val="20"/>
                <w:highlight w:val="none"/>
              </w:rPr>
              <w:t>500</w:t>
            </w:r>
          </w:p>
        </w:tc>
        <w:tc>
          <w:tcPr>
            <w:tcW w:w="987" w:type="pct"/>
            <w:tcBorders>
              <w:top w:val="single" w:color="auto" w:sz="4" w:space="0"/>
              <w:left w:val="nil"/>
              <w:bottom w:val="single" w:color="auto" w:sz="4" w:space="0"/>
              <w:right w:val="single" w:color="auto" w:sz="4" w:space="0"/>
            </w:tcBorders>
          </w:tcPr>
          <w:p w14:paraId="55C30CC6">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D0F095B">
            <w:pPr>
              <w:jc w:val="center"/>
              <w:rPr>
                <w:rFonts w:ascii="宋体" w:hAnsi="宋体" w:cs="宋体"/>
                <w:color w:val="auto"/>
                <w:kern w:val="0"/>
                <w:sz w:val="20"/>
                <w:highlight w:val="none"/>
              </w:rPr>
            </w:pPr>
            <w:r>
              <w:rPr>
                <w:rFonts w:hint="eastAsia" w:ascii="宋体" w:hAnsi="宋体" w:cs="宋体"/>
                <w:color w:val="auto"/>
                <w:kern w:val="0"/>
                <w:sz w:val="20"/>
                <w:highlight w:val="none"/>
              </w:rPr>
              <w:t>实时数据库容量</w:t>
            </w:r>
          </w:p>
        </w:tc>
      </w:tr>
      <w:tr w14:paraId="045E1985">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5BD63490">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6563902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虚拟量</w:t>
            </w:r>
          </w:p>
        </w:tc>
        <w:tc>
          <w:tcPr>
            <w:tcW w:w="493" w:type="pct"/>
            <w:tcBorders>
              <w:top w:val="nil"/>
              <w:left w:val="nil"/>
              <w:bottom w:val="single" w:color="auto" w:sz="4" w:space="0"/>
              <w:right w:val="single" w:color="auto" w:sz="4" w:space="0"/>
            </w:tcBorders>
            <w:shd w:val="clear" w:color="auto" w:fill="auto"/>
            <w:noWrap/>
            <w:vAlign w:val="center"/>
          </w:tcPr>
          <w:p w14:paraId="32B9B59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点</w:t>
            </w:r>
          </w:p>
        </w:tc>
        <w:tc>
          <w:tcPr>
            <w:tcW w:w="905" w:type="pct"/>
            <w:tcBorders>
              <w:top w:val="nil"/>
              <w:left w:val="nil"/>
              <w:bottom w:val="single" w:color="auto" w:sz="4" w:space="0"/>
              <w:right w:val="single" w:color="auto" w:sz="4" w:space="0"/>
            </w:tcBorders>
            <w:shd w:val="clear" w:color="auto" w:fill="auto"/>
            <w:noWrap/>
            <w:vAlign w:val="center"/>
          </w:tcPr>
          <w:p w14:paraId="4C03A41C">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hint="eastAsia" w:ascii="宋体" w:hAnsi="宋体" w:cs="宋体"/>
                <w:color w:val="auto"/>
                <w:kern w:val="0"/>
                <w:sz w:val="20"/>
                <w:highlight w:val="none"/>
              </w:rPr>
              <w:t>2000</w:t>
            </w:r>
          </w:p>
        </w:tc>
        <w:tc>
          <w:tcPr>
            <w:tcW w:w="987" w:type="pct"/>
            <w:tcBorders>
              <w:top w:val="single" w:color="auto" w:sz="4" w:space="0"/>
              <w:left w:val="nil"/>
              <w:bottom w:val="single" w:color="auto" w:sz="4" w:space="0"/>
              <w:right w:val="single" w:color="auto" w:sz="4" w:space="0"/>
            </w:tcBorders>
          </w:tcPr>
          <w:p w14:paraId="0B60F964">
            <w:pPr>
              <w:spacing w:before="60" w:after="60" w:line="360" w:lineRule="auto"/>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72B0C6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实时数据库容量</w:t>
            </w:r>
          </w:p>
        </w:tc>
      </w:tr>
      <w:tr w14:paraId="05E1AFF0">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89C2AA1">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4CFB8E9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历史曲线采样间隔</w:t>
            </w:r>
          </w:p>
        </w:tc>
        <w:tc>
          <w:tcPr>
            <w:tcW w:w="493" w:type="pct"/>
            <w:tcBorders>
              <w:top w:val="nil"/>
              <w:left w:val="nil"/>
              <w:bottom w:val="single" w:color="auto" w:sz="4" w:space="0"/>
              <w:right w:val="single" w:color="auto" w:sz="4" w:space="0"/>
            </w:tcBorders>
            <w:shd w:val="clear" w:color="auto" w:fill="auto"/>
            <w:noWrap/>
            <w:vAlign w:val="center"/>
          </w:tcPr>
          <w:p w14:paraId="1713B235">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1FE9AB94">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1</w:t>
            </w:r>
            <w:r>
              <w:rPr>
                <w:rFonts w:hint="eastAsia" w:ascii="宋体" w:hAnsi="宋体" w:cs="宋体"/>
                <w:color w:val="auto"/>
                <w:kern w:val="0"/>
                <w:sz w:val="20"/>
                <w:highlight w:val="none"/>
              </w:rPr>
              <w:t>～60，可调</w:t>
            </w:r>
          </w:p>
        </w:tc>
        <w:tc>
          <w:tcPr>
            <w:tcW w:w="987" w:type="pct"/>
            <w:tcBorders>
              <w:top w:val="single" w:color="auto" w:sz="4" w:space="0"/>
              <w:left w:val="nil"/>
              <w:bottom w:val="single" w:color="auto" w:sz="4" w:space="0"/>
              <w:right w:val="single" w:color="auto" w:sz="4" w:space="0"/>
            </w:tcBorders>
          </w:tcPr>
          <w:p w14:paraId="57654646">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665BB1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历史数据库存储容量</w:t>
            </w:r>
          </w:p>
        </w:tc>
      </w:tr>
      <w:tr w14:paraId="41253F1C">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78FC038F">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3E4E8340">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历史趋势曲线，日报，月报，年报存储时间</w:t>
            </w:r>
          </w:p>
        </w:tc>
        <w:tc>
          <w:tcPr>
            <w:tcW w:w="493" w:type="pct"/>
            <w:tcBorders>
              <w:top w:val="nil"/>
              <w:left w:val="nil"/>
              <w:bottom w:val="single" w:color="auto" w:sz="4" w:space="0"/>
              <w:right w:val="single" w:color="auto" w:sz="4" w:space="0"/>
            </w:tcBorders>
            <w:shd w:val="clear" w:color="auto" w:fill="auto"/>
            <w:noWrap/>
            <w:vAlign w:val="center"/>
          </w:tcPr>
          <w:p w14:paraId="5ACA2821">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年</w:t>
            </w:r>
          </w:p>
        </w:tc>
        <w:tc>
          <w:tcPr>
            <w:tcW w:w="905" w:type="pct"/>
            <w:tcBorders>
              <w:top w:val="nil"/>
              <w:left w:val="nil"/>
              <w:bottom w:val="single" w:color="auto" w:sz="4" w:space="0"/>
              <w:right w:val="single" w:color="auto" w:sz="4" w:space="0"/>
            </w:tcBorders>
            <w:shd w:val="clear" w:color="auto" w:fill="auto"/>
            <w:noWrap/>
            <w:vAlign w:val="center"/>
          </w:tcPr>
          <w:p w14:paraId="703247DC">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ascii="宋体" w:hAnsi="宋体" w:cs="宋体"/>
                <w:color w:val="auto"/>
                <w:kern w:val="0"/>
                <w:sz w:val="20"/>
                <w:highlight w:val="none"/>
              </w:rPr>
              <w:t>2</w:t>
            </w:r>
          </w:p>
        </w:tc>
        <w:tc>
          <w:tcPr>
            <w:tcW w:w="987" w:type="pct"/>
            <w:tcBorders>
              <w:top w:val="single" w:color="auto" w:sz="4" w:space="0"/>
              <w:left w:val="nil"/>
              <w:bottom w:val="single" w:color="auto" w:sz="4" w:space="0"/>
              <w:right w:val="single" w:color="auto" w:sz="4" w:space="0"/>
            </w:tcBorders>
          </w:tcPr>
          <w:p w14:paraId="27190332">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D60B7CA">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历史数据库存储容量</w:t>
            </w:r>
          </w:p>
        </w:tc>
      </w:tr>
      <w:tr w14:paraId="11A431F7">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78D253AA">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4C1E45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历史趋势曲线</w:t>
            </w:r>
          </w:p>
        </w:tc>
        <w:tc>
          <w:tcPr>
            <w:tcW w:w="493" w:type="pct"/>
            <w:tcBorders>
              <w:top w:val="nil"/>
              <w:left w:val="nil"/>
              <w:bottom w:val="single" w:color="auto" w:sz="4" w:space="0"/>
              <w:right w:val="single" w:color="auto" w:sz="4" w:space="0"/>
            </w:tcBorders>
            <w:shd w:val="clear" w:color="auto" w:fill="auto"/>
            <w:noWrap/>
            <w:vAlign w:val="center"/>
          </w:tcPr>
          <w:p w14:paraId="20205229">
            <w:pPr>
              <w:widowControl/>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条</w:t>
            </w:r>
          </w:p>
        </w:tc>
        <w:tc>
          <w:tcPr>
            <w:tcW w:w="905" w:type="pct"/>
            <w:tcBorders>
              <w:top w:val="nil"/>
              <w:left w:val="nil"/>
              <w:bottom w:val="single" w:color="auto" w:sz="4" w:space="0"/>
              <w:right w:val="single" w:color="auto" w:sz="4" w:space="0"/>
            </w:tcBorders>
            <w:shd w:val="clear" w:color="auto" w:fill="auto"/>
            <w:noWrap/>
            <w:vAlign w:val="center"/>
          </w:tcPr>
          <w:p w14:paraId="37178665">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ascii="宋体" w:hAnsi="宋体" w:cs="宋体"/>
                <w:color w:val="auto"/>
                <w:kern w:val="0"/>
                <w:sz w:val="20"/>
                <w:highlight w:val="none"/>
              </w:rPr>
              <w:t>300</w:t>
            </w:r>
          </w:p>
        </w:tc>
        <w:tc>
          <w:tcPr>
            <w:tcW w:w="987" w:type="pct"/>
            <w:tcBorders>
              <w:top w:val="single" w:color="auto" w:sz="4" w:space="0"/>
              <w:left w:val="nil"/>
              <w:bottom w:val="single" w:color="auto" w:sz="4" w:space="0"/>
              <w:right w:val="single" w:color="auto" w:sz="4" w:space="0"/>
            </w:tcBorders>
          </w:tcPr>
          <w:p w14:paraId="42B24A8A">
            <w:pPr>
              <w:widowControl/>
              <w:spacing w:before="60" w:after="60" w:line="360" w:lineRule="auto"/>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3E8177F">
            <w:pPr>
              <w:widowControl/>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历史数据库存储容量</w:t>
            </w:r>
          </w:p>
        </w:tc>
      </w:tr>
      <w:tr w14:paraId="3FD34D42">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B32460E">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6E5E663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系统可用率</w:t>
            </w:r>
          </w:p>
        </w:tc>
        <w:tc>
          <w:tcPr>
            <w:tcW w:w="493" w:type="pct"/>
            <w:tcBorders>
              <w:top w:val="nil"/>
              <w:left w:val="nil"/>
              <w:bottom w:val="single" w:color="auto" w:sz="4" w:space="0"/>
              <w:right w:val="single" w:color="auto" w:sz="4" w:space="0"/>
            </w:tcBorders>
            <w:shd w:val="clear" w:color="auto" w:fill="auto"/>
            <w:noWrap/>
            <w:vAlign w:val="center"/>
          </w:tcPr>
          <w:p w14:paraId="3B73D0BD">
            <w:pPr>
              <w:widowControl/>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18E611EE">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ascii="宋体" w:hAnsi="宋体" w:cs="宋体"/>
                <w:color w:val="auto"/>
                <w:kern w:val="0"/>
                <w:sz w:val="20"/>
                <w:highlight w:val="none"/>
              </w:rPr>
              <w:t>99.98</w:t>
            </w:r>
          </w:p>
        </w:tc>
        <w:tc>
          <w:tcPr>
            <w:tcW w:w="987" w:type="pct"/>
            <w:tcBorders>
              <w:top w:val="single" w:color="auto" w:sz="4" w:space="0"/>
              <w:left w:val="nil"/>
              <w:bottom w:val="single" w:color="auto" w:sz="4" w:space="0"/>
              <w:right w:val="single" w:color="auto" w:sz="4" w:space="0"/>
            </w:tcBorders>
          </w:tcPr>
          <w:p w14:paraId="4CD05A54">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D31A58F">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可靠性指标</w:t>
            </w:r>
          </w:p>
        </w:tc>
      </w:tr>
      <w:tr w14:paraId="5F0E27E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74CD42C8">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5F1BA5F">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遥控操作正确率</w:t>
            </w:r>
          </w:p>
        </w:tc>
        <w:tc>
          <w:tcPr>
            <w:tcW w:w="493" w:type="pct"/>
            <w:tcBorders>
              <w:top w:val="nil"/>
              <w:left w:val="nil"/>
              <w:bottom w:val="single" w:color="auto" w:sz="4" w:space="0"/>
              <w:right w:val="single" w:color="auto" w:sz="4" w:space="0"/>
            </w:tcBorders>
            <w:shd w:val="clear" w:color="auto" w:fill="auto"/>
            <w:noWrap/>
            <w:vAlign w:val="center"/>
          </w:tcPr>
          <w:p w14:paraId="5C913273">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01B48C9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100</w:t>
            </w:r>
          </w:p>
        </w:tc>
        <w:tc>
          <w:tcPr>
            <w:tcW w:w="987" w:type="pct"/>
            <w:tcBorders>
              <w:top w:val="single" w:color="auto" w:sz="4" w:space="0"/>
              <w:left w:val="nil"/>
              <w:bottom w:val="single" w:color="auto" w:sz="4" w:space="0"/>
              <w:right w:val="single" w:color="auto" w:sz="4" w:space="0"/>
            </w:tcBorders>
          </w:tcPr>
          <w:p w14:paraId="067A190A">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DE20F33">
            <w:pPr>
              <w:jc w:val="center"/>
              <w:rPr>
                <w:rFonts w:ascii="宋体" w:hAnsi="宋体" w:cs="宋体"/>
                <w:color w:val="auto"/>
                <w:kern w:val="0"/>
                <w:sz w:val="20"/>
                <w:highlight w:val="none"/>
              </w:rPr>
            </w:pPr>
            <w:r>
              <w:rPr>
                <w:rFonts w:hint="eastAsia" w:ascii="宋体" w:hAnsi="宋体" w:cs="宋体"/>
                <w:color w:val="auto"/>
                <w:kern w:val="0"/>
                <w:sz w:val="20"/>
                <w:highlight w:val="none"/>
              </w:rPr>
              <w:t>可靠性指标</w:t>
            </w:r>
          </w:p>
        </w:tc>
      </w:tr>
      <w:tr w14:paraId="0FB8C88A">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758A63A">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B19E81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事故时遥信年正确动作率</w:t>
            </w:r>
          </w:p>
        </w:tc>
        <w:tc>
          <w:tcPr>
            <w:tcW w:w="493" w:type="pct"/>
            <w:tcBorders>
              <w:top w:val="nil"/>
              <w:left w:val="nil"/>
              <w:bottom w:val="single" w:color="auto" w:sz="4" w:space="0"/>
              <w:right w:val="single" w:color="auto" w:sz="4" w:space="0"/>
            </w:tcBorders>
            <w:shd w:val="clear" w:color="auto" w:fill="auto"/>
            <w:noWrap/>
            <w:vAlign w:val="center"/>
          </w:tcPr>
          <w:p w14:paraId="61EB7905">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78407B2C">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hint="eastAsia" w:ascii="宋体" w:hAnsi="宋体" w:cs="宋体"/>
                <w:color w:val="auto"/>
                <w:kern w:val="0"/>
                <w:sz w:val="20"/>
                <w:highlight w:val="none"/>
              </w:rPr>
              <w:t xml:space="preserve"> 99.8</w:t>
            </w:r>
          </w:p>
        </w:tc>
        <w:tc>
          <w:tcPr>
            <w:tcW w:w="987" w:type="pct"/>
            <w:tcBorders>
              <w:top w:val="single" w:color="auto" w:sz="4" w:space="0"/>
              <w:left w:val="nil"/>
              <w:bottom w:val="single" w:color="auto" w:sz="4" w:space="0"/>
              <w:right w:val="single" w:color="auto" w:sz="4" w:space="0"/>
            </w:tcBorders>
          </w:tcPr>
          <w:p w14:paraId="79B84DCE">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D059DB0">
            <w:pPr>
              <w:jc w:val="center"/>
              <w:rPr>
                <w:rFonts w:ascii="宋体" w:hAnsi="宋体" w:cs="宋体"/>
                <w:color w:val="auto"/>
                <w:kern w:val="0"/>
                <w:sz w:val="20"/>
                <w:highlight w:val="none"/>
              </w:rPr>
            </w:pPr>
            <w:r>
              <w:rPr>
                <w:rFonts w:hint="eastAsia" w:ascii="宋体" w:hAnsi="宋体" w:cs="宋体"/>
                <w:color w:val="auto"/>
                <w:kern w:val="0"/>
                <w:sz w:val="20"/>
                <w:highlight w:val="none"/>
              </w:rPr>
              <w:t>可靠性指标</w:t>
            </w:r>
          </w:p>
        </w:tc>
      </w:tr>
      <w:tr w14:paraId="6DAD3DE9">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FE449C9">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530CC50F">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系统平均无故障时间</w:t>
            </w:r>
            <w:r>
              <w:rPr>
                <w:rFonts w:ascii="宋体" w:hAnsi="宋体" w:cs="宋体"/>
                <w:color w:val="auto"/>
                <w:kern w:val="0"/>
                <w:sz w:val="20"/>
                <w:highlight w:val="none"/>
              </w:rPr>
              <w:t>MTBF</w:t>
            </w:r>
          </w:p>
        </w:tc>
        <w:tc>
          <w:tcPr>
            <w:tcW w:w="493" w:type="pct"/>
            <w:tcBorders>
              <w:top w:val="nil"/>
              <w:left w:val="nil"/>
              <w:bottom w:val="single" w:color="auto" w:sz="4" w:space="0"/>
              <w:right w:val="single" w:color="auto" w:sz="4" w:space="0"/>
            </w:tcBorders>
            <w:shd w:val="clear" w:color="auto" w:fill="auto"/>
            <w:noWrap/>
            <w:vAlign w:val="center"/>
          </w:tcPr>
          <w:p w14:paraId="35CD91B1">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小时</w:t>
            </w:r>
          </w:p>
        </w:tc>
        <w:tc>
          <w:tcPr>
            <w:tcW w:w="905" w:type="pct"/>
            <w:tcBorders>
              <w:top w:val="nil"/>
              <w:left w:val="nil"/>
              <w:bottom w:val="single" w:color="auto" w:sz="4" w:space="0"/>
              <w:right w:val="single" w:color="auto" w:sz="4" w:space="0"/>
            </w:tcBorders>
            <w:shd w:val="clear" w:color="auto" w:fill="auto"/>
            <w:noWrap/>
            <w:vAlign w:val="center"/>
          </w:tcPr>
          <w:p w14:paraId="4926A52C">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ascii="宋体" w:hAnsi="宋体" w:cs="宋体"/>
                <w:color w:val="auto"/>
                <w:kern w:val="0"/>
                <w:sz w:val="20"/>
                <w:highlight w:val="none"/>
              </w:rPr>
              <w:t>20000</w:t>
            </w:r>
          </w:p>
        </w:tc>
        <w:tc>
          <w:tcPr>
            <w:tcW w:w="987" w:type="pct"/>
            <w:tcBorders>
              <w:top w:val="single" w:color="auto" w:sz="4" w:space="0"/>
              <w:left w:val="nil"/>
              <w:bottom w:val="single" w:color="auto" w:sz="4" w:space="0"/>
              <w:right w:val="single" w:color="auto" w:sz="4" w:space="0"/>
            </w:tcBorders>
          </w:tcPr>
          <w:p w14:paraId="23C1F204">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895C253">
            <w:pPr>
              <w:jc w:val="center"/>
              <w:rPr>
                <w:rFonts w:ascii="宋体" w:hAnsi="宋体" w:cs="宋体"/>
                <w:color w:val="auto"/>
                <w:kern w:val="0"/>
                <w:sz w:val="20"/>
                <w:highlight w:val="none"/>
              </w:rPr>
            </w:pPr>
            <w:r>
              <w:rPr>
                <w:rFonts w:hint="eastAsia" w:ascii="宋体" w:hAnsi="宋体" w:cs="宋体"/>
                <w:color w:val="auto"/>
                <w:kern w:val="0"/>
                <w:sz w:val="20"/>
                <w:highlight w:val="none"/>
              </w:rPr>
              <w:t>可靠性指标</w:t>
            </w:r>
          </w:p>
        </w:tc>
      </w:tr>
      <w:tr w14:paraId="56C9F198">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5298A2E">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5D663587">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间隔控制层设备平均无故障时间</w:t>
            </w:r>
            <w:r>
              <w:rPr>
                <w:rFonts w:ascii="宋体" w:hAnsi="宋体" w:cs="宋体"/>
                <w:color w:val="auto"/>
                <w:kern w:val="0"/>
                <w:sz w:val="20"/>
                <w:highlight w:val="none"/>
              </w:rPr>
              <w:t>MTBF</w:t>
            </w:r>
          </w:p>
        </w:tc>
        <w:tc>
          <w:tcPr>
            <w:tcW w:w="493" w:type="pct"/>
            <w:tcBorders>
              <w:top w:val="nil"/>
              <w:left w:val="nil"/>
              <w:bottom w:val="single" w:color="auto" w:sz="4" w:space="0"/>
              <w:right w:val="single" w:color="auto" w:sz="4" w:space="0"/>
            </w:tcBorders>
            <w:shd w:val="clear" w:color="auto" w:fill="auto"/>
            <w:noWrap/>
            <w:vAlign w:val="center"/>
          </w:tcPr>
          <w:p w14:paraId="4110FC69">
            <w:pPr>
              <w:widowControl/>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小时</w:t>
            </w:r>
          </w:p>
        </w:tc>
        <w:tc>
          <w:tcPr>
            <w:tcW w:w="905" w:type="pct"/>
            <w:tcBorders>
              <w:top w:val="nil"/>
              <w:left w:val="nil"/>
              <w:bottom w:val="single" w:color="auto" w:sz="4" w:space="0"/>
              <w:right w:val="single" w:color="auto" w:sz="4" w:space="0"/>
            </w:tcBorders>
            <w:shd w:val="clear" w:color="auto" w:fill="auto"/>
            <w:noWrap/>
            <w:vAlign w:val="center"/>
          </w:tcPr>
          <w:p w14:paraId="753BDDFF">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ascii="宋体" w:hAnsi="宋体" w:cs="宋体"/>
                <w:color w:val="auto"/>
                <w:kern w:val="0"/>
                <w:sz w:val="20"/>
                <w:highlight w:val="none"/>
              </w:rPr>
              <w:t>40000</w:t>
            </w:r>
          </w:p>
        </w:tc>
        <w:tc>
          <w:tcPr>
            <w:tcW w:w="987" w:type="pct"/>
            <w:tcBorders>
              <w:top w:val="single" w:color="auto" w:sz="4" w:space="0"/>
              <w:left w:val="nil"/>
              <w:bottom w:val="single" w:color="auto" w:sz="4" w:space="0"/>
              <w:right w:val="single" w:color="auto" w:sz="4" w:space="0"/>
            </w:tcBorders>
          </w:tcPr>
          <w:p w14:paraId="022E3F0C">
            <w:pPr>
              <w:spacing w:before="60" w:after="60" w:line="360" w:lineRule="auto"/>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0B7AA57">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可靠性指标</w:t>
            </w:r>
          </w:p>
        </w:tc>
      </w:tr>
      <w:tr w14:paraId="5CED4FEC">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9F28259">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5A85FC0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监控系统时间与</w:t>
            </w:r>
            <w:r>
              <w:rPr>
                <w:rFonts w:ascii="宋体" w:hAnsi="宋体" w:cs="宋体"/>
                <w:color w:val="auto"/>
                <w:kern w:val="0"/>
                <w:sz w:val="20"/>
                <w:highlight w:val="none"/>
              </w:rPr>
              <w:t>同步时钟系统</w:t>
            </w:r>
            <w:r>
              <w:rPr>
                <w:rFonts w:hint="eastAsia" w:ascii="宋体" w:hAnsi="宋体" w:cs="宋体"/>
                <w:color w:val="auto"/>
                <w:kern w:val="0"/>
                <w:sz w:val="20"/>
                <w:highlight w:val="none"/>
              </w:rPr>
              <w:t>标准时间的误差</w:t>
            </w:r>
          </w:p>
        </w:tc>
        <w:tc>
          <w:tcPr>
            <w:tcW w:w="493" w:type="pct"/>
            <w:tcBorders>
              <w:top w:val="nil"/>
              <w:left w:val="nil"/>
              <w:bottom w:val="single" w:color="auto" w:sz="4" w:space="0"/>
              <w:right w:val="single" w:color="auto" w:sz="4" w:space="0"/>
            </w:tcBorders>
            <w:shd w:val="clear" w:color="auto" w:fill="auto"/>
            <w:noWrap/>
            <w:vAlign w:val="center"/>
          </w:tcPr>
          <w:p w14:paraId="3986873A">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ms</w:t>
            </w:r>
          </w:p>
        </w:tc>
        <w:tc>
          <w:tcPr>
            <w:tcW w:w="905" w:type="pct"/>
            <w:tcBorders>
              <w:top w:val="nil"/>
              <w:left w:val="nil"/>
              <w:bottom w:val="single" w:color="auto" w:sz="4" w:space="0"/>
              <w:right w:val="single" w:color="auto" w:sz="4" w:space="0"/>
            </w:tcBorders>
            <w:shd w:val="clear" w:color="auto" w:fill="auto"/>
            <w:noWrap/>
            <w:vAlign w:val="center"/>
          </w:tcPr>
          <w:p w14:paraId="253E7532">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t xml:space="preserve"> 1</w:t>
            </w:r>
          </w:p>
        </w:tc>
        <w:tc>
          <w:tcPr>
            <w:tcW w:w="987" w:type="pct"/>
            <w:tcBorders>
              <w:top w:val="single" w:color="auto" w:sz="4" w:space="0"/>
              <w:left w:val="nil"/>
              <w:bottom w:val="single" w:color="auto" w:sz="4" w:space="0"/>
              <w:right w:val="single" w:color="auto" w:sz="4" w:space="0"/>
            </w:tcBorders>
          </w:tcPr>
          <w:p w14:paraId="03B58CCC">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137E748">
            <w:pPr>
              <w:widowControl/>
              <w:jc w:val="center"/>
              <w:rPr>
                <w:rFonts w:ascii="宋体" w:hAnsi="宋体" w:cs="宋体"/>
                <w:color w:val="auto"/>
                <w:kern w:val="0"/>
                <w:sz w:val="20"/>
                <w:highlight w:val="none"/>
              </w:rPr>
            </w:pPr>
          </w:p>
        </w:tc>
      </w:tr>
      <w:tr w14:paraId="0368C9BA">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72B790C">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209671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主机的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01112AC6">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2F0B114E">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30</w:t>
            </w:r>
          </w:p>
        </w:tc>
        <w:tc>
          <w:tcPr>
            <w:tcW w:w="987" w:type="pct"/>
            <w:tcBorders>
              <w:top w:val="single" w:color="auto" w:sz="4" w:space="0"/>
              <w:left w:val="nil"/>
              <w:bottom w:val="single" w:color="auto" w:sz="4" w:space="0"/>
              <w:right w:val="single" w:color="auto" w:sz="4" w:space="0"/>
            </w:tcBorders>
          </w:tcPr>
          <w:p w14:paraId="6499092D">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B4363FB">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正常运行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7240509D">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201E9A88">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87F670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远动通信装置的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2C473638">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7E844657">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20</w:t>
            </w:r>
          </w:p>
        </w:tc>
        <w:tc>
          <w:tcPr>
            <w:tcW w:w="987" w:type="pct"/>
            <w:tcBorders>
              <w:top w:val="single" w:color="auto" w:sz="4" w:space="0"/>
              <w:left w:val="nil"/>
              <w:bottom w:val="single" w:color="auto" w:sz="4" w:space="0"/>
              <w:right w:val="single" w:color="auto" w:sz="4" w:space="0"/>
            </w:tcBorders>
          </w:tcPr>
          <w:p w14:paraId="6F552581">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BA144D1">
            <w:pPr>
              <w:jc w:val="center"/>
              <w:rPr>
                <w:rFonts w:ascii="宋体" w:hAnsi="宋体" w:cs="宋体"/>
                <w:color w:val="auto"/>
                <w:kern w:val="0"/>
                <w:sz w:val="20"/>
                <w:highlight w:val="none"/>
              </w:rPr>
            </w:pPr>
            <w:r>
              <w:rPr>
                <w:rFonts w:hint="eastAsia" w:ascii="宋体" w:hAnsi="宋体" w:cs="宋体"/>
                <w:color w:val="auto"/>
                <w:kern w:val="0"/>
                <w:sz w:val="20"/>
                <w:highlight w:val="none"/>
              </w:rPr>
              <w:t>正常运行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54F0197F">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2D95CA3">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3502A02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MGC PC机的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5ACF2CB1">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3B391367">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30</w:t>
            </w:r>
          </w:p>
        </w:tc>
        <w:tc>
          <w:tcPr>
            <w:tcW w:w="987" w:type="pct"/>
            <w:tcBorders>
              <w:top w:val="single" w:color="auto" w:sz="4" w:space="0"/>
              <w:left w:val="nil"/>
              <w:bottom w:val="single" w:color="auto" w:sz="4" w:space="0"/>
              <w:right w:val="single" w:color="auto" w:sz="4" w:space="0"/>
            </w:tcBorders>
          </w:tcPr>
          <w:p w14:paraId="36CD8FF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938B04D">
            <w:pPr>
              <w:jc w:val="center"/>
              <w:rPr>
                <w:rFonts w:ascii="宋体" w:hAnsi="宋体" w:cs="宋体"/>
                <w:color w:val="auto"/>
                <w:kern w:val="0"/>
                <w:sz w:val="20"/>
                <w:highlight w:val="none"/>
              </w:rPr>
            </w:pPr>
            <w:r>
              <w:rPr>
                <w:rFonts w:hint="eastAsia" w:ascii="宋体" w:hAnsi="宋体" w:cs="宋体"/>
                <w:color w:val="auto"/>
                <w:kern w:val="0"/>
                <w:sz w:val="20"/>
                <w:highlight w:val="none"/>
              </w:rPr>
              <w:t>正常运行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580C700A">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FB87095">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475AE13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网关 PC机的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2AC7F258">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373B6BB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30</w:t>
            </w:r>
          </w:p>
        </w:tc>
        <w:tc>
          <w:tcPr>
            <w:tcW w:w="987" w:type="pct"/>
            <w:tcBorders>
              <w:top w:val="single" w:color="auto" w:sz="4" w:space="0"/>
              <w:left w:val="nil"/>
              <w:bottom w:val="single" w:color="auto" w:sz="4" w:space="0"/>
              <w:right w:val="single" w:color="auto" w:sz="4" w:space="0"/>
            </w:tcBorders>
          </w:tcPr>
          <w:p w14:paraId="252CEC8A">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4CBA43C">
            <w:pPr>
              <w:jc w:val="center"/>
              <w:rPr>
                <w:rFonts w:ascii="宋体" w:hAnsi="宋体" w:cs="宋体"/>
                <w:color w:val="auto"/>
                <w:kern w:val="0"/>
                <w:sz w:val="20"/>
                <w:highlight w:val="none"/>
              </w:rPr>
            </w:pPr>
            <w:r>
              <w:rPr>
                <w:rFonts w:hint="eastAsia" w:ascii="宋体" w:hAnsi="宋体" w:cs="宋体"/>
                <w:color w:val="auto"/>
                <w:kern w:val="0"/>
                <w:sz w:val="20"/>
                <w:highlight w:val="none"/>
              </w:rPr>
              <w:t>正常运行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3BC92D09">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7180AB8F">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C299EF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操作员站CPU负荷率</w:t>
            </w:r>
          </w:p>
        </w:tc>
        <w:tc>
          <w:tcPr>
            <w:tcW w:w="493" w:type="pct"/>
            <w:tcBorders>
              <w:top w:val="nil"/>
              <w:left w:val="nil"/>
              <w:bottom w:val="single" w:color="auto" w:sz="4" w:space="0"/>
              <w:right w:val="single" w:color="auto" w:sz="4" w:space="0"/>
            </w:tcBorders>
            <w:shd w:val="clear" w:color="auto" w:fill="auto"/>
            <w:noWrap/>
            <w:vAlign w:val="center"/>
          </w:tcPr>
          <w:p w14:paraId="7960A807">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4991EE9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30</w:t>
            </w:r>
          </w:p>
        </w:tc>
        <w:tc>
          <w:tcPr>
            <w:tcW w:w="987" w:type="pct"/>
            <w:tcBorders>
              <w:top w:val="single" w:color="auto" w:sz="4" w:space="0"/>
              <w:left w:val="nil"/>
              <w:bottom w:val="single" w:color="auto" w:sz="4" w:space="0"/>
              <w:right w:val="single" w:color="auto" w:sz="4" w:space="0"/>
            </w:tcBorders>
          </w:tcPr>
          <w:p w14:paraId="301E6A15">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0EB8387">
            <w:pPr>
              <w:jc w:val="center"/>
              <w:rPr>
                <w:rFonts w:ascii="宋体" w:hAnsi="宋体" w:cs="宋体"/>
                <w:color w:val="auto"/>
                <w:kern w:val="0"/>
                <w:sz w:val="20"/>
                <w:highlight w:val="none"/>
              </w:rPr>
            </w:pPr>
            <w:r>
              <w:rPr>
                <w:rFonts w:hint="eastAsia" w:ascii="宋体" w:hAnsi="宋体" w:cs="宋体"/>
                <w:color w:val="auto"/>
                <w:kern w:val="0"/>
                <w:sz w:val="20"/>
                <w:highlight w:val="none"/>
              </w:rPr>
              <w:t>正常运行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5682A75B">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84B2D79">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415041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工程师站CPU负荷率</w:t>
            </w:r>
          </w:p>
        </w:tc>
        <w:tc>
          <w:tcPr>
            <w:tcW w:w="493" w:type="pct"/>
            <w:tcBorders>
              <w:top w:val="nil"/>
              <w:left w:val="nil"/>
              <w:bottom w:val="single" w:color="auto" w:sz="4" w:space="0"/>
              <w:right w:val="single" w:color="auto" w:sz="4" w:space="0"/>
            </w:tcBorders>
            <w:shd w:val="clear" w:color="auto" w:fill="auto"/>
            <w:noWrap/>
            <w:vAlign w:val="center"/>
          </w:tcPr>
          <w:p w14:paraId="15F3D60F">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5FB1B52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30</w:t>
            </w:r>
          </w:p>
        </w:tc>
        <w:tc>
          <w:tcPr>
            <w:tcW w:w="987" w:type="pct"/>
            <w:tcBorders>
              <w:top w:val="single" w:color="auto" w:sz="4" w:space="0"/>
              <w:left w:val="nil"/>
              <w:bottom w:val="single" w:color="auto" w:sz="4" w:space="0"/>
              <w:right w:val="single" w:color="auto" w:sz="4" w:space="0"/>
            </w:tcBorders>
          </w:tcPr>
          <w:p w14:paraId="1C1C33C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D6BFDF3">
            <w:pPr>
              <w:jc w:val="center"/>
              <w:rPr>
                <w:rFonts w:ascii="宋体" w:hAnsi="宋体" w:cs="宋体"/>
                <w:color w:val="auto"/>
                <w:kern w:val="0"/>
                <w:sz w:val="20"/>
                <w:highlight w:val="none"/>
              </w:rPr>
            </w:pPr>
            <w:r>
              <w:rPr>
                <w:rFonts w:hint="eastAsia" w:ascii="宋体" w:hAnsi="宋体" w:cs="宋体"/>
                <w:color w:val="auto"/>
                <w:kern w:val="0"/>
                <w:sz w:val="20"/>
                <w:highlight w:val="none"/>
              </w:rPr>
              <w:t>正常运行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65B0C7F6">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CB4B265">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2EF0CAF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主机的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30653EF6">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6D81078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＜5</w:t>
            </w:r>
            <w:r>
              <w:rPr>
                <w:rFonts w:ascii="宋体" w:hAnsi="宋体" w:cs="宋体"/>
                <w:color w:val="auto"/>
                <w:kern w:val="0"/>
                <w:sz w:val="20"/>
                <w:highlight w:val="none"/>
              </w:rPr>
              <w:t>0</w:t>
            </w:r>
          </w:p>
        </w:tc>
        <w:tc>
          <w:tcPr>
            <w:tcW w:w="987" w:type="pct"/>
            <w:tcBorders>
              <w:top w:val="single" w:color="auto" w:sz="4" w:space="0"/>
              <w:left w:val="nil"/>
              <w:bottom w:val="single" w:color="auto" w:sz="4" w:space="0"/>
              <w:right w:val="single" w:color="auto" w:sz="4" w:space="0"/>
            </w:tcBorders>
          </w:tcPr>
          <w:p w14:paraId="0A298072">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435F307">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事故运行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1D66E1F3">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2F827041">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4CBDC6E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远动通信装置的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255AC743">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4605F61A">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＜3</w:t>
            </w:r>
            <w:r>
              <w:rPr>
                <w:rFonts w:ascii="宋体" w:hAnsi="宋体" w:cs="宋体"/>
                <w:color w:val="auto"/>
                <w:kern w:val="0"/>
                <w:sz w:val="20"/>
                <w:highlight w:val="none"/>
              </w:rPr>
              <w:t>0</w:t>
            </w:r>
          </w:p>
        </w:tc>
        <w:tc>
          <w:tcPr>
            <w:tcW w:w="987" w:type="pct"/>
            <w:tcBorders>
              <w:top w:val="single" w:color="auto" w:sz="4" w:space="0"/>
              <w:left w:val="nil"/>
              <w:bottom w:val="single" w:color="auto" w:sz="4" w:space="0"/>
              <w:right w:val="single" w:color="auto" w:sz="4" w:space="0"/>
            </w:tcBorders>
          </w:tcPr>
          <w:p w14:paraId="5B1C6B59">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629A4CB">
            <w:pPr>
              <w:jc w:val="center"/>
              <w:rPr>
                <w:rFonts w:ascii="宋体" w:hAnsi="宋体" w:cs="宋体"/>
                <w:color w:val="auto"/>
                <w:kern w:val="0"/>
                <w:sz w:val="20"/>
                <w:highlight w:val="none"/>
              </w:rPr>
            </w:pPr>
            <w:r>
              <w:rPr>
                <w:rFonts w:hint="eastAsia" w:ascii="宋体" w:hAnsi="宋体" w:cs="宋体"/>
                <w:color w:val="auto"/>
                <w:kern w:val="0"/>
                <w:sz w:val="20"/>
                <w:highlight w:val="none"/>
              </w:rPr>
              <w:t>事故运行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66A49DB6">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902CD35">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599A1B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MGC PC机的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609568E9">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75EC76C1">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＜5</w:t>
            </w:r>
            <w:r>
              <w:rPr>
                <w:rFonts w:ascii="宋体" w:hAnsi="宋体" w:cs="宋体"/>
                <w:color w:val="auto"/>
                <w:kern w:val="0"/>
                <w:sz w:val="20"/>
                <w:highlight w:val="none"/>
              </w:rPr>
              <w:t>0</w:t>
            </w:r>
          </w:p>
        </w:tc>
        <w:tc>
          <w:tcPr>
            <w:tcW w:w="987" w:type="pct"/>
            <w:tcBorders>
              <w:top w:val="single" w:color="auto" w:sz="4" w:space="0"/>
              <w:left w:val="nil"/>
              <w:bottom w:val="single" w:color="auto" w:sz="4" w:space="0"/>
              <w:right w:val="single" w:color="auto" w:sz="4" w:space="0"/>
            </w:tcBorders>
          </w:tcPr>
          <w:p w14:paraId="4748C426">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105FB43">
            <w:pPr>
              <w:jc w:val="center"/>
              <w:rPr>
                <w:rFonts w:ascii="宋体" w:hAnsi="宋体" w:cs="宋体"/>
                <w:color w:val="auto"/>
                <w:kern w:val="0"/>
                <w:sz w:val="20"/>
                <w:highlight w:val="none"/>
              </w:rPr>
            </w:pPr>
            <w:r>
              <w:rPr>
                <w:rFonts w:hint="eastAsia" w:ascii="宋体" w:hAnsi="宋体" w:cs="宋体"/>
                <w:color w:val="auto"/>
                <w:kern w:val="0"/>
                <w:sz w:val="20"/>
                <w:highlight w:val="none"/>
              </w:rPr>
              <w:t>事故运行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177F7860">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503DD8C">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33D33FD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网关 PC机的</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c>
          <w:tcPr>
            <w:tcW w:w="493" w:type="pct"/>
            <w:tcBorders>
              <w:top w:val="nil"/>
              <w:left w:val="nil"/>
              <w:bottom w:val="single" w:color="auto" w:sz="4" w:space="0"/>
              <w:right w:val="single" w:color="auto" w:sz="4" w:space="0"/>
            </w:tcBorders>
            <w:shd w:val="clear" w:color="auto" w:fill="auto"/>
            <w:noWrap/>
            <w:vAlign w:val="center"/>
          </w:tcPr>
          <w:p w14:paraId="5537E421">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7EE83A4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＜5</w:t>
            </w:r>
            <w:r>
              <w:rPr>
                <w:rFonts w:ascii="宋体" w:hAnsi="宋体" w:cs="宋体"/>
                <w:color w:val="auto"/>
                <w:kern w:val="0"/>
                <w:sz w:val="20"/>
                <w:highlight w:val="none"/>
              </w:rPr>
              <w:t>0</w:t>
            </w:r>
          </w:p>
        </w:tc>
        <w:tc>
          <w:tcPr>
            <w:tcW w:w="987" w:type="pct"/>
            <w:tcBorders>
              <w:top w:val="single" w:color="auto" w:sz="4" w:space="0"/>
              <w:left w:val="nil"/>
              <w:bottom w:val="single" w:color="auto" w:sz="4" w:space="0"/>
              <w:right w:val="single" w:color="auto" w:sz="4" w:space="0"/>
            </w:tcBorders>
          </w:tcPr>
          <w:p w14:paraId="202CBD7F">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3F8045C">
            <w:pPr>
              <w:jc w:val="center"/>
              <w:rPr>
                <w:rFonts w:ascii="宋体" w:hAnsi="宋体" w:cs="宋体"/>
                <w:color w:val="auto"/>
                <w:kern w:val="0"/>
                <w:sz w:val="20"/>
                <w:highlight w:val="none"/>
              </w:rPr>
            </w:pPr>
            <w:r>
              <w:rPr>
                <w:rFonts w:hint="eastAsia" w:ascii="宋体" w:hAnsi="宋体" w:cs="宋体"/>
                <w:color w:val="auto"/>
                <w:kern w:val="0"/>
                <w:sz w:val="20"/>
                <w:highlight w:val="none"/>
              </w:rPr>
              <w:t>事故运行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69BE558F">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03C07CD">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7E43CAC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操作员站CPU负荷率</w:t>
            </w:r>
          </w:p>
        </w:tc>
        <w:tc>
          <w:tcPr>
            <w:tcW w:w="493" w:type="pct"/>
            <w:tcBorders>
              <w:top w:val="nil"/>
              <w:left w:val="nil"/>
              <w:bottom w:val="single" w:color="auto" w:sz="4" w:space="0"/>
              <w:right w:val="single" w:color="auto" w:sz="4" w:space="0"/>
            </w:tcBorders>
            <w:shd w:val="clear" w:color="auto" w:fill="auto"/>
            <w:noWrap/>
            <w:vAlign w:val="center"/>
          </w:tcPr>
          <w:p w14:paraId="37A914D3">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3628A6BE">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50</w:t>
            </w:r>
          </w:p>
        </w:tc>
        <w:tc>
          <w:tcPr>
            <w:tcW w:w="987" w:type="pct"/>
            <w:tcBorders>
              <w:top w:val="single" w:color="auto" w:sz="4" w:space="0"/>
              <w:left w:val="nil"/>
              <w:bottom w:val="single" w:color="auto" w:sz="4" w:space="0"/>
              <w:right w:val="single" w:color="auto" w:sz="4" w:space="0"/>
            </w:tcBorders>
          </w:tcPr>
          <w:p w14:paraId="5AE0576C">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952138E">
            <w:pPr>
              <w:jc w:val="center"/>
              <w:rPr>
                <w:rFonts w:ascii="宋体" w:hAnsi="宋体" w:cs="宋体"/>
                <w:color w:val="auto"/>
                <w:kern w:val="0"/>
                <w:sz w:val="20"/>
                <w:highlight w:val="none"/>
              </w:rPr>
            </w:pPr>
            <w:r>
              <w:rPr>
                <w:rFonts w:hint="eastAsia" w:ascii="宋体" w:hAnsi="宋体" w:cs="宋体"/>
                <w:color w:val="auto"/>
                <w:kern w:val="0"/>
                <w:sz w:val="20"/>
                <w:highlight w:val="none"/>
              </w:rPr>
              <w:t>事故运行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3FF716C3">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97E0099">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F48162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工程师站CPU负荷率</w:t>
            </w:r>
          </w:p>
        </w:tc>
        <w:tc>
          <w:tcPr>
            <w:tcW w:w="493" w:type="pct"/>
            <w:tcBorders>
              <w:top w:val="nil"/>
              <w:left w:val="nil"/>
              <w:bottom w:val="single" w:color="auto" w:sz="4" w:space="0"/>
              <w:right w:val="single" w:color="auto" w:sz="4" w:space="0"/>
            </w:tcBorders>
            <w:shd w:val="clear" w:color="auto" w:fill="auto"/>
            <w:noWrap/>
            <w:vAlign w:val="center"/>
          </w:tcPr>
          <w:p w14:paraId="6F681008">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11A963A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＜5</w:t>
            </w:r>
            <w:r>
              <w:rPr>
                <w:rFonts w:ascii="宋体" w:hAnsi="宋体" w:cs="宋体"/>
                <w:color w:val="auto"/>
                <w:kern w:val="0"/>
                <w:sz w:val="20"/>
                <w:highlight w:val="none"/>
              </w:rPr>
              <w:t>0</w:t>
            </w:r>
          </w:p>
        </w:tc>
        <w:tc>
          <w:tcPr>
            <w:tcW w:w="987" w:type="pct"/>
            <w:tcBorders>
              <w:top w:val="single" w:color="auto" w:sz="4" w:space="0"/>
              <w:left w:val="nil"/>
              <w:bottom w:val="single" w:color="auto" w:sz="4" w:space="0"/>
              <w:right w:val="single" w:color="auto" w:sz="4" w:space="0"/>
            </w:tcBorders>
          </w:tcPr>
          <w:p w14:paraId="7B503967">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60FCAD7">
            <w:pPr>
              <w:jc w:val="center"/>
              <w:rPr>
                <w:rFonts w:ascii="宋体" w:hAnsi="宋体" w:cs="宋体"/>
                <w:color w:val="auto"/>
                <w:kern w:val="0"/>
                <w:sz w:val="20"/>
                <w:highlight w:val="none"/>
              </w:rPr>
            </w:pPr>
            <w:r>
              <w:rPr>
                <w:rFonts w:hint="eastAsia" w:ascii="宋体" w:hAnsi="宋体" w:cs="宋体"/>
                <w:color w:val="auto"/>
                <w:kern w:val="0"/>
                <w:sz w:val="20"/>
                <w:highlight w:val="none"/>
              </w:rPr>
              <w:t>事故运行</w:t>
            </w:r>
            <w:r>
              <w:rPr>
                <w:rFonts w:ascii="宋体" w:hAnsi="宋体" w:cs="宋体"/>
                <w:color w:val="auto"/>
                <w:kern w:val="0"/>
                <w:sz w:val="20"/>
                <w:highlight w:val="none"/>
              </w:rPr>
              <w:t>CPU</w:t>
            </w:r>
            <w:r>
              <w:rPr>
                <w:rFonts w:hint="eastAsia" w:ascii="宋体" w:hAnsi="宋体" w:cs="宋体"/>
                <w:color w:val="auto"/>
                <w:kern w:val="0"/>
                <w:sz w:val="20"/>
                <w:highlight w:val="none"/>
              </w:rPr>
              <w:t>负荷率</w:t>
            </w:r>
          </w:p>
        </w:tc>
      </w:tr>
      <w:tr w14:paraId="1870641B">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B25B35C">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4E4D66F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网络的负荷率</w:t>
            </w:r>
          </w:p>
        </w:tc>
        <w:tc>
          <w:tcPr>
            <w:tcW w:w="493" w:type="pct"/>
            <w:tcBorders>
              <w:top w:val="nil"/>
              <w:left w:val="nil"/>
              <w:bottom w:val="single" w:color="auto" w:sz="4" w:space="0"/>
              <w:right w:val="single" w:color="auto" w:sz="4" w:space="0"/>
            </w:tcBorders>
            <w:shd w:val="clear" w:color="auto" w:fill="auto"/>
            <w:noWrap/>
            <w:vAlign w:val="center"/>
          </w:tcPr>
          <w:p w14:paraId="676637A9">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503F484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正常＜2</w:t>
            </w:r>
            <w:r>
              <w:rPr>
                <w:rFonts w:ascii="宋体" w:hAnsi="宋体" w:cs="宋体"/>
                <w:color w:val="auto"/>
                <w:kern w:val="0"/>
                <w:sz w:val="20"/>
                <w:highlight w:val="none"/>
              </w:rPr>
              <w:t>0</w:t>
            </w:r>
            <w:r>
              <w:rPr>
                <w:rFonts w:hint="eastAsia" w:ascii="宋体" w:hAnsi="宋体" w:cs="宋体"/>
                <w:color w:val="auto"/>
                <w:kern w:val="0"/>
                <w:sz w:val="20"/>
                <w:highlight w:val="none"/>
              </w:rPr>
              <w:t>，事故＜3</w:t>
            </w:r>
            <w:r>
              <w:rPr>
                <w:rFonts w:ascii="宋体" w:hAnsi="宋体" w:cs="宋体"/>
                <w:color w:val="auto"/>
                <w:kern w:val="0"/>
                <w:sz w:val="20"/>
                <w:highlight w:val="none"/>
              </w:rPr>
              <w:t>0</w:t>
            </w:r>
          </w:p>
        </w:tc>
        <w:tc>
          <w:tcPr>
            <w:tcW w:w="987" w:type="pct"/>
            <w:tcBorders>
              <w:top w:val="single" w:color="auto" w:sz="4" w:space="0"/>
              <w:left w:val="nil"/>
              <w:bottom w:val="single" w:color="auto" w:sz="4" w:space="0"/>
              <w:right w:val="single" w:color="auto" w:sz="4" w:space="0"/>
            </w:tcBorders>
          </w:tcPr>
          <w:p w14:paraId="448D9176">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CAAA2D8">
            <w:pPr>
              <w:widowControl/>
              <w:jc w:val="center"/>
              <w:rPr>
                <w:rFonts w:ascii="宋体" w:hAnsi="宋体" w:cs="宋体"/>
                <w:color w:val="auto"/>
                <w:kern w:val="0"/>
                <w:sz w:val="20"/>
                <w:highlight w:val="none"/>
              </w:rPr>
            </w:pPr>
          </w:p>
        </w:tc>
      </w:tr>
      <w:tr w14:paraId="5A21E3C6">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DB7B0FF">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EFA26D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电流测量误差</w:t>
            </w:r>
          </w:p>
        </w:tc>
        <w:tc>
          <w:tcPr>
            <w:tcW w:w="493" w:type="pct"/>
            <w:tcBorders>
              <w:top w:val="nil"/>
              <w:left w:val="nil"/>
              <w:bottom w:val="single" w:color="auto" w:sz="4" w:space="0"/>
              <w:right w:val="single" w:color="auto" w:sz="4" w:space="0"/>
            </w:tcBorders>
            <w:shd w:val="clear" w:color="auto" w:fill="auto"/>
            <w:noWrap/>
            <w:vAlign w:val="center"/>
          </w:tcPr>
          <w:p w14:paraId="566D28E6">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7C099BBF">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sym w:font="Symbol" w:char="F0B1"/>
            </w:r>
            <w:r>
              <w:rPr>
                <w:rFonts w:ascii="宋体" w:hAnsi="宋体" w:cs="宋体"/>
                <w:color w:val="auto"/>
                <w:kern w:val="0"/>
                <w:sz w:val="20"/>
                <w:highlight w:val="none"/>
              </w:rPr>
              <w:t>0.2</w:t>
            </w:r>
          </w:p>
        </w:tc>
        <w:tc>
          <w:tcPr>
            <w:tcW w:w="987" w:type="pct"/>
            <w:tcBorders>
              <w:top w:val="single" w:color="auto" w:sz="4" w:space="0"/>
              <w:left w:val="nil"/>
              <w:bottom w:val="single" w:color="auto" w:sz="4" w:space="0"/>
              <w:right w:val="single" w:color="auto" w:sz="4" w:space="0"/>
            </w:tcBorders>
          </w:tcPr>
          <w:p w14:paraId="243FE11B">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31C80B7">
            <w:pPr>
              <w:widowControl/>
              <w:jc w:val="center"/>
              <w:rPr>
                <w:rFonts w:ascii="宋体" w:hAnsi="宋体" w:cs="宋体"/>
                <w:color w:val="auto"/>
                <w:kern w:val="0"/>
                <w:sz w:val="20"/>
                <w:highlight w:val="none"/>
              </w:rPr>
            </w:pPr>
            <w:r>
              <w:rPr>
                <w:rFonts w:ascii="宋体" w:hAnsi="宋体" w:cs="宋体"/>
                <w:color w:val="auto"/>
                <w:kern w:val="0"/>
                <w:sz w:val="20"/>
                <w:highlight w:val="none"/>
              </w:rPr>
              <w:t>I/O</w:t>
            </w:r>
            <w:r>
              <w:rPr>
                <w:rFonts w:hint="eastAsia" w:ascii="宋体" w:hAnsi="宋体" w:cs="宋体"/>
                <w:color w:val="auto"/>
                <w:kern w:val="0"/>
                <w:sz w:val="20"/>
                <w:highlight w:val="none"/>
              </w:rPr>
              <w:t>测控单元的性能指标</w:t>
            </w:r>
          </w:p>
        </w:tc>
      </w:tr>
      <w:tr w14:paraId="3FADB2A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1523BCF">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6372C6CF">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电压测量误差</w:t>
            </w:r>
          </w:p>
        </w:tc>
        <w:tc>
          <w:tcPr>
            <w:tcW w:w="493" w:type="pct"/>
            <w:tcBorders>
              <w:top w:val="nil"/>
              <w:left w:val="nil"/>
              <w:bottom w:val="single" w:color="auto" w:sz="4" w:space="0"/>
              <w:right w:val="single" w:color="auto" w:sz="4" w:space="0"/>
            </w:tcBorders>
            <w:shd w:val="clear" w:color="auto" w:fill="auto"/>
            <w:noWrap/>
            <w:vAlign w:val="center"/>
          </w:tcPr>
          <w:p w14:paraId="344FDD8F">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42E57CE8">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sym w:font="Symbol" w:char="F0B1"/>
            </w:r>
            <w:r>
              <w:rPr>
                <w:rFonts w:ascii="宋体" w:hAnsi="宋体" w:cs="宋体"/>
                <w:color w:val="auto"/>
                <w:kern w:val="0"/>
                <w:sz w:val="20"/>
                <w:highlight w:val="none"/>
              </w:rPr>
              <w:t>0.2</w:t>
            </w:r>
          </w:p>
        </w:tc>
        <w:tc>
          <w:tcPr>
            <w:tcW w:w="987" w:type="pct"/>
            <w:tcBorders>
              <w:top w:val="single" w:color="auto" w:sz="4" w:space="0"/>
              <w:left w:val="nil"/>
              <w:bottom w:val="single" w:color="auto" w:sz="4" w:space="0"/>
              <w:right w:val="single" w:color="auto" w:sz="4" w:space="0"/>
            </w:tcBorders>
          </w:tcPr>
          <w:p w14:paraId="553355CF">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03EC275">
            <w:pPr>
              <w:jc w:val="center"/>
              <w:rPr>
                <w:rFonts w:ascii="宋体" w:hAnsi="宋体" w:cs="宋体"/>
                <w:color w:val="auto"/>
                <w:kern w:val="0"/>
                <w:sz w:val="20"/>
                <w:highlight w:val="none"/>
              </w:rPr>
            </w:pPr>
            <w:r>
              <w:rPr>
                <w:rFonts w:ascii="宋体" w:hAnsi="宋体" w:cs="宋体"/>
                <w:color w:val="auto"/>
                <w:kern w:val="0"/>
                <w:sz w:val="20"/>
                <w:highlight w:val="none"/>
              </w:rPr>
              <w:t>I/O</w:t>
            </w:r>
            <w:r>
              <w:rPr>
                <w:rFonts w:hint="eastAsia" w:ascii="宋体" w:hAnsi="宋体" w:cs="宋体"/>
                <w:color w:val="auto"/>
                <w:kern w:val="0"/>
                <w:sz w:val="20"/>
                <w:highlight w:val="none"/>
              </w:rPr>
              <w:t>测控单元的性能指标</w:t>
            </w:r>
          </w:p>
        </w:tc>
      </w:tr>
      <w:tr w14:paraId="7EE9C557">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20565B7">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30DCA0C8">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有功功率测量误差</w:t>
            </w:r>
          </w:p>
        </w:tc>
        <w:tc>
          <w:tcPr>
            <w:tcW w:w="493" w:type="pct"/>
            <w:tcBorders>
              <w:top w:val="nil"/>
              <w:left w:val="nil"/>
              <w:bottom w:val="single" w:color="auto" w:sz="4" w:space="0"/>
              <w:right w:val="single" w:color="auto" w:sz="4" w:space="0"/>
            </w:tcBorders>
            <w:shd w:val="clear" w:color="auto" w:fill="auto"/>
            <w:noWrap/>
            <w:vAlign w:val="center"/>
          </w:tcPr>
          <w:p w14:paraId="1EA56804">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3E5FC9F6">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sym w:font="Symbol" w:char="F0B1"/>
            </w:r>
            <w:r>
              <w:rPr>
                <w:rFonts w:ascii="宋体" w:hAnsi="宋体" w:cs="宋体"/>
                <w:color w:val="auto"/>
                <w:kern w:val="0"/>
                <w:sz w:val="20"/>
                <w:highlight w:val="none"/>
              </w:rPr>
              <w:t>0.5</w:t>
            </w:r>
          </w:p>
        </w:tc>
        <w:tc>
          <w:tcPr>
            <w:tcW w:w="987" w:type="pct"/>
            <w:tcBorders>
              <w:top w:val="single" w:color="auto" w:sz="4" w:space="0"/>
              <w:left w:val="nil"/>
              <w:bottom w:val="single" w:color="auto" w:sz="4" w:space="0"/>
              <w:right w:val="single" w:color="auto" w:sz="4" w:space="0"/>
            </w:tcBorders>
          </w:tcPr>
          <w:p w14:paraId="0606A94E">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60BD310">
            <w:pPr>
              <w:jc w:val="center"/>
              <w:rPr>
                <w:rFonts w:ascii="宋体" w:hAnsi="宋体" w:cs="宋体"/>
                <w:color w:val="auto"/>
                <w:kern w:val="0"/>
                <w:sz w:val="20"/>
                <w:highlight w:val="none"/>
              </w:rPr>
            </w:pPr>
            <w:r>
              <w:rPr>
                <w:rFonts w:ascii="宋体" w:hAnsi="宋体" w:cs="宋体"/>
                <w:color w:val="auto"/>
                <w:kern w:val="0"/>
                <w:sz w:val="20"/>
                <w:highlight w:val="none"/>
              </w:rPr>
              <w:t>I/O</w:t>
            </w:r>
            <w:r>
              <w:rPr>
                <w:rFonts w:hint="eastAsia" w:ascii="宋体" w:hAnsi="宋体" w:cs="宋体"/>
                <w:color w:val="auto"/>
                <w:kern w:val="0"/>
                <w:sz w:val="20"/>
                <w:highlight w:val="none"/>
              </w:rPr>
              <w:t>测控单元的性能指标</w:t>
            </w:r>
          </w:p>
        </w:tc>
      </w:tr>
      <w:tr w14:paraId="4B3E281C">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30D6247">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CDC73C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无功功率测量误差</w:t>
            </w:r>
          </w:p>
        </w:tc>
        <w:tc>
          <w:tcPr>
            <w:tcW w:w="493" w:type="pct"/>
            <w:tcBorders>
              <w:top w:val="nil"/>
              <w:left w:val="nil"/>
              <w:bottom w:val="single" w:color="auto" w:sz="4" w:space="0"/>
              <w:right w:val="single" w:color="auto" w:sz="4" w:space="0"/>
            </w:tcBorders>
            <w:shd w:val="clear" w:color="auto" w:fill="auto"/>
            <w:noWrap/>
            <w:vAlign w:val="center"/>
          </w:tcPr>
          <w:p w14:paraId="1E40A276">
            <w:pPr>
              <w:jc w:val="center"/>
              <w:rPr>
                <w:rFonts w:ascii="宋体" w:hAnsi="宋体" w:cs="宋体"/>
                <w:color w:val="auto"/>
                <w:kern w:val="0"/>
                <w:sz w:val="20"/>
                <w:highlight w:val="none"/>
              </w:rPr>
            </w:pPr>
            <w:r>
              <w:rPr>
                <w:rFonts w:ascii="宋体" w:hAnsi="宋体" w:cs="宋体"/>
                <w:color w:val="auto"/>
                <w:kern w:val="0"/>
                <w:sz w:val="20"/>
                <w:highlight w:val="none"/>
              </w:rPr>
              <w:t>%</w:t>
            </w:r>
          </w:p>
        </w:tc>
        <w:tc>
          <w:tcPr>
            <w:tcW w:w="905" w:type="pct"/>
            <w:tcBorders>
              <w:top w:val="nil"/>
              <w:left w:val="nil"/>
              <w:bottom w:val="single" w:color="auto" w:sz="4" w:space="0"/>
              <w:right w:val="single" w:color="auto" w:sz="4" w:space="0"/>
            </w:tcBorders>
            <w:shd w:val="clear" w:color="auto" w:fill="auto"/>
            <w:noWrap/>
            <w:vAlign w:val="center"/>
          </w:tcPr>
          <w:p w14:paraId="5347E3D7">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sym w:font="Symbol" w:char="F0B1"/>
            </w:r>
            <w:r>
              <w:rPr>
                <w:rFonts w:ascii="宋体" w:hAnsi="宋体" w:cs="宋体"/>
                <w:color w:val="auto"/>
                <w:kern w:val="0"/>
                <w:sz w:val="20"/>
                <w:highlight w:val="none"/>
              </w:rPr>
              <w:t>0.5</w:t>
            </w:r>
          </w:p>
        </w:tc>
        <w:tc>
          <w:tcPr>
            <w:tcW w:w="987" w:type="pct"/>
            <w:tcBorders>
              <w:top w:val="single" w:color="auto" w:sz="4" w:space="0"/>
              <w:left w:val="nil"/>
              <w:bottom w:val="single" w:color="auto" w:sz="4" w:space="0"/>
              <w:right w:val="single" w:color="auto" w:sz="4" w:space="0"/>
            </w:tcBorders>
          </w:tcPr>
          <w:p w14:paraId="1CAB4C4F">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3B36051">
            <w:pPr>
              <w:jc w:val="center"/>
              <w:rPr>
                <w:rFonts w:ascii="宋体" w:hAnsi="宋体" w:cs="宋体"/>
                <w:color w:val="auto"/>
                <w:kern w:val="0"/>
                <w:sz w:val="20"/>
                <w:highlight w:val="none"/>
              </w:rPr>
            </w:pPr>
            <w:r>
              <w:rPr>
                <w:rFonts w:ascii="宋体" w:hAnsi="宋体" w:cs="宋体"/>
                <w:color w:val="auto"/>
                <w:kern w:val="0"/>
                <w:sz w:val="20"/>
                <w:highlight w:val="none"/>
              </w:rPr>
              <w:t>I/O</w:t>
            </w:r>
            <w:r>
              <w:rPr>
                <w:rFonts w:hint="eastAsia" w:ascii="宋体" w:hAnsi="宋体" w:cs="宋体"/>
                <w:color w:val="auto"/>
                <w:kern w:val="0"/>
                <w:sz w:val="20"/>
                <w:highlight w:val="none"/>
              </w:rPr>
              <w:t>测控单元的性能指标</w:t>
            </w:r>
          </w:p>
        </w:tc>
      </w:tr>
      <w:tr w14:paraId="52AF7F8E">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67A28CCB">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3970BBB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频率误差</w:t>
            </w:r>
          </w:p>
        </w:tc>
        <w:tc>
          <w:tcPr>
            <w:tcW w:w="493" w:type="pct"/>
            <w:tcBorders>
              <w:top w:val="nil"/>
              <w:left w:val="nil"/>
              <w:bottom w:val="single" w:color="auto" w:sz="4" w:space="0"/>
              <w:right w:val="single" w:color="auto" w:sz="4" w:space="0"/>
            </w:tcBorders>
            <w:shd w:val="clear" w:color="auto" w:fill="auto"/>
            <w:noWrap/>
            <w:vAlign w:val="center"/>
          </w:tcPr>
          <w:p w14:paraId="3596BC51">
            <w:pPr>
              <w:jc w:val="center"/>
              <w:rPr>
                <w:rFonts w:ascii="宋体" w:hAnsi="宋体" w:cs="宋体"/>
                <w:color w:val="auto"/>
                <w:kern w:val="0"/>
                <w:sz w:val="20"/>
                <w:highlight w:val="none"/>
              </w:rPr>
            </w:pPr>
            <w:r>
              <w:rPr>
                <w:rFonts w:hint="eastAsia" w:ascii="宋体" w:hAnsi="宋体" w:cs="宋体"/>
                <w:color w:val="auto"/>
                <w:kern w:val="0"/>
                <w:sz w:val="20"/>
                <w:highlight w:val="none"/>
              </w:rPr>
              <w:t>Hz</w:t>
            </w:r>
          </w:p>
        </w:tc>
        <w:tc>
          <w:tcPr>
            <w:tcW w:w="905" w:type="pct"/>
            <w:tcBorders>
              <w:top w:val="nil"/>
              <w:left w:val="nil"/>
              <w:bottom w:val="single" w:color="auto" w:sz="4" w:space="0"/>
              <w:right w:val="single" w:color="auto" w:sz="4" w:space="0"/>
            </w:tcBorders>
            <w:shd w:val="clear" w:color="auto" w:fill="auto"/>
            <w:noWrap/>
            <w:vAlign w:val="center"/>
          </w:tcPr>
          <w:p w14:paraId="3BEE5CB8">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ascii="宋体" w:hAnsi="宋体" w:cs="宋体"/>
                <w:color w:val="auto"/>
                <w:kern w:val="0"/>
                <w:sz w:val="20"/>
                <w:highlight w:val="none"/>
              </w:rPr>
              <w:sym w:font="Symbol" w:char="F0B1"/>
            </w:r>
            <w:r>
              <w:rPr>
                <w:rFonts w:ascii="宋体" w:hAnsi="宋体" w:cs="宋体"/>
                <w:color w:val="auto"/>
                <w:kern w:val="0"/>
                <w:sz w:val="20"/>
                <w:highlight w:val="none"/>
              </w:rPr>
              <w:t>0.01</w:t>
            </w:r>
          </w:p>
        </w:tc>
        <w:tc>
          <w:tcPr>
            <w:tcW w:w="987" w:type="pct"/>
            <w:tcBorders>
              <w:top w:val="single" w:color="auto" w:sz="4" w:space="0"/>
              <w:left w:val="nil"/>
              <w:bottom w:val="single" w:color="auto" w:sz="4" w:space="0"/>
              <w:right w:val="single" w:color="auto" w:sz="4" w:space="0"/>
            </w:tcBorders>
          </w:tcPr>
          <w:p w14:paraId="653674E4">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F636730">
            <w:pPr>
              <w:jc w:val="center"/>
              <w:rPr>
                <w:rFonts w:ascii="宋体" w:hAnsi="宋体" w:cs="宋体"/>
                <w:color w:val="auto"/>
                <w:kern w:val="0"/>
                <w:sz w:val="20"/>
                <w:highlight w:val="none"/>
              </w:rPr>
            </w:pPr>
            <w:r>
              <w:rPr>
                <w:rFonts w:ascii="宋体" w:hAnsi="宋体" w:cs="宋体"/>
                <w:color w:val="auto"/>
                <w:kern w:val="0"/>
                <w:sz w:val="20"/>
                <w:highlight w:val="none"/>
              </w:rPr>
              <w:t>I/O</w:t>
            </w:r>
            <w:r>
              <w:rPr>
                <w:rFonts w:hint="eastAsia" w:ascii="宋体" w:hAnsi="宋体" w:cs="宋体"/>
                <w:color w:val="auto"/>
                <w:kern w:val="0"/>
                <w:sz w:val="20"/>
                <w:highlight w:val="none"/>
              </w:rPr>
              <w:t>测控单元的性能指标</w:t>
            </w:r>
          </w:p>
        </w:tc>
      </w:tr>
      <w:tr w14:paraId="6FF09FBD">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D74401E">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2A39FBBF">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交流采样计算的刷新周期</w:t>
            </w:r>
          </w:p>
        </w:tc>
        <w:tc>
          <w:tcPr>
            <w:tcW w:w="493" w:type="pct"/>
            <w:tcBorders>
              <w:top w:val="nil"/>
              <w:left w:val="nil"/>
              <w:bottom w:val="single" w:color="auto" w:sz="4" w:space="0"/>
              <w:right w:val="single" w:color="auto" w:sz="4" w:space="0"/>
            </w:tcBorders>
            <w:shd w:val="clear" w:color="auto" w:fill="auto"/>
            <w:noWrap/>
            <w:vAlign w:val="center"/>
          </w:tcPr>
          <w:p w14:paraId="627DA8D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s</w:t>
            </w:r>
          </w:p>
        </w:tc>
        <w:tc>
          <w:tcPr>
            <w:tcW w:w="905" w:type="pct"/>
            <w:tcBorders>
              <w:top w:val="nil"/>
              <w:left w:val="nil"/>
              <w:bottom w:val="single" w:color="auto" w:sz="4" w:space="0"/>
              <w:right w:val="single" w:color="auto" w:sz="4" w:space="0"/>
            </w:tcBorders>
            <w:shd w:val="clear" w:color="auto" w:fill="auto"/>
            <w:noWrap/>
            <w:vAlign w:val="center"/>
          </w:tcPr>
          <w:p w14:paraId="1E43DD60">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sym w:font="Symbol" w:char="F0A3"/>
            </w:r>
            <w:r>
              <w:rPr>
                <w:rFonts w:hint="eastAsia" w:ascii="宋体" w:hAnsi="宋体" w:cs="宋体"/>
                <w:color w:val="auto"/>
                <w:kern w:val="0"/>
                <w:sz w:val="20"/>
                <w:highlight w:val="none"/>
              </w:rPr>
              <w:t>1s</w:t>
            </w:r>
          </w:p>
        </w:tc>
        <w:tc>
          <w:tcPr>
            <w:tcW w:w="987" w:type="pct"/>
            <w:tcBorders>
              <w:top w:val="single" w:color="auto" w:sz="4" w:space="0"/>
              <w:left w:val="nil"/>
              <w:bottom w:val="single" w:color="auto" w:sz="4" w:space="0"/>
              <w:right w:val="single" w:color="auto" w:sz="4" w:space="0"/>
            </w:tcBorders>
          </w:tcPr>
          <w:p w14:paraId="2BA6C1E9">
            <w:pPr>
              <w:spacing w:before="60" w:after="60" w:line="360" w:lineRule="auto"/>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683EFEC">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I/O</w:t>
            </w:r>
            <w:r>
              <w:rPr>
                <w:rFonts w:hint="eastAsia" w:ascii="宋体" w:hAnsi="宋体" w:cs="宋体"/>
                <w:color w:val="auto"/>
                <w:kern w:val="0"/>
                <w:sz w:val="20"/>
                <w:highlight w:val="none"/>
              </w:rPr>
              <w:t>测控单元的性能指标</w:t>
            </w:r>
          </w:p>
        </w:tc>
      </w:tr>
      <w:tr w14:paraId="084AB831">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7A3F797">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725AAC48">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生产厂家</w:t>
            </w:r>
          </w:p>
        </w:tc>
        <w:tc>
          <w:tcPr>
            <w:tcW w:w="493" w:type="pct"/>
            <w:tcBorders>
              <w:top w:val="nil"/>
              <w:left w:val="nil"/>
              <w:bottom w:val="single" w:color="auto" w:sz="4" w:space="0"/>
              <w:right w:val="single" w:color="auto" w:sz="4" w:space="0"/>
            </w:tcBorders>
            <w:shd w:val="clear" w:color="auto" w:fill="auto"/>
            <w:noWrap/>
            <w:vAlign w:val="center"/>
          </w:tcPr>
          <w:p w14:paraId="6367897C">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273A18D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浪潮、曙光、联想或相当于品牌</w:t>
            </w:r>
          </w:p>
        </w:tc>
        <w:tc>
          <w:tcPr>
            <w:tcW w:w="987" w:type="pct"/>
            <w:tcBorders>
              <w:top w:val="single" w:color="auto" w:sz="4" w:space="0"/>
              <w:left w:val="nil"/>
              <w:bottom w:val="single" w:color="auto" w:sz="4" w:space="0"/>
              <w:right w:val="single" w:color="auto" w:sz="4" w:space="0"/>
            </w:tcBorders>
          </w:tcPr>
          <w:p w14:paraId="0AA7DFDC">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CC1EA3F">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54D5A271">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504814EF">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72BAEF0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CPU类型</w:t>
            </w:r>
          </w:p>
        </w:tc>
        <w:tc>
          <w:tcPr>
            <w:tcW w:w="493" w:type="pct"/>
            <w:tcBorders>
              <w:top w:val="nil"/>
              <w:left w:val="nil"/>
              <w:bottom w:val="single" w:color="auto" w:sz="4" w:space="0"/>
              <w:right w:val="single" w:color="auto" w:sz="4" w:space="0"/>
            </w:tcBorders>
            <w:shd w:val="clear" w:color="auto" w:fill="auto"/>
            <w:noWrap/>
            <w:vAlign w:val="center"/>
          </w:tcPr>
          <w:p w14:paraId="4320F27D">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5E920F8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字长64位</w:t>
            </w:r>
          </w:p>
        </w:tc>
        <w:tc>
          <w:tcPr>
            <w:tcW w:w="987" w:type="pct"/>
            <w:tcBorders>
              <w:top w:val="single" w:color="auto" w:sz="4" w:space="0"/>
              <w:left w:val="nil"/>
              <w:bottom w:val="single" w:color="auto" w:sz="4" w:space="0"/>
              <w:right w:val="single" w:color="auto" w:sz="4" w:space="0"/>
            </w:tcBorders>
          </w:tcPr>
          <w:p w14:paraId="58DE1AA9">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A0DA3D4">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3198E6D1">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6A33120">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B9C6EB0">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CPU主频</w:t>
            </w:r>
          </w:p>
        </w:tc>
        <w:tc>
          <w:tcPr>
            <w:tcW w:w="493" w:type="pct"/>
            <w:tcBorders>
              <w:top w:val="nil"/>
              <w:left w:val="nil"/>
              <w:bottom w:val="single" w:color="auto" w:sz="4" w:space="0"/>
              <w:right w:val="single" w:color="auto" w:sz="4" w:space="0"/>
            </w:tcBorders>
            <w:shd w:val="clear" w:color="auto" w:fill="auto"/>
            <w:noWrap/>
            <w:vAlign w:val="center"/>
          </w:tcPr>
          <w:p w14:paraId="49096314">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GHz</w:t>
            </w:r>
          </w:p>
        </w:tc>
        <w:tc>
          <w:tcPr>
            <w:tcW w:w="905" w:type="pct"/>
            <w:tcBorders>
              <w:top w:val="nil"/>
              <w:left w:val="nil"/>
              <w:bottom w:val="single" w:color="auto" w:sz="4" w:space="0"/>
              <w:right w:val="single" w:color="auto" w:sz="4" w:space="0"/>
            </w:tcBorders>
            <w:shd w:val="clear" w:color="auto" w:fill="auto"/>
            <w:noWrap/>
            <w:vAlign w:val="center"/>
          </w:tcPr>
          <w:p w14:paraId="17A1E3A0">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大于</w:t>
            </w:r>
            <w:r>
              <w:rPr>
                <w:rFonts w:ascii="宋体" w:hAnsi="宋体" w:cs="宋体"/>
                <w:color w:val="auto"/>
                <w:kern w:val="0"/>
                <w:sz w:val="20"/>
                <w:highlight w:val="none"/>
              </w:rPr>
              <w:t>2.53</w:t>
            </w:r>
          </w:p>
        </w:tc>
        <w:tc>
          <w:tcPr>
            <w:tcW w:w="987" w:type="pct"/>
            <w:tcBorders>
              <w:top w:val="single" w:color="auto" w:sz="4" w:space="0"/>
              <w:left w:val="nil"/>
              <w:bottom w:val="single" w:color="auto" w:sz="4" w:space="0"/>
              <w:right w:val="single" w:color="auto" w:sz="4" w:space="0"/>
            </w:tcBorders>
          </w:tcPr>
          <w:p w14:paraId="1A0399E2">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F00B2C8">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236CDE70">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2CBEC0BD">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624AB04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RAM容量</w:t>
            </w:r>
          </w:p>
        </w:tc>
        <w:tc>
          <w:tcPr>
            <w:tcW w:w="493" w:type="pct"/>
            <w:tcBorders>
              <w:top w:val="nil"/>
              <w:left w:val="nil"/>
              <w:bottom w:val="single" w:color="auto" w:sz="4" w:space="0"/>
              <w:right w:val="single" w:color="auto" w:sz="4" w:space="0"/>
            </w:tcBorders>
            <w:shd w:val="clear" w:color="auto" w:fill="auto"/>
            <w:noWrap/>
            <w:vAlign w:val="center"/>
          </w:tcPr>
          <w:p w14:paraId="169C0B54">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w:t>
            </w:r>
            <w:r>
              <w:rPr>
                <w:rFonts w:ascii="宋体" w:hAnsi="宋体" w:cs="宋体"/>
                <w:color w:val="auto"/>
                <w:kern w:val="0"/>
                <w:sz w:val="20"/>
                <w:highlight w:val="none"/>
              </w:rPr>
              <w:t>B</w:t>
            </w:r>
          </w:p>
        </w:tc>
        <w:tc>
          <w:tcPr>
            <w:tcW w:w="905" w:type="pct"/>
            <w:tcBorders>
              <w:top w:val="nil"/>
              <w:left w:val="nil"/>
              <w:bottom w:val="single" w:color="auto" w:sz="4" w:space="0"/>
              <w:right w:val="single" w:color="auto" w:sz="4" w:space="0"/>
            </w:tcBorders>
            <w:shd w:val="clear" w:color="auto" w:fill="auto"/>
            <w:noWrap/>
            <w:vAlign w:val="center"/>
          </w:tcPr>
          <w:p w14:paraId="6C2E0E2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≥16</w:t>
            </w:r>
          </w:p>
        </w:tc>
        <w:tc>
          <w:tcPr>
            <w:tcW w:w="987" w:type="pct"/>
            <w:tcBorders>
              <w:top w:val="single" w:color="auto" w:sz="4" w:space="0"/>
              <w:left w:val="nil"/>
              <w:bottom w:val="single" w:color="auto" w:sz="4" w:space="0"/>
              <w:right w:val="single" w:color="auto" w:sz="4" w:space="0"/>
            </w:tcBorders>
          </w:tcPr>
          <w:p w14:paraId="58DA77D1">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6C68232E">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1511C0B7">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3F9E0FA">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310EE40">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硬盘容量</w:t>
            </w:r>
          </w:p>
        </w:tc>
        <w:tc>
          <w:tcPr>
            <w:tcW w:w="493" w:type="pct"/>
            <w:tcBorders>
              <w:top w:val="nil"/>
              <w:left w:val="nil"/>
              <w:bottom w:val="single" w:color="auto" w:sz="4" w:space="0"/>
              <w:right w:val="single" w:color="auto" w:sz="4" w:space="0"/>
            </w:tcBorders>
            <w:shd w:val="clear" w:color="auto" w:fill="auto"/>
            <w:noWrap/>
            <w:vAlign w:val="center"/>
          </w:tcPr>
          <w:p w14:paraId="6BF61173">
            <w:pPr>
              <w:widowControl/>
              <w:jc w:val="center"/>
              <w:rPr>
                <w:rFonts w:ascii="宋体" w:hAnsi="宋体" w:cs="宋体"/>
                <w:color w:val="auto"/>
                <w:kern w:val="0"/>
                <w:sz w:val="20"/>
                <w:highlight w:val="none"/>
              </w:rPr>
            </w:pPr>
            <w:r>
              <w:rPr>
                <w:rFonts w:ascii="宋体" w:hAnsi="宋体" w:cs="宋体"/>
                <w:color w:val="auto"/>
                <w:kern w:val="0"/>
                <w:sz w:val="20"/>
                <w:highlight w:val="none"/>
              </w:rPr>
              <w:t>GB</w:t>
            </w:r>
          </w:p>
        </w:tc>
        <w:tc>
          <w:tcPr>
            <w:tcW w:w="905" w:type="pct"/>
            <w:tcBorders>
              <w:top w:val="nil"/>
              <w:left w:val="nil"/>
              <w:bottom w:val="single" w:color="auto" w:sz="4" w:space="0"/>
              <w:right w:val="single" w:color="auto" w:sz="4" w:space="0"/>
            </w:tcBorders>
            <w:shd w:val="clear" w:color="auto" w:fill="auto"/>
            <w:noWrap/>
            <w:vAlign w:val="center"/>
          </w:tcPr>
          <w:p w14:paraId="3AB8274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≥500</w:t>
            </w:r>
          </w:p>
        </w:tc>
        <w:tc>
          <w:tcPr>
            <w:tcW w:w="987" w:type="pct"/>
            <w:tcBorders>
              <w:top w:val="single" w:color="auto" w:sz="4" w:space="0"/>
              <w:left w:val="nil"/>
              <w:bottom w:val="single" w:color="auto" w:sz="4" w:space="0"/>
              <w:right w:val="single" w:color="auto" w:sz="4" w:space="0"/>
            </w:tcBorders>
          </w:tcPr>
          <w:p w14:paraId="2E19E9A1">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ACB449D">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4B5CEB59">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FD85731">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18C7EF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操作系统</w:t>
            </w:r>
          </w:p>
        </w:tc>
        <w:tc>
          <w:tcPr>
            <w:tcW w:w="493" w:type="pct"/>
            <w:tcBorders>
              <w:top w:val="nil"/>
              <w:left w:val="nil"/>
              <w:bottom w:val="single" w:color="auto" w:sz="4" w:space="0"/>
              <w:right w:val="single" w:color="auto" w:sz="4" w:space="0"/>
            </w:tcBorders>
            <w:shd w:val="clear" w:color="auto" w:fill="auto"/>
            <w:noWrap/>
            <w:vAlign w:val="center"/>
          </w:tcPr>
          <w:p w14:paraId="767EE03F">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475E2FE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国产安全操作系统</w:t>
            </w:r>
          </w:p>
        </w:tc>
        <w:tc>
          <w:tcPr>
            <w:tcW w:w="987" w:type="pct"/>
            <w:tcBorders>
              <w:top w:val="single" w:color="auto" w:sz="4" w:space="0"/>
              <w:left w:val="nil"/>
              <w:bottom w:val="single" w:color="auto" w:sz="4" w:space="0"/>
              <w:right w:val="single" w:color="auto" w:sz="4" w:space="0"/>
            </w:tcBorders>
          </w:tcPr>
          <w:p w14:paraId="33B6E0B0">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852AB5C">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189F15C2">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22B14FD8">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2BED2FC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LCD尺寸</w:t>
            </w:r>
          </w:p>
        </w:tc>
        <w:tc>
          <w:tcPr>
            <w:tcW w:w="493" w:type="pct"/>
            <w:tcBorders>
              <w:top w:val="nil"/>
              <w:left w:val="nil"/>
              <w:bottom w:val="single" w:color="auto" w:sz="4" w:space="0"/>
              <w:right w:val="single" w:color="auto" w:sz="4" w:space="0"/>
            </w:tcBorders>
            <w:shd w:val="clear" w:color="auto" w:fill="auto"/>
            <w:noWrap/>
            <w:vAlign w:val="center"/>
          </w:tcPr>
          <w:p w14:paraId="799CBD4C">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7625DCC1">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25BD3FCA">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037BE9C">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2D792ABE">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BA3970F">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387FDFC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LCD生产厂家</w:t>
            </w:r>
          </w:p>
        </w:tc>
        <w:tc>
          <w:tcPr>
            <w:tcW w:w="493" w:type="pct"/>
            <w:tcBorders>
              <w:top w:val="nil"/>
              <w:left w:val="nil"/>
              <w:bottom w:val="single" w:color="auto" w:sz="4" w:space="0"/>
              <w:right w:val="single" w:color="auto" w:sz="4" w:space="0"/>
            </w:tcBorders>
            <w:shd w:val="clear" w:color="auto" w:fill="auto"/>
            <w:noWrap/>
            <w:vAlign w:val="center"/>
          </w:tcPr>
          <w:p w14:paraId="0AF6FB27">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7A7423ED">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6E80609F">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B67B20C">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59B2B141">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C883A86">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2001D6A1">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LCD分辨率</w:t>
            </w:r>
          </w:p>
        </w:tc>
        <w:tc>
          <w:tcPr>
            <w:tcW w:w="493" w:type="pct"/>
            <w:tcBorders>
              <w:top w:val="nil"/>
              <w:left w:val="nil"/>
              <w:bottom w:val="single" w:color="auto" w:sz="4" w:space="0"/>
              <w:right w:val="single" w:color="auto" w:sz="4" w:space="0"/>
            </w:tcBorders>
            <w:shd w:val="clear" w:color="auto" w:fill="auto"/>
            <w:noWrap/>
            <w:vAlign w:val="center"/>
          </w:tcPr>
          <w:p w14:paraId="172B83E3">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2EBF8487">
            <w:pPr>
              <w:jc w:val="center"/>
              <w:rPr>
                <w:rFonts w:ascii="宋体" w:hAnsi="宋体" w:cs="宋体"/>
                <w:color w:val="auto"/>
                <w:kern w:val="0"/>
                <w:sz w:val="20"/>
                <w:highlight w:val="none"/>
              </w:rPr>
            </w:pPr>
            <w:r>
              <w:rPr>
                <w:rFonts w:hint="eastAsia" w:ascii="宋体" w:hAnsi="宋体" w:cs="宋体"/>
                <w:color w:val="auto"/>
                <w:kern w:val="0"/>
                <w:sz w:val="20"/>
                <w:highlight w:val="none"/>
              </w:rPr>
              <w:t>不低于</w:t>
            </w:r>
            <w:r>
              <w:rPr>
                <w:rFonts w:ascii="宋体" w:hAnsi="宋体" w:cs="宋体"/>
                <w:color w:val="auto"/>
                <w:kern w:val="0"/>
                <w:sz w:val="20"/>
                <w:highlight w:val="none"/>
              </w:rPr>
              <w:t>1680x1050@85Hz</w:t>
            </w:r>
          </w:p>
        </w:tc>
        <w:tc>
          <w:tcPr>
            <w:tcW w:w="987" w:type="pct"/>
            <w:tcBorders>
              <w:top w:val="single" w:color="auto" w:sz="4" w:space="0"/>
              <w:left w:val="nil"/>
              <w:bottom w:val="single" w:color="auto" w:sz="4" w:space="0"/>
              <w:right w:val="single" w:color="auto" w:sz="4" w:space="0"/>
            </w:tcBorders>
          </w:tcPr>
          <w:p w14:paraId="717145D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1A93CE3">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1459D983">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3A0097EC">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5CA9076">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LCD刷新频率</w:t>
            </w:r>
          </w:p>
        </w:tc>
        <w:tc>
          <w:tcPr>
            <w:tcW w:w="493" w:type="pct"/>
            <w:tcBorders>
              <w:top w:val="nil"/>
              <w:left w:val="nil"/>
              <w:bottom w:val="single" w:color="auto" w:sz="4" w:space="0"/>
              <w:right w:val="single" w:color="auto" w:sz="4" w:space="0"/>
            </w:tcBorders>
            <w:shd w:val="clear" w:color="auto" w:fill="auto"/>
            <w:noWrap/>
            <w:vAlign w:val="center"/>
          </w:tcPr>
          <w:p w14:paraId="4E9D29C3">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ms</w:t>
            </w:r>
          </w:p>
        </w:tc>
        <w:tc>
          <w:tcPr>
            <w:tcW w:w="905" w:type="pct"/>
            <w:tcBorders>
              <w:top w:val="nil"/>
              <w:left w:val="nil"/>
              <w:bottom w:val="single" w:color="auto" w:sz="4" w:space="0"/>
              <w:right w:val="single" w:color="auto" w:sz="4" w:space="0"/>
            </w:tcBorders>
            <w:shd w:val="clear" w:color="auto" w:fill="auto"/>
            <w:noWrap/>
            <w:vAlign w:val="center"/>
          </w:tcPr>
          <w:p w14:paraId="06D6807E">
            <w:pPr>
              <w:jc w:val="center"/>
              <w:rPr>
                <w:rFonts w:ascii="宋体" w:hAnsi="宋体" w:cs="宋体"/>
                <w:color w:val="auto"/>
                <w:kern w:val="0"/>
                <w:sz w:val="20"/>
                <w:highlight w:val="none"/>
              </w:rPr>
            </w:pPr>
            <w:r>
              <w:rPr>
                <w:rFonts w:hint="eastAsia" w:ascii="宋体" w:hAnsi="宋体" w:cs="宋体"/>
                <w:color w:val="auto"/>
                <w:kern w:val="0"/>
                <w:sz w:val="20"/>
                <w:highlight w:val="none"/>
              </w:rPr>
              <w:t>6</w:t>
            </w:r>
          </w:p>
        </w:tc>
        <w:tc>
          <w:tcPr>
            <w:tcW w:w="987" w:type="pct"/>
            <w:tcBorders>
              <w:top w:val="single" w:color="auto" w:sz="4" w:space="0"/>
              <w:left w:val="nil"/>
              <w:bottom w:val="single" w:color="auto" w:sz="4" w:space="0"/>
              <w:right w:val="single" w:color="auto" w:sz="4" w:space="0"/>
            </w:tcBorders>
          </w:tcPr>
          <w:p w14:paraId="4E5F82B4">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37605E1">
            <w:pPr>
              <w:jc w:val="center"/>
              <w:rPr>
                <w:rFonts w:ascii="宋体" w:hAnsi="宋体" w:cs="宋体"/>
                <w:color w:val="auto"/>
                <w:kern w:val="0"/>
                <w:sz w:val="20"/>
                <w:highlight w:val="none"/>
              </w:rPr>
            </w:pPr>
            <w:r>
              <w:rPr>
                <w:rFonts w:hint="eastAsia" w:ascii="宋体" w:hAnsi="宋体" w:cs="宋体"/>
                <w:color w:val="auto"/>
                <w:kern w:val="0"/>
                <w:sz w:val="20"/>
                <w:highlight w:val="none"/>
              </w:rPr>
              <w:t>主机</w:t>
            </w:r>
          </w:p>
        </w:tc>
      </w:tr>
      <w:tr w14:paraId="55FD6C2A">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1C5BC8B">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4BC8E29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生产厂家</w:t>
            </w:r>
          </w:p>
        </w:tc>
        <w:tc>
          <w:tcPr>
            <w:tcW w:w="493" w:type="pct"/>
            <w:tcBorders>
              <w:top w:val="nil"/>
              <w:left w:val="nil"/>
              <w:bottom w:val="single" w:color="auto" w:sz="4" w:space="0"/>
              <w:right w:val="single" w:color="auto" w:sz="4" w:space="0"/>
            </w:tcBorders>
            <w:shd w:val="clear" w:color="auto" w:fill="auto"/>
            <w:noWrap/>
            <w:vAlign w:val="center"/>
          </w:tcPr>
          <w:p w14:paraId="0D82EA6E">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4266B7D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浪潮、曙光、联想或相当于品牌</w:t>
            </w:r>
          </w:p>
        </w:tc>
        <w:tc>
          <w:tcPr>
            <w:tcW w:w="987" w:type="pct"/>
            <w:tcBorders>
              <w:top w:val="single" w:color="auto" w:sz="4" w:space="0"/>
              <w:left w:val="nil"/>
              <w:bottom w:val="single" w:color="auto" w:sz="4" w:space="0"/>
              <w:right w:val="single" w:color="auto" w:sz="4" w:space="0"/>
            </w:tcBorders>
          </w:tcPr>
          <w:p w14:paraId="0DFB092C">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715E71A">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6BA3BF5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57DA98F2">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41861A3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CPU类型</w:t>
            </w:r>
          </w:p>
        </w:tc>
        <w:tc>
          <w:tcPr>
            <w:tcW w:w="493" w:type="pct"/>
            <w:tcBorders>
              <w:top w:val="nil"/>
              <w:left w:val="nil"/>
              <w:bottom w:val="single" w:color="auto" w:sz="4" w:space="0"/>
              <w:right w:val="single" w:color="auto" w:sz="4" w:space="0"/>
            </w:tcBorders>
            <w:shd w:val="clear" w:color="auto" w:fill="auto"/>
            <w:noWrap/>
            <w:vAlign w:val="center"/>
          </w:tcPr>
          <w:p w14:paraId="0B4630DD">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7CDDC65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64</w:t>
            </w:r>
            <w:r>
              <w:rPr>
                <w:rFonts w:hint="eastAsia" w:ascii="宋体" w:hAnsi="宋体" w:cs="宋体"/>
                <w:color w:val="auto"/>
                <w:kern w:val="0"/>
                <w:sz w:val="20"/>
                <w:highlight w:val="none"/>
              </w:rPr>
              <w:t>位</w:t>
            </w:r>
          </w:p>
        </w:tc>
        <w:tc>
          <w:tcPr>
            <w:tcW w:w="987" w:type="pct"/>
            <w:tcBorders>
              <w:top w:val="single" w:color="auto" w:sz="4" w:space="0"/>
              <w:left w:val="nil"/>
              <w:bottom w:val="single" w:color="auto" w:sz="4" w:space="0"/>
              <w:right w:val="single" w:color="auto" w:sz="4" w:space="0"/>
            </w:tcBorders>
          </w:tcPr>
          <w:p w14:paraId="1481022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22886AC">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3BF32403">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3CCC6D7">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32ADC03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CPU主频</w:t>
            </w:r>
          </w:p>
        </w:tc>
        <w:tc>
          <w:tcPr>
            <w:tcW w:w="493" w:type="pct"/>
            <w:tcBorders>
              <w:top w:val="nil"/>
              <w:left w:val="nil"/>
              <w:bottom w:val="single" w:color="auto" w:sz="4" w:space="0"/>
              <w:right w:val="single" w:color="auto" w:sz="4" w:space="0"/>
            </w:tcBorders>
            <w:shd w:val="clear" w:color="auto" w:fill="auto"/>
            <w:noWrap/>
            <w:vAlign w:val="center"/>
          </w:tcPr>
          <w:p w14:paraId="0E9EAE5D">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GHz</w:t>
            </w:r>
          </w:p>
        </w:tc>
        <w:tc>
          <w:tcPr>
            <w:tcW w:w="905" w:type="pct"/>
            <w:tcBorders>
              <w:top w:val="nil"/>
              <w:left w:val="nil"/>
              <w:bottom w:val="single" w:color="auto" w:sz="4" w:space="0"/>
              <w:right w:val="single" w:color="auto" w:sz="4" w:space="0"/>
            </w:tcBorders>
            <w:shd w:val="clear" w:color="auto" w:fill="auto"/>
            <w:noWrap/>
            <w:vAlign w:val="center"/>
          </w:tcPr>
          <w:p w14:paraId="37B6E67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≥2.53四核</w:t>
            </w:r>
          </w:p>
        </w:tc>
        <w:tc>
          <w:tcPr>
            <w:tcW w:w="987" w:type="pct"/>
            <w:tcBorders>
              <w:top w:val="single" w:color="auto" w:sz="4" w:space="0"/>
              <w:left w:val="nil"/>
              <w:bottom w:val="single" w:color="auto" w:sz="4" w:space="0"/>
              <w:right w:val="single" w:color="auto" w:sz="4" w:space="0"/>
            </w:tcBorders>
          </w:tcPr>
          <w:p w14:paraId="18BA85B1">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8CACCE7">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3C21618F">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1F01905E">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145BE6B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RAM容量</w:t>
            </w:r>
          </w:p>
        </w:tc>
        <w:tc>
          <w:tcPr>
            <w:tcW w:w="493" w:type="pct"/>
            <w:tcBorders>
              <w:top w:val="nil"/>
              <w:left w:val="nil"/>
              <w:bottom w:val="single" w:color="auto" w:sz="4" w:space="0"/>
              <w:right w:val="single" w:color="auto" w:sz="4" w:space="0"/>
            </w:tcBorders>
            <w:shd w:val="clear" w:color="auto" w:fill="auto"/>
            <w:noWrap/>
            <w:vAlign w:val="center"/>
          </w:tcPr>
          <w:p w14:paraId="36C6DB14">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w:t>
            </w:r>
            <w:r>
              <w:rPr>
                <w:rFonts w:ascii="宋体" w:hAnsi="宋体" w:cs="宋体"/>
                <w:color w:val="auto"/>
                <w:kern w:val="0"/>
                <w:sz w:val="20"/>
                <w:highlight w:val="none"/>
              </w:rPr>
              <w:t>B</w:t>
            </w:r>
          </w:p>
        </w:tc>
        <w:tc>
          <w:tcPr>
            <w:tcW w:w="905" w:type="pct"/>
            <w:tcBorders>
              <w:top w:val="nil"/>
              <w:left w:val="nil"/>
              <w:bottom w:val="single" w:color="auto" w:sz="4" w:space="0"/>
              <w:right w:val="single" w:color="auto" w:sz="4" w:space="0"/>
            </w:tcBorders>
            <w:shd w:val="clear" w:color="auto" w:fill="auto"/>
            <w:noWrap/>
            <w:vAlign w:val="center"/>
          </w:tcPr>
          <w:p w14:paraId="437325B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≥4 DDR3</w:t>
            </w:r>
          </w:p>
        </w:tc>
        <w:tc>
          <w:tcPr>
            <w:tcW w:w="987" w:type="pct"/>
            <w:tcBorders>
              <w:top w:val="single" w:color="auto" w:sz="4" w:space="0"/>
              <w:left w:val="nil"/>
              <w:bottom w:val="single" w:color="auto" w:sz="4" w:space="0"/>
              <w:right w:val="single" w:color="auto" w:sz="4" w:space="0"/>
            </w:tcBorders>
          </w:tcPr>
          <w:p w14:paraId="2281076F">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75C8297">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513F6186">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0F8779D9">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5CC1247">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硬盘容量</w:t>
            </w:r>
          </w:p>
        </w:tc>
        <w:tc>
          <w:tcPr>
            <w:tcW w:w="493" w:type="pct"/>
            <w:tcBorders>
              <w:top w:val="nil"/>
              <w:left w:val="nil"/>
              <w:bottom w:val="single" w:color="auto" w:sz="4" w:space="0"/>
              <w:right w:val="single" w:color="auto" w:sz="4" w:space="0"/>
            </w:tcBorders>
            <w:shd w:val="clear" w:color="auto" w:fill="auto"/>
            <w:noWrap/>
            <w:vAlign w:val="center"/>
          </w:tcPr>
          <w:p w14:paraId="3748A697">
            <w:pPr>
              <w:widowControl/>
              <w:jc w:val="center"/>
              <w:rPr>
                <w:rFonts w:ascii="宋体" w:hAnsi="宋体" w:cs="宋体"/>
                <w:color w:val="auto"/>
                <w:kern w:val="0"/>
                <w:sz w:val="20"/>
                <w:highlight w:val="none"/>
              </w:rPr>
            </w:pPr>
            <w:r>
              <w:rPr>
                <w:rFonts w:ascii="宋体" w:hAnsi="宋体" w:cs="宋体"/>
                <w:color w:val="auto"/>
                <w:kern w:val="0"/>
                <w:sz w:val="20"/>
                <w:highlight w:val="none"/>
              </w:rPr>
              <w:t>GB</w:t>
            </w:r>
          </w:p>
        </w:tc>
        <w:tc>
          <w:tcPr>
            <w:tcW w:w="905" w:type="pct"/>
            <w:tcBorders>
              <w:top w:val="nil"/>
              <w:left w:val="nil"/>
              <w:bottom w:val="single" w:color="auto" w:sz="4" w:space="0"/>
              <w:right w:val="single" w:color="auto" w:sz="4" w:space="0"/>
            </w:tcBorders>
            <w:shd w:val="clear" w:color="auto" w:fill="auto"/>
            <w:noWrap/>
            <w:vAlign w:val="center"/>
          </w:tcPr>
          <w:p w14:paraId="229C797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≥500</w:t>
            </w:r>
          </w:p>
        </w:tc>
        <w:tc>
          <w:tcPr>
            <w:tcW w:w="987" w:type="pct"/>
            <w:tcBorders>
              <w:top w:val="single" w:color="auto" w:sz="4" w:space="0"/>
              <w:left w:val="nil"/>
              <w:bottom w:val="single" w:color="auto" w:sz="4" w:space="0"/>
              <w:right w:val="single" w:color="auto" w:sz="4" w:space="0"/>
            </w:tcBorders>
          </w:tcPr>
          <w:p w14:paraId="0B3A054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1E16AAF">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6314C0FE">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754707E5">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65C2547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操作系统</w:t>
            </w:r>
          </w:p>
        </w:tc>
        <w:tc>
          <w:tcPr>
            <w:tcW w:w="493" w:type="pct"/>
            <w:tcBorders>
              <w:top w:val="nil"/>
              <w:left w:val="nil"/>
              <w:bottom w:val="single" w:color="auto" w:sz="4" w:space="0"/>
              <w:right w:val="single" w:color="auto" w:sz="4" w:space="0"/>
            </w:tcBorders>
            <w:shd w:val="clear" w:color="auto" w:fill="auto"/>
            <w:noWrap/>
            <w:vAlign w:val="center"/>
          </w:tcPr>
          <w:p w14:paraId="69AA593E">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04CA69E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国产安全操作系统</w:t>
            </w:r>
          </w:p>
        </w:tc>
        <w:tc>
          <w:tcPr>
            <w:tcW w:w="987" w:type="pct"/>
            <w:tcBorders>
              <w:top w:val="single" w:color="auto" w:sz="4" w:space="0"/>
              <w:left w:val="nil"/>
              <w:bottom w:val="single" w:color="auto" w:sz="4" w:space="0"/>
              <w:right w:val="single" w:color="auto" w:sz="4" w:space="0"/>
            </w:tcBorders>
          </w:tcPr>
          <w:p w14:paraId="7276FD4A">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47CCE98">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5DA64E5E">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vAlign w:val="center"/>
          </w:tcPr>
          <w:p w14:paraId="4A364590">
            <w:pPr>
              <w:pStyle w:val="55"/>
              <w:widowControl/>
              <w:numPr>
                <w:ilvl w:val="0"/>
                <w:numId w:val="66"/>
              </w:numPr>
              <w:ind w:firstLineChars="0"/>
              <w:jc w:val="center"/>
              <w:rPr>
                <w:rFonts w:ascii="宋体" w:hAnsi="宋体" w:eastAsia="宋体" w:cs="宋体"/>
                <w:color w:val="auto"/>
                <w:kern w:val="0"/>
                <w:szCs w:val="21"/>
                <w:highlight w:val="none"/>
              </w:rPr>
            </w:pPr>
          </w:p>
        </w:tc>
        <w:tc>
          <w:tcPr>
            <w:tcW w:w="1236" w:type="pct"/>
            <w:tcBorders>
              <w:top w:val="nil"/>
              <w:left w:val="nil"/>
              <w:bottom w:val="single" w:color="auto" w:sz="4" w:space="0"/>
              <w:right w:val="single" w:color="auto" w:sz="4" w:space="0"/>
            </w:tcBorders>
            <w:shd w:val="clear" w:color="auto" w:fill="auto"/>
            <w:vAlign w:val="center"/>
          </w:tcPr>
          <w:p w14:paraId="0475381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LCD尺寸</w:t>
            </w:r>
          </w:p>
        </w:tc>
        <w:tc>
          <w:tcPr>
            <w:tcW w:w="493" w:type="pct"/>
            <w:tcBorders>
              <w:top w:val="nil"/>
              <w:left w:val="nil"/>
              <w:bottom w:val="single" w:color="auto" w:sz="4" w:space="0"/>
              <w:right w:val="single" w:color="auto" w:sz="4" w:space="0"/>
            </w:tcBorders>
            <w:shd w:val="clear" w:color="auto" w:fill="auto"/>
            <w:noWrap/>
            <w:vAlign w:val="center"/>
          </w:tcPr>
          <w:p w14:paraId="39D411D0">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28C22637">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3A56F0E0">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538D329">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423FC65B">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73C94956">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6C490C1C">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LCD生产厂家</w:t>
            </w:r>
          </w:p>
        </w:tc>
        <w:tc>
          <w:tcPr>
            <w:tcW w:w="493" w:type="pct"/>
            <w:tcBorders>
              <w:top w:val="nil"/>
              <w:left w:val="nil"/>
              <w:bottom w:val="single" w:color="auto" w:sz="4" w:space="0"/>
              <w:right w:val="single" w:color="auto" w:sz="4" w:space="0"/>
            </w:tcBorders>
            <w:shd w:val="clear" w:color="auto" w:fill="auto"/>
            <w:noWrap/>
            <w:vAlign w:val="center"/>
          </w:tcPr>
          <w:p w14:paraId="1DC9C2CE">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5280C957">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7BCBD71F">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2649268">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071B21D5">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14B16F6C">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448E0BEE">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LCD分辨率</w:t>
            </w:r>
          </w:p>
        </w:tc>
        <w:tc>
          <w:tcPr>
            <w:tcW w:w="493" w:type="pct"/>
            <w:tcBorders>
              <w:top w:val="nil"/>
              <w:left w:val="nil"/>
              <w:bottom w:val="single" w:color="auto" w:sz="4" w:space="0"/>
              <w:right w:val="single" w:color="auto" w:sz="4" w:space="0"/>
            </w:tcBorders>
            <w:shd w:val="clear" w:color="auto" w:fill="auto"/>
            <w:noWrap/>
            <w:vAlign w:val="center"/>
          </w:tcPr>
          <w:p w14:paraId="1E8955DE">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5A927A0C">
            <w:pPr>
              <w:jc w:val="center"/>
              <w:rPr>
                <w:rFonts w:ascii="宋体" w:hAnsi="宋体" w:cs="宋体"/>
                <w:color w:val="auto"/>
                <w:kern w:val="0"/>
                <w:sz w:val="20"/>
                <w:highlight w:val="none"/>
              </w:rPr>
            </w:pPr>
            <w:r>
              <w:rPr>
                <w:rFonts w:hint="eastAsia" w:ascii="宋体" w:hAnsi="宋体" w:cs="宋体"/>
                <w:color w:val="auto"/>
                <w:kern w:val="0"/>
                <w:sz w:val="20"/>
                <w:highlight w:val="none"/>
              </w:rPr>
              <w:t>不低于</w:t>
            </w:r>
            <w:r>
              <w:rPr>
                <w:rFonts w:ascii="宋体" w:hAnsi="宋体" w:cs="宋体"/>
                <w:color w:val="auto"/>
                <w:kern w:val="0"/>
                <w:sz w:val="20"/>
                <w:highlight w:val="none"/>
              </w:rPr>
              <w:t>1680x1050@85Hz</w:t>
            </w:r>
          </w:p>
        </w:tc>
        <w:tc>
          <w:tcPr>
            <w:tcW w:w="987" w:type="pct"/>
            <w:tcBorders>
              <w:top w:val="single" w:color="auto" w:sz="4" w:space="0"/>
              <w:left w:val="nil"/>
              <w:bottom w:val="single" w:color="auto" w:sz="4" w:space="0"/>
              <w:right w:val="single" w:color="auto" w:sz="4" w:space="0"/>
            </w:tcBorders>
          </w:tcPr>
          <w:p w14:paraId="24452F2E">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AAA6F3D">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7EF6ABF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1ED50F73">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625C1C4F">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LCD刷新频率</w:t>
            </w:r>
          </w:p>
        </w:tc>
        <w:tc>
          <w:tcPr>
            <w:tcW w:w="493" w:type="pct"/>
            <w:tcBorders>
              <w:top w:val="nil"/>
              <w:left w:val="nil"/>
              <w:bottom w:val="single" w:color="auto" w:sz="4" w:space="0"/>
              <w:right w:val="single" w:color="auto" w:sz="4" w:space="0"/>
            </w:tcBorders>
            <w:shd w:val="clear" w:color="auto" w:fill="auto"/>
            <w:noWrap/>
            <w:vAlign w:val="center"/>
          </w:tcPr>
          <w:p w14:paraId="3BA9E41E">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ms</w:t>
            </w:r>
          </w:p>
        </w:tc>
        <w:tc>
          <w:tcPr>
            <w:tcW w:w="905" w:type="pct"/>
            <w:tcBorders>
              <w:top w:val="nil"/>
              <w:left w:val="nil"/>
              <w:bottom w:val="single" w:color="auto" w:sz="4" w:space="0"/>
              <w:right w:val="single" w:color="auto" w:sz="4" w:space="0"/>
            </w:tcBorders>
            <w:shd w:val="clear" w:color="auto" w:fill="auto"/>
            <w:noWrap/>
            <w:vAlign w:val="center"/>
          </w:tcPr>
          <w:p w14:paraId="1122EAE7">
            <w:pPr>
              <w:jc w:val="center"/>
              <w:rPr>
                <w:rFonts w:ascii="宋体" w:hAnsi="宋体" w:cs="宋体"/>
                <w:color w:val="auto"/>
                <w:kern w:val="0"/>
                <w:sz w:val="20"/>
                <w:highlight w:val="none"/>
              </w:rPr>
            </w:pPr>
            <w:r>
              <w:rPr>
                <w:rFonts w:hint="eastAsia" w:ascii="宋体" w:hAnsi="宋体" w:cs="宋体"/>
                <w:color w:val="auto"/>
                <w:kern w:val="0"/>
                <w:sz w:val="20"/>
                <w:highlight w:val="none"/>
              </w:rPr>
              <w:t>6</w:t>
            </w:r>
          </w:p>
        </w:tc>
        <w:tc>
          <w:tcPr>
            <w:tcW w:w="987" w:type="pct"/>
            <w:tcBorders>
              <w:top w:val="single" w:color="auto" w:sz="4" w:space="0"/>
              <w:left w:val="nil"/>
              <w:bottom w:val="single" w:color="auto" w:sz="4" w:space="0"/>
              <w:right w:val="single" w:color="auto" w:sz="4" w:space="0"/>
            </w:tcBorders>
          </w:tcPr>
          <w:p w14:paraId="63A842FE">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387D993">
            <w:pPr>
              <w:jc w:val="center"/>
              <w:rPr>
                <w:rFonts w:ascii="宋体" w:hAnsi="宋体" w:cs="宋体"/>
                <w:color w:val="auto"/>
                <w:kern w:val="0"/>
                <w:sz w:val="20"/>
                <w:highlight w:val="none"/>
              </w:rPr>
            </w:pPr>
            <w:r>
              <w:rPr>
                <w:rFonts w:hint="eastAsia" w:ascii="宋体" w:hAnsi="宋体" w:cs="宋体"/>
                <w:color w:val="auto"/>
                <w:kern w:val="0"/>
                <w:sz w:val="20"/>
                <w:highlight w:val="none"/>
              </w:rPr>
              <w:t>操作员站</w:t>
            </w:r>
          </w:p>
        </w:tc>
      </w:tr>
      <w:tr w14:paraId="7347C8FA">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4B1C70C4">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5D335A6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生产厂家</w:t>
            </w:r>
          </w:p>
        </w:tc>
        <w:tc>
          <w:tcPr>
            <w:tcW w:w="493" w:type="pct"/>
            <w:tcBorders>
              <w:top w:val="nil"/>
              <w:left w:val="nil"/>
              <w:bottom w:val="single" w:color="auto" w:sz="4" w:space="0"/>
              <w:right w:val="single" w:color="auto" w:sz="4" w:space="0"/>
            </w:tcBorders>
            <w:shd w:val="clear" w:color="auto" w:fill="auto"/>
            <w:noWrap/>
            <w:vAlign w:val="center"/>
          </w:tcPr>
          <w:p w14:paraId="6EB3B479">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1A2D5AAE">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浪潮、曙光、联想或相当于品牌</w:t>
            </w:r>
          </w:p>
        </w:tc>
        <w:tc>
          <w:tcPr>
            <w:tcW w:w="987" w:type="pct"/>
            <w:tcBorders>
              <w:top w:val="single" w:color="auto" w:sz="4" w:space="0"/>
              <w:left w:val="nil"/>
              <w:bottom w:val="single" w:color="auto" w:sz="4" w:space="0"/>
              <w:right w:val="single" w:color="auto" w:sz="4" w:space="0"/>
            </w:tcBorders>
          </w:tcPr>
          <w:p w14:paraId="2AC8AD93">
            <w:pPr>
              <w:widowControl/>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582E2A83">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工程师站</w:t>
            </w:r>
          </w:p>
        </w:tc>
      </w:tr>
      <w:tr w14:paraId="07728386">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6F651D0D">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488B6DE4">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CPU类型</w:t>
            </w:r>
          </w:p>
        </w:tc>
        <w:tc>
          <w:tcPr>
            <w:tcW w:w="493" w:type="pct"/>
            <w:tcBorders>
              <w:top w:val="nil"/>
              <w:left w:val="nil"/>
              <w:bottom w:val="single" w:color="auto" w:sz="4" w:space="0"/>
              <w:right w:val="single" w:color="auto" w:sz="4" w:space="0"/>
            </w:tcBorders>
            <w:shd w:val="clear" w:color="auto" w:fill="auto"/>
            <w:noWrap/>
            <w:vAlign w:val="center"/>
          </w:tcPr>
          <w:p w14:paraId="6E8991C1">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13E8821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w:t>
            </w:r>
            <w:r>
              <w:rPr>
                <w:rFonts w:ascii="宋体" w:hAnsi="宋体" w:cs="宋体"/>
                <w:color w:val="auto"/>
                <w:kern w:val="0"/>
                <w:sz w:val="20"/>
                <w:highlight w:val="none"/>
              </w:rPr>
              <w:t>64</w:t>
            </w:r>
            <w:r>
              <w:rPr>
                <w:rFonts w:hint="eastAsia" w:ascii="宋体" w:hAnsi="宋体" w:cs="宋体"/>
                <w:color w:val="auto"/>
                <w:kern w:val="0"/>
                <w:sz w:val="20"/>
                <w:highlight w:val="none"/>
              </w:rPr>
              <w:t>位</w:t>
            </w:r>
          </w:p>
        </w:tc>
        <w:tc>
          <w:tcPr>
            <w:tcW w:w="987" w:type="pct"/>
            <w:tcBorders>
              <w:top w:val="single" w:color="auto" w:sz="4" w:space="0"/>
              <w:left w:val="nil"/>
              <w:bottom w:val="single" w:color="auto" w:sz="4" w:space="0"/>
              <w:right w:val="single" w:color="auto" w:sz="4" w:space="0"/>
            </w:tcBorders>
          </w:tcPr>
          <w:p w14:paraId="0F4314A1">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351D3F3">
            <w:pPr>
              <w:jc w:val="center"/>
              <w:rPr>
                <w:color w:val="auto"/>
                <w:highlight w:val="none"/>
              </w:rPr>
            </w:pPr>
            <w:r>
              <w:rPr>
                <w:rFonts w:hint="eastAsia" w:ascii="宋体" w:hAnsi="宋体" w:cs="宋体"/>
                <w:color w:val="auto"/>
                <w:kern w:val="0"/>
                <w:sz w:val="20"/>
                <w:highlight w:val="none"/>
              </w:rPr>
              <w:t>工程师站</w:t>
            </w:r>
          </w:p>
        </w:tc>
      </w:tr>
      <w:tr w14:paraId="79B2020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7F483834">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5BABE731">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CPU主频</w:t>
            </w:r>
          </w:p>
        </w:tc>
        <w:tc>
          <w:tcPr>
            <w:tcW w:w="493" w:type="pct"/>
            <w:tcBorders>
              <w:top w:val="nil"/>
              <w:left w:val="nil"/>
              <w:bottom w:val="single" w:color="auto" w:sz="4" w:space="0"/>
              <w:right w:val="single" w:color="auto" w:sz="4" w:space="0"/>
            </w:tcBorders>
            <w:shd w:val="clear" w:color="auto" w:fill="auto"/>
            <w:noWrap/>
            <w:vAlign w:val="center"/>
          </w:tcPr>
          <w:p w14:paraId="1DA34B28">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GHz</w:t>
            </w:r>
          </w:p>
        </w:tc>
        <w:tc>
          <w:tcPr>
            <w:tcW w:w="905" w:type="pct"/>
            <w:tcBorders>
              <w:top w:val="nil"/>
              <w:left w:val="nil"/>
              <w:bottom w:val="single" w:color="auto" w:sz="4" w:space="0"/>
              <w:right w:val="single" w:color="auto" w:sz="4" w:space="0"/>
            </w:tcBorders>
            <w:shd w:val="clear" w:color="auto" w:fill="auto"/>
            <w:noWrap/>
            <w:vAlign w:val="center"/>
          </w:tcPr>
          <w:p w14:paraId="2B1AB1B8">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≥2.53四核</w:t>
            </w:r>
          </w:p>
        </w:tc>
        <w:tc>
          <w:tcPr>
            <w:tcW w:w="987" w:type="pct"/>
            <w:tcBorders>
              <w:top w:val="single" w:color="auto" w:sz="4" w:space="0"/>
              <w:left w:val="nil"/>
              <w:bottom w:val="single" w:color="auto" w:sz="4" w:space="0"/>
              <w:right w:val="single" w:color="auto" w:sz="4" w:space="0"/>
            </w:tcBorders>
          </w:tcPr>
          <w:p w14:paraId="1F523F3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5DB885E">
            <w:pPr>
              <w:jc w:val="center"/>
              <w:rPr>
                <w:color w:val="auto"/>
                <w:highlight w:val="none"/>
              </w:rPr>
            </w:pPr>
            <w:r>
              <w:rPr>
                <w:rFonts w:hint="eastAsia" w:ascii="宋体" w:hAnsi="宋体" w:cs="宋体"/>
                <w:color w:val="auto"/>
                <w:kern w:val="0"/>
                <w:sz w:val="20"/>
                <w:highlight w:val="none"/>
              </w:rPr>
              <w:t>工程师站</w:t>
            </w:r>
          </w:p>
        </w:tc>
      </w:tr>
      <w:tr w14:paraId="49E9118A">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017DCC75">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1FCAD43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RAM容量</w:t>
            </w:r>
          </w:p>
        </w:tc>
        <w:tc>
          <w:tcPr>
            <w:tcW w:w="493" w:type="pct"/>
            <w:tcBorders>
              <w:top w:val="nil"/>
              <w:left w:val="nil"/>
              <w:bottom w:val="single" w:color="auto" w:sz="4" w:space="0"/>
              <w:right w:val="single" w:color="auto" w:sz="4" w:space="0"/>
            </w:tcBorders>
            <w:shd w:val="clear" w:color="auto" w:fill="auto"/>
            <w:noWrap/>
            <w:vAlign w:val="center"/>
          </w:tcPr>
          <w:p w14:paraId="38A854CA">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w:t>
            </w:r>
            <w:r>
              <w:rPr>
                <w:rFonts w:ascii="宋体" w:hAnsi="宋体" w:cs="宋体"/>
                <w:color w:val="auto"/>
                <w:kern w:val="0"/>
                <w:sz w:val="20"/>
                <w:highlight w:val="none"/>
              </w:rPr>
              <w:t>B</w:t>
            </w:r>
          </w:p>
        </w:tc>
        <w:tc>
          <w:tcPr>
            <w:tcW w:w="905" w:type="pct"/>
            <w:tcBorders>
              <w:top w:val="nil"/>
              <w:left w:val="nil"/>
              <w:bottom w:val="single" w:color="auto" w:sz="4" w:space="0"/>
              <w:right w:val="single" w:color="auto" w:sz="4" w:space="0"/>
            </w:tcBorders>
            <w:shd w:val="clear" w:color="auto" w:fill="auto"/>
            <w:noWrap/>
            <w:vAlign w:val="center"/>
          </w:tcPr>
          <w:p w14:paraId="62AEF92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≥4 DDR3</w:t>
            </w:r>
          </w:p>
        </w:tc>
        <w:tc>
          <w:tcPr>
            <w:tcW w:w="987" w:type="pct"/>
            <w:tcBorders>
              <w:top w:val="single" w:color="auto" w:sz="4" w:space="0"/>
              <w:left w:val="nil"/>
              <w:bottom w:val="single" w:color="auto" w:sz="4" w:space="0"/>
              <w:right w:val="single" w:color="auto" w:sz="4" w:space="0"/>
            </w:tcBorders>
          </w:tcPr>
          <w:p w14:paraId="604164A3">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14D79DC">
            <w:pPr>
              <w:jc w:val="center"/>
              <w:rPr>
                <w:color w:val="auto"/>
                <w:highlight w:val="none"/>
              </w:rPr>
            </w:pPr>
            <w:r>
              <w:rPr>
                <w:rFonts w:hint="eastAsia" w:ascii="宋体" w:hAnsi="宋体" w:cs="宋体"/>
                <w:color w:val="auto"/>
                <w:kern w:val="0"/>
                <w:sz w:val="20"/>
                <w:highlight w:val="none"/>
              </w:rPr>
              <w:t>工程师站</w:t>
            </w:r>
          </w:p>
        </w:tc>
      </w:tr>
      <w:tr w14:paraId="76561D2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7A624EE9">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5736DEA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硬盘容量</w:t>
            </w:r>
          </w:p>
        </w:tc>
        <w:tc>
          <w:tcPr>
            <w:tcW w:w="493" w:type="pct"/>
            <w:tcBorders>
              <w:top w:val="nil"/>
              <w:left w:val="nil"/>
              <w:bottom w:val="single" w:color="auto" w:sz="4" w:space="0"/>
              <w:right w:val="single" w:color="auto" w:sz="4" w:space="0"/>
            </w:tcBorders>
            <w:shd w:val="clear" w:color="auto" w:fill="auto"/>
            <w:noWrap/>
            <w:vAlign w:val="center"/>
          </w:tcPr>
          <w:p w14:paraId="0968E099">
            <w:pPr>
              <w:widowControl/>
              <w:jc w:val="center"/>
              <w:rPr>
                <w:rFonts w:ascii="宋体" w:hAnsi="宋体" w:cs="宋体"/>
                <w:color w:val="auto"/>
                <w:kern w:val="0"/>
                <w:sz w:val="20"/>
                <w:highlight w:val="none"/>
              </w:rPr>
            </w:pPr>
            <w:r>
              <w:rPr>
                <w:rFonts w:ascii="宋体" w:hAnsi="宋体" w:cs="宋体"/>
                <w:color w:val="auto"/>
                <w:kern w:val="0"/>
                <w:sz w:val="20"/>
                <w:highlight w:val="none"/>
              </w:rPr>
              <w:t>GB</w:t>
            </w:r>
          </w:p>
        </w:tc>
        <w:tc>
          <w:tcPr>
            <w:tcW w:w="905" w:type="pct"/>
            <w:tcBorders>
              <w:top w:val="nil"/>
              <w:left w:val="nil"/>
              <w:bottom w:val="single" w:color="auto" w:sz="4" w:space="0"/>
              <w:right w:val="single" w:color="auto" w:sz="4" w:space="0"/>
            </w:tcBorders>
            <w:shd w:val="clear" w:color="auto" w:fill="auto"/>
            <w:noWrap/>
            <w:vAlign w:val="center"/>
          </w:tcPr>
          <w:p w14:paraId="7ADB55B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≥500</w:t>
            </w:r>
          </w:p>
        </w:tc>
        <w:tc>
          <w:tcPr>
            <w:tcW w:w="987" w:type="pct"/>
            <w:tcBorders>
              <w:top w:val="single" w:color="auto" w:sz="4" w:space="0"/>
              <w:left w:val="nil"/>
              <w:bottom w:val="single" w:color="auto" w:sz="4" w:space="0"/>
              <w:right w:val="single" w:color="auto" w:sz="4" w:space="0"/>
            </w:tcBorders>
          </w:tcPr>
          <w:p w14:paraId="376C68E3">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EB8B628">
            <w:pPr>
              <w:jc w:val="center"/>
              <w:rPr>
                <w:color w:val="auto"/>
                <w:highlight w:val="none"/>
              </w:rPr>
            </w:pPr>
            <w:r>
              <w:rPr>
                <w:rFonts w:hint="eastAsia" w:ascii="宋体" w:hAnsi="宋体" w:cs="宋体"/>
                <w:color w:val="auto"/>
                <w:kern w:val="0"/>
                <w:sz w:val="20"/>
                <w:highlight w:val="none"/>
              </w:rPr>
              <w:t>工程师站</w:t>
            </w:r>
          </w:p>
        </w:tc>
      </w:tr>
      <w:tr w14:paraId="34FB1100">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2932B5B0">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67609C6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操作系统</w:t>
            </w:r>
          </w:p>
        </w:tc>
        <w:tc>
          <w:tcPr>
            <w:tcW w:w="493" w:type="pct"/>
            <w:tcBorders>
              <w:top w:val="nil"/>
              <w:left w:val="nil"/>
              <w:bottom w:val="single" w:color="auto" w:sz="4" w:space="0"/>
              <w:right w:val="single" w:color="auto" w:sz="4" w:space="0"/>
            </w:tcBorders>
            <w:shd w:val="clear" w:color="auto" w:fill="auto"/>
            <w:noWrap/>
            <w:vAlign w:val="center"/>
          </w:tcPr>
          <w:p w14:paraId="1A8C5244">
            <w:pPr>
              <w:widowControl/>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0C7D57D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国产安全操作系统</w:t>
            </w:r>
          </w:p>
        </w:tc>
        <w:tc>
          <w:tcPr>
            <w:tcW w:w="987" w:type="pct"/>
            <w:tcBorders>
              <w:top w:val="single" w:color="auto" w:sz="4" w:space="0"/>
              <w:left w:val="nil"/>
              <w:bottom w:val="single" w:color="auto" w:sz="4" w:space="0"/>
              <w:right w:val="single" w:color="auto" w:sz="4" w:space="0"/>
            </w:tcBorders>
          </w:tcPr>
          <w:p w14:paraId="6BE9F892">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B0CB506">
            <w:pPr>
              <w:jc w:val="center"/>
              <w:rPr>
                <w:color w:val="auto"/>
                <w:highlight w:val="none"/>
              </w:rPr>
            </w:pPr>
            <w:r>
              <w:rPr>
                <w:rFonts w:hint="eastAsia" w:ascii="宋体" w:hAnsi="宋体" w:cs="宋体"/>
                <w:color w:val="auto"/>
                <w:kern w:val="0"/>
                <w:sz w:val="20"/>
                <w:highlight w:val="none"/>
              </w:rPr>
              <w:t>工程师站</w:t>
            </w:r>
          </w:p>
        </w:tc>
      </w:tr>
      <w:tr w14:paraId="54520CB0">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05357A9B">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51B890B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LCD尺寸</w:t>
            </w:r>
          </w:p>
        </w:tc>
        <w:tc>
          <w:tcPr>
            <w:tcW w:w="493" w:type="pct"/>
            <w:tcBorders>
              <w:top w:val="nil"/>
              <w:left w:val="nil"/>
              <w:bottom w:val="single" w:color="auto" w:sz="4" w:space="0"/>
              <w:right w:val="single" w:color="auto" w:sz="4" w:space="0"/>
            </w:tcBorders>
            <w:shd w:val="clear" w:color="auto" w:fill="auto"/>
            <w:noWrap/>
            <w:vAlign w:val="center"/>
          </w:tcPr>
          <w:p w14:paraId="1954A5E2">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0F720A52">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38C2843B">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7FC79209">
            <w:pPr>
              <w:jc w:val="center"/>
              <w:rPr>
                <w:color w:val="auto"/>
                <w:highlight w:val="none"/>
              </w:rPr>
            </w:pPr>
            <w:r>
              <w:rPr>
                <w:rFonts w:hint="eastAsia" w:ascii="宋体" w:hAnsi="宋体" w:cs="宋体"/>
                <w:color w:val="auto"/>
                <w:kern w:val="0"/>
                <w:sz w:val="20"/>
                <w:highlight w:val="none"/>
              </w:rPr>
              <w:t>工程师站</w:t>
            </w:r>
          </w:p>
        </w:tc>
      </w:tr>
      <w:tr w14:paraId="35ADCBE1">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5C9A1763">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13F8078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LCD生产厂家</w:t>
            </w:r>
          </w:p>
        </w:tc>
        <w:tc>
          <w:tcPr>
            <w:tcW w:w="493" w:type="pct"/>
            <w:tcBorders>
              <w:top w:val="nil"/>
              <w:left w:val="nil"/>
              <w:bottom w:val="single" w:color="auto" w:sz="4" w:space="0"/>
              <w:right w:val="single" w:color="auto" w:sz="4" w:space="0"/>
            </w:tcBorders>
            <w:shd w:val="clear" w:color="auto" w:fill="auto"/>
            <w:noWrap/>
            <w:vAlign w:val="center"/>
          </w:tcPr>
          <w:p w14:paraId="2744BFB7">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30985A56">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26E810D9">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94D797F">
            <w:pPr>
              <w:jc w:val="center"/>
              <w:rPr>
                <w:color w:val="auto"/>
                <w:highlight w:val="none"/>
              </w:rPr>
            </w:pPr>
            <w:r>
              <w:rPr>
                <w:rFonts w:hint="eastAsia" w:ascii="宋体" w:hAnsi="宋体" w:cs="宋体"/>
                <w:color w:val="auto"/>
                <w:kern w:val="0"/>
                <w:sz w:val="20"/>
                <w:highlight w:val="none"/>
              </w:rPr>
              <w:t>工程师站</w:t>
            </w:r>
          </w:p>
        </w:tc>
      </w:tr>
      <w:tr w14:paraId="097196B8">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15595A10">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5A53A539">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LCD分辨率</w:t>
            </w:r>
          </w:p>
        </w:tc>
        <w:tc>
          <w:tcPr>
            <w:tcW w:w="493" w:type="pct"/>
            <w:tcBorders>
              <w:top w:val="nil"/>
              <w:left w:val="nil"/>
              <w:bottom w:val="single" w:color="auto" w:sz="4" w:space="0"/>
              <w:right w:val="single" w:color="auto" w:sz="4" w:space="0"/>
            </w:tcBorders>
            <w:shd w:val="clear" w:color="auto" w:fill="auto"/>
            <w:noWrap/>
            <w:vAlign w:val="center"/>
          </w:tcPr>
          <w:p w14:paraId="0097892B">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5A0C5F9B">
            <w:pPr>
              <w:jc w:val="center"/>
              <w:rPr>
                <w:rFonts w:ascii="宋体" w:hAnsi="宋体" w:cs="宋体"/>
                <w:color w:val="auto"/>
                <w:kern w:val="0"/>
                <w:sz w:val="20"/>
                <w:highlight w:val="none"/>
              </w:rPr>
            </w:pPr>
            <w:r>
              <w:rPr>
                <w:rFonts w:hint="eastAsia" w:ascii="宋体" w:hAnsi="宋体" w:cs="宋体"/>
                <w:color w:val="auto"/>
                <w:kern w:val="0"/>
                <w:sz w:val="20"/>
                <w:highlight w:val="none"/>
              </w:rPr>
              <w:t>不低于</w:t>
            </w:r>
            <w:r>
              <w:rPr>
                <w:rFonts w:ascii="宋体" w:hAnsi="宋体" w:cs="宋体"/>
                <w:color w:val="auto"/>
                <w:kern w:val="0"/>
                <w:sz w:val="20"/>
                <w:highlight w:val="none"/>
              </w:rPr>
              <w:t>1680x1050@85Hz</w:t>
            </w:r>
          </w:p>
        </w:tc>
        <w:tc>
          <w:tcPr>
            <w:tcW w:w="987" w:type="pct"/>
            <w:tcBorders>
              <w:top w:val="single" w:color="auto" w:sz="4" w:space="0"/>
              <w:left w:val="nil"/>
              <w:bottom w:val="single" w:color="auto" w:sz="4" w:space="0"/>
              <w:right w:val="single" w:color="auto" w:sz="4" w:space="0"/>
            </w:tcBorders>
          </w:tcPr>
          <w:p w14:paraId="32E45282">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3320A0AE">
            <w:pPr>
              <w:jc w:val="center"/>
              <w:rPr>
                <w:color w:val="auto"/>
                <w:highlight w:val="none"/>
              </w:rPr>
            </w:pPr>
            <w:r>
              <w:rPr>
                <w:rFonts w:hint="eastAsia" w:ascii="宋体" w:hAnsi="宋体" w:cs="宋体"/>
                <w:color w:val="auto"/>
                <w:kern w:val="0"/>
                <w:sz w:val="20"/>
                <w:highlight w:val="none"/>
              </w:rPr>
              <w:t>工程师站</w:t>
            </w:r>
          </w:p>
        </w:tc>
      </w:tr>
      <w:tr w14:paraId="6B01CC02">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31AD41A3">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340B447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LCD刷新频率</w:t>
            </w:r>
          </w:p>
        </w:tc>
        <w:tc>
          <w:tcPr>
            <w:tcW w:w="493" w:type="pct"/>
            <w:tcBorders>
              <w:top w:val="nil"/>
              <w:left w:val="nil"/>
              <w:bottom w:val="single" w:color="auto" w:sz="4" w:space="0"/>
              <w:right w:val="single" w:color="auto" w:sz="4" w:space="0"/>
            </w:tcBorders>
            <w:shd w:val="clear" w:color="auto" w:fill="auto"/>
            <w:noWrap/>
            <w:vAlign w:val="center"/>
          </w:tcPr>
          <w:p w14:paraId="6A6E6CFE">
            <w:pPr>
              <w:spacing w:before="60" w:after="60" w:line="360" w:lineRule="auto"/>
              <w:jc w:val="center"/>
              <w:rPr>
                <w:rFonts w:ascii="宋体" w:hAnsi="宋体" w:cs="宋体"/>
                <w:color w:val="auto"/>
                <w:kern w:val="0"/>
                <w:sz w:val="20"/>
                <w:highlight w:val="none"/>
              </w:rPr>
            </w:pPr>
            <w:r>
              <w:rPr>
                <w:rFonts w:ascii="宋体" w:hAnsi="宋体" w:cs="宋体"/>
                <w:color w:val="auto"/>
                <w:kern w:val="0"/>
                <w:sz w:val="20"/>
                <w:highlight w:val="none"/>
              </w:rPr>
              <w:t>ms</w:t>
            </w:r>
          </w:p>
        </w:tc>
        <w:tc>
          <w:tcPr>
            <w:tcW w:w="905" w:type="pct"/>
            <w:tcBorders>
              <w:top w:val="nil"/>
              <w:left w:val="nil"/>
              <w:bottom w:val="single" w:color="auto" w:sz="4" w:space="0"/>
              <w:right w:val="single" w:color="auto" w:sz="4" w:space="0"/>
            </w:tcBorders>
            <w:shd w:val="clear" w:color="auto" w:fill="auto"/>
            <w:noWrap/>
            <w:vAlign w:val="center"/>
          </w:tcPr>
          <w:p w14:paraId="21ED0AFD">
            <w:pPr>
              <w:jc w:val="center"/>
              <w:rPr>
                <w:rFonts w:ascii="宋体" w:hAnsi="宋体" w:cs="宋体"/>
                <w:color w:val="auto"/>
                <w:kern w:val="0"/>
                <w:sz w:val="20"/>
                <w:highlight w:val="none"/>
              </w:rPr>
            </w:pPr>
            <w:r>
              <w:rPr>
                <w:rFonts w:hint="eastAsia" w:ascii="宋体" w:hAnsi="宋体" w:cs="宋体"/>
                <w:color w:val="auto"/>
                <w:kern w:val="0"/>
                <w:sz w:val="20"/>
                <w:highlight w:val="none"/>
              </w:rPr>
              <w:t>6</w:t>
            </w:r>
          </w:p>
        </w:tc>
        <w:tc>
          <w:tcPr>
            <w:tcW w:w="987" w:type="pct"/>
            <w:tcBorders>
              <w:top w:val="single" w:color="auto" w:sz="4" w:space="0"/>
              <w:left w:val="nil"/>
              <w:bottom w:val="single" w:color="auto" w:sz="4" w:space="0"/>
              <w:right w:val="single" w:color="auto" w:sz="4" w:space="0"/>
            </w:tcBorders>
          </w:tcPr>
          <w:p w14:paraId="56F42CC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282F1E14">
            <w:pPr>
              <w:jc w:val="center"/>
              <w:rPr>
                <w:color w:val="auto"/>
                <w:highlight w:val="none"/>
              </w:rPr>
            </w:pPr>
            <w:r>
              <w:rPr>
                <w:rFonts w:hint="eastAsia" w:ascii="宋体" w:hAnsi="宋体" w:cs="宋体"/>
                <w:color w:val="auto"/>
                <w:kern w:val="0"/>
                <w:sz w:val="20"/>
                <w:highlight w:val="none"/>
              </w:rPr>
              <w:t>工程师站</w:t>
            </w:r>
          </w:p>
        </w:tc>
      </w:tr>
      <w:tr w14:paraId="76C34B43">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42EB183F">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5D4F2C7B">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生产厂家</w:t>
            </w:r>
          </w:p>
        </w:tc>
        <w:tc>
          <w:tcPr>
            <w:tcW w:w="493" w:type="pct"/>
            <w:tcBorders>
              <w:top w:val="nil"/>
              <w:left w:val="nil"/>
              <w:bottom w:val="single" w:color="auto" w:sz="4" w:space="0"/>
              <w:right w:val="single" w:color="auto" w:sz="4" w:space="0"/>
            </w:tcBorders>
            <w:shd w:val="clear" w:color="auto" w:fill="auto"/>
            <w:noWrap/>
            <w:vAlign w:val="center"/>
          </w:tcPr>
          <w:p w14:paraId="6C6E1260">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3467EC6C">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563436B6">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EAC124D">
            <w:pPr>
              <w:jc w:val="center"/>
              <w:rPr>
                <w:rFonts w:ascii="宋体" w:hAnsi="宋体" w:cs="宋体"/>
                <w:color w:val="auto"/>
                <w:kern w:val="0"/>
                <w:sz w:val="20"/>
                <w:highlight w:val="none"/>
              </w:rPr>
            </w:pPr>
            <w:r>
              <w:rPr>
                <w:rFonts w:hint="eastAsia" w:ascii="宋体" w:hAnsi="宋体" w:cs="宋体"/>
                <w:color w:val="auto"/>
                <w:kern w:val="0"/>
                <w:sz w:val="20"/>
                <w:highlight w:val="none"/>
              </w:rPr>
              <w:t>远动通信装置</w:t>
            </w:r>
          </w:p>
        </w:tc>
      </w:tr>
      <w:tr w14:paraId="56A9B6F2">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31CECE4B">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010C71CE">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CPU类型</w:t>
            </w:r>
          </w:p>
        </w:tc>
        <w:tc>
          <w:tcPr>
            <w:tcW w:w="493" w:type="pct"/>
            <w:tcBorders>
              <w:top w:val="nil"/>
              <w:left w:val="nil"/>
              <w:bottom w:val="single" w:color="auto" w:sz="4" w:space="0"/>
              <w:right w:val="single" w:color="auto" w:sz="4" w:space="0"/>
            </w:tcBorders>
            <w:shd w:val="clear" w:color="auto" w:fill="auto"/>
            <w:noWrap/>
            <w:vAlign w:val="center"/>
          </w:tcPr>
          <w:p w14:paraId="268441EA">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位</w:t>
            </w:r>
          </w:p>
        </w:tc>
        <w:tc>
          <w:tcPr>
            <w:tcW w:w="905" w:type="pct"/>
            <w:tcBorders>
              <w:top w:val="nil"/>
              <w:left w:val="nil"/>
              <w:bottom w:val="single" w:color="auto" w:sz="4" w:space="0"/>
              <w:right w:val="single" w:color="auto" w:sz="4" w:space="0"/>
            </w:tcBorders>
            <w:shd w:val="clear" w:color="auto" w:fill="auto"/>
            <w:noWrap/>
            <w:vAlign w:val="center"/>
          </w:tcPr>
          <w:p w14:paraId="04AD65FC">
            <w:pPr>
              <w:jc w:val="center"/>
              <w:rPr>
                <w:rFonts w:ascii="宋体" w:hAnsi="宋体" w:cs="宋体"/>
                <w:color w:val="auto"/>
                <w:kern w:val="0"/>
                <w:sz w:val="20"/>
                <w:highlight w:val="none"/>
              </w:rPr>
            </w:pPr>
            <w:r>
              <w:rPr>
                <w:rFonts w:ascii="宋体" w:hAnsi="宋体" w:cs="宋体"/>
                <w:color w:val="auto"/>
                <w:kern w:val="0"/>
                <w:sz w:val="20"/>
                <w:highlight w:val="none"/>
              </w:rPr>
              <w:sym w:font="Symbol" w:char="F0B3"/>
            </w:r>
            <w:r>
              <w:rPr>
                <w:rFonts w:ascii="宋体" w:hAnsi="宋体" w:cs="宋体"/>
                <w:color w:val="auto"/>
                <w:kern w:val="0"/>
                <w:sz w:val="20"/>
                <w:highlight w:val="none"/>
              </w:rPr>
              <w:t>32</w:t>
            </w:r>
          </w:p>
        </w:tc>
        <w:tc>
          <w:tcPr>
            <w:tcW w:w="987" w:type="pct"/>
            <w:tcBorders>
              <w:top w:val="single" w:color="auto" w:sz="4" w:space="0"/>
              <w:left w:val="nil"/>
              <w:bottom w:val="single" w:color="auto" w:sz="4" w:space="0"/>
              <w:right w:val="single" w:color="auto" w:sz="4" w:space="0"/>
            </w:tcBorders>
          </w:tcPr>
          <w:p w14:paraId="21F4F6E4">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1A04DB71">
            <w:pPr>
              <w:jc w:val="center"/>
              <w:rPr>
                <w:rFonts w:ascii="宋体" w:hAnsi="宋体" w:cs="宋体"/>
                <w:color w:val="auto"/>
                <w:kern w:val="0"/>
                <w:sz w:val="20"/>
                <w:highlight w:val="none"/>
              </w:rPr>
            </w:pPr>
            <w:r>
              <w:rPr>
                <w:rFonts w:hint="eastAsia" w:ascii="宋体" w:hAnsi="宋体" w:cs="宋体"/>
                <w:color w:val="auto"/>
                <w:kern w:val="0"/>
                <w:sz w:val="20"/>
                <w:highlight w:val="none"/>
              </w:rPr>
              <w:t>远动通信装置</w:t>
            </w:r>
          </w:p>
        </w:tc>
      </w:tr>
      <w:tr w14:paraId="131F1E58">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63DDB769">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333B28B5">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CPU频率</w:t>
            </w:r>
          </w:p>
        </w:tc>
        <w:tc>
          <w:tcPr>
            <w:tcW w:w="493" w:type="pct"/>
            <w:tcBorders>
              <w:top w:val="nil"/>
              <w:left w:val="nil"/>
              <w:bottom w:val="single" w:color="auto" w:sz="4" w:space="0"/>
              <w:right w:val="single" w:color="auto" w:sz="4" w:space="0"/>
            </w:tcBorders>
            <w:shd w:val="clear" w:color="auto" w:fill="auto"/>
            <w:noWrap/>
            <w:vAlign w:val="center"/>
          </w:tcPr>
          <w:p w14:paraId="5CA08EF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MHz</w:t>
            </w:r>
          </w:p>
        </w:tc>
        <w:tc>
          <w:tcPr>
            <w:tcW w:w="905" w:type="pct"/>
            <w:tcBorders>
              <w:top w:val="nil"/>
              <w:left w:val="nil"/>
              <w:bottom w:val="single" w:color="auto" w:sz="4" w:space="0"/>
              <w:right w:val="single" w:color="auto" w:sz="4" w:space="0"/>
            </w:tcBorders>
            <w:shd w:val="clear" w:color="auto" w:fill="auto"/>
            <w:noWrap/>
            <w:vAlign w:val="center"/>
          </w:tcPr>
          <w:p w14:paraId="4B70B9DE">
            <w:pPr>
              <w:jc w:val="center"/>
              <w:rPr>
                <w:rFonts w:ascii="宋体" w:hAnsi="宋体" w:cs="宋体"/>
                <w:color w:val="auto"/>
                <w:kern w:val="0"/>
                <w:sz w:val="20"/>
                <w:highlight w:val="none"/>
              </w:rPr>
            </w:pPr>
            <w:r>
              <w:rPr>
                <w:rFonts w:hint="eastAsia" w:ascii="宋体" w:hAnsi="宋体" w:cs="宋体"/>
                <w:color w:val="auto"/>
                <w:kern w:val="0"/>
                <w:sz w:val="20"/>
                <w:highlight w:val="none"/>
              </w:rPr>
              <w:t>主频&gt;600</w:t>
            </w:r>
          </w:p>
        </w:tc>
        <w:tc>
          <w:tcPr>
            <w:tcW w:w="987" w:type="pct"/>
            <w:tcBorders>
              <w:top w:val="single" w:color="auto" w:sz="4" w:space="0"/>
              <w:left w:val="nil"/>
              <w:bottom w:val="single" w:color="auto" w:sz="4" w:space="0"/>
              <w:right w:val="single" w:color="auto" w:sz="4" w:space="0"/>
            </w:tcBorders>
          </w:tcPr>
          <w:p w14:paraId="4644BF04">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F6BC012">
            <w:pPr>
              <w:jc w:val="center"/>
              <w:rPr>
                <w:rFonts w:ascii="宋体" w:hAnsi="宋体" w:cs="宋体"/>
                <w:color w:val="auto"/>
                <w:kern w:val="0"/>
                <w:sz w:val="20"/>
                <w:highlight w:val="none"/>
              </w:rPr>
            </w:pPr>
            <w:r>
              <w:rPr>
                <w:rFonts w:hint="eastAsia" w:ascii="宋体" w:hAnsi="宋体" w:cs="宋体"/>
                <w:color w:val="auto"/>
                <w:kern w:val="0"/>
                <w:sz w:val="20"/>
                <w:highlight w:val="none"/>
              </w:rPr>
              <w:t>远动通信装置</w:t>
            </w:r>
          </w:p>
        </w:tc>
      </w:tr>
      <w:tr w14:paraId="791403B4">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28E24AB3">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605FC18D">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存储容量：</w:t>
            </w:r>
          </w:p>
        </w:tc>
        <w:tc>
          <w:tcPr>
            <w:tcW w:w="493" w:type="pct"/>
            <w:tcBorders>
              <w:top w:val="nil"/>
              <w:left w:val="nil"/>
              <w:bottom w:val="single" w:color="auto" w:sz="4" w:space="0"/>
              <w:right w:val="single" w:color="auto" w:sz="4" w:space="0"/>
            </w:tcBorders>
            <w:shd w:val="clear" w:color="auto" w:fill="auto"/>
            <w:noWrap/>
            <w:vAlign w:val="center"/>
          </w:tcPr>
          <w:p w14:paraId="3F1CFC02">
            <w:pPr>
              <w:spacing w:before="60" w:after="60" w:line="360" w:lineRule="auto"/>
              <w:jc w:val="center"/>
              <w:rPr>
                <w:rFonts w:ascii="宋体" w:hAnsi="宋体" w:cs="宋体"/>
                <w:color w:val="auto"/>
                <w:kern w:val="0"/>
                <w:sz w:val="20"/>
                <w:highlight w:val="none"/>
              </w:rPr>
            </w:pPr>
          </w:p>
        </w:tc>
        <w:tc>
          <w:tcPr>
            <w:tcW w:w="905" w:type="pct"/>
            <w:tcBorders>
              <w:top w:val="nil"/>
              <w:left w:val="nil"/>
              <w:bottom w:val="single" w:color="auto" w:sz="4" w:space="0"/>
              <w:right w:val="single" w:color="auto" w:sz="4" w:space="0"/>
            </w:tcBorders>
            <w:shd w:val="clear" w:color="auto" w:fill="auto"/>
            <w:noWrap/>
            <w:vAlign w:val="center"/>
          </w:tcPr>
          <w:p w14:paraId="236673B5">
            <w:pPr>
              <w:jc w:val="center"/>
              <w:rPr>
                <w:rFonts w:ascii="宋体" w:hAnsi="宋体" w:cs="宋体"/>
                <w:color w:val="auto"/>
                <w:kern w:val="0"/>
                <w:sz w:val="20"/>
                <w:highlight w:val="none"/>
              </w:rPr>
            </w:pPr>
          </w:p>
        </w:tc>
        <w:tc>
          <w:tcPr>
            <w:tcW w:w="987" w:type="pct"/>
            <w:tcBorders>
              <w:top w:val="single" w:color="auto" w:sz="4" w:space="0"/>
              <w:left w:val="nil"/>
              <w:bottom w:val="single" w:color="auto" w:sz="4" w:space="0"/>
              <w:right w:val="single" w:color="auto" w:sz="4" w:space="0"/>
            </w:tcBorders>
          </w:tcPr>
          <w:p w14:paraId="11DF938D">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0F05A8CA">
            <w:pPr>
              <w:jc w:val="center"/>
              <w:rPr>
                <w:rFonts w:ascii="宋体" w:hAnsi="宋体" w:cs="宋体"/>
                <w:color w:val="auto"/>
                <w:kern w:val="0"/>
                <w:sz w:val="20"/>
                <w:highlight w:val="none"/>
              </w:rPr>
            </w:pPr>
            <w:r>
              <w:rPr>
                <w:rFonts w:hint="eastAsia" w:ascii="宋体" w:hAnsi="宋体" w:cs="宋体"/>
                <w:color w:val="auto"/>
                <w:kern w:val="0"/>
                <w:sz w:val="20"/>
                <w:highlight w:val="none"/>
              </w:rPr>
              <w:t>远动通信装置</w:t>
            </w:r>
          </w:p>
        </w:tc>
      </w:tr>
      <w:tr w14:paraId="48AA5F68">
        <w:tblPrEx>
          <w:tblCellMar>
            <w:top w:w="0" w:type="dxa"/>
            <w:left w:w="108" w:type="dxa"/>
            <w:bottom w:w="0" w:type="dxa"/>
            <w:right w:w="108" w:type="dxa"/>
          </w:tblCellMar>
        </w:tblPrEx>
        <w:trPr>
          <w:trHeight w:val="328" w:hRule="atLeast"/>
        </w:trPr>
        <w:tc>
          <w:tcPr>
            <w:tcW w:w="391" w:type="pct"/>
            <w:tcBorders>
              <w:top w:val="nil"/>
              <w:left w:val="single" w:color="auto" w:sz="4" w:space="0"/>
              <w:bottom w:val="single" w:color="auto" w:sz="4" w:space="0"/>
              <w:right w:val="single" w:color="auto" w:sz="4" w:space="0"/>
            </w:tcBorders>
            <w:shd w:val="clear" w:color="auto" w:fill="auto"/>
            <w:noWrap/>
            <w:vAlign w:val="center"/>
          </w:tcPr>
          <w:p w14:paraId="7DFF3464">
            <w:pPr>
              <w:pStyle w:val="55"/>
              <w:widowControl/>
              <w:numPr>
                <w:ilvl w:val="0"/>
                <w:numId w:val="66"/>
              </w:numPr>
              <w:ind w:firstLineChars="0"/>
              <w:jc w:val="center"/>
              <w:rPr>
                <w:rFonts w:ascii="宋体" w:hAnsi="宋体" w:eastAsia="宋体" w:cs="宋体"/>
                <w:color w:val="auto"/>
                <w:kern w:val="0"/>
                <w:sz w:val="22"/>
                <w:highlight w:val="none"/>
              </w:rPr>
            </w:pPr>
          </w:p>
        </w:tc>
        <w:tc>
          <w:tcPr>
            <w:tcW w:w="1236" w:type="pct"/>
            <w:tcBorders>
              <w:top w:val="nil"/>
              <w:left w:val="nil"/>
              <w:bottom w:val="single" w:color="auto" w:sz="4" w:space="0"/>
              <w:right w:val="single" w:color="auto" w:sz="4" w:space="0"/>
            </w:tcBorders>
            <w:shd w:val="clear" w:color="auto" w:fill="auto"/>
            <w:noWrap/>
            <w:vAlign w:val="center"/>
          </w:tcPr>
          <w:p w14:paraId="3D77D1A3">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RAM容量</w:t>
            </w:r>
          </w:p>
        </w:tc>
        <w:tc>
          <w:tcPr>
            <w:tcW w:w="493" w:type="pct"/>
            <w:tcBorders>
              <w:top w:val="nil"/>
              <w:left w:val="nil"/>
              <w:bottom w:val="single" w:color="auto" w:sz="4" w:space="0"/>
              <w:right w:val="single" w:color="auto" w:sz="4" w:space="0"/>
            </w:tcBorders>
            <w:shd w:val="clear" w:color="auto" w:fill="auto"/>
            <w:noWrap/>
            <w:vAlign w:val="center"/>
          </w:tcPr>
          <w:p w14:paraId="5912CBCE">
            <w:pPr>
              <w:widowControl/>
              <w:jc w:val="center"/>
              <w:rPr>
                <w:rFonts w:ascii="宋体" w:hAnsi="宋体" w:cs="宋体"/>
                <w:color w:val="auto"/>
                <w:kern w:val="0"/>
                <w:sz w:val="20"/>
                <w:highlight w:val="none"/>
              </w:rPr>
            </w:pPr>
            <w:r>
              <w:rPr>
                <w:rFonts w:hint="eastAsia" w:ascii="宋体" w:hAnsi="宋体" w:cs="宋体"/>
                <w:color w:val="auto"/>
                <w:kern w:val="0"/>
                <w:sz w:val="20"/>
                <w:highlight w:val="none"/>
              </w:rPr>
              <w:t>G</w:t>
            </w:r>
            <w:r>
              <w:rPr>
                <w:rFonts w:ascii="宋体" w:hAnsi="宋体" w:cs="宋体"/>
                <w:color w:val="auto"/>
                <w:kern w:val="0"/>
                <w:sz w:val="20"/>
                <w:highlight w:val="none"/>
              </w:rPr>
              <w:t>B</w:t>
            </w:r>
          </w:p>
        </w:tc>
        <w:tc>
          <w:tcPr>
            <w:tcW w:w="905" w:type="pct"/>
            <w:tcBorders>
              <w:top w:val="nil"/>
              <w:left w:val="nil"/>
              <w:bottom w:val="single" w:color="auto" w:sz="4" w:space="0"/>
              <w:right w:val="single" w:color="auto" w:sz="4" w:space="0"/>
            </w:tcBorders>
            <w:shd w:val="clear" w:color="auto" w:fill="auto"/>
            <w:noWrap/>
            <w:vAlign w:val="center"/>
          </w:tcPr>
          <w:p w14:paraId="59C97122">
            <w:pPr>
              <w:spacing w:before="60" w:after="60" w:line="360" w:lineRule="auto"/>
              <w:jc w:val="center"/>
              <w:rPr>
                <w:rFonts w:ascii="宋体" w:hAnsi="宋体" w:cs="宋体"/>
                <w:color w:val="auto"/>
                <w:kern w:val="0"/>
                <w:sz w:val="20"/>
                <w:highlight w:val="none"/>
              </w:rPr>
            </w:pPr>
            <w:r>
              <w:rPr>
                <w:rFonts w:hint="eastAsia" w:ascii="宋体" w:hAnsi="宋体" w:cs="宋体"/>
                <w:color w:val="auto"/>
                <w:kern w:val="0"/>
                <w:sz w:val="20"/>
                <w:highlight w:val="none"/>
              </w:rPr>
              <w:t>≥4，DDR3</w:t>
            </w:r>
          </w:p>
        </w:tc>
        <w:tc>
          <w:tcPr>
            <w:tcW w:w="987" w:type="pct"/>
            <w:tcBorders>
              <w:top w:val="single" w:color="auto" w:sz="4" w:space="0"/>
              <w:left w:val="nil"/>
              <w:bottom w:val="single" w:color="auto" w:sz="4" w:space="0"/>
              <w:right w:val="single" w:color="auto" w:sz="4" w:space="0"/>
            </w:tcBorders>
          </w:tcPr>
          <w:p w14:paraId="5D4B1502">
            <w:pPr>
              <w:jc w:val="center"/>
              <w:rPr>
                <w:rFonts w:ascii="宋体" w:hAnsi="宋体" w:cs="宋体"/>
                <w:color w:val="auto"/>
                <w:kern w:val="0"/>
                <w:sz w:val="20"/>
                <w:highlight w:val="none"/>
              </w:rPr>
            </w:pPr>
          </w:p>
        </w:tc>
        <w:tc>
          <w:tcPr>
            <w:tcW w:w="987" w:type="pct"/>
            <w:tcBorders>
              <w:top w:val="nil"/>
              <w:left w:val="single" w:color="auto" w:sz="4" w:space="0"/>
              <w:bottom w:val="single" w:color="auto" w:sz="4" w:space="0"/>
              <w:right w:val="single" w:color="auto" w:sz="4" w:space="0"/>
            </w:tcBorders>
            <w:shd w:val="clear" w:color="auto" w:fill="auto"/>
            <w:noWrap/>
            <w:vAlign w:val="center"/>
          </w:tcPr>
          <w:p w14:paraId="4CEF1FED">
            <w:pPr>
              <w:jc w:val="center"/>
              <w:rPr>
                <w:rFonts w:ascii="宋体" w:hAnsi="宋体" w:cs="宋体"/>
                <w:color w:val="auto"/>
                <w:kern w:val="0"/>
                <w:sz w:val="20"/>
                <w:highlight w:val="none"/>
              </w:rPr>
            </w:pPr>
            <w:r>
              <w:rPr>
                <w:rFonts w:hint="eastAsia" w:ascii="宋体" w:hAnsi="宋体" w:cs="宋体"/>
                <w:color w:val="auto"/>
                <w:kern w:val="0"/>
                <w:sz w:val="20"/>
                <w:highlight w:val="none"/>
              </w:rPr>
              <w:t>远动通信装置</w:t>
            </w:r>
          </w:p>
        </w:tc>
      </w:tr>
    </w:tbl>
    <w:p w14:paraId="6FE87D71">
      <w:pPr>
        <w:adjustRightInd w:val="0"/>
        <w:snapToGrid w:val="0"/>
        <w:spacing w:line="360" w:lineRule="auto"/>
        <w:rPr>
          <w:rFonts w:ascii="宋体" w:hAnsi="宋体"/>
          <w:b/>
          <w:color w:val="auto"/>
          <w:szCs w:val="28"/>
          <w:highlight w:val="none"/>
        </w:rPr>
      </w:pPr>
      <w:bookmarkStart w:id="57" w:name="_Toc227468214"/>
      <w:bookmarkStart w:id="58" w:name="_Toc72591623"/>
    </w:p>
    <w:p w14:paraId="06A9B537">
      <w:pPr>
        <w:adjustRightInd w:val="0"/>
        <w:snapToGrid w:val="0"/>
        <w:spacing w:line="360" w:lineRule="auto"/>
        <w:rPr>
          <w:rFonts w:ascii="宋体" w:hAnsi="宋体"/>
          <w:b/>
          <w:color w:val="auto"/>
          <w:szCs w:val="28"/>
          <w:highlight w:val="none"/>
        </w:rPr>
      </w:pPr>
      <w:r>
        <w:rPr>
          <w:rFonts w:ascii="宋体" w:hAnsi="宋体"/>
          <w:b/>
          <w:color w:val="auto"/>
          <w:szCs w:val="28"/>
          <w:highlight w:val="none"/>
        </w:rPr>
        <w:t xml:space="preserve">5   </w:t>
      </w:r>
      <w:r>
        <w:rPr>
          <w:rFonts w:hint="eastAsia" w:ascii="宋体" w:hAnsi="宋体"/>
          <w:b/>
          <w:color w:val="auto"/>
          <w:szCs w:val="28"/>
          <w:highlight w:val="none"/>
        </w:rPr>
        <w:t>质量保证</w:t>
      </w:r>
      <w:bookmarkEnd w:id="57"/>
      <w:bookmarkEnd w:id="58"/>
    </w:p>
    <w:p w14:paraId="3F10F48B">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5.1  投标人应提供产品合格证，对于订购的新产品除满足本技术</w:t>
      </w:r>
      <w:r>
        <w:rPr>
          <w:rFonts w:hint="eastAsia" w:ascii="宋体" w:hAnsi="宋体"/>
          <w:color w:val="auto"/>
          <w:sz w:val="24"/>
          <w:szCs w:val="24"/>
          <w:highlight w:val="none"/>
          <w:lang w:val="en-US" w:eastAsia="zh-CN"/>
        </w:rPr>
        <w:t>规范书</w:t>
      </w:r>
      <w:r>
        <w:rPr>
          <w:rFonts w:hint="eastAsia" w:ascii="宋体" w:hAnsi="宋体"/>
          <w:color w:val="auto"/>
          <w:sz w:val="24"/>
          <w:szCs w:val="24"/>
          <w:highlight w:val="none"/>
        </w:rPr>
        <w:t>外，投标人还应提供产品的鉴定证书及产品合格证。进口元器件及材料提供原产地证明、报关单。</w:t>
      </w:r>
    </w:p>
    <w:p w14:paraId="7892A0F5">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5.2  投标人应保证制造过程中的所有工艺、材料等（包括投标人的外购件在内）均应符合技术</w:t>
      </w:r>
      <w:r>
        <w:rPr>
          <w:rFonts w:hint="eastAsia" w:ascii="宋体" w:hAnsi="宋体"/>
          <w:color w:val="auto"/>
          <w:sz w:val="24"/>
          <w:szCs w:val="24"/>
          <w:highlight w:val="none"/>
          <w:lang w:val="en-US" w:eastAsia="zh-CN"/>
        </w:rPr>
        <w:t>规范书</w:t>
      </w:r>
      <w:r>
        <w:rPr>
          <w:rFonts w:hint="eastAsia" w:ascii="宋体" w:hAnsi="宋体"/>
          <w:color w:val="auto"/>
          <w:sz w:val="24"/>
          <w:szCs w:val="24"/>
          <w:highlight w:val="none"/>
        </w:rPr>
        <w:t>的规定。若招标人根据运行经验指定投标人提供某种外购零部件，投标人应积极配合。</w:t>
      </w:r>
    </w:p>
    <w:p w14:paraId="53749598">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5.3  投标人应遵守本技术</w:t>
      </w:r>
      <w:r>
        <w:rPr>
          <w:rFonts w:hint="eastAsia" w:ascii="宋体" w:hAnsi="宋体"/>
          <w:color w:val="auto"/>
          <w:sz w:val="24"/>
          <w:szCs w:val="24"/>
          <w:highlight w:val="none"/>
          <w:lang w:val="en-US" w:eastAsia="zh-CN"/>
        </w:rPr>
        <w:t>规范书</w:t>
      </w:r>
      <w:r>
        <w:rPr>
          <w:rFonts w:hint="eastAsia" w:ascii="宋体" w:hAnsi="宋体"/>
          <w:color w:val="auto"/>
          <w:sz w:val="24"/>
          <w:szCs w:val="24"/>
          <w:highlight w:val="none"/>
        </w:rPr>
        <w:t>中各条款和工作项目的ISO9001GB/T1900质量保证体系，该质量保证体系经过国家认证和正常运转。</w:t>
      </w:r>
    </w:p>
    <w:p w14:paraId="5B9CD251">
      <w:pPr>
        <w:tabs>
          <w:tab w:val="left" w:pos="480"/>
        </w:tabs>
        <w:adjustRightInd w:val="0"/>
        <w:snapToGrid w:val="0"/>
        <w:spacing w:line="360" w:lineRule="auto"/>
        <w:rPr>
          <w:rFonts w:ascii="宋体" w:hAnsi="宋体"/>
          <w:color w:val="auto"/>
          <w:sz w:val="24"/>
          <w:szCs w:val="24"/>
          <w:highlight w:val="none"/>
        </w:rPr>
      </w:pPr>
      <w:r>
        <w:rPr>
          <w:rFonts w:hint="eastAsia" w:ascii="宋体" w:hAnsi="宋体"/>
          <w:color w:val="auto"/>
          <w:sz w:val="24"/>
          <w:szCs w:val="24"/>
          <w:highlight w:val="none"/>
        </w:rPr>
        <w:t>5.4 在正常的使用工作环境下，整体产品使用寿命为不小于</w:t>
      </w:r>
      <w:r>
        <w:rPr>
          <w:rFonts w:hint="eastAsia" w:ascii="宋体" w:hAnsi="宋体"/>
          <w:color w:val="auto"/>
          <w:sz w:val="24"/>
          <w:szCs w:val="24"/>
          <w:highlight w:val="none"/>
          <w:u w:val="single"/>
        </w:rPr>
        <w:t>30</w:t>
      </w:r>
      <w:r>
        <w:rPr>
          <w:rFonts w:hint="eastAsia" w:ascii="宋体" w:hAnsi="宋体"/>
          <w:color w:val="auto"/>
          <w:sz w:val="24"/>
          <w:szCs w:val="24"/>
          <w:highlight w:val="none"/>
        </w:rPr>
        <w:t>年。</w:t>
      </w:r>
    </w:p>
    <w:p w14:paraId="4EDCF6A6">
      <w:pPr>
        <w:tabs>
          <w:tab w:val="left" w:pos="480"/>
        </w:tabs>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5.5  投标人所供设备质保期应为本工程两台机组均通过168小时试运行后</w:t>
      </w:r>
      <w:r>
        <w:rPr>
          <w:rFonts w:hint="eastAsia" w:ascii="宋体" w:hAnsi="宋体"/>
          <w:color w:val="auto"/>
          <w:sz w:val="24"/>
          <w:szCs w:val="24"/>
          <w:highlight w:val="none"/>
          <w:u w:val="single"/>
        </w:rPr>
        <w:t>1</w:t>
      </w:r>
      <w:r>
        <w:rPr>
          <w:rFonts w:hint="eastAsia" w:ascii="宋体" w:hAnsi="宋体"/>
          <w:color w:val="auto"/>
          <w:sz w:val="24"/>
          <w:szCs w:val="24"/>
          <w:highlight w:val="none"/>
        </w:rPr>
        <w:t>年。</w:t>
      </w:r>
      <w:r>
        <w:rPr>
          <w:rFonts w:hint="eastAsia" w:ascii="宋体" w:hAnsi="宋体"/>
          <w:color w:val="auto"/>
          <w:sz w:val="24"/>
          <w:szCs w:val="24"/>
          <w:highlight w:val="none"/>
        </w:rPr>
        <w:t>在整个质保期内，非人为因素造成的设备损坏，应由投标人及时免费更换，并且根据因此而造成的经济损失大小承担一定的经济责任。</w:t>
      </w:r>
    </w:p>
    <w:p w14:paraId="3FBF375C">
      <w:pPr>
        <w:adjustRightInd w:val="0"/>
        <w:snapToGrid w:val="0"/>
        <w:spacing w:line="360" w:lineRule="auto"/>
        <w:ind w:left="600" w:hanging="600" w:hangingChars="250"/>
        <w:rPr>
          <w:rFonts w:ascii="宋体" w:hAnsi="宋体"/>
          <w:color w:val="auto"/>
          <w:sz w:val="24"/>
          <w:szCs w:val="24"/>
          <w:highlight w:val="none"/>
        </w:rPr>
      </w:pPr>
    </w:p>
    <w:p w14:paraId="3BBE8BF0">
      <w:pPr>
        <w:adjustRightInd w:val="0"/>
        <w:snapToGrid w:val="0"/>
        <w:spacing w:line="360" w:lineRule="auto"/>
        <w:rPr>
          <w:rFonts w:ascii="宋体" w:hAnsi="宋体"/>
          <w:b/>
          <w:color w:val="auto"/>
          <w:szCs w:val="28"/>
          <w:highlight w:val="none"/>
        </w:rPr>
      </w:pPr>
      <w:bookmarkStart w:id="59" w:name="_Toc227468215"/>
      <w:r>
        <w:rPr>
          <w:rFonts w:ascii="宋体" w:hAnsi="宋体"/>
          <w:b/>
          <w:color w:val="auto"/>
          <w:szCs w:val="28"/>
          <w:highlight w:val="none"/>
        </w:rPr>
        <w:t>6</w:t>
      </w:r>
      <w:r>
        <w:rPr>
          <w:rFonts w:ascii="宋体" w:hAnsi="宋体"/>
          <w:b/>
          <w:color w:val="auto"/>
          <w:szCs w:val="28"/>
          <w:highlight w:val="none"/>
        </w:rPr>
        <w:tab/>
      </w:r>
      <w:r>
        <w:rPr>
          <w:rFonts w:hint="eastAsia" w:ascii="宋体" w:hAnsi="宋体"/>
          <w:b/>
          <w:color w:val="auto"/>
          <w:szCs w:val="28"/>
          <w:highlight w:val="none"/>
        </w:rPr>
        <w:t>清洁、油漆、铭牌、包装、装卸、运输与储存</w:t>
      </w:r>
      <w:bookmarkEnd w:id="59"/>
    </w:p>
    <w:p w14:paraId="5D27020D">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6.1</w:t>
      </w:r>
      <w:r>
        <w:rPr>
          <w:rFonts w:hint="eastAsia" w:ascii="宋体" w:hAnsi="宋体"/>
          <w:color w:val="auto"/>
          <w:sz w:val="24"/>
          <w:szCs w:val="24"/>
          <w:highlight w:val="none"/>
        </w:rPr>
        <w:tab/>
      </w:r>
      <w:r>
        <w:rPr>
          <w:rFonts w:hint="eastAsia" w:ascii="宋体" w:hAnsi="宋体"/>
          <w:color w:val="auto"/>
          <w:sz w:val="24"/>
          <w:szCs w:val="24"/>
          <w:highlight w:val="none"/>
        </w:rPr>
        <w:t>在合同设备任何部分交付运输前，投标人应按照规定和本附件所述的要求，对所要交付的该部分合同设备进行包装，该包装应具有适合长途运输、多次搬运和装卸的坚固包装，以确保合同设备安全、无损地运抵现场。设备包装时应有防护措施，以便在运输保管中起防腐作用。</w:t>
      </w:r>
    </w:p>
    <w:p w14:paraId="70172F59">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6.2</w:t>
      </w:r>
      <w:r>
        <w:rPr>
          <w:rFonts w:hint="eastAsia" w:ascii="宋体" w:hAnsi="宋体"/>
          <w:color w:val="auto"/>
          <w:sz w:val="24"/>
          <w:szCs w:val="24"/>
          <w:highlight w:val="none"/>
        </w:rPr>
        <w:tab/>
      </w:r>
      <w:r>
        <w:rPr>
          <w:rFonts w:hint="eastAsia" w:ascii="宋体" w:hAnsi="宋体"/>
          <w:color w:val="auto"/>
          <w:sz w:val="24"/>
          <w:szCs w:val="24"/>
          <w:highlight w:val="none"/>
        </w:rPr>
        <w:t>投标人应保证对合同设备的所有包装在运输、装卸过程中完好无损，并有减震、防冲击的措施。若包装无法防止运输、装卸过程中垂直、水平加速度引起的设备损坏，投标人要在设备的设计结构上予以解决。</w:t>
      </w:r>
    </w:p>
    <w:p w14:paraId="4BF5805A">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6.3</w:t>
      </w:r>
      <w:r>
        <w:rPr>
          <w:rFonts w:hint="eastAsia" w:ascii="宋体" w:hAnsi="宋体"/>
          <w:color w:val="auto"/>
          <w:sz w:val="24"/>
          <w:szCs w:val="24"/>
          <w:highlight w:val="none"/>
        </w:rPr>
        <w:tab/>
      </w:r>
      <w:r>
        <w:rPr>
          <w:rFonts w:hint="eastAsia" w:ascii="宋体" w:hAnsi="宋体"/>
          <w:color w:val="auto"/>
          <w:sz w:val="24"/>
          <w:szCs w:val="24"/>
          <w:highlight w:val="none"/>
        </w:rPr>
        <w:t>投标人提供的电气设备必须严格包装，包装应能保证合同设备在现场的保管与维护，包括在合理时间内有效的防潮、抗氧化、耐海水、耐海风侵蚀的措施。对于可以进行露天堆放的合同设备，应能保证在合理时间内的露天堆放不会对合同设备造成损害。包装费包括在设备总价内。</w:t>
      </w:r>
    </w:p>
    <w:p w14:paraId="5870DF8E">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6.4</w:t>
      </w:r>
      <w:r>
        <w:rPr>
          <w:rFonts w:hint="eastAsia" w:ascii="宋体" w:hAnsi="宋体"/>
          <w:color w:val="auto"/>
          <w:sz w:val="24"/>
          <w:szCs w:val="24"/>
          <w:highlight w:val="none"/>
        </w:rPr>
        <w:tab/>
      </w:r>
      <w:r>
        <w:rPr>
          <w:rFonts w:hint="eastAsia" w:ascii="宋体" w:hAnsi="宋体"/>
          <w:color w:val="auto"/>
          <w:sz w:val="24"/>
          <w:szCs w:val="24"/>
          <w:highlight w:val="none"/>
        </w:rPr>
        <w:t>如果国家有关包装的标准或规范、本附件所述的包装技术</w:t>
      </w:r>
      <w:r>
        <w:rPr>
          <w:rFonts w:hint="eastAsia" w:ascii="宋体" w:hAnsi="宋体"/>
          <w:color w:val="auto"/>
          <w:sz w:val="24"/>
          <w:szCs w:val="24"/>
          <w:highlight w:val="none"/>
          <w:lang w:val="en-US" w:eastAsia="zh-CN"/>
        </w:rPr>
        <w:t>规范</w:t>
      </w:r>
      <w:r>
        <w:rPr>
          <w:rFonts w:hint="eastAsia" w:ascii="宋体" w:hAnsi="宋体"/>
          <w:color w:val="auto"/>
          <w:sz w:val="24"/>
          <w:szCs w:val="24"/>
          <w:highlight w:val="none"/>
        </w:rPr>
        <w:t>及合同设备承运人的包装要求之间不一致，则投标人应按照前述各项规范或要求中的最高要求对合同设备进行包装。</w:t>
      </w:r>
    </w:p>
    <w:p w14:paraId="2CB5BAAF">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6.5</w:t>
      </w:r>
      <w:r>
        <w:rPr>
          <w:rFonts w:hint="eastAsia" w:ascii="宋体" w:hAnsi="宋体"/>
          <w:color w:val="auto"/>
          <w:sz w:val="24"/>
          <w:szCs w:val="24"/>
          <w:highlight w:val="none"/>
        </w:rPr>
        <w:tab/>
      </w:r>
      <w:r>
        <w:rPr>
          <w:rFonts w:hint="eastAsia" w:ascii="宋体" w:hAnsi="宋体"/>
          <w:color w:val="auto"/>
          <w:sz w:val="24"/>
          <w:szCs w:val="24"/>
          <w:highlight w:val="none"/>
        </w:rPr>
        <w:t>投标人应提交合同设备的包装技术规范及标准，包括但不限于包装示意图、包装材料材质与规格等，由招标人进行审查确认。资料文件中还应包括对合同设备包装过程中将采取的防潮、防锈、防腐蚀、抗震及充氮等措施的详细描述及承诺。</w:t>
      </w:r>
    </w:p>
    <w:p w14:paraId="75CA8588">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6.6</w:t>
      </w:r>
      <w:r>
        <w:rPr>
          <w:rFonts w:hint="eastAsia" w:ascii="宋体" w:hAnsi="宋体"/>
          <w:color w:val="auto"/>
          <w:sz w:val="24"/>
          <w:szCs w:val="24"/>
          <w:highlight w:val="none"/>
        </w:rPr>
        <w:tab/>
      </w:r>
      <w:r>
        <w:rPr>
          <w:rFonts w:hint="eastAsia" w:ascii="宋体" w:hAnsi="宋体"/>
          <w:color w:val="auto"/>
          <w:sz w:val="24"/>
          <w:szCs w:val="24"/>
          <w:highlight w:val="none"/>
        </w:rPr>
        <w:t>电控设备的包装与保管措施应满足露天堆放一个月的要求，其他设备的包装与保管措施应满足露天堆放六个月的要求。</w:t>
      </w:r>
    </w:p>
    <w:p w14:paraId="796DB1DE">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6.7  产品包装、运输、储存应符合本合同的有关标准中有关条款规定。</w:t>
      </w:r>
    </w:p>
    <w:p w14:paraId="18AAF84E">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6.8  铭牌用耐腐蚀材料制成，并应符合有关标准的要求。</w:t>
      </w:r>
    </w:p>
    <w:p w14:paraId="1C38E67C">
      <w:pPr>
        <w:adjustRightInd w:val="0"/>
        <w:snapToGrid w:val="0"/>
        <w:spacing w:line="360" w:lineRule="auto"/>
        <w:ind w:left="600" w:hanging="600" w:hangingChars="250"/>
        <w:rPr>
          <w:rFonts w:ascii="宋体" w:hAnsi="宋体"/>
          <w:color w:val="auto"/>
          <w:sz w:val="24"/>
          <w:szCs w:val="24"/>
          <w:highlight w:val="none"/>
        </w:rPr>
      </w:pPr>
      <w:r>
        <w:rPr>
          <w:rFonts w:hint="eastAsia" w:ascii="宋体" w:hAnsi="宋体"/>
          <w:color w:val="auto"/>
          <w:sz w:val="24"/>
          <w:szCs w:val="24"/>
          <w:highlight w:val="none"/>
        </w:rPr>
        <w:t xml:space="preserve">6.9  </w:t>
      </w:r>
      <w:r>
        <w:rPr>
          <w:rFonts w:hint="eastAsia"/>
          <w:color w:val="auto"/>
          <w:sz w:val="24"/>
          <w:szCs w:val="24"/>
          <w:highlight w:val="none"/>
        </w:rPr>
        <w:t>外表油漆采用佐顿、阿克苏、式玛、天津关西品牌的油漆。</w:t>
      </w:r>
    </w:p>
    <w:p w14:paraId="3B01BB2D">
      <w:pPr>
        <w:adjustRightInd w:val="0"/>
        <w:snapToGrid w:val="0"/>
        <w:spacing w:line="360" w:lineRule="auto"/>
        <w:ind w:left="600" w:hanging="600" w:hangingChars="250"/>
        <w:rPr>
          <w:rFonts w:ascii="宋体" w:hAnsi="宋体"/>
          <w:color w:val="auto"/>
          <w:sz w:val="24"/>
          <w:highlight w:val="none"/>
        </w:rPr>
      </w:pPr>
    </w:p>
    <w:p w14:paraId="01537B16">
      <w:pPr>
        <w:snapToGrid w:val="0"/>
        <w:spacing w:line="360" w:lineRule="auto"/>
        <w:ind w:left="600" w:hanging="600" w:hangingChars="250"/>
        <w:rPr>
          <w:rFonts w:ascii="宋体"/>
          <w:color w:val="auto"/>
          <w:sz w:val="24"/>
          <w:szCs w:val="24"/>
          <w:highlight w:val="none"/>
        </w:rPr>
      </w:pPr>
    </w:p>
    <w:bookmarkEnd w:id="14"/>
    <w:bookmarkEnd w:id="15"/>
    <w:p w14:paraId="3FA3BF14">
      <w:pPr>
        <w:spacing w:line="360" w:lineRule="auto"/>
        <w:outlineLvl w:val="0"/>
        <w:rPr>
          <w:b/>
          <w:color w:val="auto"/>
          <w:sz w:val="30"/>
          <w:szCs w:val="30"/>
          <w:highlight w:val="none"/>
        </w:rPr>
      </w:pPr>
      <w:bookmarkStart w:id="60" w:name="_Toc501726282"/>
      <w:bookmarkStart w:id="61" w:name="_Toc502331813"/>
      <w:bookmarkStart w:id="62" w:name="_Toc502332508"/>
      <w:bookmarkStart w:id="63" w:name="_Toc502331818"/>
      <w:bookmarkStart w:id="64" w:name="_Toc501336196"/>
      <w:bookmarkStart w:id="65" w:name="_Toc399318773"/>
      <w:bookmarkStart w:id="66" w:name="_Toc502332513"/>
      <w:bookmarkStart w:id="67" w:name="_Toc501726287"/>
      <w:r>
        <w:rPr>
          <w:color w:val="auto"/>
          <w:sz w:val="30"/>
          <w:szCs w:val="30"/>
          <w:highlight w:val="none"/>
        </w:rPr>
        <w:br w:type="page"/>
      </w:r>
      <w:bookmarkEnd w:id="60"/>
      <w:bookmarkEnd w:id="61"/>
      <w:bookmarkEnd w:id="62"/>
      <w:bookmarkStart w:id="68" w:name="_Toc150746254"/>
      <w:bookmarkStart w:id="69" w:name="_Toc334015521"/>
      <w:r>
        <w:rPr>
          <w:rFonts w:hint="eastAsia" w:ascii="宋体"/>
          <w:b/>
          <w:color w:val="auto"/>
          <w:sz w:val="30"/>
          <w:szCs w:val="30"/>
          <w:highlight w:val="none"/>
        </w:rPr>
        <w:t>附件2供货范围</w:t>
      </w:r>
      <w:bookmarkEnd w:id="68"/>
      <w:bookmarkEnd w:id="69"/>
    </w:p>
    <w:p w14:paraId="130730B2">
      <w:pPr>
        <w:spacing w:line="360" w:lineRule="auto"/>
        <w:rPr>
          <w:rFonts w:ascii="宋体"/>
          <w:b/>
          <w:color w:val="auto"/>
          <w:szCs w:val="28"/>
          <w:highlight w:val="none"/>
        </w:rPr>
      </w:pPr>
      <w:bookmarkStart w:id="70" w:name="_Toc320606856"/>
      <w:bookmarkStart w:id="71" w:name="_Toc61442376"/>
      <w:r>
        <w:rPr>
          <w:rFonts w:ascii="宋体"/>
          <w:b/>
          <w:color w:val="auto"/>
          <w:szCs w:val="28"/>
          <w:highlight w:val="none"/>
        </w:rPr>
        <w:t xml:space="preserve">1 </w:t>
      </w:r>
      <w:r>
        <w:rPr>
          <w:rFonts w:hint="eastAsia" w:ascii="宋体"/>
          <w:b/>
          <w:color w:val="auto"/>
          <w:szCs w:val="28"/>
          <w:highlight w:val="none"/>
        </w:rPr>
        <w:t>一般要求</w:t>
      </w:r>
      <w:bookmarkEnd w:id="70"/>
      <w:bookmarkEnd w:id="71"/>
    </w:p>
    <w:p w14:paraId="4D081211">
      <w:pPr>
        <w:spacing w:line="360" w:lineRule="auto"/>
        <w:rPr>
          <w:rFonts w:ascii="宋体"/>
          <w:color w:val="auto"/>
          <w:sz w:val="24"/>
          <w:szCs w:val="24"/>
          <w:highlight w:val="none"/>
        </w:rPr>
      </w:pPr>
      <w:r>
        <w:rPr>
          <w:rFonts w:ascii="宋体"/>
          <w:color w:val="auto"/>
          <w:sz w:val="24"/>
          <w:szCs w:val="24"/>
          <w:highlight w:val="none"/>
        </w:rPr>
        <w:t>1.1</w:t>
      </w:r>
      <w:r>
        <w:rPr>
          <w:rFonts w:hint="eastAsia" w:ascii="宋体"/>
          <w:color w:val="auto"/>
          <w:sz w:val="24"/>
          <w:szCs w:val="24"/>
          <w:highlight w:val="none"/>
        </w:rPr>
        <w:t>投标人需提供满足技术规范书要求所必须的硬件、软件和各项服务，包括计算机监控系统</w:t>
      </w:r>
      <w:r>
        <w:rPr>
          <w:rFonts w:hint="eastAsia" w:ascii="Times New Roman" w:hAnsi="宋体" w:eastAsia="宋体" w:cs="Times New Roman"/>
          <w:color w:val="auto"/>
          <w:spacing w:val="5"/>
          <w:sz w:val="24"/>
          <w:highlight w:val="none"/>
          <w:lang w:eastAsia="zh-CN"/>
        </w:rPr>
        <w:t>（</w:t>
      </w:r>
      <w:r>
        <w:rPr>
          <w:rFonts w:hint="eastAsia" w:ascii="Times New Roman" w:hAnsi="宋体" w:eastAsia="宋体" w:cs="Times New Roman"/>
          <w:color w:val="auto"/>
          <w:spacing w:val="5"/>
          <w:sz w:val="24"/>
          <w:szCs w:val="20"/>
          <w:highlight w:val="none"/>
        </w:rPr>
        <w:t>含测控</w:t>
      </w:r>
      <w:r>
        <w:rPr>
          <w:rFonts w:hint="eastAsia" w:ascii="Times New Roman" w:hAnsi="宋体" w:eastAsia="宋体" w:cs="Times New Roman"/>
          <w:color w:val="auto"/>
          <w:spacing w:val="5"/>
          <w:sz w:val="24"/>
          <w:szCs w:val="20"/>
          <w:highlight w:val="none"/>
          <w:lang w:val="en-US" w:eastAsia="zh-CN"/>
        </w:rPr>
        <w:t>屏</w:t>
      </w:r>
      <w:r>
        <w:rPr>
          <w:rFonts w:hint="eastAsia" w:ascii="Times New Roman" w:hAnsi="宋体" w:eastAsia="宋体" w:cs="Times New Roman"/>
          <w:color w:val="auto"/>
          <w:spacing w:val="5"/>
          <w:sz w:val="24"/>
          <w:szCs w:val="20"/>
          <w:highlight w:val="none"/>
        </w:rPr>
        <w:t>、AGC屏、网络柜、数据处理及</w:t>
      </w:r>
      <w:r>
        <w:rPr>
          <w:rFonts w:hint="eastAsia" w:ascii="Times New Roman" w:hAnsi="宋体" w:eastAsia="宋体" w:cs="Times New Roman"/>
          <w:color w:val="auto"/>
          <w:spacing w:val="5"/>
          <w:sz w:val="24"/>
          <w:szCs w:val="20"/>
          <w:highlight w:val="none"/>
          <w:lang w:val="en-US" w:eastAsia="zh-CN"/>
        </w:rPr>
        <w:t>远动</w:t>
      </w:r>
      <w:r>
        <w:rPr>
          <w:rFonts w:hint="eastAsia" w:ascii="Times New Roman" w:hAnsi="宋体" w:eastAsia="宋体" w:cs="Times New Roman"/>
          <w:color w:val="auto"/>
          <w:spacing w:val="5"/>
          <w:sz w:val="24"/>
          <w:szCs w:val="20"/>
          <w:highlight w:val="none"/>
        </w:rPr>
        <w:t>通信设备，操作员站及工程师站等设备、</w:t>
      </w:r>
      <w:r>
        <w:rPr>
          <w:rFonts w:hint="eastAsia" w:ascii="Times New Roman" w:hAnsi="宋体" w:cs="Times New Roman"/>
          <w:color w:val="auto"/>
          <w:spacing w:val="5"/>
          <w:kern w:val="2"/>
          <w:sz w:val="24"/>
          <w:szCs w:val="20"/>
          <w:highlight w:val="none"/>
        </w:rPr>
        <w:t>事故总信号系统</w:t>
      </w:r>
      <w:r>
        <w:rPr>
          <w:rFonts w:hint="eastAsia" w:ascii="宋体"/>
          <w:color w:val="auto"/>
          <w:sz w:val="24"/>
          <w:szCs w:val="24"/>
          <w:highlight w:val="none"/>
          <w:lang w:val="en-US" w:eastAsia="zh-CN"/>
        </w:rPr>
        <w:t>、微机五防系统、电度表屏、时间同步系统</w:t>
      </w:r>
      <w:r>
        <w:rPr>
          <w:rFonts w:hint="eastAsia" w:hAnsi="宋体"/>
          <w:color w:val="auto"/>
          <w:spacing w:val="5"/>
          <w:sz w:val="24"/>
          <w:highlight w:val="none"/>
          <w:lang w:eastAsia="zh-CN"/>
        </w:rPr>
        <w:t>）</w:t>
      </w:r>
      <w:r>
        <w:rPr>
          <w:rFonts w:hint="eastAsia" w:ascii="宋体"/>
          <w:color w:val="auto"/>
          <w:sz w:val="24"/>
          <w:szCs w:val="24"/>
          <w:highlight w:val="none"/>
        </w:rPr>
        <w:t>设计、组态和现场调试。并达到本规范书所要求的性能指标。</w:t>
      </w:r>
    </w:p>
    <w:p w14:paraId="30076965">
      <w:pPr>
        <w:spacing w:line="360" w:lineRule="auto"/>
        <w:rPr>
          <w:rFonts w:ascii="宋体"/>
          <w:color w:val="auto"/>
          <w:sz w:val="24"/>
          <w:szCs w:val="24"/>
          <w:highlight w:val="none"/>
        </w:rPr>
      </w:pPr>
      <w:r>
        <w:rPr>
          <w:rFonts w:ascii="宋体"/>
          <w:color w:val="auto"/>
          <w:sz w:val="24"/>
          <w:szCs w:val="24"/>
          <w:highlight w:val="none"/>
        </w:rPr>
        <w:t>1.2</w:t>
      </w:r>
      <w:r>
        <w:rPr>
          <w:rFonts w:hint="eastAsia" w:ascii="宋体"/>
          <w:color w:val="auto"/>
          <w:sz w:val="24"/>
          <w:szCs w:val="24"/>
          <w:highlight w:val="none"/>
        </w:rPr>
        <w:t xml:space="preserve"> 本规范书规定了合同设备的供货范围。投标人保证提供设备为全新的、先进的、成熟的、完整的和安全可靠的。</w:t>
      </w:r>
    </w:p>
    <w:p w14:paraId="6A95016D">
      <w:pPr>
        <w:spacing w:line="360" w:lineRule="auto"/>
        <w:rPr>
          <w:rFonts w:ascii="宋体"/>
          <w:color w:val="auto"/>
          <w:sz w:val="24"/>
          <w:szCs w:val="24"/>
          <w:highlight w:val="none"/>
        </w:rPr>
      </w:pPr>
      <w:r>
        <w:rPr>
          <w:rFonts w:ascii="宋体"/>
          <w:color w:val="auto"/>
          <w:sz w:val="24"/>
          <w:szCs w:val="24"/>
          <w:highlight w:val="none"/>
        </w:rPr>
        <w:t>1.3</w:t>
      </w:r>
      <w:r>
        <w:rPr>
          <w:rFonts w:hint="eastAsia" w:ascii="宋体"/>
          <w:color w:val="auto"/>
          <w:sz w:val="24"/>
          <w:szCs w:val="24"/>
          <w:highlight w:val="none"/>
        </w:rPr>
        <w:t xml:space="preserve"> 投标人应提供详细供货清单，清单中依次说明型号、数量、产地、生产厂家等内容。对于属于整套设备运行和施工所必需的部件，即使本合同附件未列出和／或数目不足，投标人仍须在执行合同时补足。</w:t>
      </w:r>
    </w:p>
    <w:p w14:paraId="75796CF0">
      <w:pPr>
        <w:spacing w:line="360" w:lineRule="auto"/>
        <w:rPr>
          <w:rFonts w:ascii="宋体"/>
          <w:color w:val="auto"/>
          <w:sz w:val="24"/>
          <w:szCs w:val="24"/>
          <w:highlight w:val="none"/>
        </w:rPr>
      </w:pPr>
      <w:r>
        <w:rPr>
          <w:rFonts w:ascii="宋体"/>
          <w:color w:val="auto"/>
          <w:sz w:val="24"/>
          <w:szCs w:val="24"/>
          <w:highlight w:val="none"/>
        </w:rPr>
        <w:t>1.4</w:t>
      </w:r>
      <w:r>
        <w:rPr>
          <w:rFonts w:hint="eastAsia" w:ascii="宋体"/>
          <w:color w:val="auto"/>
          <w:sz w:val="24"/>
          <w:szCs w:val="24"/>
          <w:highlight w:val="none"/>
        </w:rPr>
        <w:t xml:space="preserve"> 投标人应提供所有安装和检修所需专用工具和消耗材料等，并提供详细供货清单。</w:t>
      </w:r>
    </w:p>
    <w:p w14:paraId="7D9E70AC">
      <w:pPr>
        <w:spacing w:line="360" w:lineRule="auto"/>
        <w:rPr>
          <w:rFonts w:ascii="宋体"/>
          <w:color w:val="auto"/>
          <w:sz w:val="24"/>
          <w:szCs w:val="24"/>
          <w:highlight w:val="none"/>
        </w:rPr>
      </w:pPr>
      <w:r>
        <w:rPr>
          <w:rFonts w:ascii="宋体"/>
          <w:color w:val="auto"/>
          <w:sz w:val="24"/>
          <w:szCs w:val="24"/>
          <w:highlight w:val="none"/>
        </w:rPr>
        <w:t>1.5</w:t>
      </w:r>
      <w:r>
        <w:rPr>
          <w:rFonts w:hint="eastAsia" w:ascii="宋体"/>
          <w:color w:val="auto"/>
          <w:sz w:val="24"/>
          <w:szCs w:val="24"/>
          <w:highlight w:val="none"/>
        </w:rPr>
        <w:t xml:space="preserve"> 提供随机备品备件和</w:t>
      </w:r>
      <w:r>
        <w:rPr>
          <w:rFonts w:ascii="宋体"/>
          <w:color w:val="auto"/>
          <w:sz w:val="24"/>
          <w:szCs w:val="24"/>
          <w:highlight w:val="none"/>
        </w:rPr>
        <w:t>3</w:t>
      </w:r>
      <w:r>
        <w:rPr>
          <w:rFonts w:hint="eastAsia" w:ascii="宋体"/>
          <w:color w:val="auto"/>
          <w:sz w:val="24"/>
          <w:szCs w:val="24"/>
          <w:highlight w:val="none"/>
        </w:rPr>
        <w:t>年运行所需的备品备件，并在投标书中给出具体清单。</w:t>
      </w:r>
    </w:p>
    <w:p w14:paraId="1AF59B73">
      <w:pPr>
        <w:spacing w:line="360" w:lineRule="auto"/>
        <w:rPr>
          <w:rFonts w:ascii="宋体"/>
          <w:color w:val="auto"/>
          <w:sz w:val="24"/>
          <w:szCs w:val="24"/>
          <w:highlight w:val="none"/>
        </w:rPr>
      </w:pPr>
      <w:r>
        <w:rPr>
          <w:rFonts w:ascii="宋体"/>
          <w:color w:val="auto"/>
          <w:sz w:val="24"/>
          <w:szCs w:val="24"/>
          <w:highlight w:val="none"/>
        </w:rPr>
        <w:t>1.</w:t>
      </w:r>
      <w:r>
        <w:rPr>
          <w:rFonts w:hint="eastAsia" w:ascii="宋体"/>
          <w:color w:val="auto"/>
          <w:sz w:val="24"/>
          <w:szCs w:val="24"/>
          <w:highlight w:val="none"/>
        </w:rPr>
        <w:t>6</w:t>
      </w:r>
      <w:r>
        <w:rPr>
          <w:rFonts w:ascii="宋体"/>
          <w:color w:val="auto"/>
          <w:sz w:val="24"/>
          <w:szCs w:val="24"/>
          <w:highlight w:val="none"/>
        </w:rPr>
        <w:t>提供所供设备的进口件清单。</w:t>
      </w:r>
    </w:p>
    <w:p w14:paraId="6B805CA6">
      <w:pPr>
        <w:spacing w:line="360" w:lineRule="auto"/>
        <w:rPr>
          <w:rFonts w:ascii="宋体"/>
          <w:color w:val="auto"/>
          <w:sz w:val="24"/>
          <w:szCs w:val="24"/>
          <w:highlight w:val="none"/>
        </w:rPr>
      </w:pPr>
      <w:r>
        <w:rPr>
          <w:rFonts w:hint="eastAsia" w:ascii="宋体"/>
          <w:color w:val="auto"/>
          <w:sz w:val="24"/>
          <w:szCs w:val="24"/>
          <w:highlight w:val="none"/>
        </w:rPr>
        <w:t xml:space="preserve">1.7 </w:t>
      </w:r>
      <w:r>
        <w:rPr>
          <w:rFonts w:ascii="宋体"/>
          <w:color w:val="auto"/>
          <w:sz w:val="24"/>
          <w:szCs w:val="24"/>
          <w:highlight w:val="none"/>
        </w:rPr>
        <w:t>对</w:t>
      </w:r>
      <w:r>
        <w:rPr>
          <w:rFonts w:hint="eastAsia" w:ascii="宋体"/>
          <w:color w:val="auto"/>
          <w:sz w:val="24"/>
          <w:szCs w:val="24"/>
          <w:highlight w:val="none"/>
        </w:rPr>
        <w:t>规范</w:t>
      </w:r>
      <w:r>
        <w:rPr>
          <w:rFonts w:ascii="宋体"/>
          <w:color w:val="auto"/>
          <w:sz w:val="24"/>
          <w:szCs w:val="24"/>
          <w:highlight w:val="none"/>
        </w:rPr>
        <w:t>书中未明确，但设备的选型不同可能引起价格大幅变动的，应在投标书的显要部分予以说明。</w:t>
      </w:r>
    </w:p>
    <w:p w14:paraId="5617B14F">
      <w:pPr>
        <w:spacing w:line="360" w:lineRule="auto"/>
        <w:rPr>
          <w:b/>
          <w:color w:val="auto"/>
          <w:szCs w:val="28"/>
          <w:highlight w:val="none"/>
        </w:rPr>
      </w:pPr>
      <w:bookmarkStart w:id="72" w:name="_Toc58215120"/>
      <w:bookmarkStart w:id="73" w:name="_Toc63589517"/>
      <w:bookmarkStart w:id="74" w:name="_Toc173689301"/>
      <w:bookmarkStart w:id="75" w:name="_Toc203235822"/>
      <w:bookmarkStart w:id="76" w:name="_Toc520193294"/>
      <w:bookmarkStart w:id="77" w:name="_Toc285445301"/>
      <w:bookmarkStart w:id="78" w:name="_Toc203236130"/>
      <w:r>
        <w:rPr>
          <w:b/>
          <w:color w:val="auto"/>
          <w:szCs w:val="28"/>
          <w:highlight w:val="none"/>
        </w:rPr>
        <w:t xml:space="preserve">2  </w:t>
      </w:r>
      <w:r>
        <w:rPr>
          <w:rFonts w:hAnsi="宋体"/>
          <w:b/>
          <w:color w:val="auto"/>
          <w:szCs w:val="28"/>
          <w:highlight w:val="none"/>
        </w:rPr>
        <w:t>供货范围</w:t>
      </w:r>
      <w:bookmarkEnd w:id="72"/>
      <w:bookmarkEnd w:id="73"/>
      <w:bookmarkEnd w:id="74"/>
      <w:bookmarkEnd w:id="75"/>
      <w:bookmarkEnd w:id="76"/>
      <w:bookmarkEnd w:id="77"/>
      <w:bookmarkEnd w:id="78"/>
    </w:p>
    <w:p w14:paraId="61BBDAE8">
      <w:pPr>
        <w:spacing w:line="360" w:lineRule="auto"/>
        <w:rPr>
          <w:rFonts w:ascii="宋体"/>
          <w:b/>
          <w:color w:val="auto"/>
          <w:sz w:val="24"/>
          <w:szCs w:val="24"/>
          <w:highlight w:val="none"/>
        </w:rPr>
      </w:pPr>
      <w:r>
        <w:rPr>
          <w:rFonts w:hint="eastAsia" w:ascii="宋体"/>
          <w:b/>
          <w:color w:val="auto"/>
          <w:sz w:val="24"/>
          <w:szCs w:val="24"/>
          <w:highlight w:val="none"/>
        </w:rPr>
        <w:t>2.1 供货范围</w:t>
      </w:r>
    </w:p>
    <w:p w14:paraId="3AEC1518">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投标人应确保供货范围完整，以能满足招标人安装、运行要求为原则。在技术规范中涉及的供货要求也作为本供货范围的补充，若在安装、调试、运行中发现缺项（属投标人供货范围）由投标人补充。</w:t>
      </w:r>
    </w:p>
    <w:p w14:paraId="1AB19AE5">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下述供货范围为一套计算机监控系统</w:t>
      </w:r>
      <w:r>
        <w:rPr>
          <w:rFonts w:hint="eastAsia" w:ascii="Times New Roman" w:hAnsi="宋体" w:eastAsia="宋体" w:cs="Times New Roman"/>
          <w:color w:val="auto"/>
          <w:spacing w:val="5"/>
          <w:sz w:val="24"/>
          <w:highlight w:val="none"/>
          <w:lang w:eastAsia="zh-CN"/>
        </w:rPr>
        <w:t>（</w:t>
      </w:r>
      <w:r>
        <w:rPr>
          <w:rFonts w:hint="eastAsia" w:ascii="Times New Roman" w:hAnsi="宋体" w:eastAsia="宋体" w:cs="Times New Roman"/>
          <w:color w:val="auto"/>
          <w:spacing w:val="5"/>
          <w:sz w:val="24"/>
          <w:szCs w:val="20"/>
          <w:highlight w:val="none"/>
        </w:rPr>
        <w:t>含测控</w:t>
      </w:r>
      <w:r>
        <w:rPr>
          <w:rFonts w:hint="eastAsia" w:ascii="Times New Roman" w:hAnsi="宋体" w:eastAsia="宋体" w:cs="Times New Roman"/>
          <w:color w:val="auto"/>
          <w:spacing w:val="5"/>
          <w:sz w:val="24"/>
          <w:szCs w:val="20"/>
          <w:highlight w:val="none"/>
          <w:lang w:val="en-US" w:eastAsia="zh-CN"/>
        </w:rPr>
        <w:t>屏</w:t>
      </w:r>
      <w:r>
        <w:rPr>
          <w:rFonts w:hint="eastAsia" w:ascii="Times New Roman" w:hAnsi="宋体" w:eastAsia="宋体" w:cs="Times New Roman"/>
          <w:color w:val="auto"/>
          <w:spacing w:val="5"/>
          <w:sz w:val="24"/>
          <w:szCs w:val="20"/>
          <w:highlight w:val="none"/>
        </w:rPr>
        <w:t>、AGC屏、网络柜、数据处理及</w:t>
      </w:r>
      <w:r>
        <w:rPr>
          <w:rFonts w:hint="eastAsia" w:ascii="Times New Roman" w:hAnsi="宋体" w:eastAsia="宋体" w:cs="Times New Roman"/>
          <w:color w:val="auto"/>
          <w:spacing w:val="5"/>
          <w:sz w:val="24"/>
          <w:szCs w:val="20"/>
          <w:highlight w:val="none"/>
          <w:lang w:val="en-US" w:eastAsia="zh-CN"/>
        </w:rPr>
        <w:t>远动</w:t>
      </w:r>
      <w:r>
        <w:rPr>
          <w:rFonts w:hint="eastAsia" w:ascii="Times New Roman" w:hAnsi="宋体" w:eastAsia="宋体" w:cs="Times New Roman"/>
          <w:color w:val="auto"/>
          <w:spacing w:val="5"/>
          <w:sz w:val="24"/>
          <w:szCs w:val="20"/>
          <w:highlight w:val="none"/>
        </w:rPr>
        <w:t>通信设备，操作员站及工程师站等设备、</w:t>
      </w:r>
      <w:r>
        <w:rPr>
          <w:rFonts w:hint="eastAsia" w:ascii="Times New Roman" w:hAnsi="宋体" w:cs="Times New Roman"/>
          <w:color w:val="auto"/>
          <w:spacing w:val="5"/>
          <w:kern w:val="2"/>
          <w:sz w:val="24"/>
          <w:szCs w:val="20"/>
          <w:highlight w:val="none"/>
        </w:rPr>
        <w:t>事故总信号系统</w:t>
      </w:r>
      <w:r>
        <w:rPr>
          <w:rFonts w:hint="eastAsia" w:ascii="宋体"/>
          <w:color w:val="auto"/>
          <w:sz w:val="24"/>
          <w:szCs w:val="24"/>
          <w:highlight w:val="none"/>
          <w:lang w:val="en-US" w:eastAsia="zh-CN"/>
        </w:rPr>
        <w:t>、微机五防系统、电度表屏、时间同步系统</w:t>
      </w:r>
      <w:r>
        <w:rPr>
          <w:rFonts w:hint="eastAsia" w:hAnsi="宋体"/>
          <w:color w:val="auto"/>
          <w:spacing w:val="5"/>
          <w:sz w:val="24"/>
          <w:highlight w:val="none"/>
          <w:lang w:eastAsia="zh-CN"/>
        </w:rPr>
        <w:t>）</w:t>
      </w:r>
      <w:r>
        <w:rPr>
          <w:rFonts w:hint="eastAsia" w:ascii="宋体"/>
          <w:color w:val="auto"/>
          <w:sz w:val="24"/>
          <w:szCs w:val="24"/>
          <w:highlight w:val="none"/>
        </w:rPr>
        <w:t>。投标人提供的电力网络计算机监控系统装置应包括以下供货范围（除有特别注明外），详见网络监控系统（NCS）供货范围表（不仅限于此），本表简化和空白的项目，由投标人在投标书中补充和细化。</w:t>
      </w:r>
    </w:p>
    <w:p w14:paraId="5EDB8C0E">
      <w:pPr>
        <w:snapToGrid w:val="0"/>
        <w:spacing w:line="360" w:lineRule="auto"/>
        <w:rPr>
          <w:snapToGrid w:val="0"/>
          <w:color w:val="auto"/>
          <w:sz w:val="24"/>
          <w:highlight w:val="none"/>
        </w:rPr>
      </w:pPr>
      <w:r>
        <w:rPr>
          <w:rFonts w:hint="eastAsia"/>
          <w:snapToGrid w:val="0"/>
          <w:color w:val="auto"/>
          <w:sz w:val="24"/>
          <w:highlight w:val="none"/>
        </w:rPr>
        <w:t>2.2  备品备件</w:t>
      </w:r>
    </w:p>
    <w:p w14:paraId="4633B053">
      <w:pPr>
        <w:snapToGrid w:val="0"/>
        <w:spacing w:line="360" w:lineRule="auto"/>
        <w:ind w:firstLine="405"/>
        <w:rPr>
          <w:snapToGrid w:val="0"/>
          <w:color w:val="auto"/>
          <w:sz w:val="24"/>
          <w:highlight w:val="none"/>
        </w:rPr>
      </w:pPr>
      <w:r>
        <w:rPr>
          <w:rFonts w:hint="eastAsia"/>
          <w:snapToGrid w:val="0"/>
          <w:color w:val="auto"/>
          <w:sz w:val="24"/>
          <w:highlight w:val="none"/>
        </w:rPr>
        <w:t>投标人应向招标人提供安装、调试、运行和维护所需的最低限度备品备件，按</w:t>
      </w:r>
      <w:r>
        <w:rPr>
          <w:rFonts w:hint="eastAsia" w:ascii="宋体"/>
          <w:color w:val="auto"/>
          <w:sz w:val="24"/>
          <w:szCs w:val="24"/>
          <w:highlight w:val="none"/>
        </w:rPr>
        <w:t>网络监控系统（NCS）供货范围表</w:t>
      </w:r>
      <w:r>
        <w:rPr>
          <w:rFonts w:hint="eastAsia"/>
          <w:snapToGrid w:val="0"/>
          <w:color w:val="auto"/>
          <w:sz w:val="24"/>
          <w:highlight w:val="none"/>
        </w:rPr>
        <w:t>格式要求提供详细的备品备件清单（注明零部件的名称、型号或规格、生产厂家等）。</w:t>
      </w:r>
    </w:p>
    <w:p w14:paraId="0B08E411">
      <w:pPr>
        <w:spacing w:line="360" w:lineRule="auto"/>
        <w:rPr>
          <w:rFonts w:ascii="宋体"/>
          <w:color w:val="auto"/>
          <w:sz w:val="24"/>
          <w:szCs w:val="24"/>
          <w:highlight w:val="none"/>
        </w:rPr>
      </w:pPr>
      <w:r>
        <w:rPr>
          <w:rFonts w:hint="eastAsia" w:ascii="宋体"/>
          <w:b/>
          <w:color w:val="auto"/>
          <w:sz w:val="24"/>
          <w:szCs w:val="24"/>
          <w:highlight w:val="none"/>
        </w:rPr>
        <w:t>2.2.1</w:t>
      </w:r>
      <w:r>
        <w:rPr>
          <w:rFonts w:hint="eastAsia" w:ascii="宋体"/>
          <w:color w:val="auto"/>
          <w:sz w:val="24"/>
          <w:szCs w:val="24"/>
          <w:highlight w:val="none"/>
        </w:rPr>
        <w:t xml:space="preserve"> 投标人应保证备品备件长期稳定供货。</w:t>
      </w:r>
    </w:p>
    <w:p w14:paraId="364C8E76">
      <w:pPr>
        <w:spacing w:line="360" w:lineRule="auto"/>
        <w:rPr>
          <w:rFonts w:ascii="宋体"/>
          <w:color w:val="auto"/>
          <w:sz w:val="24"/>
          <w:szCs w:val="24"/>
          <w:highlight w:val="none"/>
        </w:rPr>
      </w:pPr>
      <w:r>
        <w:rPr>
          <w:rFonts w:hint="eastAsia" w:ascii="宋体"/>
          <w:b/>
          <w:color w:val="auto"/>
          <w:sz w:val="24"/>
          <w:szCs w:val="24"/>
          <w:highlight w:val="none"/>
        </w:rPr>
        <w:t>2.2.2</w:t>
      </w:r>
      <w:r>
        <w:rPr>
          <w:rFonts w:hint="eastAsia" w:ascii="宋体"/>
          <w:color w:val="auto"/>
          <w:sz w:val="24"/>
          <w:szCs w:val="24"/>
          <w:highlight w:val="none"/>
        </w:rPr>
        <w:t>当投标人决定中断生产某些组件或设备时，应预先告知招标人，以便招标人增加这些设备的备品备件。投标人</w:t>
      </w:r>
      <w:r>
        <w:rPr>
          <w:rFonts w:ascii="宋体"/>
          <w:color w:val="auto"/>
          <w:sz w:val="24"/>
          <w:szCs w:val="24"/>
          <w:highlight w:val="none"/>
        </w:rPr>
        <w:t>还应提供一份本次供货范围内的完整的一套备品(包括各种型号的采样板、电源板、继电器至少为各一套)、备件及消耗材料清单，该清单应分项列出单价和总价，以供</w:t>
      </w:r>
      <w:r>
        <w:rPr>
          <w:rFonts w:hint="eastAsia" w:ascii="宋体"/>
          <w:color w:val="auto"/>
          <w:sz w:val="24"/>
          <w:szCs w:val="24"/>
          <w:highlight w:val="none"/>
        </w:rPr>
        <w:t>招标人</w:t>
      </w:r>
      <w:r>
        <w:rPr>
          <w:rFonts w:ascii="宋体"/>
          <w:color w:val="auto"/>
          <w:sz w:val="24"/>
          <w:szCs w:val="24"/>
          <w:highlight w:val="none"/>
        </w:rPr>
        <w:t>参考。</w:t>
      </w:r>
    </w:p>
    <w:p w14:paraId="289D7A1B">
      <w:pPr>
        <w:spacing w:line="360" w:lineRule="auto"/>
        <w:rPr>
          <w:rFonts w:ascii="宋体"/>
          <w:color w:val="auto"/>
          <w:sz w:val="24"/>
          <w:szCs w:val="24"/>
          <w:highlight w:val="none"/>
        </w:rPr>
      </w:pPr>
      <w:r>
        <w:rPr>
          <w:rFonts w:hint="eastAsia" w:ascii="宋体"/>
          <w:color w:val="auto"/>
          <w:sz w:val="24"/>
          <w:szCs w:val="24"/>
          <w:highlight w:val="none"/>
        </w:rPr>
        <w:t>2.2.3 投标人应对所供计算机监控系统</w:t>
      </w:r>
      <w:r>
        <w:rPr>
          <w:rFonts w:hint="eastAsia" w:ascii="Times New Roman" w:hAnsi="宋体" w:eastAsia="宋体" w:cs="Times New Roman"/>
          <w:color w:val="auto"/>
          <w:spacing w:val="5"/>
          <w:sz w:val="24"/>
          <w:highlight w:val="none"/>
          <w:lang w:eastAsia="zh-CN"/>
        </w:rPr>
        <w:t>（</w:t>
      </w:r>
      <w:r>
        <w:rPr>
          <w:rFonts w:hint="eastAsia" w:ascii="Times New Roman" w:hAnsi="宋体" w:eastAsia="宋体" w:cs="Times New Roman"/>
          <w:color w:val="auto"/>
          <w:spacing w:val="5"/>
          <w:sz w:val="24"/>
          <w:szCs w:val="20"/>
          <w:highlight w:val="none"/>
        </w:rPr>
        <w:t>含测控</w:t>
      </w:r>
      <w:r>
        <w:rPr>
          <w:rFonts w:hint="eastAsia" w:ascii="Times New Roman" w:hAnsi="宋体" w:eastAsia="宋体" w:cs="Times New Roman"/>
          <w:color w:val="auto"/>
          <w:spacing w:val="5"/>
          <w:sz w:val="24"/>
          <w:szCs w:val="20"/>
          <w:highlight w:val="none"/>
          <w:lang w:val="en-US" w:eastAsia="zh-CN"/>
        </w:rPr>
        <w:t>屏</w:t>
      </w:r>
      <w:r>
        <w:rPr>
          <w:rFonts w:hint="eastAsia" w:ascii="Times New Roman" w:hAnsi="宋体" w:eastAsia="宋体" w:cs="Times New Roman"/>
          <w:color w:val="auto"/>
          <w:spacing w:val="5"/>
          <w:sz w:val="24"/>
          <w:szCs w:val="20"/>
          <w:highlight w:val="none"/>
        </w:rPr>
        <w:t>、AGC屏、网络柜、数据处理及</w:t>
      </w:r>
      <w:r>
        <w:rPr>
          <w:rFonts w:hint="eastAsia" w:ascii="Times New Roman" w:hAnsi="宋体" w:eastAsia="宋体" w:cs="Times New Roman"/>
          <w:color w:val="auto"/>
          <w:spacing w:val="5"/>
          <w:sz w:val="24"/>
          <w:szCs w:val="20"/>
          <w:highlight w:val="none"/>
          <w:lang w:val="en-US" w:eastAsia="zh-CN"/>
        </w:rPr>
        <w:t>远动</w:t>
      </w:r>
      <w:r>
        <w:rPr>
          <w:rFonts w:hint="eastAsia" w:ascii="Times New Roman" w:hAnsi="宋体" w:eastAsia="宋体" w:cs="Times New Roman"/>
          <w:color w:val="auto"/>
          <w:spacing w:val="5"/>
          <w:sz w:val="24"/>
          <w:szCs w:val="20"/>
          <w:highlight w:val="none"/>
        </w:rPr>
        <w:t>通信设备，操作员站及工程师站等设备、</w:t>
      </w:r>
      <w:r>
        <w:rPr>
          <w:rFonts w:hint="eastAsia" w:ascii="Times New Roman" w:hAnsi="宋体" w:cs="Times New Roman"/>
          <w:color w:val="auto"/>
          <w:spacing w:val="5"/>
          <w:kern w:val="2"/>
          <w:sz w:val="24"/>
          <w:szCs w:val="20"/>
          <w:highlight w:val="none"/>
        </w:rPr>
        <w:t>事故总信号系统</w:t>
      </w:r>
      <w:r>
        <w:rPr>
          <w:rFonts w:hint="eastAsia" w:ascii="宋体"/>
          <w:color w:val="auto"/>
          <w:sz w:val="24"/>
          <w:szCs w:val="24"/>
          <w:highlight w:val="none"/>
          <w:lang w:val="en-US" w:eastAsia="zh-CN"/>
        </w:rPr>
        <w:t>、微机五防系统、电度表屏、时间同步系统</w:t>
      </w:r>
      <w:r>
        <w:rPr>
          <w:rFonts w:hint="eastAsia" w:hAnsi="宋体"/>
          <w:color w:val="auto"/>
          <w:spacing w:val="5"/>
          <w:sz w:val="24"/>
          <w:highlight w:val="none"/>
          <w:lang w:eastAsia="zh-CN"/>
        </w:rPr>
        <w:t>）</w:t>
      </w:r>
      <w:r>
        <w:rPr>
          <w:rFonts w:hint="eastAsia" w:ascii="宋体"/>
          <w:color w:val="auto"/>
          <w:sz w:val="24"/>
          <w:szCs w:val="24"/>
          <w:highlight w:val="none"/>
        </w:rPr>
        <w:t>进行在线联调、现场可利用率测试以及三年运行和维护所必需的备品备件提出建议和报价。</w:t>
      </w:r>
    </w:p>
    <w:p w14:paraId="1B7F9715">
      <w:pPr>
        <w:spacing w:line="360" w:lineRule="auto"/>
        <w:rPr>
          <w:rFonts w:ascii="宋体"/>
          <w:color w:val="auto"/>
          <w:sz w:val="24"/>
          <w:szCs w:val="24"/>
          <w:highlight w:val="none"/>
        </w:rPr>
      </w:pPr>
      <w:r>
        <w:rPr>
          <w:rFonts w:hint="eastAsia" w:ascii="宋体"/>
          <w:color w:val="auto"/>
          <w:sz w:val="24"/>
          <w:szCs w:val="24"/>
          <w:highlight w:val="none"/>
        </w:rPr>
        <w:t>2.2.4投标人提供备品备件的保管资料，如存放期限、是否需干燥剂等。</w:t>
      </w:r>
    </w:p>
    <w:p w14:paraId="0CB6072F">
      <w:pPr>
        <w:spacing w:line="360" w:lineRule="auto"/>
        <w:rPr>
          <w:rFonts w:ascii="宋体"/>
          <w:color w:val="auto"/>
          <w:sz w:val="24"/>
          <w:szCs w:val="24"/>
          <w:highlight w:val="none"/>
        </w:rPr>
      </w:pPr>
      <w:r>
        <w:rPr>
          <w:rFonts w:hint="eastAsia" w:ascii="宋体"/>
          <w:color w:val="auto"/>
          <w:sz w:val="24"/>
          <w:szCs w:val="24"/>
          <w:highlight w:val="none"/>
        </w:rPr>
        <w:t>2.2.5 所有备品备件的一些主要部件（如印刷电路板）在发运前都应进行测试，以保证在计算机监控系统中正常运行。</w:t>
      </w:r>
    </w:p>
    <w:p w14:paraId="4B67707A">
      <w:pPr>
        <w:spacing w:line="360" w:lineRule="auto"/>
        <w:rPr>
          <w:rFonts w:ascii="宋体"/>
          <w:color w:val="auto"/>
          <w:sz w:val="24"/>
          <w:szCs w:val="24"/>
          <w:highlight w:val="none"/>
        </w:rPr>
      </w:pPr>
      <w:r>
        <w:rPr>
          <w:rFonts w:hint="eastAsia" w:ascii="宋体"/>
          <w:color w:val="auto"/>
          <w:sz w:val="24"/>
          <w:szCs w:val="24"/>
          <w:highlight w:val="none"/>
        </w:rPr>
        <w:t>2.2.6 性能验收完成之前损坏的模件或设备由投标人无偿提供，且不计入备品备件。</w:t>
      </w:r>
    </w:p>
    <w:p w14:paraId="37C43371">
      <w:pPr>
        <w:spacing w:line="360" w:lineRule="auto"/>
        <w:rPr>
          <w:rFonts w:ascii="宋体"/>
          <w:color w:val="auto"/>
          <w:sz w:val="24"/>
          <w:szCs w:val="24"/>
          <w:highlight w:val="none"/>
        </w:rPr>
      </w:pPr>
      <w:r>
        <w:rPr>
          <w:rFonts w:hint="eastAsia" w:ascii="宋体"/>
          <w:color w:val="auto"/>
          <w:sz w:val="24"/>
          <w:szCs w:val="24"/>
          <w:highlight w:val="none"/>
        </w:rPr>
        <w:t>2.2.7 投标人应按每种I/O模块10%的量来备备品备件。</w:t>
      </w:r>
    </w:p>
    <w:p w14:paraId="3610EE28">
      <w:pPr>
        <w:spacing w:line="360" w:lineRule="auto"/>
        <w:rPr>
          <w:b/>
          <w:color w:val="auto"/>
          <w:sz w:val="24"/>
          <w:szCs w:val="24"/>
          <w:highlight w:val="none"/>
        </w:rPr>
      </w:pPr>
      <w:bookmarkStart w:id="79" w:name="_Toc173689304"/>
      <w:r>
        <w:rPr>
          <w:b/>
          <w:color w:val="auto"/>
          <w:sz w:val="24"/>
          <w:szCs w:val="24"/>
          <w:highlight w:val="none"/>
        </w:rPr>
        <w:t>2.3</w:t>
      </w:r>
      <w:r>
        <w:rPr>
          <w:rFonts w:hAnsi="宋体"/>
          <w:b/>
          <w:color w:val="auto"/>
          <w:sz w:val="24"/>
          <w:szCs w:val="24"/>
          <w:highlight w:val="none"/>
        </w:rPr>
        <w:t>专用工具</w:t>
      </w:r>
      <w:bookmarkEnd w:id="79"/>
      <w:r>
        <w:rPr>
          <w:rFonts w:hAnsi="宋体"/>
          <w:b/>
          <w:color w:val="auto"/>
          <w:sz w:val="24"/>
          <w:szCs w:val="24"/>
          <w:highlight w:val="none"/>
        </w:rPr>
        <w:t>：</w:t>
      </w:r>
    </w:p>
    <w:p w14:paraId="1AE16EED">
      <w:pPr>
        <w:snapToGrid w:val="0"/>
        <w:spacing w:line="360" w:lineRule="auto"/>
        <w:ind w:firstLine="405"/>
        <w:rPr>
          <w:color w:val="auto"/>
          <w:sz w:val="24"/>
          <w:highlight w:val="none"/>
        </w:rPr>
      </w:pPr>
      <w:r>
        <w:rPr>
          <w:rFonts w:hint="eastAsia"/>
          <w:color w:val="auto"/>
          <w:sz w:val="24"/>
          <w:highlight w:val="none"/>
        </w:rPr>
        <w:t>投标人应向招标人提供必要的专用工具，按</w:t>
      </w:r>
      <w:r>
        <w:rPr>
          <w:rFonts w:hint="eastAsia" w:ascii="宋体"/>
          <w:color w:val="auto"/>
          <w:sz w:val="24"/>
          <w:szCs w:val="24"/>
          <w:highlight w:val="none"/>
        </w:rPr>
        <w:t>网络监控系统（NCS）供货范围表</w:t>
      </w:r>
      <w:r>
        <w:rPr>
          <w:rFonts w:hint="eastAsia"/>
          <w:color w:val="auto"/>
          <w:sz w:val="24"/>
          <w:highlight w:val="none"/>
        </w:rPr>
        <w:t>格式要求提供详细的专用工具清单（注明零部件的名称、型号或规格、生产厂家等）。</w:t>
      </w:r>
    </w:p>
    <w:p w14:paraId="4E42A4E4">
      <w:pPr>
        <w:spacing w:line="360" w:lineRule="auto"/>
        <w:rPr>
          <w:rFonts w:ascii="宋体"/>
          <w:color w:val="auto"/>
          <w:sz w:val="24"/>
          <w:szCs w:val="24"/>
          <w:highlight w:val="none"/>
        </w:rPr>
      </w:pPr>
      <w:r>
        <w:rPr>
          <w:rFonts w:hint="eastAsia" w:ascii="宋体"/>
          <w:color w:val="auto"/>
          <w:sz w:val="24"/>
          <w:szCs w:val="24"/>
          <w:highlight w:val="none"/>
        </w:rPr>
        <w:t>除专用工具外，投标人还应向招标人提供一份推荐的维修测试及调试人员必备的标准工具的清单。</w:t>
      </w:r>
    </w:p>
    <w:p w14:paraId="563BC40F">
      <w:pPr>
        <w:spacing w:line="360" w:lineRule="auto"/>
        <w:rPr>
          <w:b/>
          <w:color w:val="auto"/>
          <w:sz w:val="24"/>
          <w:szCs w:val="24"/>
          <w:highlight w:val="none"/>
        </w:rPr>
      </w:pPr>
      <w:r>
        <w:rPr>
          <w:b/>
          <w:color w:val="auto"/>
          <w:sz w:val="24"/>
          <w:szCs w:val="24"/>
          <w:highlight w:val="none"/>
        </w:rPr>
        <w:t>2.4</w:t>
      </w:r>
      <w:r>
        <w:rPr>
          <w:rFonts w:hAnsi="宋体"/>
          <w:b/>
          <w:color w:val="auto"/>
          <w:sz w:val="24"/>
          <w:szCs w:val="24"/>
          <w:highlight w:val="none"/>
        </w:rPr>
        <w:t>进口材料及进口件清单</w:t>
      </w:r>
    </w:p>
    <w:p w14:paraId="043C81BF">
      <w:pPr>
        <w:pStyle w:val="18"/>
        <w:adjustRightInd/>
        <w:spacing w:line="360" w:lineRule="auto"/>
        <w:textAlignment w:val="auto"/>
        <w:rPr>
          <w:rFonts w:ascii="Times New Roman"/>
          <w:color w:val="auto"/>
          <w:kern w:val="2"/>
          <w:szCs w:val="24"/>
          <w:highlight w:val="none"/>
        </w:rPr>
      </w:pPr>
      <w:r>
        <w:rPr>
          <w:rFonts w:ascii="Times New Roman" w:hAnsi="宋体"/>
          <w:color w:val="auto"/>
          <w:kern w:val="2"/>
          <w:szCs w:val="24"/>
          <w:highlight w:val="none"/>
        </w:rPr>
        <w:t>投标人根据投标部件情况列出进口材料及进口件清单</w:t>
      </w:r>
    </w:p>
    <w:p w14:paraId="6FFC235A">
      <w:pPr>
        <w:spacing w:line="360" w:lineRule="auto"/>
        <w:outlineLvl w:val="0"/>
        <w:rPr>
          <w:rFonts w:ascii="宋体"/>
          <w:color w:val="auto"/>
          <w:sz w:val="30"/>
          <w:szCs w:val="30"/>
          <w:highlight w:val="none"/>
        </w:rPr>
      </w:pPr>
      <w:r>
        <w:rPr>
          <w:rFonts w:ascii="宋体"/>
          <w:color w:val="auto"/>
          <w:sz w:val="30"/>
          <w:szCs w:val="30"/>
          <w:highlight w:val="none"/>
        </w:rPr>
        <w:br w:type="page"/>
      </w:r>
    </w:p>
    <w:p w14:paraId="30ACEBB1">
      <w:pPr>
        <w:spacing w:line="360" w:lineRule="auto"/>
        <w:outlineLvl w:val="0"/>
        <w:rPr>
          <w:rFonts w:ascii="宋体"/>
          <w:color w:val="auto"/>
          <w:sz w:val="30"/>
          <w:szCs w:val="30"/>
          <w:highlight w:val="none"/>
        </w:rPr>
        <w:sectPr>
          <w:pgSz w:w="11907" w:h="16840"/>
          <w:pgMar w:top="1470" w:right="1418" w:bottom="1418" w:left="1985" w:header="949" w:footer="1021" w:gutter="0"/>
          <w:pgNumType w:start="1"/>
          <w:cols w:space="425" w:num="1"/>
          <w:docGrid w:linePitch="380" w:charSpace="0"/>
        </w:sectPr>
      </w:pPr>
    </w:p>
    <w:p w14:paraId="7E0644C1">
      <w:pPr>
        <w:jc w:val="center"/>
        <w:rPr>
          <w:rFonts w:ascii="宋体" w:hAnsi="宋体"/>
          <w:b/>
          <w:color w:val="auto"/>
          <w:szCs w:val="28"/>
          <w:highlight w:val="none"/>
        </w:rPr>
      </w:pPr>
      <w:r>
        <w:rPr>
          <w:rFonts w:hint="eastAsia" w:ascii="宋体" w:hAnsi="宋体"/>
          <w:b/>
          <w:color w:val="auto"/>
          <w:szCs w:val="28"/>
          <w:highlight w:val="none"/>
        </w:rPr>
        <w:t>网络监控系统（NCS）供货范围表</w:t>
      </w:r>
    </w:p>
    <w:tbl>
      <w:tblPr>
        <w:tblStyle w:val="31"/>
        <w:tblW w:w="8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643"/>
        <w:gridCol w:w="2603"/>
        <w:gridCol w:w="614"/>
        <w:gridCol w:w="322"/>
        <w:gridCol w:w="293"/>
        <w:gridCol w:w="684"/>
        <w:gridCol w:w="1643"/>
      </w:tblGrid>
      <w:tr w14:paraId="6CE0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52" w:type="dxa"/>
            <w:shd w:val="clear" w:color="auto" w:fill="auto"/>
            <w:vAlign w:val="center"/>
          </w:tcPr>
          <w:p w14:paraId="141D900A">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序号</w:t>
            </w:r>
          </w:p>
        </w:tc>
        <w:tc>
          <w:tcPr>
            <w:tcW w:w="1643" w:type="dxa"/>
            <w:shd w:val="clear" w:color="auto" w:fill="auto"/>
            <w:vAlign w:val="center"/>
          </w:tcPr>
          <w:p w14:paraId="2D5C25BD">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名称</w:t>
            </w:r>
          </w:p>
        </w:tc>
        <w:tc>
          <w:tcPr>
            <w:tcW w:w="2603" w:type="dxa"/>
            <w:shd w:val="clear" w:color="auto" w:fill="auto"/>
            <w:vAlign w:val="center"/>
          </w:tcPr>
          <w:p w14:paraId="6B650A1F">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规格和型号</w:t>
            </w:r>
          </w:p>
        </w:tc>
        <w:tc>
          <w:tcPr>
            <w:tcW w:w="614" w:type="dxa"/>
            <w:shd w:val="clear" w:color="auto" w:fill="auto"/>
            <w:vAlign w:val="center"/>
          </w:tcPr>
          <w:p w14:paraId="5284C549">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单位</w:t>
            </w:r>
          </w:p>
        </w:tc>
        <w:tc>
          <w:tcPr>
            <w:tcW w:w="322" w:type="dxa"/>
            <w:shd w:val="clear" w:color="auto" w:fill="auto"/>
            <w:vAlign w:val="center"/>
          </w:tcPr>
          <w:p w14:paraId="3A9CD7F6">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数量</w:t>
            </w:r>
          </w:p>
        </w:tc>
        <w:tc>
          <w:tcPr>
            <w:tcW w:w="293" w:type="dxa"/>
            <w:shd w:val="clear" w:color="auto" w:fill="auto"/>
            <w:vAlign w:val="center"/>
          </w:tcPr>
          <w:p w14:paraId="39A9783B">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产地</w:t>
            </w:r>
          </w:p>
        </w:tc>
        <w:tc>
          <w:tcPr>
            <w:tcW w:w="684" w:type="dxa"/>
            <w:shd w:val="clear" w:color="auto" w:fill="auto"/>
            <w:vAlign w:val="center"/>
          </w:tcPr>
          <w:p w14:paraId="79204CD4">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生产厂家</w:t>
            </w:r>
          </w:p>
        </w:tc>
        <w:tc>
          <w:tcPr>
            <w:tcW w:w="1643" w:type="dxa"/>
            <w:shd w:val="clear" w:color="auto" w:fill="auto"/>
            <w:vAlign w:val="center"/>
          </w:tcPr>
          <w:p w14:paraId="115BD7CB">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备注</w:t>
            </w:r>
          </w:p>
        </w:tc>
      </w:tr>
      <w:tr w14:paraId="208B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278B5972">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1643" w:type="dxa"/>
            <w:shd w:val="clear" w:color="auto" w:fill="auto"/>
            <w:noWrap/>
            <w:vAlign w:val="center"/>
          </w:tcPr>
          <w:p w14:paraId="4AA568CE">
            <w:pPr>
              <w:widowControl/>
              <w:ind w:firstLine="105" w:firstLineChars="50"/>
              <w:rPr>
                <w:rFonts w:ascii="宋体" w:hAnsi="宋体" w:cs="宋体"/>
                <w:color w:val="auto"/>
                <w:kern w:val="0"/>
                <w:sz w:val="21"/>
                <w:szCs w:val="21"/>
                <w:highlight w:val="none"/>
              </w:rPr>
            </w:pPr>
            <w:r>
              <w:rPr>
                <w:rFonts w:hint="eastAsia" w:ascii="宋体" w:hAnsi="宋体" w:cs="宋体"/>
                <w:color w:val="auto"/>
                <w:kern w:val="0"/>
                <w:sz w:val="21"/>
                <w:szCs w:val="21"/>
                <w:highlight w:val="none"/>
              </w:rPr>
              <w:t>本体</w:t>
            </w:r>
          </w:p>
        </w:tc>
        <w:tc>
          <w:tcPr>
            <w:tcW w:w="2603" w:type="dxa"/>
            <w:shd w:val="clear" w:color="auto" w:fill="auto"/>
            <w:noWrap/>
            <w:vAlign w:val="center"/>
          </w:tcPr>
          <w:p w14:paraId="2FCE1933">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58507062">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2EFA4748">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3BA5C976">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1F9706DF">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8858C2E">
            <w:pPr>
              <w:widowControl/>
              <w:jc w:val="center"/>
              <w:rPr>
                <w:rFonts w:ascii="宋体" w:hAnsi="宋体" w:cs="宋体"/>
                <w:color w:val="auto"/>
                <w:kern w:val="0"/>
                <w:sz w:val="21"/>
                <w:szCs w:val="21"/>
                <w:highlight w:val="none"/>
              </w:rPr>
            </w:pPr>
          </w:p>
        </w:tc>
      </w:tr>
      <w:tr w14:paraId="339C5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652" w:type="dxa"/>
            <w:shd w:val="clear" w:color="auto" w:fill="auto"/>
            <w:noWrap/>
            <w:vAlign w:val="center"/>
          </w:tcPr>
          <w:p w14:paraId="49D7B388">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1_1</w:t>
            </w:r>
          </w:p>
        </w:tc>
        <w:tc>
          <w:tcPr>
            <w:tcW w:w="1643" w:type="dxa"/>
            <w:shd w:val="clear" w:color="auto" w:fill="auto"/>
            <w:noWrap/>
            <w:vAlign w:val="center"/>
          </w:tcPr>
          <w:p w14:paraId="7B277989">
            <w:pPr>
              <w:spacing w:line="360" w:lineRule="auto"/>
              <w:ind w:right="-108"/>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主计算机</w:t>
            </w:r>
          </w:p>
        </w:tc>
        <w:tc>
          <w:tcPr>
            <w:tcW w:w="2603" w:type="dxa"/>
            <w:shd w:val="clear" w:color="auto" w:fill="auto"/>
            <w:noWrap/>
            <w:vAlign w:val="center"/>
          </w:tcPr>
          <w:p w14:paraId="1A49A990">
            <w:pPr>
              <w:spacing w:line="360" w:lineRule="auto"/>
              <w:ind w:right="-108"/>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要求两路电源进主机，任何一路电源中断不影响该主机的正常运行</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，配置满足招标文件要求</w:t>
            </w:r>
          </w:p>
        </w:tc>
        <w:tc>
          <w:tcPr>
            <w:tcW w:w="614" w:type="dxa"/>
            <w:shd w:val="clear" w:color="auto" w:fill="auto"/>
            <w:noWrap/>
            <w:vAlign w:val="center"/>
          </w:tcPr>
          <w:p w14:paraId="6CD44B01">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3DDF63C7">
            <w:pPr>
              <w:spacing w:line="360" w:lineRule="auto"/>
              <w:ind w:right="-108"/>
              <w:jc w:val="center"/>
              <w:rPr>
                <w:rFonts w:ascii="宋体" w:hAnsi="宋体" w:cs="宋体"/>
                <w:color w:val="auto"/>
                <w:kern w:val="0"/>
                <w:sz w:val="21"/>
                <w:szCs w:val="21"/>
                <w:highlight w:val="none"/>
              </w:rPr>
            </w:pPr>
            <w:r>
              <w:rPr>
                <w:rFonts w:ascii="宋体" w:hAnsi="宋体" w:cs="宋体"/>
                <w:color w:val="auto"/>
                <w:kern w:val="0"/>
                <w:sz w:val="21"/>
                <w:szCs w:val="21"/>
                <w:highlight w:val="none"/>
              </w:rPr>
              <w:t>2</w:t>
            </w:r>
          </w:p>
        </w:tc>
        <w:tc>
          <w:tcPr>
            <w:tcW w:w="293" w:type="dxa"/>
            <w:shd w:val="clear" w:color="auto" w:fill="auto"/>
            <w:noWrap/>
            <w:vAlign w:val="center"/>
          </w:tcPr>
          <w:p w14:paraId="3FB13D2F">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BD6E3A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202B261D">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组屏安装，</w:t>
            </w:r>
          </w:p>
          <w:p w14:paraId="3DC73296">
            <w:pPr>
              <w:spacing w:line="360" w:lineRule="auto"/>
              <w:ind w:right="-129"/>
              <w:jc w:val="left"/>
              <w:rPr>
                <w:rFonts w:ascii="宋体" w:hAnsi="宋体" w:cs="宋体"/>
                <w:color w:val="auto"/>
                <w:kern w:val="0"/>
                <w:sz w:val="21"/>
                <w:szCs w:val="21"/>
                <w:highlight w:val="none"/>
              </w:rPr>
            </w:pPr>
            <w:r>
              <w:rPr>
                <w:rFonts w:ascii="宋体" w:hAnsi="宋体" w:cs="宋体"/>
                <w:color w:val="auto"/>
                <w:kern w:val="0"/>
                <w:sz w:val="21"/>
                <w:szCs w:val="21"/>
                <w:highlight w:val="none"/>
              </w:rPr>
              <w:t>2</w:t>
            </w:r>
            <w:r>
              <w:rPr>
                <w:rFonts w:hint="eastAsia" w:ascii="宋体" w:hAnsi="宋体" w:cs="宋体"/>
                <w:color w:val="auto"/>
                <w:kern w:val="0"/>
                <w:sz w:val="21"/>
                <w:szCs w:val="21"/>
                <w:highlight w:val="none"/>
              </w:rPr>
              <w:t>套组1面屏</w:t>
            </w:r>
          </w:p>
        </w:tc>
      </w:tr>
      <w:tr w14:paraId="3D6D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52" w:type="dxa"/>
            <w:shd w:val="clear" w:color="auto" w:fill="auto"/>
            <w:noWrap/>
            <w:vAlign w:val="center"/>
          </w:tcPr>
          <w:p w14:paraId="58B995C7">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1_2</w:t>
            </w:r>
          </w:p>
        </w:tc>
        <w:tc>
          <w:tcPr>
            <w:tcW w:w="1643" w:type="dxa"/>
            <w:shd w:val="clear" w:color="auto" w:fill="auto"/>
            <w:noWrap/>
            <w:vAlign w:val="center"/>
          </w:tcPr>
          <w:p w14:paraId="3FC08A61">
            <w:pPr>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操作员工作站</w:t>
            </w:r>
          </w:p>
        </w:tc>
        <w:tc>
          <w:tcPr>
            <w:tcW w:w="2603" w:type="dxa"/>
            <w:shd w:val="clear" w:color="auto" w:fill="auto"/>
            <w:noWrap/>
            <w:vAlign w:val="center"/>
          </w:tcPr>
          <w:p w14:paraId="0D0A376E">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配音响装置，配置满足招标文件要求</w:t>
            </w:r>
          </w:p>
        </w:tc>
        <w:tc>
          <w:tcPr>
            <w:tcW w:w="614" w:type="dxa"/>
            <w:shd w:val="clear" w:color="auto" w:fill="auto"/>
            <w:noWrap/>
            <w:vAlign w:val="center"/>
          </w:tcPr>
          <w:p w14:paraId="2E2ABBC6">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68B5A254">
            <w:pPr>
              <w:spacing w:line="360" w:lineRule="auto"/>
              <w:jc w:val="center"/>
              <w:rPr>
                <w:rFonts w:ascii="宋体" w:hAnsi="宋体" w:cs="宋体"/>
                <w:color w:val="auto"/>
                <w:kern w:val="0"/>
                <w:sz w:val="21"/>
                <w:szCs w:val="21"/>
                <w:highlight w:val="none"/>
              </w:rPr>
            </w:pPr>
            <w:r>
              <w:rPr>
                <w:rFonts w:ascii="宋体" w:hAnsi="宋体" w:cs="宋体"/>
                <w:color w:val="auto"/>
                <w:kern w:val="0"/>
                <w:sz w:val="21"/>
                <w:szCs w:val="21"/>
                <w:highlight w:val="none"/>
              </w:rPr>
              <w:t>2</w:t>
            </w:r>
          </w:p>
        </w:tc>
        <w:tc>
          <w:tcPr>
            <w:tcW w:w="293" w:type="dxa"/>
            <w:shd w:val="clear" w:color="auto" w:fill="auto"/>
            <w:noWrap/>
            <w:vAlign w:val="center"/>
          </w:tcPr>
          <w:p w14:paraId="3DB8916D">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687828B">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39CEC7DE">
            <w:pPr>
              <w:spacing w:line="360" w:lineRule="auto"/>
              <w:ind w:right="-129"/>
              <w:jc w:val="left"/>
              <w:rPr>
                <w:rFonts w:ascii="宋体" w:hAnsi="宋体" w:cs="宋体"/>
                <w:color w:val="auto"/>
                <w:kern w:val="0"/>
                <w:sz w:val="21"/>
                <w:szCs w:val="21"/>
                <w:highlight w:val="none"/>
              </w:rPr>
            </w:pPr>
          </w:p>
        </w:tc>
      </w:tr>
      <w:tr w14:paraId="4DD46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55C65FDB">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1_3</w:t>
            </w:r>
          </w:p>
        </w:tc>
        <w:tc>
          <w:tcPr>
            <w:tcW w:w="1643" w:type="dxa"/>
            <w:shd w:val="clear" w:color="auto" w:fill="auto"/>
            <w:noWrap/>
            <w:vAlign w:val="center"/>
          </w:tcPr>
          <w:p w14:paraId="7ED9262E">
            <w:pPr>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远动通信装置</w:t>
            </w:r>
          </w:p>
        </w:tc>
        <w:tc>
          <w:tcPr>
            <w:tcW w:w="2603" w:type="dxa"/>
            <w:shd w:val="clear" w:color="auto" w:fill="auto"/>
            <w:noWrap/>
            <w:vAlign w:val="center"/>
          </w:tcPr>
          <w:p w14:paraId="67DF1797">
            <w:pPr>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配置满足招标文件要求</w:t>
            </w:r>
          </w:p>
        </w:tc>
        <w:tc>
          <w:tcPr>
            <w:tcW w:w="614" w:type="dxa"/>
            <w:shd w:val="clear" w:color="auto" w:fill="auto"/>
            <w:noWrap/>
            <w:vAlign w:val="center"/>
          </w:tcPr>
          <w:p w14:paraId="19E621B5">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2B9CD62C">
            <w:pPr>
              <w:spacing w:before="20" w:after="20" w:line="360" w:lineRule="auto"/>
              <w:jc w:val="center"/>
              <w:rPr>
                <w:rFonts w:ascii="宋体" w:hAnsi="宋体" w:cs="宋体"/>
                <w:color w:val="auto"/>
                <w:kern w:val="0"/>
                <w:sz w:val="21"/>
                <w:szCs w:val="21"/>
                <w:highlight w:val="none"/>
              </w:rPr>
            </w:pPr>
            <w:r>
              <w:rPr>
                <w:rFonts w:ascii="宋体" w:hAnsi="宋体" w:cs="宋体"/>
                <w:color w:val="auto"/>
                <w:kern w:val="0"/>
                <w:sz w:val="21"/>
                <w:szCs w:val="21"/>
                <w:highlight w:val="none"/>
              </w:rPr>
              <w:t>2</w:t>
            </w:r>
          </w:p>
        </w:tc>
        <w:tc>
          <w:tcPr>
            <w:tcW w:w="293" w:type="dxa"/>
            <w:shd w:val="clear" w:color="auto" w:fill="auto"/>
            <w:noWrap/>
            <w:vAlign w:val="center"/>
          </w:tcPr>
          <w:p w14:paraId="6A1A8DD7">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74E64F1C">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592F5611">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组屏安装，</w:t>
            </w:r>
          </w:p>
          <w:p w14:paraId="5BB30253">
            <w:pPr>
              <w:spacing w:line="360" w:lineRule="auto"/>
              <w:ind w:right="-129"/>
              <w:jc w:val="left"/>
              <w:rPr>
                <w:rFonts w:ascii="宋体" w:hAnsi="宋体" w:cs="宋体"/>
                <w:color w:val="auto"/>
                <w:kern w:val="0"/>
                <w:sz w:val="21"/>
                <w:szCs w:val="21"/>
                <w:highlight w:val="none"/>
              </w:rPr>
            </w:pPr>
            <w:r>
              <w:rPr>
                <w:rFonts w:ascii="宋体" w:hAnsi="宋体" w:cs="宋体"/>
                <w:color w:val="auto"/>
                <w:kern w:val="0"/>
                <w:sz w:val="21"/>
                <w:szCs w:val="21"/>
                <w:highlight w:val="none"/>
              </w:rPr>
              <w:t>2</w:t>
            </w:r>
            <w:r>
              <w:rPr>
                <w:rFonts w:hint="eastAsia" w:ascii="宋体" w:hAnsi="宋体" w:cs="宋体"/>
                <w:color w:val="auto"/>
                <w:kern w:val="0"/>
                <w:sz w:val="21"/>
                <w:szCs w:val="21"/>
                <w:highlight w:val="none"/>
              </w:rPr>
              <w:t>套组1面屏</w:t>
            </w:r>
          </w:p>
        </w:tc>
      </w:tr>
      <w:tr w14:paraId="348C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tcPr>
          <w:p w14:paraId="624DC616">
            <w:pPr>
              <w:rPr>
                <w:color w:val="auto"/>
                <w:sz w:val="21"/>
                <w:szCs w:val="21"/>
                <w:highlight w:val="none"/>
              </w:rPr>
            </w:pPr>
            <w:r>
              <w:rPr>
                <w:rFonts w:hint="eastAsia" w:ascii="宋体" w:hAnsi="宋体" w:cs="宋体"/>
                <w:color w:val="auto"/>
                <w:kern w:val="0"/>
                <w:sz w:val="21"/>
                <w:szCs w:val="21"/>
                <w:highlight w:val="none"/>
              </w:rPr>
              <w:t>1_4</w:t>
            </w:r>
          </w:p>
        </w:tc>
        <w:tc>
          <w:tcPr>
            <w:tcW w:w="1643" w:type="dxa"/>
            <w:shd w:val="clear" w:color="auto" w:fill="auto"/>
            <w:noWrap/>
            <w:vAlign w:val="center"/>
          </w:tcPr>
          <w:p w14:paraId="21F4D272">
            <w:pPr>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工程师工作站</w:t>
            </w:r>
          </w:p>
        </w:tc>
        <w:tc>
          <w:tcPr>
            <w:tcW w:w="2603" w:type="dxa"/>
            <w:shd w:val="clear" w:color="auto" w:fill="auto"/>
            <w:noWrap/>
            <w:vAlign w:val="center"/>
          </w:tcPr>
          <w:p w14:paraId="51E4E985">
            <w:pPr>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配置满足招标文件要求</w:t>
            </w:r>
          </w:p>
        </w:tc>
        <w:tc>
          <w:tcPr>
            <w:tcW w:w="614" w:type="dxa"/>
            <w:shd w:val="clear" w:color="auto" w:fill="auto"/>
            <w:noWrap/>
            <w:vAlign w:val="center"/>
          </w:tcPr>
          <w:p w14:paraId="4949D929">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5C14B8E1">
            <w:pPr>
              <w:spacing w:line="360" w:lineRule="auto"/>
              <w:jc w:val="center"/>
              <w:rPr>
                <w:rFonts w:ascii="宋体" w:hAnsi="宋体" w:cs="宋体"/>
                <w:color w:val="auto"/>
                <w:kern w:val="0"/>
                <w:sz w:val="21"/>
                <w:szCs w:val="21"/>
                <w:highlight w:val="none"/>
              </w:rPr>
            </w:pPr>
            <w:r>
              <w:rPr>
                <w:rFonts w:ascii="宋体" w:hAnsi="宋体" w:cs="宋体"/>
                <w:color w:val="auto"/>
                <w:kern w:val="0"/>
                <w:sz w:val="21"/>
                <w:szCs w:val="21"/>
                <w:highlight w:val="none"/>
              </w:rPr>
              <w:t>1</w:t>
            </w:r>
          </w:p>
        </w:tc>
        <w:tc>
          <w:tcPr>
            <w:tcW w:w="293" w:type="dxa"/>
            <w:shd w:val="clear" w:color="auto" w:fill="auto"/>
            <w:noWrap/>
            <w:vAlign w:val="center"/>
          </w:tcPr>
          <w:p w14:paraId="3985622F">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A341C9E">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B2C0514">
            <w:pPr>
              <w:spacing w:line="360" w:lineRule="auto"/>
              <w:ind w:right="-129"/>
              <w:jc w:val="left"/>
              <w:rPr>
                <w:rFonts w:ascii="宋体" w:hAnsi="宋体" w:cs="宋体"/>
                <w:color w:val="auto"/>
                <w:kern w:val="0"/>
                <w:sz w:val="21"/>
                <w:szCs w:val="21"/>
                <w:highlight w:val="none"/>
              </w:rPr>
            </w:pPr>
          </w:p>
        </w:tc>
      </w:tr>
      <w:tr w14:paraId="21A0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top"/>
          </w:tcPr>
          <w:p w14:paraId="293B64B1">
            <w:pPr>
              <w:rPr>
                <w:rFonts w:hint="eastAsia"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1_5</w:t>
            </w:r>
          </w:p>
        </w:tc>
        <w:tc>
          <w:tcPr>
            <w:tcW w:w="1643" w:type="dxa"/>
            <w:shd w:val="clear" w:color="auto" w:fill="auto"/>
            <w:noWrap/>
            <w:vAlign w:val="center"/>
          </w:tcPr>
          <w:p w14:paraId="48AF3774">
            <w:pPr>
              <w:spacing w:line="360" w:lineRule="auto"/>
              <w:jc w:val="left"/>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微机五防工作站</w:t>
            </w:r>
          </w:p>
        </w:tc>
        <w:tc>
          <w:tcPr>
            <w:tcW w:w="2603" w:type="dxa"/>
            <w:shd w:val="clear" w:color="auto" w:fill="auto"/>
            <w:noWrap/>
            <w:vAlign w:val="center"/>
          </w:tcPr>
          <w:p w14:paraId="363BBAD2">
            <w:pPr>
              <w:jc w:val="left"/>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配置满足招标文件要求</w:t>
            </w:r>
          </w:p>
        </w:tc>
        <w:tc>
          <w:tcPr>
            <w:tcW w:w="614" w:type="dxa"/>
            <w:shd w:val="clear" w:color="auto" w:fill="auto"/>
            <w:noWrap/>
            <w:vAlign w:val="center"/>
          </w:tcPr>
          <w:p w14:paraId="753BBC35">
            <w:pPr>
              <w:widowControl/>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34CE4F54">
            <w:pPr>
              <w:spacing w:line="360" w:lineRule="auto"/>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1</w:t>
            </w:r>
          </w:p>
        </w:tc>
        <w:tc>
          <w:tcPr>
            <w:tcW w:w="293" w:type="dxa"/>
            <w:shd w:val="clear" w:color="auto" w:fill="auto"/>
            <w:noWrap/>
            <w:vAlign w:val="center"/>
          </w:tcPr>
          <w:p w14:paraId="1C6D352B">
            <w:pPr>
              <w:widowControl/>
              <w:jc w:val="center"/>
              <w:rPr>
                <w:rFonts w:ascii="宋体" w:hAnsi="宋体" w:eastAsia="宋体" w:cs="宋体"/>
                <w:color w:val="auto"/>
                <w:kern w:val="0"/>
                <w:sz w:val="21"/>
                <w:szCs w:val="21"/>
                <w:highlight w:val="none"/>
                <w:lang w:val="en-US" w:eastAsia="zh-CN" w:bidi="ar-SA"/>
              </w:rPr>
            </w:pPr>
          </w:p>
        </w:tc>
        <w:tc>
          <w:tcPr>
            <w:tcW w:w="684" w:type="dxa"/>
            <w:shd w:val="clear" w:color="auto" w:fill="auto"/>
            <w:noWrap/>
            <w:vAlign w:val="center"/>
          </w:tcPr>
          <w:p w14:paraId="0FA93F5E">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01084B2">
            <w:pPr>
              <w:spacing w:line="360" w:lineRule="auto"/>
              <w:ind w:right="-129"/>
              <w:jc w:val="left"/>
              <w:rPr>
                <w:rFonts w:ascii="宋体" w:hAnsi="宋体" w:cs="宋体"/>
                <w:color w:val="auto"/>
                <w:kern w:val="0"/>
                <w:sz w:val="21"/>
                <w:szCs w:val="21"/>
                <w:highlight w:val="none"/>
              </w:rPr>
            </w:pPr>
          </w:p>
        </w:tc>
      </w:tr>
      <w:tr w14:paraId="58435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top"/>
          </w:tcPr>
          <w:p w14:paraId="25113894">
            <w:pPr>
              <w:rPr>
                <w:rFonts w:hint="eastAsia"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1_6</w:t>
            </w:r>
          </w:p>
        </w:tc>
        <w:tc>
          <w:tcPr>
            <w:tcW w:w="1643" w:type="dxa"/>
            <w:shd w:val="clear" w:color="auto" w:fill="auto"/>
            <w:noWrap/>
            <w:vAlign w:val="center"/>
          </w:tcPr>
          <w:p w14:paraId="0374164D">
            <w:pPr>
              <w:spacing w:line="360" w:lineRule="auto"/>
              <w:jc w:val="left"/>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rPr>
              <w:t>操作台及座椅</w:t>
            </w:r>
          </w:p>
        </w:tc>
        <w:tc>
          <w:tcPr>
            <w:tcW w:w="2603" w:type="dxa"/>
            <w:shd w:val="clear" w:color="auto" w:fill="auto"/>
            <w:noWrap/>
            <w:vAlign w:val="center"/>
          </w:tcPr>
          <w:p w14:paraId="6F365F61">
            <w:pPr>
              <w:jc w:val="left"/>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2工位</w:t>
            </w:r>
          </w:p>
        </w:tc>
        <w:tc>
          <w:tcPr>
            <w:tcW w:w="614" w:type="dxa"/>
            <w:shd w:val="clear" w:color="auto" w:fill="auto"/>
            <w:noWrap/>
            <w:vAlign w:val="center"/>
          </w:tcPr>
          <w:p w14:paraId="17901DEF">
            <w:pPr>
              <w:widowControl/>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40BEC0A5">
            <w:pPr>
              <w:spacing w:line="360" w:lineRule="auto"/>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1</w:t>
            </w:r>
          </w:p>
        </w:tc>
        <w:tc>
          <w:tcPr>
            <w:tcW w:w="293" w:type="dxa"/>
            <w:shd w:val="clear" w:color="auto" w:fill="auto"/>
            <w:noWrap/>
            <w:vAlign w:val="center"/>
          </w:tcPr>
          <w:p w14:paraId="2C8C952B">
            <w:pPr>
              <w:widowControl/>
              <w:jc w:val="center"/>
              <w:rPr>
                <w:rFonts w:ascii="宋体" w:hAnsi="宋体" w:eastAsia="宋体" w:cs="宋体"/>
                <w:color w:val="auto"/>
                <w:kern w:val="0"/>
                <w:sz w:val="21"/>
                <w:szCs w:val="21"/>
                <w:highlight w:val="none"/>
                <w:lang w:val="en-US" w:eastAsia="zh-CN" w:bidi="ar-SA"/>
              </w:rPr>
            </w:pPr>
          </w:p>
        </w:tc>
        <w:tc>
          <w:tcPr>
            <w:tcW w:w="684" w:type="dxa"/>
            <w:shd w:val="clear" w:color="auto" w:fill="auto"/>
            <w:noWrap/>
            <w:vAlign w:val="center"/>
          </w:tcPr>
          <w:p w14:paraId="14AED6D7">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5E13A0C1">
            <w:pPr>
              <w:spacing w:line="360" w:lineRule="auto"/>
              <w:ind w:right="-129"/>
              <w:jc w:val="left"/>
              <w:rPr>
                <w:rFonts w:ascii="宋体" w:hAnsi="宋体" w:cs="宋体"/>
                <w:color w:val="auto"/>
                <w:kern w:val="0"/>
                <w:sz w:val="21"/>
                <w:szCs w:val="21"/>
                <w:highlight w:val="none"/>
              </w:rPr>
            </w:pPr>
          </w:p>
        </w:tc>
      </w:tr>
      <w:tr w14:paraId="4AC1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52" w:type="dxa"/>
            <w:shd w:val="clear" w:color="auto" w:fill="auto"/>
            <w:noWrap/>
            <w:vAlign w:val="top"/>
          </w:tcPr>
          <w:p w14:paraId="3709B9D7">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1_7</w:t>
            </w:r>
          </w:p>
        </w:tc>
        <w:tc>
          <w:tcPr>
            <w:tcW w:w="1643" w:type="dxa"/>
            <w:shd w:val="clear" w:color="auto" w:fill="auto"/>
            <w:noWrap/>
            <w:vAlign w:val="center"/>
          </w:tcPr>
          <w:p w14:paraId="03B5AD62">
            <w:pPr>
              <w:spacing w:line="360" w:lineRule="auto"/>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网关工作站</w:t>
            </w:r>
          </w:p>
        </w:tc>
        <w:tc>
          <w:tcPr>
            <w:tcW w:w="2603" w:type="dxa"/>
            <w:shd w:val="clear" w:color="auto" w:fill="auto"/>
            <w:noWrap/>
            <w:vAlign w:val="center"/>
          </w:tcPr>
          <w:p w14:paraId="71F845EC">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（要求两路电源进主机，任何一路电源中断不影响该主机的正常运行），配置满足招标文件要求</w:t>
            </w:r>
          </w:p>
        </w:tc>
        <w:tc>
          <w:tcPr>
            <w:tcW w:w="614" w:type="dxa"/>
            <w:shd w:val="clear" w:color="auto" w:fill="auto"/>
            <w:noWrap/>
            <w:vAlign w:val="center"/>
          </w:tcPr>
          <w:p w14:paraId="730AD4C7">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27E63E89">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73014ED0">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4BF91410">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B4B15F8">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组屏安装，</w:t>
            </w:r>
          </w:p>
          <w:p w14:paraId="7E3BA8B8">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组1面屏</w:t>
            </w:r>
          </w:p>
          <w:p w14:paraId="1330DBC9">
            <w:pPr>
              <w:spacing w:line="360" w:lineRule="auto"/>
              <w:ind w:right="-129"/>
              <w:jc w:val="left"/>
              <w:rPr>
                <w:rFonts w:ascii="宋体" w:hAnsi="宋体" w:cs="宋体"/>
                <w:color w:val="auto"/>
                <w:kern w:val="0"/>
                <w:sz w:val="21"/>
                <w:szCs w:val="21"/>
                <w:highlight w:val="none"/>
              </w:rPr>
            </w:pPr>
          </w:p>
        </w:tc>
      </w:tr>
      <w:tr w14:paraId="48B0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top"/>
          </w:tcPr>
          <w:p w14:paraId="29C680EB">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1_8</w:t>
            </w:r>
          </w:p>
        </w:tc>
        <w:tc>
          <w:tcPr>
            <w:tcW w:w="1643" w:type="dxa"/>
            <w:shd w:val="clear" w:color="auto" w:fill="auto"/>
            <w:noWrap/>
            <w:vAlign w:val="center"/>
          </w:tcPr>
          <w:p w14:paraId="0469D37F">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信息管理机</w:t>
            </w:r>
          </w:p>
        </w:tc>
        <w:tc>
          <w:tcPr>
            <w:tcW w:w="2603" w:type="dxa"/>
            <w:shd w:val="clear" w:color="auto" w:fill="auto"/>
            <w:noWrap/>
            <w:vAlign w:val="center"/>
          </w:tcPr>
          <w:p w14:paraId="6962454F">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配置满足招标文件要求</w:t>
            </w:r>
          </w:p>
        </w:tc>
        <w:tc>
          <w:tcPr>
            <w:tcW w:w="614" w:type="dxa"/>
            <w:shd w:val="clear" w:color="auto" w:fill="auto"/>
            <w:noWrap/>
            <w:vAlign w:val="center"/>
          </w:tcPr>
          <w:p w14:paraId="5E1EC6FC">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0F8C1725">
            <w:pPr>
              <w:spacing w:line="360" w:lineRule="auto"/>
              <w:ind w:right="-141"/>
              <w:jc w:val="center"/>
              <w:rPr>
                <w:rFonts w:ascii="宋体" w:hAnsi="宋体" w:cs="宋体"/>
                <w:color w:val="auto"/>
                <w:kern w:val="0"/>
                <w:sz w:val="21"/>
                <w:szCs w:val="21"/>
                <w:highlight w:val="none"/>
              </w:rPr>
            </w:pPr>
            <w:r>
              <w:rPr>
                <w:rFonts w:ascii="宋体" w:hAnsi="宋体" w:cs="宋体"/>
                <w:color w:val="auto"/>
                <w:kern w:val="0"/>
                <w:sz w:val="21"/>
                <w:szCs w:val="21"/>
                <w:highlight w:val="none"/>
              </w:rPr>
              <w:t>1</w:t>
            </w:r>
          </w:p>
        </w:tc>
        <w:tc>
          <w:tcPr>
            <w:tcW w:w="293" w:type="dxa"/>
            <w:shd w:val="clear" w:color="auto" w:fill="auto"/>
            <w:noWrap/>
            <w:vAlign w:val="center"/>
          </w:tcPr>
          <w:p w14:paraId="23D00A90">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D0BA123">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D78F617">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组屏安装，</w:t>
            </w:r>
          </w:p>
          <w:p w14:paraId="7E9160E8">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组1面屏</w:t>
            </w:r>
          </w:p>
        </w:tc>
      </w:tr>
      <w:tr w14:paraId="3894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top"/>
          </w:tcPr>
          <w:p w14:paraId="2A66F5AE">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1_9</w:t>
            </w:r>
          </w:p>
        </w:tc>
        <w:tc>
          <w:tcPr>
            <w:tcW w:w="1643" w:type="dxa"/>
            <w:shd w:val="clear" w:color="auto" w:fill="auto"/>
            <w:noWrap/>
            <w:vAlign w:val="center"/>
          </w:tcPr>
          <w:p w14:paraId="4DF632C2">
            <w:pPr>
              <w:spacing w:line="360" w:lineRule="auto"/>
              <w:ind w:right="-129"/>
              <w:jc w:val="left"/>
              <w:rPr>
                <w:rFonts w:ascii="宋体" w:hAnsi="宋体" w:cs="宋体"/>
                <w:color w:val="auto"/>
                <w:kern w:val="0"/>
                <w:sz w:val="21"/>
                <w:szCs w:val="21"/>
                <w:highlight w:val="none"/>
              </w:rPr>
            </w:pPr>
            <w:r>
              <w:rPr>
                <w:rFonts w:ascii="宋体" w:hAnsi="宋体" w:cs="宋体"/>
                <w:color w:val="auto"/>
                <w:kern w:val="0"/>
                <w:sz w:val="21"/>
                <w:szCs w:val="21"/>
                <w:highlight w:val="none"/>
              </w:rPr>
              <w:t>A3</w:t>
            </w:r>
            <w:r>
              <w:rPr>
                <w:rFonts w:hint="eastAsia" w:ascii="宋体" w:hAnsi="宋体" w:cs="宋体"/>
                <w:color w:val="auto"/>
                <w:kern w:val="0"/>
                <w:sz w:val="21"/>
                <w:szCs w:val="21"/>
                <w:highlight w:val="none"/>
              </w:rPr>
              <w:t>激光打印机</w:t>
            </w:r>
          </w:p>
        </w:tc>
        <w:tc>
          <w:tcPr>
            <w:tcW w:w="2603" w:type="dxa"/>
            <w:shd w:val="clear" w:color="auto" w:fill="auto"/>
            <w:noWrap/>
            <w:vAlign w:val="center"/>
          </w:tcPr>
          <w:p w14:paraId="32995A43">
            <w:pPr>
              <w:widowControl/>
              <w:jc w:val="left"/>
              <w:rPr>
                <w:rFonts w:ascii="宋体" w:hAnsi="宋体" w:cs="宋体"/>
                <w:color w:val="auto"/>
                <w:kern w:val="0"/>
                <w:sz w:val="21"/>
                <w:szCs w:val="21"/>
                <w:highlight w:val="none"/>
              </w:rPr>
            </w:pPr>
          </w:p>
        </w:tc>
        <w:tc>
          <w:tcPr>
            <w:tcW w:w="614" w:type="dxa"/>
            <w:shd w:val="clear" w:color="auto" w:fill="auto"/>
            <w:noWrap/>
            <w:vAlign w:val="center"/>
          </w:tcPr>
          <w:p w14:paraId="4C66E70A">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台</w:t>
            </w:r>
          </w:p>
        </w:tc>
        <w:tc>
          <w:tcPr>
            <w:tcW w:w="322" w:type="dxa"/>
            <w:shd w:val="clear" w:color="auto" w:fill="auto"/>
            <w:noWrap/>
            <w:vAlign w:val="center"/>
          </w:tcPr>
          <w:p w14:paraId="2E08A358">
            <w:pPr>
              <w:spacing w:line="360" w:lineRule="auto"/>
              <w:ind w:right="-141"/>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2</w:t>
            </w:r>
          </w:p>
        </w:tc>
        <w:tc>
          <w:tcPr>
            <w:tcW w:w="293" w:type="dxa"/>
            <w:shd w:val="clear" w:color="auto" w:fill="auto"/>
            <w:noWrap/>
            <w:vAlign w:val="center"/>
          </w:tcPr>
          <w:p w14:paraId="521F844C">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57C3910">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09456A37">
            <w:pPr>
              <w:spacing w:line="360" w:lineRule="auto"/>
              <w:ind w:right="-129"/>
              <w:jc w:val="left"/>
              <w:rPr>
                <w:rFonts w:ascii="宋体" w:hAnsi="宋体" w:cs="宋体"/>
                <w:color w:val="auto"/>
                <w:kern w:val="0"/>
                <w:sz w:val="21"/>
                <w:szCs w:val="21"/>
                <w:highlight w:val="none"/>
              </w:rPr>
            </w:pPr>
          </w:p>
        </w:tc>
      </w:tr>
      <w:tr w14:paraId="4970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52" w:type="dxa"/>
            <w:shd w:val="clear" w:color="auto" w:fill="auto"/>
            <w:noWrap/>
            <w:vAlign w:val="top"/>
          </w:tcPr>
          <w:p w14:paraId="197B943B">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1_10</w:t>
            </w:r>
          </w:p>
        </w:tc>
        <w:tc>
          <w:tcPr>
            <w:tcW w:w="1643" w:type="dxa"/>
            <w:shd w:val="clear" w:color="auto" w:fill="auto"/>
            <w:noWrap/>
            <w:vAlign w:val="center"/>
          </w:tcPr>
          <w:p w14:paraId="676C77C3">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宽行针式打印机</w:t>
            </w:r>
          </w:p>
        </w:tc>
        <w:tc>
          <w:tcPr>
            <w:tcW w:w="2603" w:type="dxa"/>
            <w:shd w:val="clear" w:color="auto" w:fill="auto"/>
            <w:noWrap/>
            <w:vAlign w:val="center"/>
          </w:tcPr>
          <w:p w14:paraId="69B9B664">
            <w:pPr>
              <w:widowControl/>
              <w:jc w:val="left"/>
              <w:rPr>
                <w:rFonts w:ascii="宋体" w:hAnsi="宋体" w:cs="宋体"/>
                <w:color w:val="auto"/>
                <w:kern w:val="0"/>
                <w:sz w:val="21"/>
                <w:szCs w:val="21"/>
                <w:highlight w:val="none"/>
              </w:rPr>
            </w:pPr>
          </w:p>
        </w:tc>
        <w:tc>
          <w:tcPr>
            <w:tcW w:w="614" w:type="dxa"/>
            <w:shd w:val="clear" w:color="auto" w:fill="auto"/>
            <w:noWrap/>
            <w:vAlign w:val="center"/>
          </w:tcPr>
          <w:p w14:paraId="1C43C8B4">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台</w:t>
            </w:r>
          </w:p>
        </w:tc>
        <w:tc>
          <w:tcPr>
            <w:tcW w:w="322" w:type="dxa"/>
            <w:shd w:val="clear" w:color="auto" w:fill="auto"/>
            <w:noWrap/>
            <w:vAlign w:val="center"/>
          </w:tcPr>
          <w:p w14:paraId="174D7596">
            <w:pPr>
              <w:spacing w:line="360" w:lineRule="auto"/>
              <w:ind w:right="-141"/>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02228762">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C7D6E55">
            <w:pPr>
              <w:widowControl/>
              <w:jc w:val="center"/>
              <w:rPr>
                <w:rFonts w:ascii="宋体" w:hAnsi="宋体" w:cs="宋体"/>
                <w:color w:val="auto"/>
                <w:kern w:val="0"/>
                <w:sz w:val="21"/>
                <w:szCs w:val="21"/>
                <w:highlight w:val="none"/>
              </w:rPr>
            </w:pPr>
          </w:p>
          <w:p w14:paraId="1910ACFA">
            <w:pPr>
              <w:rPr>
                <w:color w:val="auto"/>
                <w:highlight w:val="none"/>
              </w:rPr>
            </w:pPr>
          </w:p>
        </w:tc>
        <w:tc>
          <w:tcPr>
            <w:tcW w:w="1643" w:type="dxa"/>
            <w:shd w:val="clear" w:color="auto" w:fill="auto"/>
            <w:noWrap/>
            <w:vAlign w:val="center"/>
          </w:tcPr>
          <w:p w14:paraId="5B586CC3">
            <w:pPr>
              <w:spacing w:line="360" w:lineRule="auto"/>
              <w:ind w:right="-129"/>
              <w:jc w:val="left"/>
              <w:rPr>
                <w:rFonts w:ascii="宋体" w:hAnsi="宋体" w:cs="宋体"/>
                <w:color w:val="auto"/>
                <w:kern w:val="0"/>
                <w:sz w:val="21"/>
                <w:szCs w:val="21"/>
                <w:highlight w:val="none"/>
              </w:rPr>
            </w:pPr>
          </w:p>
        </w:tc>
      </w:tr>
      <w:tr w14:paraId="67B1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2" w:hRule="atLeast"/>
        </w:trPr>
        <w:tc>
          <w:tcPr>
            <w:tcW w:w="652" w:type="dxa"/>
            <w:shd w:val="clear" w:color="auto" w:fill="auto"/>
            <w:noWrap/>
            <w:vAlign w:val="top"/>
          </w:tcPr>
          <w:p w14:paraId="0562E93E">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1_11</w:t>
            </w:r>
          </w:p>
        </w:tc>
        <w:tc>
          <w:tcPr>
            <w:tcW w:w="1643" w:type="dxa"/>
            <w:shd w:val="clear" w:color="auto" w:fill="auto"/>
            <w:noWrap/>
            <w:vAlign w:val="center"/>
          </w:tcPr>
          <w:p w14:paraId="589E17AA">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光纤网络设备、光缆及附件</w:t>
            </w:r>
          </w:p>
        </w:tc>
        <w:tc>
          <w:tcPr>
            <w:tcW w:w="2603" w:type="dxa"/>
            <w:shd w:val="clear" w:color="auto" w:fill="auto"/>
            <w:noWrap/>
            <w:vAlign w:val="center"/>
          </w:tcPr>
          <w:p w14:paraId="2CEC099F">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至少包括：</w:t>
            </w:r>
          </w:p>
          <w:p w14:paraId="3324A040">
            <w:pPr>
              <w:spacing w:line="360" w:lineRule="auto"/>
              <w:ind w:right="-129" w:firstLine="0" w:firstLineChars="0"/>
              <w:jc w:val="left"/>
              <w:rPr>
                <w:rFonts w:ascii="宋体" w:hAnsi="宋体" w:cs="宋体"/>
                <w:color w:val="auto"/>
                <w:kern w:val="0"/>
                <w:sz w:val="21"/>
                <w:szCs w:val="21"/>
                <w:highlight w:val="none"/>
              </w:rPr>
            </w:pPr>
            <w:r>
              <w:rPr>
                <w:rFonts w:ascii="宋体" w:hAnsi="宋体" w:cs="宋体"/>
                <w:color w:val="auto"/>
                <w:kern w:val="0"/>
                <w:sz w:val="21"/>
                <w:szCs w:val="21"/>
                <w:highlight w:val="none"/>
              </w:rPr>
              <w:t>以太网网络交换机：工业</w:t>
            </w:r>
            <w:r>
              <w:rPr>
                <w:rFonts w:hint="eastAsia" w:ascii="宋体" w:hAnsi="宋体" w:cs="宋体"/>
                <w:color w:val="auto"/>
                <w:kern w:val="0"/>
                <w:sz w:val="21"/>
                <w:szCs w:val="21"/>
                <w:highlight w:val="none"/>
              </w:rPr>
              <w:t>级，支持snmp V2及以上协议，可堆叠，双路直流供电；端口数量：</w:t>
            </w:r>
            <w:r>
              <w:rPr>
                <w:rFonts w:ascii="宋体" w:hAnsi="宋体" w:cs="宋体"/>
                <w:color w:val="auto"/>
                <w:kern w:val="0"/>
                <w:sz w:val="21"/>
                <w:szCs w:val="21"/>
                <w:highlight w:val="none"/>
              </w:rPr>
              <w:sym w:font="Symbol" w:char="F0B3"/>
            </w:r>
            <w:r>
              <w:rPr>
                <w:rFonts w:ascii="宋体" w:hAnsi="宋体" w:cs="宋体"/>
                <w:color w:val="auto"/>
                <w:kern w:val="0"/>
                <w:sz w:val="21"/>
                <w:szCs w:val="21"/>
                <w:highlight w:val="none"/>
              </w:rPr>
              <w:t>2</w:t>
            </w:r>
            <w:r>
              <w:rPr>
                <w:rFonts w:hint="eastAsia" w:ascii="宋体" w:hAnsi="宋体" w:cs="宋体"/>
                <w:color w:val="auto"/>
                <w:kern w:val="0"/>
                <w:sz w:val="21"/>
                <w:szCs w:val="21"/>
                <w:highlight w:val="none"/>
              </w:rPr>
              <w:t>4个/台，光口/电口数量满足工程实际需要；具有2个镜像口；通信速率：</w:t>
            </w:r>
            <w:r>
              <w:rPr>
                <w:rFonts w:ascii="宋体" w:hAnsi="宋体" w:cs="宋体"/>
                <w:color w:val="auto"/>
                <w:kern w:val="0"/>
                <w:sz w:val="21"/>
                <w:szCs w:val="21"/>
                <w:highlight w:val="none"/>
              </w:rPr>
              <w:t>10</w:t>
            </w:r>
            <w:r>
              <w:rPr>
                <w:rFonts w:hint="eastAsia" w:ascii="宋体" w:hAnsi="宋体" w:cs="宋体"/>
                <w:color w:val="auto"/>
                <w:kern w:val="0"/>
                <w:sz w:val="21"/>
                <w:szCs w:val="21"/>
                <w:highlight w:val="none"/>
              </w:rPr>
              <w:t>～100</w:t>
            </w:r>
            <w:r>
              <w:rPr>
                <w:rFonts w:ascii="宋体" w:hAnsi="宋体" w:cs="宋体"/>
                <w:color w:val="auto"/>
                <w:kern w:val="0"/>
                <w:sz w:val="21"/>
                <w:szCs w:val="21"/>
                <w:highlight w:val="none"/>
              </w:rPr>
              <w:t>Mbps</w:t>
            </w:r>
            <w:r>
              <w:rPr>
                <w:rFonts w:hint="eastAsia" w:ascii="宋体" w:hAnsi="宋体" w:cs="宋体"/>
                <w:color w:val="auto"/>
                <w:kern w:val="0"/>
                <w:sz w:val="21"/>
                <w:szCs w:val="21"/>
                <w:highlight w:val="none"/>
              </w:rPr>
              <w:t>自适应</w:t>
            </w:r>
          </w:p>
          <w:p w14:paraId="0E92AFD8">
            <w:pPr>
              <w:widowControl/>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网络光缆：4芯单模铠装光缆，长度满足工程要求。</w:t>
            </w:r>
          </w:p>
        </w:tc>
        <w:tc>
          <w:tcPr>
            <w:tcW w:w="614" w:type="dxa"/>
            <w:shd w:val="clear" w:color="auto" w:fill="auto"/>
            <w:noWrap/>
            <w:vAlign w:val="center"/>
          </w:tcPr>
          <w:p w14:paraId="630C89FB">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0092934D">
            <w:pPr>
              <w:spacing w:line="360" w:lineRule="auto"/>
              <w:ind w:left="-90" w:right="-141"/>
              <w:jc w:val="center"/>
              <w:rPr>
                <w:rFonts w:ascii="宋体" w:hAnsi="宋体" w:cs="宋体"/>
                <w:color w:val="auto"/>
                <w:kern w:val="0"/>
                <w:sz w:val="21"/>
                <w:szCs w:val="21"/>
                <w:highlight w:val="none"/>
              </w:rPr>
            </w:pPr>
            <w:r>
              <w:rPr>
                <w:rFonts w:ascii="宋体" w:hAnsi="宋体" w:cs="宋体"/>
                <w:color w:val="auto"/>
                <w:kern w:val="0"/>
                <w:sz w:val="21"/>
                <w:szCs w:val="21"/>
                <w:highlight w:val="none"/>
              </w:rPr>
              <w:t>1</w:t>
            </w:r>
          </w:p>
        </w:tc>
        <w:tc>
          <w:tcPr>
            <w:tcW w:w="293" w:type="dxa"/>
            <w:shd w:val="clear" w:color="auto" w:fill="auto"/>
            <w:noWrap/>
            <w:vAlign w:val="center"/>
          </w:tcPr>
          <w:p w14:paraId="44D4E11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3FE886DF">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324FF92A">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长度参考3.2.4设备布置，</w:t>
            </w:r>
            <w:r>
              <w:rPr>
                <w:rFonts w:hint="eastAsia" w:ascii="宋体" w:hAnsi="宋体" w:cs="宋体"/>
                <w:color w:val="auto"/>
                <w:kern w:val="0"/>
                <w:sz w:val="21"/>
                <w:szCs w:val="21"/>
                <w:highlight w:val="none"/>
              </w:rPr>
              <w:t>数量满足工程需要</w:t>
            </w:r>
          </w:p>
        </w:tc>
      </w:tr>
      <w:tr w14:paraId="5AD7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top"/>
          </w:tcPr>
          <w:p w14:paraId="7DCEEA73">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1_12</w:t>
            </w:r>
          </w:p>
        </w:tc>
        <w:tc>
          <w:tcPr>
            <w:tcW w:w="1643" w:type="dxa"/>
            <w:shd w:val="clear" w:color="auto" w:fill="auto"/>
            <w:noWrap/>
            <w:vAlign w:val="center"/>
          </w:tcPr>
          <w:p w14:paraId="6BE33FBB">
            <w:pPr>
              <w:spacing w:line="360" w:lineRule="auto"/>
              <w:ind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I/O屏</w:t>
            </w:r>
          </w:p>
        </w:tc>
        <w:tc>
          <w:tcPr>
            <w:tcW w:w="2603" w:type="dxa"/>
            <w:shd w:val="clear" w:color="auto" w:fill="auto"/>
            <w:noWrap/>
            <w:vAlign w:val="center"/>
          </w:tcPr>
          <w:p w14:paraId="504DE7CA">
            <w:pPr>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配置满足招标文件要求</w:t>
            </w:r>
          </w:p>
        </w:tc>
        <w:tc>
          <w:tcPr>
            <w:tcW w:w="614" w:type="dxa"/>
            <w:shd w:val="clear" w:color="auto" w:fill="auto"/>
            <w:noWrap/>
            <w:vAlign w:val="center"/>
          </w:tcPr>
          <w:p w14:paraId="6EF85250">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面</w:t>
            </w:r>
          </w:p>
        </w:tc>
        <w:tc>
          <w:tcPr>
            <w:tcW w:w="322" w:type="dxa"/>
            <w:shd w:val="clear" w:color="auto" w:fill="auto"/>
            <w:noWrap/>
            <w:vAlign w:val="center"/>
          </w:tcPr>
          <w:p w14:paraId="068A0007">
            <w:pPr>
              <w:spacing w:line="360" w:lineRule="auto"/>
              <w:ind w:left="-90" w:right="-141"/>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_</w:t>
            </w:r>
            <w:r>
              <w:rPr>
                <w:rFonts w:hint="eastAsia" w:ascii="宋体" w:hAnsi="宋体" w:cs="宋体"/>
                <w:color w:val="auto"/>
                <w:kern w:val="0"/>
                <w:sz w:val="21"/>
                <w:szCs w:val="21"/>
                <w:highlight w:val="none"/>
                <w:lang w:val="en-US" w:eastAsia="zh-CN"/>
              </w:rPr>
              <w:t>9</w:t>
            </w:r>
            <w:r>
              <w:rPr>
                <w:rFonts w:hint="eastAsia" w:ascii="宋体" w:hAnsi="宋体" w:cs="宋体"/>
                <w:color w:val="auto"/>
                <w:kern w:val="0"/>
                <w:sz w:val="21"/>
                <w:szCs w:val="21"/>
                <w:highlight w:val="none"/>
              </w:rPr>
              <w:t>__</w:t>
            </w:r>
          </w:p>
        </w:tc>
        <w:tc>
          <w:tcPr>
            <w:tcW w:w="293" w:type="dxa"/>
            <w:shd w:val="clear" w:color="auto" w:fill="auto"/>
            <w:noWrap/>
            <w:vAlign w:val="center"/>
          </w:tcPr>
          <w:p w14:paraId="2C39B5FC">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790D738">
            <w:pPr>
              <w:widowControl/>
              <w:jc w:val="center"/>
              <w:rPr>
                <w:rFonts w:ascii="宋体" w:hAnsi="宋体" w:cs="宋体"/>
                <w:color w:val="auto"/>
                <w:kern w:val="0"/>
                <w:sz w:val="21"/>
                <w:szCs w:val="21"/>
                <w:highlight w:val="none"/>
              </w:rPr>
            </w:pPr>
          </w:p>
        </w:tc>
        <w:tc>
          <w:tcPr>
            <w:tcW w:w="1643" w:type="dxa"/>
            <w:shd w:val="clear" w:color="auto" w:fill="auto"/>
            <w:noWrap/>
          </w:tcPr>
          <w:p w14:paraId="2D060AC4">
            <w:pPr>
              <w:spacing w:line="360" w:lineRule="auto"/>
              <w:ind w:left="-90"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用于升压站I/O点数量见条款3.9</w:t>
            </w:r>
          </w:p>
        </w:tc>
      </w:tr>
      <w:tr w14:paraId="3F74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top"/>
          </w:tcPr>
          <w:p w14:paraId="09EC5586">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1_13</w:t>
            </w:r>
          </w:p>
        </w:tc>
        <w:tc>
          <w:tcPr>
            <w:tcW w:w="1643" w:type="dxa"/>
            <w:shd w:val="clear" w:color="auto" w:fill="auto"/>
            <w:noWrap/>
            <w:vAlign w:val="center"/>
          </w:tcPr>
          <w:p w14:paraId="7AE94880">
            <w:pPr>
              <w:spacing w:line="360" w:lineRule="auto"/>
              <w:ind w:right="-129"/>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I/O屏</w:t>
            </w:r>
          </w:p>
        </w:tc>
        <w:tc>
          <w:tcPr>
            <w:tcW w:w="2603" w:type="dxa"/>
            <w:shd w:val="clear" w:color="auto" w:fill="auto"/>
            <w:noWrap/>
            <w:vAlign w:val="center"/>
          </w:tcPr>
          <w:p w14:paraId="543A2D62">
            <w:pPr>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配置满足招标文件要求</w:t>
            </w:r>
          </w:p>
        </w:tc>
        <w:tc>
          <w:tcPr>
            <w:tcW w:w="614" w:type="dxa"/>
            <w:shd w:val="clear" w:color="auto" w:fill="auto"/>
            <w:noWrap/>
            <w:vAlign w:val="center"/>
          </w:tcPr>
          <w:p w14:paraId="28F9E84A">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面</w:t>
            </w:r>
          </w:p>
        </w:tc>
        <w:tc>
          <w:tcPr>
            <w:tcW w:w="322" w:type="dxa"/>
            <w:shd w:val="clear" w:color="auto" w:fill="auto"/>
            <w:noWrap/>
            <w:vAlign w:val="center"/>
          </w:tcPr>
          <w:p w14:paraId="7C964FE2">
            <w:pPr>
              <w:spacing w:line="360" w:lineRule="auto"/>
              <w:ind w:left="-90" w:right="-141"/>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_</w:t>
            </w: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__</w:t>
            </w:r>
          </w:p>
        </w:tc>
        <w:tc>
          <w:tcPr>
            <w:tcW w:w="293" w:type="dxa"/>
            <w:shd w:val="clear" w:color="auto" w:fill="auto"/>
            <w:noWrap/>
            <w:vAlign w:val="center"/>
          </w:tcPr>
          <w:p w14:paraId="7812F134">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6A366951">
            <w:pPr>
              <w:widowControl/>
              <w:jc w:val="center"/>
              <w:rPr>
                <w:rFonts w:ascii="宋体" w:hAnsi="宋体" w:cs="宋体"/>
                <w:color w:val="auto"/>
                <w:kern w:val="0"/>
                <w:sz w:val="21"/>
                <w:szCs w:val="21"/>
                <w:highlight w:val="none"/>
              </w:rPr>
            </w:pPr>
          </w:p>
        </w:tc>
        <w:tc>
          <w:tcPr>
            <w:tcW w:w="1643" w:type="dxa"/>
            <w:shd w:val="clear" w:color="auto" w:fill="auto"/>
            <w:noWrap/>
          </w:tcPr>
          <w:p w14:paraId="04C2A7A9">
            <w:pPr>
              <w:spacing w:line="360" w:lineRule="auto"/>
              <w:ind w:left="-90" w:right="-129"/>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用于AGC与DCS接口及一次调频在线测试，I/O点数量见条款3.9</w:t>
            </w:r>
          </w:p>
        </w:tc>
      </w:tr>
      <w:tr w14:paraId="5079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top"/>
          </w:tcPr>
          <w:p w14:paraId="7E5DE1D4">
            <w:pP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1_1</w:t>
            </w:r>
            <w:r>
              <w:rPr>
                <w:rFonts w:hint="eastAsia" w:ascii="宋体" w:hAnsi="宋体" w:cs="宋体"/>
                <w:color w:val="auto"/>
                <w:kern w:val="0"/>
                <w:sz w:val="21"/>
                <w:szCs w:val="21"/>
                <w:highlight w:val="none"/>
                <w:lang w:val="en-US" w:eastAsia="zh-CN"/>
              </w:rPr>
              <w:t>4</w:t>
            </w:r>
          </w:p>
        </w:tc>
        <w:tc>
          <w:tcPr>
            <w:tcW w:w="1643" w:type="dxa"/>
            <w:shd w:val="clear" w:color="auto" w:fill="auto"/>
            <w:noWrap/>
            <w:vAlign w:val="center"/>
          </w:tcPr>
          <w:p w14:paraId="590FA535">
            <w:pPr>
              <w:spacing w:line="360" w:lineRule="auto"/>
              <w:ind w:right="-129"/>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750</w:t>
            </w:r>
            <w:r>
              <w:rPr>
                <w:rFonts w:hint="eastAsia" w:ascii="宋体" w:hAnsi="宋体" w:cs="宋体"/>
                <w:color w:val="auto"/>
                <w:kern w:val="0"/>
                <w:sz w:val="21"/>
                <w:szCs w:val="21"/>
                <w:highlight w:val="none"/>
              </w:rPr>
              <w:t xml:space="preserve"> kV母线电压切换/并列装置</w:t>
            </w:r>
          </w:p>
        </w:tc>
        <w:tc>
          <w:tcPr>
            <w:tcW w:w="2603" w:type="dxa"/>
            <w:shd w:val="clear" w:color="auto" w:fill="auto"/>
            <w:noWrap/>
            <w:vAlign w:val="center"/>
          </w:tcPr>
          <w:p w14:paraId="072486B7">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12D4AC65">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14E55CE8">
            <w:pPr>
              <w:spacing w:line="360" w:lineRule="auto"/>
              <w:ind w:left="-90" w:right="-141"/>
              <w:jc w:val="center"/>
              <w:rPr>
                <w:rFonts w:ascii="宋体" w:hAnsi="宋体" w:cs="宋体"/>
                <w:color w:val="auto"/>
                <w:kern w:val="0"/>
                <w:sz w:val="21"/>
                <w:szCs w:val="21"/>
                <w:highlight w:val="none"/>
              </w:rPr>
            </w:pPr>
            <w:r>
              <w:rPr>
                <w:rFonts w:ascii="宋体" w:hAnsi="宋体" w:cs="宋体"/>
                <w:color w:val="auto"/>
                <w:kern w:val="0"/>
                <w:sz w:val="21"/>
                <w:szCs w:val="21"/>
                <w:highlight w:val="none"/>
              </w:rPr>
              <w:t>1</w:t>
            </w:r>
          </w:p>
        </w:tc>
        <w:tc>
          <w:tcPr>
            <w:tcW w:w="293" w:type="dxa"/>
            <w:shd w:val="clear" w:color="auto" w:fill="auto"/>
            <w:noWrap/>
            <w:vAlign w:val="center"/>
          </w:tcPr>
          <w:p w14:paraId="598FE408">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66AEE89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199D8DE">
            <w:pPr>
              <w:spacing w:line="360" w:lineRule="auto"/>
              <w:ind w:right="-129"/>
              <w:jc w:val="center"/>
              <w:rPr>
                <w:rFonts w:ascii="宋体" w:hAnsi="宋体" w:cs="宋体"/>
                <w:color w:val="auto"/>
                <w:kern w:val="0"/>
                <w:sz w:val="21"/>
                <w:szCs w:val="21"/>
                <w:highlight w:val="none"/>
              </w:rPr>
            </w:pPr>
          </w:p>
        </w:tc>
      </w:tr>
      <w:tr w14:paraId="55C4D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6" w:hRule="atLeast"/>
        </w:trPr>
        <w:tc>
          <w:tcPr>
            <w:tcW w:w="652" w:type="dxa"/>
            <w:shd w:val="clear" w:color="auto" w:fill="auto"/>
            <w:noWrap/>
            <w:vAlign w:val="top"/>
          </w:tcPr>
          <w:p w14:paraId="42F21EEE">
            <w:pPr>
              <w:rPr>
                <w:rFonts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kern w:val="0"/>
                <w:sz w:val="21"/>
                <w:szCs w:val="21"/>
                <w:highlight w:val="none"/>
              </w:rPr>
              <w:t>1_15</w:t>
            </w:r>
          </w:p>
        </w:tc>
        <w:tc>
          <w:tcPr>
            <w:tcW w:w="1643" w:type="dxa"/>
            <w:shd w:val="clear" w:color="auto" w:fill="auto"/>
            <w:noWrap/>
            <w:vAlign w:val="center"/>
          </w:tcPr>
          <w:p w14:paraId="765F582E">
            <w:pPr>
              <w:spacing w:line="360" w:lineRule="auto"/>
              <w:ind w:right="-129"/>
              <w:jc w:val="both"/>
              <w:rPr>
                <w:rFonts w:ascii="宋体" w:hAnsi="宋体" w:cs="宋体"/>
                <w:color w:val="auto"/>
                <w:kern w:val="0"/>
                <w:sz w:val="21"/>
                <w:szCs w:val="21"/>
                <w:highlight w:val="none"/>
              </w:rPr>
            </w:pPr>
            <w:r>
              <w:rPr>
                <w:rFonts w:ascii="宋体" w:hAnsi="宋体" w:cs="宋体"/>
                <w:color w:val="auto"/>
                <w:kern w:val="0"/>
                <w:sz w:val="21"/>
                <w:szCs w:val="21"/>
                <w:highlight w:val="none"/>
              </w:rPr>
              <w:t>系统软件（包括操作系统软件，网络管理软件，计算机通讯软件，支持软件，编辑软件，数据库软件，MMI软件，诊断软件等）</w:t>
            </w:r>
            <w:r>
              <w:rPr>
                <w:rFonts w:hint="eastAsia" w:ascii="宋体" w:hAnsi="宋体" w:cs="宋体"/>
                <w:color w:val="auto"/>
                <w:kern w:val="0"/>
                <w:sz w:val="21"/>
                <w:szCs w:val="21"/>
                <w:highlight w:val="none"/>
              </w:rPr>
              <w:t>，</w:t>
            </w:r>
            <w:r>
              <w:rPr>
                <w:rFonts w:ascii="宋体" w:hAnsi="宋体" w:cs="宋体"/>
                <w:color w:val="auto"/>
                <w:kern w:val="0"/>
                <w:sz w:val="21"/>
                <w:szCs w:val="21"/>
                <w:highlight w:val="none"/>
              </w:rPr>
              <w:t>应用软件</w:t>
            </w:r>
          </w:p>
        </w:tc>
        <w:tc>
          <w:tcPr>
            <w:tcW w:w="2603" w:type="dxa"/>
            <w:shd w:val="clear" w:color="auto" w:fill="auto"/>
            <w:noWrap/>
            <w:vAlign w:val="center"/>
          </w:tcPr>
          <w:p w14:paraId="1C5DB876">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7224B5A2">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09910A47">
            <w:pPr>
              <w:spacing w:line="360" w:lineRule="auto"/>
              <w:ind w:left="-90" w:right="-141"/>
              <w:jc w:val="center"/>
              <w:rPr>
                <w:rFonts w:ascii="宋体" w:hAnsi="宋体" w:cs="宋体"/>
                <w:color w:val="auto"/>
                <w:kern w:val="0"/>
                <w:sz w:val="21"/>
                <w:szCs w:val="21"/>
                <w:highlight w:val="none"/>
              </w:rPr>
            </w:pPr>
            <w:r>
              <w:rPr>
                <w:rFonts w:ascii="宋体" w:hAnsi="宋体" w:cs="宋体"/>
                <w:color w:val="auto"/>
                <w:kern w:val="0"/>
                <w:sz w:val="21"/>
                <w:szCs w:val="21"/>
                <w:highlight w:val="none"/>
              </w:rPr>
              <w:t>1</w:t>
            </w:r>
          </w:p>
        </w:tc>
        <w:tc>
          <w:tcPr>
            <w:tcW w:w="293" w:type="dxa"/>
            <w:shd w:val="clear" w:color="auto" w:fill="auto"/>
            <w:noWrap/>
            <w:vAlign w:val="center"/>
          </w:tcPr>
          <w:p w14:paraId="57444E7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1FE5C13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00A54A95">
            <w:pPr>
              <w:spacing w:line="360" w:lineRule="auto"/>
              <w:ind w:right="-129"/>
              <w:jc w:val="center"/>
              <w:rPr>
                <w:rFonts w:ascii="宋体" w:hAnsi="宋体" w:cs="宋体"/>
                <w:color w:val="auto"/>
                <w:kern w:val="0"/>
                <w:sz w:val="21"/>
                <w:szCs w:val="21"/>
                <w:highlight w:val="none"/>
              </w:rPr>
            </w:pPr>
          </w:p>
        </w:tc>
      </w:tr>
      <w:tr w14:paraId="24BE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652" w:type="dxa"/>
            <w:shd w:val="clear" w:color="auto" w:fill="auto"/>
            <w:noWrap/>
            <w:vAlign w:val="center"/>
          </w:tcPr>
          <w:p w14:paraId="4E9E30A6">
            <w:pPr>
              <w:widowControl/>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1_16</w:t>
            </w:r>
          </w:p>
        </w:tc>
        <w:tc>
          <w:tcPr>
            <w:tcW w:w="1643" w:type="dxa"/>
            <w:shd w:val="clear" w:color="auto" w:fill="auto"/>
            <w:noWrap/>
            <w:vAlign w:val="center"/>
          </w:tcPr>
          <w:p w14:paraId="60B1F601">
            <w:pPr>
              <w:spacing w:line="360" w:lineRule="auto"/>
              <w:ind w:right="-129"/>
              <w:jc w:val="both"/>
              <w:rPr>
                <w:rFonts w:ascii="宋体" w:hAnsi="宋体" w:cs="宋体"/>
                <w:color w:val="auto"/>
                <w:kern w:val="0"/>
                <w:sz w:val="21"/>
                <w:szCs w:val="21"/>
                <w:highlight w:val="none"/>
              </w:rPr>
            </w:pPr>
            <w:r>
              <w:rPr>
                <w:rFonts w:ascii="宋体" w:hAnsi="宋体" w:cs="宋体"/>
                <w:color w:val="auto"/>
                <w:kern w:val="0"/>
                <w:sz w:val="21"/>
                <w:szCs w:val="21"/>
                <w:highlight w:val="none"/>
              </w:rPr>
              <w:t>接口软件（包括NCS与所有和它有通讯接口的接口软件）</w:t>
            </w:r>
          </w:p>
        </w:tc>
        <w:tc>
          <w:tcPr>
            <w:tcW w:w="2603" w:type="dxa"/>
            <w:shd w:val="clear" w:color="auto" w:fill="auto"/>
            <w:noWrap/>
            <w:vAlign w:val="center"/>
          </w:tcPr>
          <w:p w14:paraId="4A73C6E8">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4E58B19E">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5B1BFE7F">
            <w:pPr>
              <w:spacing w:line="360" w:lineRule="auto"/>
              <w:ind w:left="-90" w:right="-141"/>
              <w:jc w:val="center"/>
              <w:rPr>
                <w:rFonts w:ascii="宋体" w:hAnsi="宋体" w:cs="宋体"/>
                <w:color w:val="auto"/>
                <w:kern w:val="0"/>
                <w:sz w:val="21"/>
                <w:szCs w:val="21"/>
                <w:highlight w:val="none"/>
              </w:rPr>
            </w:pPr>
            <w:r>
              <w:rPr>
                <w:rFonts w:ascii="宋体" w:hAnsi="宋体" w:cs="宋体"/>
                <w:color w:val="auto"/>
                <w:kern w:val="0"/>
                <w:sz w:val="21"/>
                <w:szCs w:val="21"/>
                <w:highlight w:val="none"/>
              </w:rPr>
              <w:t>1</w:t>
            </w:r>
          </w:p>
        </w:tc>
        <w:tc>
          <w:tcPr>
            <w:tcW w:w="293" w:type="dxa"/>
            <w:shd w:val="clear" w:color="auto" w:fill="auto"/>
            <w:noWrap/>
            <w:vAlign w:val="center"/>
          </w:tcPr>
          <w:p w14:paraId="4E3D39EE">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E0177B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57937EB6">
            <w:pPr>
              <w:spacing w:line="360" w:lineRule="auto"/>
              <w:ind w:right="-129"/>
              <w:jc w:val="center"/>
              <w:rPr>
                <w:rFonts w:ascii="宋体" w:hAnsi="宋体" w:cs="宋体"/>
                <w:color w:val="auto"/>
                <w:kern w:val="0"/>
                <w:sz w:val="21"/>
                <w:szCs w:val="21"/>
                <w:highlight w:val="none"/>
              </w:rPr>
            </w:pPr>
          </w:p>
        </w:tc>
      </w:tr>
      <w:tr w14:paraId="0748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652" w:type="dxa"/>
            <w:shd w:val="clear" w:color="auto" w:fill="auto"/>
            <w:noWrap/>
            <w:vAlign w:val="top"/>
          </w:tcPr>
          <w:p w14:paraId="6C8E2862">
            <w:pP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1_1</w:t>
            </w:r>
            <w:r>
              <w:rPr>
                <w:rFonts w:hint="eastAsia" w:ascii="宋体" w:hAnsi="宋体" w:cs="宋体"/>
                <w:color w:val="auto"/>
                <w:kern w:val="0"/>
                <w:sz w:val="21"/>
                <w:szCs w:val="21"/>
                <w:highlight w:val="none"/>
                <w:lang w:val="en-US" w:eastAsia="zh-CN"/>
              </w:rPr>
              <w:t>7</w:t>
            </w:r>
          </w:p>
        </w:tc>
        <w:tc>
          <w:tcPr>
            <w:tcW w:w="1643" w:type="dxa"/>
            <w:shd w:val="clear" w:color="auto" w:fill="auto"/>
            <w:noWrap/>
            <w:vAlign w:val="center"/>
          </w:tcPr>
          <w:p w14:paraId="6F83090E">
            <w:pPr>
              <w:spacing w:line="360" w:lineRule="auto"/>
              <w:ind w:right="93"/>
              <w:jc w:val="both"/>
              <w:rPr>
                <w:rFonts w:ascii="宋体" w:hAnsi="宋体" w:cs="宋体"/>
                <w:color w:val="auto"/>
                <w:kern w:val="0"/>
                <w:sz w:val="21"/>
                <w:szCs w:val="21"/>
                <w:highlight w:val="none"/>
              </w:rPr>
            </w:pPr>
            <w:r>
              <w:rPr>
                <w:rFonts w:ascii="宋体" w:hAnsi="宋体" w:cs="宋体"/>
                <w:color w:val="auto"/>
                <w:kern w:val="0"/>
                <w:sz w:val="21"/>
                <w:szCs w:val="21"/>
                <w:highlight w:val="none"/>
              </w:rPr>
              <w:t>NCS电缆（包括预制电缆，特殊电缆，通讯电缆，光缆以及相关附件等）</w:t>
            </w:r>
          </w:p>
        </w:tc>
        <w:tc>
          <w:tcPr>
            <w:tcW w:w="2603" w:type="dxa"/>
            <w:shd w:val="clear" w:color="auto" w:fill="auto"/>
            <w:noWrap/>
            <w:vAlign w:val="center"/>
          </w:tcPr>
          <w:p w14:paraId="0C5B3DD9">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0F0F1A2A">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664B83C0">
            <w:pPr>
              <w:spacing w:line="360" w:lineRule="auto"/>
              <w:ind w:left="-90" w:right="-141"/>
              <w:jc w:val="center"/>
              <w:rPr>
                <w:rFonts w:ascii="宋体" w:hAnsi="宋体" w:cs="宋体"/>
                <w:color w:val="auto"/>
                <w:kern w:val="0"/>
                <w:sz w:val="21"/>
                <w:szCs w:val="21"/>
                <w:highlight w:val="none"/>
              </w:rPr>
            </w:pPr>
            <w:r>
              <w:rPr>
                <w:rFonts w:ascii="宋体" w:hAnsi="宋体" w:cs="宋体"/>
                <w:color w:val="auto"/>
                <w:kern w:val="0"/>
                <w:sz w:val="21"/>
                <w:szCs w:val="21"/>
                <w:highlight w:val="none"/>
              </w:rPr>
              <w:t>1</w:t>
            </w:r>
          </w:p>
        </w:tc>
        <w:tc>
          <w:tcPr>
            <w:tcW w:w="293" w:type="dxa"/>
            <w:shd w:val="clear" w:color="auto" w:fill="auto"/>
            <w:noWrap/>
            <w:vAlign w:val="center"/>
          </w:tcPr>
          <w:p w14:paraId="71D5DA07">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4E38541B">
            <w:pPr>
              <w:widowControl/>
              <w:jc w:val="center"/>
              <w:rPr>
                <w:rFonts w:ascii="宋体" w:hAnsi="宋体" w:cs="宋体"/>
                <w:color w:val="auto"/>
                <w:kern w:val="0"/>
                <w:sz w:val="21"/>
                <w:szCs w:val="21"/>
                <w:highlight w:val="none"/>
              </w:rPr>
            </w:pPr>
          </w:p>
        </w:tc>
        <w:tc>
          <w:tcPr>
            <w:tcW w:w="1643" w:type="dxa"/>
            <w:shd w:val="clear" w:color="auto" w:fill="auto"/>
            <w:noWrap/>
          </w:tcPr>
          <w:p w14:paraId="71B51E12">
            <w:pPr>
              <w:spacing w:line="360" w:lineRule="auto"/>
              <w:ind w:left="-90" w:right="-129"/>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长度参考3.2.4设备布置，</w:t>
            </w:r>
            <w:r>
              <w:rPr>
                <w:rFonts w:hint="eastAsia" w:ascii="宋体" w:hAnsi="宋体" w:cs="宋体"/>
                <w:color w:val="auto"/>
                <w:kern w:val="0"/>
                <w:sz w:val="21"/>
                <w:szCs w:val="21"/>
                <w:highlight w:val="none"/>
              </w:rPr>
              <w:t>数量满足工程需要，工作内容包括光缆的熔接</w:t>
            </w:r>
          </w:p>
        </w:tc>
      </w:tr>
      <w:tr w14:paraId="6769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52" w:type="dxa"/>
            <w:shd w:val="clear" w:color="auto" w:fill="auto"/>
            <w:noWrap/>
            <w:vAlign w:val="center"/>
          </w:tcPr>
          <w:p w14:paraId="27035E35">
            <w:pPr>
              <w:widowControl/>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1_1</w:t>
            </w:r>
            <w:r>
              <w:rPr>
                <w:rFonts w:hint="eastAsia" w:ascii="宋体" w:hAnsi="宋体" w:cs="宋体"/>
                <w:color w:val="auto"/>
                <w:kern w:val="0"/>
                <w:sz w:val="21"/>
                <w:szCs w:val="21"/>
                <w:highlight w:val="none"/>
                <w:lang w:val="en-US" w:eastAsia="zh-CN"/>
              </w:rPr>
              <w:t>8</w:t>
            </w:r>
          </w:p>
        </w:tc>
        <w:tc>
          <w:tcPr>
            <w:tcW w:w="1643" w:type="dxa"/>
            <w:shd w:val="clear" w:color="auto" w:fill="auto"/>
            <w:noWrap/>
            <w:vAlign w:val="center"/>
          </w:tcPr>
          <w:p w14:paraId="4FB82AF6">
            <w:pPr>
              <w:spacing w:line="360" w:lineRule="auto"/>
              <w:ind w:right="-129" w:rightChars="0"/>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一次调频在线测试功能及逻辑组态</w:t>
            </w:r>
            <w:r>
              <w:rPr>
                <w:rFonts w:hint="eastAsia" w:ascii="宋体" w:hAnsi="宋体" w:cs="宋体"/>
                <w:color w:val="auto"/>
                <w:kern w:val="0"/>
                <w:sz w:val="21"/>
                <w:szCs w:val="21"/>
                <w:highlight w:val="none"/>
                <w:lang w:val="en-US" w:eastAsia="zh-CN"/>
              </w:rPr>
              <w:t xml:space="preserve"> </w:t>
            </w:r>
          </w:p>
        </w:tc>
        <w:tc>
          <w:tcPr>
            <w:tcW w:w="2603" w:type="dxa"/>
            <w:shd w:val="clear" w:color="auto" w:fill="auto"/>
            <w:noWrap/>
            <w:vAlign w:val="center"/>
          </w:tcPr>
          <w:p w14:paraId="0F6B51A1">
            <w:pPr>
              <w:widowControl/>
              <w:jc w:val="center"/>
              <w:rPr>
                <w:rFonts w:ascii="宋体" w:hAnsi="宋体" w:eastAsia="宋体" w:cs="宋体"/>
                <w:color w:val="auto"/>
                <w:kern w:val="0"/>
                <w:sz w:val="21"/>
                <w:szCs w:val="21"/>
                <w:highlight w:val="none"/>
                <w:lang w:val="en-US" w:eastAsia="zh-CN" w:bidi="ar-SA"/>
              </w:rPr>
            </w:pPr>
          </w:p>
        </w:tc>
        <w:tc>
          <w:tcPr>
            <w:tcW w:w="614" w:type="dxa"/>
            <w:shd w:val="clear" w:color="auto" w:fill="auto"/>
            <w:noWrap/>
            <w:vAlign w:val="center"/>
          </w:tcPr>
          <w:p w14:paraId="56987186">
            <w:pPr>
              <w:widowControl/>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套</w:t>
            </w:r>
          </w:p>
        </w:tc>
        <w:tc>
          <w:tcPr>
            <w:tcW w:w="322" w:type="dxa"/>
            <w:shd w:val="clear" w:color="auto" w:fill="auto"/>
            <w:noWrap/>
            <w:vAlign w:val="center"/>
          </w:tcPr>
          <w:p w14:paraId="54E0CB43">
            <w:pPr>
              <w:spacing w:line="360" w:lineRule="auto"/>
              <w:ind w:left="-90" w:leftChars="0" w:right="-141"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rPr>
              <w:t>2</w:t>
            </w:r>
          </w:p>
        </w:tc>
        <w:tc>
          <w:tcPr>
            <w:tcW w:w="293" w:type="dxa"/>
            <w:shd w:val="clear" w:color="auto" w:fill="auto"/>
            <w:noWrap/>
            <w:vAlign w:val="center"/>
          </w:tcPr>
          <w:p w14:paraId="45E2B471">
            <w:pPr>
              <w:widowControl/>
              <w:jc w:val="center"/>
              <w:rPr>
                <w:rFonts w:ascii="宋体" w:hAnsi="宋体" w:eastAsia="宋体" w:cs="宋体"/>
                <w:color w:val="auto"/>
                <w:kern w:val="0"/>
                <w:sz w:val="21"/>
                <w:szCs w:val="21"/>
                <w:highlight w:val="none"/>
                <w:lang w:val="en-US" w:eastAsia="zh-CN" w:bidi="ar-SA"/>
              </w:rPr>
            </w:pPr>
          </w:p>
        </w:tc>
        <w:tc>
          <w:tcPr>
            <w:tcW w:w="684" w:type="dxa"/>
            <w:shd w:val="clear" w:color="auto" w:fill="auto"/>
            <w:noWrap/>
            <w:vAlign w:val="center"/>
          </w:tcPr>
          <w:p w14:paraId="07B359AA">
            <w:pPr>
              <w:widowControl/>
              <w:jc w:val="center"/>
              <w:rPr>
                <w:rFonts w:ascii="宋体" w:hAnsi="宋体" w:eastAsia="宋体" w:cs="宋体"/>
                <w:color w:val="auto"/>
                <w:kern w:val="0"/>
                <w:sz w:val="21"/>
                <w:szCs w:val="21"/>
                <w:highlight w:val="none"/>
                <w:lang w:val="en-US" w:eastAsia="zh-CN" w:bidi="ar-SA"/>
              </w:rPr>
            </w:pPr>
          </w:p>
        </w:tc>
        <w:tc>
          <w:tcPr>
            <w:tcW w:w="1643" w:type="dxa"/>
            <w:shd w:val="clear" w:color="auto" w:fill="auto"/>
            <w:noWrap/>
            <w:vAlign w:val="center"/>
          </w:tcPr>
          <w:p w14:paraId="13BA5E29">
            <w:pPr>
              <w:spacing w:line="360" w:lineRule="auto"/>
              <w:ind w:right="-129" w:rightChars="0"/>
              <w:jc w:val="center"/>
              <w:rPr>
                <w:rFonts w:hint="eastAsia" w:ascii="宋体" w:hAnsi="宋体" w:eastAsia="宋体" w:cs="宋体"/>
                <w:color w:val="auto"/>
                <w:kern w:val="0"/>
                <w:sz w:val="21"/>
                <w:szCs w:val="21"/>
                <w:highlight w:val="none"/>
                <w:lang w:val="en-US" w:eastAsia="zh-CN" w:bidi="ar-SA"/>
              </w:rPr>
            </w:pPr>
          </w:p>
        </w:tc>
      </w:tr>
      <w:tr w14:paraId="018A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center"/>
          </w:tcPr>
          <w:p w14:paraId="2F2DF742">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1_1</w:t>
            </w:r>
            <w:r>
              <w:rPr>
                <w:rFonts w:hint="eastAsia" w:ascii="宋体" w:hAnsi="宋体" w:cs="宋体"/>
                <w:color w:val="auto"/>
                <w:kern w:val="0"/>
                <w:sz w:val="21"/>
                <w:szCs w:val="21"/>
                <w:highlight w:val="none"/>
                <w:lang w:val="en-US" w:eastAsia="zh-CN"/>
              </w:rPr>
              <w:t>9</w:t>
            </w:r>
          </w:p>
        </w:tc>
        <w:tc>
          <w:tcPr>
            <w:tcW w:w="1643" w:type="dxa"/>
            <w:shd w:val="clear" w:color="auto" w:fill="auto"/>
            <w:noWrap/>
            <w:vAlign w:val="center"/>
          </w:tcPr>
          <w:p w14:paraId="479CABC8">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其它</w:t>
            </w:r>
          </w:p>
        </w:tc>
        <w:tc>
          <w:tcPr>
            <w:tcW w:w="2603" w:type="dxa"/>
            <w:shd w:val="clear" w:color="auto" w:fill="auto"/>
            <w:noWrap/>
            <w:vAlign w:val="center"/>
          </w:tcPr>
          <w:p w14:paraId="0E1D2F02">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6C7C0766">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322E76BA">
            <w:pPr>
              <w:spacing w:line="360" w:lineRule="auto"/>
              <w:ind w:left="-90" w:right="-141"/>
              <w:jc w:val="center"/>
              <w:rPr>
                <w:rFonts w:ascii="宋体" w:hAnsi="宋体" w:cs="宋体"/>
                <w:color w:val="auto"/>
                <w:kern w:val="0"/>
                <w:sz w:val="21"/>
                <w:szCs w:val="21"/>
                <w:highlight w:val="none"/>
              </w:rPr>
            </w:pPr>
          </w:p>
        </w:tc>
        <w:tc>
          <w:tcPr>
            <w:tcW w:w="293" w:type="dxa"/>
            <w:shd w:val="clear" w:color="auto" w:fill="auto"/>
            <w:noWrap/>
            <w:vAlign w:val="center"/>
          </w:tcPr>
          <w:p w14:paraId="4C3EE02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24A8CB6">
            <w:pPr>
              <w:widowControl/>
              <w:jc w:val="center"/>
              <w:rPr>
                <w:rFonts w:ascii="宋体" w:hAnsi="宋体" w:cs="宋体"/>
                <w:color w:val="auto"/>
                <w:kern w:val="0"/>
                <w:sz w:val="21"/>
                <w:szCs w:val="21"/>
                <w:highlight w:val="none"/>
              </w:rPr>
            </w:pPr>
          </w:p>
        </w:tc>
        <w:tc>
          <w:tcPr>
            <w:tcW w:w="1643" w:type="dxa"/>
            <w:shd w:val="clear" w:color="auto" w:fill="auto"/>
            <w:noWrap/>
          </w:tcPr>
          <w:p w14:paraId="57814C99">
            <w:pPr>
              <w:spacing w:line="360" w:lineRule="auto"/>
              <w:ind w:left="-90" w:right="-129"/>
              <w:rPr>
                <w:rFonts w:ascii="宋体" w:hAnsi="宋体" w:cs="宋体"/>
                <w:color w:val="auto"/>
                <w:kern w:val="0"/>
                <w:sz w:val="21"/>
                <w:szCs w:val="21"/>
                <w:highlight w:val="none"/>
              </w:rPr>
            </w:pPr>
            <w:r>
              <w:rPr>
                <w:rFonts w:hint="eastAsia" w:ascii="宋体" w:hAnsi="宋体" w:cs="宋体"/>
                <w:color w:val="auto"/>
                <w:kern w:val="0"/>
                <w:sz w:val="21"/>
                <w:szCs w:val="21"/>
                <w:highlight w:val="none"/>
              </w:rPr>
              <w:t>投标人细化</w:t>
            </w:r>
          </w:p>
        </w:tc>
      </w:tr>
      <w:tr w14:paraId="0FA0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2726C680">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643" w:type="dxa"/>
            <w:shd w:val="clear" w:color="auto" w:fill="auto"/>
            <w:noWrap/>
            <w:vAlign w:val="center"/>
          </w:tcPr>
          <w:p w14:paraId="14A74B2D">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事故总信号系统</w:t>
            </w:r>
          </w:p>
        </w:tc>
        <w:tc>
          <w:tcPr>
            <w:tcW w:w="2603" w:type="dxa"/>
            <w:shd w:val="clear" w:color="auto" w:fill="auto"/>
            <w:noWrap/>
            <w:vAlign w:val="center"/>
          </w:tcPr>
          <w:p w14:paraId="1C38B5C6">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1D87ECB5">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072EE2E0">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77EE7E87">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7E93247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5CEBDBDF">
            <w:pPr>
              <w:widowControl/>
              <w:jc w:val="center"/>
              <w:rPr>
                <w:rFonts w:ascii="宋体" w:hAnsi="宋体" w:cs="宋体"/>
                <w:color w:val="auto"/>
                <w:kern w:val="0"/>
                <w:sz w:val="21"/>
                <w:szCs w:val="21"/>
                <w:highlight w:val="none"/>
              </w:rPr>
            </w:pPr>
          </w:p>
        </w:tc>
      </w:tr>
      <w:tr w14:paraId="23A0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52" w:type="dxa"/>
            <w:shd w:val="clear" w:color="auto" w:fill="auto"/>
            <w:noWrap/>
            <w:vAlign w:val="center"/>
          </w:tcPr>
          <w:p w14:paraId="049C5BD1">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2_1</w:t>
            </w:r>
          </w:p>
        </w:tc>
        <w:tc>
          <w:tcPr>
            <w:tcW w:w="1643" w:type="dxa"/>
            <w:shd w:val="clear" w:color="auto" w:fill="auto"/>
            <w:noWrap/>
            <w:vAlign w:val="center"/>
          </w:tcPr>
          <w:p w14:paraId="320BAB09">
            <w:pPr>
              <w:widowControl/>
              <w:spacing w:line="360" w:lineRule="auto"/>
              <w:jc w:val="both"/>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rPr>
              <w:t>事故总信号计算装置</w:t>
            </w:r>
          </w:p>
        </w:tc>
        <w:tc>
          <w:tcPr>
            <w:tcW w:w="2603" w:type="dxa"/>
            <w:shd w:val="clear" w:color="auto" w:fill="auto"/>
            <w:noWrap/>
            <w:vAlign w:val="center"/>
          </w:tcPr>
          <w:p w14:paraId="0028CB78">
            <w:pPr>
              <w:widowControl/>
              <w:spacing w:line="360" w:lineRule="auto"/>
              <w:ind w:right="-129" w:firstLine="0" w:firstLineChars="0"/>
              <w:jc w:val="both"/>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嵌入式服务器，具备事故总逻辑运算功能，并能将计算结果上送远动RTU装置</w:t>
            </w:r>
          </w:p>
        </w:tc>
        <w:tc>
          <w:tcPr>
            <w:tcW w:w="614" w:type="dxa"/>
            <w:shd w:val="clear" w:color="auto" w:fill="auto"/>
            <w:noWrap/>
            <w:vAlign w:val="center"/>
          </w:tcPr>
          <w:p w14:paraId="30A44375">
            <w:pPr>
              <w:widowControl/>
              <w:jc w:val="center"/>
              <w:rPr>
                <w:rFonts w:ascii="宋体" w:hAnsi="宋体" w:cs="宋体"/>
                <w:color w:val="auto"/>
                <w:kern w:val="0"/>
                <w:sz w:val="21"/>
                <w:szCs w:val="21"/>
                <w:highlight w:val="none"/>
              </w:rPr>
            </w:pPr>
            <w:r>
              <w:rPr>
                <w:rFonts w:hint="eastAsia" w:cs="宋体"/>
                <w:color w:val="auto"/>
                <w:kern w:val="2"/>
                <w:sz w:val="21"/>
                <w:szCs w:val="21"/>
                <w:highlight w:val="none"/>
                <w:lang w:eastAsia="zh-CN"/>
              </w:rPr>
              <w:t>台</w:t>
            </w:r>
          </w:p>
        </w:tc>
        <w:tc>
          <w:tcPr>
            <w:tcW w:w="322" w:type="dxa"/>
            <w:shd w:val="clear" w:color="auto" w:fill="auto"/>
            <w:noWrap/>
            <w:vAlign w:val="center"/>
          </w:tcPr>
          <w:p w14:paraId="33FAF760">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293" w:type="dxa"/>
            <w:shd w:val="clear" w:color="auto" w:fill="auto"/>
            <w:noWrap/>
            <w:vAlign w:val="center"/>
          </w:tcPr>
          <w:p w14:paraId="20BE0F24">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7CFCC6DF">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29A3108">
            <w:pPr>
              <w:widowControl/>
              <w:jc w:val="both"/>
              <w:rPr>
                <w:rFonts w:ascii="宋体" w:hAnsi="宋体" w:cs="宋体"/>
                <w:color w:val="auto"/>
                <w:kern w:val="0"/>
                <w:sz w:val="21"/>
                <w:szCs w:val="21"/>
                <w:highlight w:val="none"/>
              </w:rPr>
            </w:pPr>
            <w:r>
              <w:rPr>
                <w:rFonts w:hint="eastAsia" w:hAnsi="宋体"/>
                <w:color w:val="auto"/>
                <w:kern w:val="2"/>
                <w:sz w:val="21"/>
                <w:szCs w:val="21"/>
                <w:highlight w:val="none"/>
              </w:rPr>
              <w:t>双网双主</w:t>
            </w:r>
          </w:p>
        </w:tc>
      </w:tr>
      <w:tr w14:paraId="467E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77B2BBA4">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2_2</w:t>
            </w:r>
          </w:p>
        </w:tc>
        <w:tc>
          <w:tcPr>
            <w:tcW w:w="1643" w:type="dxa"/>
            <w:shd w:val="clear" w:color="auto" w:fill="auto"/>
            <w:noWrap/>
            <w:vAlign w:val="center"/>
          </w:tcPr>
          <w:p w14:paraId="47F4B175">
            <w:pPr>
              <w:widowControl/>
              <w:spacing w:line="360" w:lineRule="auto"/>
              <w:jc w:val="both"/>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rPr>
              <w:t>事故总信号计算软件</w:t>
            </w:r>
          </w:p>
        </w:tc>
        <w:tc>
          <w:tcPr>
            <w:tcW w:w="2603" w:type="dxa"/>
            <w:shd w:val="clear" w:color="auto" w:fill="auto"/>
            <w:noWrap/>
            <w:vAlign w:val="center"/>
          </w:tcPr>
          <w:p w14:paraId="45A0D4EA">
            <w:pPr>
              <w:widowControl/>
              <w:spacing w:line="360" w:lineRule="auto"/>
              <w:ind w:right="-129" w:firstLine="0" w:firstLineChars="0"/>
              <w:jc w:val="both"/>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间隔事故信号计算软件，全厂事故总信号逻辑计算软件</w:t>
            </w:r>
          </w:p>
        </w:tc>
        <w:tc>
          <w:tcPr>
            <w:tcW w:w="614" w:type="dxa"/>
            <w:shd w:val="clear" w:color="auto" w:fill="auto"/>
            <w:noWrap/>
            <w:vAlign w:val="center"/>
          </w:tcPr>
          <w:p w14:paraId="4378D59E">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322" w:type="dxa"/>
            <w:shd w:val="clear" w:color="auto" w:fill="auto"/>
            <w:noWrap/>
            <w:vAlign w:val="center"/>
          </w:tcPr>
          <w:p w14:paraId="09FF9573">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293" w:type="dxa"/>
            <w:shd w:val="clear" w:color="auto" w:fill="auto"/>
            <w:noWrap/>
            <w:vAlign w:val="center"/>
          </w:tcPr>
          <w:p w14:paraId="321FE776">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7318AFDC">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2E59C9C">
            <w:pPr>
              <w:widowControl/>
              <w:jc w:val="center"/>
              <w:rPr>
                <w:rFonts w:ascii="宋体" w:hAnsi="宋体" w:cs="宋体"/>
                <w:color w:val="auto"/>
                <w:kern w:val="0"/>
                <w:sz w:val="21"/>
                <w:szCs w:val="21"/>
                <w:highlight w:val="none"/>
              </w:rPr>
            </w:pPr>
          </w:p>
        </w:tc>
      </w:tr>
      <w:tr w14:paraId="0ED7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3B52F030">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2_3</w:t>
            </w:r>
          </w:p>
        </w:tc>
        <w:tc>
          <w:tcPr>
            <w:tcW w:w="1643" w:type="dxa"/>
            <w:shd w:val="clear" w:color="auto" w:fill="auto"/>
            <w:noWrap/>
            <w:vAlign w:val="center"/>
          </w:tcPr>
          <w:p w14:paraId="76EA492A">
            <w:pPr>
              <w:widowControl/>
              <w:spacing w:line="360" w:lineRule="auto"/>
              <w:jc w:val="both"/>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辅助设备</w:t>
            </w:r>
          </w:p>
        </w:tc>
        <w:tc>
          <w:tcPr>
            <w:tcW w:w="2603" w:type="dxa"/>
            <w:shd w:val="clear" w:color="auto" w:fill="auto"/>
            <w:noWrap/>
            <w:vAlign w:val="center"/>
          </w:tcPr>
          <w:p w14:paraId="337E3011">
            <w:pPr>
              <w:widowControl/>
              <w:spacing w:line="360" w:lineRule="auto"/>
              <w:ind w:right="-129" w:firstLine="0" w:firstLineChars="0"/>
              <w:jc w:val="both"/>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网线、跳纤等，应满足现场组屏需要</w:t>
            </w:r>
          </w:p>
        </w:tc>
        <w:tc>
          <w:tcPr>
            <w:tcW w:w="614" w:type="dxa"/>
            <w:shd w:val="clear" w:color="auto" w:fill="auto"/>
            <w:noWrap/>
            <w:vAlign w:val="center"/>
          </w:tcPr>
          <w:p w14:paraId="677C549E">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322" w:type="dxa"/>
            <w:shd w:val="clear" w:color="auto" w:fill="auto"/>
            <w:noWrap/>
            <w:vAlign w:val="center"/>
          </w:tcPr>
          <w:p w14:paraId="6871A74E">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293" w:type="dxa"/>
            <w:shd w:val="clear" w:color="auto" w:fill="auto"/>
            <w:noWrap/>
            <w:vAlign w:val="center"/>
          </w:tcPr>
          <w:p w14:paraId="726F7B3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10F0D79D">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27B977EB">
            <w:pPr>
              <w:widowControl/>
              <w:jc w:val="center"/>
              <w:rPr>
                <w:rFonts w:ascii="宋体" w:hAnsi="宋体" w:cs="宋体"/>
                <w:color w:val="auto"/>
                <w:kern w:val="0"/>
                <w:sz w:val="21"/>
                <w:szCs w:val="21"/>
                <w:highlight w:val="none"/>
              </w:rPr>
            </w:pPr>
          </w:p>
        </w:tc>
      </w:tr>
      <w:tr w14:paraId="0103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52" w:type="dxa"/>
            <w:shd w:val="clear" w:color="auto" w:fill="auto"/>
            <w:noWrap/>
            <w:vAlign w:val="center"/>
          </w:tcPr>
          <w:p w14:paraId="6D9D3F14">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2_4</w:t>
            </w:r>
          </w:p>
        </w:tc>
        <w:tc>
          <w:tcPr>
            <w:tcW w:w="1643" w:type="dxa"/>
            <w:shd w:val="clear" w:color="auto" w:fill="auto"/>
            <w:noWrap/>
            <w:vAlign w:val="center"/>
          </w:tcPr>
          <w:p w14:paraId="57F90079">
            <w:pPr>
              <w:widowControl/>
              <w:spacing w:line="360" w:lineRule="auto"/>
              <w:jc w:val="center"/>
              <w:rPr>
                <w:rFonts w:hint="eastAsia" w:ascii="宋体" w:hAnsi="宋体" w:cs="宋体"/>
                <w:color w:val="auto"/>
                <w:kern w:val="0"/>
                <w:sz w:val="21"/>
                <w:szCs w:val="21"/>
                <w:highlight w:val="none"/>
                <w:lang w:eastAsia="zh-CN"/>
              </w:rPr>
            </w:pPr>
            <w:r>
              <w:rPr>
                <w:rFonts w:hint="eastAsia" w:ascii="宋体" w:hAnsi="宋体" w:cs="宋体"/>
                <w:color w:val="auto"/>
                <w:kern w:val="0"/>
                <w:sz w:val="21"/>
                <w:szCs w:val="21"/>
                <w:highlight w:val="none"/>
                <w:lang w:eastAsia="zh-CN"/>
              </w:rPr>
              <w:t>与远动服务器、测控装置的通信接口</w:t>
            </w:r>
          </w:p>
        </w:tc>
        <w:tc>
          <w:tcPr>
            <w:tcW w:w="2603" w:type="dxa"/>
            <w:shd w:val="clear" w:color="auto" w:fill="auto"/>
            <w:noWrap/>
            <w:vAlign w:val="center"/>
          </w:tcPr>
          <w:p w14:paraId="4BDF45FA">
            <w:pPr>
              <w:widowControl/>
              <w:spacing w:line="360" w:lineRule="auto"/>
              <w:ind w:right="-129" w:firstLine="420" w:firstLineChars="200"/>
              <w:jc w:val="center"/>
              <w:rPr>
                <w:rFonts w:hint="eastAsia" w:ascii="宋体" w:hAnsi="宋体" w:cs="宋体"/>
                <w:color w:val="auto"/>
                <w:kern w:val="0"/>
                <w:sz w:val="21"/>
                <w:szCs w:val="21"/>
                <w:highlight w:val="none"/>
              </w:rPr>
            </w:pPr>
          </w:p>
        </w:tc>
        <w:tc>
          <w:tcPr>
            <w:tcW w:w="614" w:type="dxa"/>
            <w:shd w:val="clear" w:color="auto" w:fill="auto"/>
            <w:noWrap/>
            <w:vAlign w:val="center"/>
          </w:tcPr>
          <w:p w14:paraId="7596CEED">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322" w:type="dxa"/>
            <w:shd w:val="clear" w:color="auto" w:fill="auto"/>
            <w:noWrap/>
            <w:vAlign w:val="center"/>
          </w:tcPr>
          <w:p w14:paraId="533C8793">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293" w:type="dxa"/>
            <w:shd w:val="clear" w:color="auto" w:fill="auto"/>
            <w:noWrap/>
            <w:vAlign w:val="center"/>
          </w:tcPr>
          <w:p w14:paraId="396FC35F">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62D545F7">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3706C747">
            <w:pPr>
              <w:widowControl/>
              <w:jc w:val="center"/>
              <w:rPr>
                <w:rFonts w:ascii="宋体" w:hAnsi="宋体" w:cs="宋体"/>
                <w:color w:val="auto"/>
                <w:kern w:val="0"/>
                <w:sz w:val="21"/>
                <w:szCs w:val="21"/>
                <w:highlight w:val="none"/>
              </w:rPr>
            </w:pPr>
          </w:p>
        </w:tc>
      </w:tr>
      <w:tr w14:paraId="012A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290B88C5">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2_5</w:t>
            </w:r>
          </w:p>
        </w:tc>
        <w:tc>
          <w:tcPr>
            <w:tcW w:w="1643" w:type="dxa"/>
            <w:shd w:val="clear" w:color="auto" w:fill="auto"/>
            <w:noWrap/>
            <w:vAlign w:val="center"/>
          </w:tcPr>
          <w:p w14:paraId="3A4FCE4C">
            <w:pPr>
              <w:widowControl/>
              <w:spacing w:line="360" w:lineRule="auto"/>
              <w:jc w:val="center"/>
              <w:rPr>
                <w:rFonts w:hint="eastAsia" w:ascii="宋体" w:hAnsi="宋体" w:cs="宋体"/>
                <w:color w:val="auto"/>
                <w:kern w:val="0"/>
                <w:sz w:val="21"/>
                <w:szCs w:val="21"/>
                <w:highlight w:val="none"/>
                <w:lang w:eastAsia="zh-CN"/>
              </w:rPr>
            </w:pPr>
            <w:r>
              <w:rPr>
                <w:rFonts w:hint="eastAsia" w:ascii="宋体" w:hAnsi="宋体" w:cs="宋体"/>
                <w:color w:val="auto"/>
                <w:kern w:val="0"/>
                <w:sz w:val="21"/>
                <w:szCs w:val="21"/>
                <w:highlight w:val="none"/>
              </w:rPr>
              <w:t>系统集成服务</w:t>
            </w:r>
          </w:p>
        </w:tc>
        <w:tc>
          <w:tcPr>
            <w:tcW w:w="2603" w:type="dxa"/>
            <w:shd w:val="clear" w:color="auto" w:fill="auto"/>
            <w:noWrap/>
            <w:vAlign w:val="center"/>
          </w:tcPr>
          <w:p w14:paraId="05942754">
            <w:pPr>
              <w:widowControl/>
              <w:spacing w:line="360" w:lineRule="auto"/>
              <w:ind w:right="-129" w:firstLine="420" w:firstLineChars="20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编制方案、组织西北网调和省调审查</w:t>
            </w:r>
          </w:p>
        </w:tc>
        <w:tc>
          <w:tcPr>
            <w:tcW w:w="614" w:type="dxa"/>
            <w:shd w:val="clear" w:color="auto" w:fill="auto"/>
            <w:noWrap/>
            <w:vAlign w:val="center"/>
          </w:tcPr>
          <w:p w14:paraId="37C6A4A5">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322" w:type="dxa"/>
            <w:shd w:val="clear" w:color="auto" w:fill="auto"/>
            <w:noWrap/>
            <w:vAlign w:val="center"/>
          </w:tcPr>
          <w:p w14:paraId="781A67D4">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293" w:type="dxa"/>
            <w:shd w:val="clear" w:color="auto" w:fill="auto"/>
            <w:noWrap/>
            <w:vAlign w:val="center"/>
          </w:tcPr>
          <w:p w14:paraId="59951510">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68457B4C">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72EBD8B7">
            <w:pPr>
              <w:widowControl/>
              <w:jc w:val="center"/>
              <w:rPr>
                <w:rFonts w:ascii="宋体" w:hAnsi="宋体" w:cs="宋体"/>
                <w:color w:val="auto"/>
                <w:kern w:val="0"/>
                <w:sz w:val="21"/>
                <w:szCs w:val="21"/>
                <w:highlight w:val="none"/>
              </w:rPr>
            </w:pPr>
          </w:p>
        </w:tc>
      </w:tr>
      <w:tr w14:paraId="2434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center"/>
          </w:tcPr>
          <w:p w14:paraId="217CCDBC">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2_6</w:t>
            </w:r>
          </w:p>
        </w:tc>
        <w:tc>
          <w:tcPr>
            <w:tcW w:w="1643" w:type="dxa"/>
            <w:shd w:val="clear" w:color="auto" w:fill="auto"/>
            <w:noWrap/>
            <w:vAlign w:val="center"/>
          </w:tcPr>
          <w:p w14:paraId="0999599F">
            <w:pPr>
              <w:widowControl/>
              <w:spacing w:line="36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柜体及附件</w:t>
            </w:r>
          </w:p>
        </w:tc>
        <w:tc>
          <w:tcPr>
            <w:tcW w:w="2603" w:type="dxa"/>
            <w:shd w:val="clear" w:color="auto" w:fill="auto"/>
            <w:noWrap/>
            <w:vAlign w:val="center"/>
          </w:tcPr>
          <w:p w14:paraId="099BD375">
            <w:pPr>
              <w:widowControl/>
              <w:jc w:val="center"/>
              <w:rPr>
                <w:rFonts w:hint="eastAsia" w:cs="宋体"/>
                <w:color w:val="auto"/>
                <w:sz w:val="21"/>
                <w:szCs w:val="21"/>
                <w:highlight w:val="none"/>
                <w:lang w:eastAsia="zh-CN"/>
              </w:rPr>
            </w:pPr>
          </w:p>
        </w:tc>
        <w:tc>
          <w:tcPr>
            <w:tcW w:w="614" w:type="dxa"/>
            <w:shd w:val="clear" w:color="auto" w:fill="auto"/>
            <w:noWrap/>
            <w:vAlign w:val="center"/>
          </w:tcPr>
          <w:p w14:paraId="6EB25F9C">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面</w:t>
            </w:r>
          </w:p>
        </w:tc>
        <w:tc>
          <w:tcPr>
            <w:tcW w:w="322" w:type="dxa"/>
            <w:shd w:val="clear" w:color="auto" w:fill="auto"/>
            <w:noWrap/>
            <w:vAlign w:val="center"/>
          </w:tcPr>
          <w:p w14:paraId="5C004021">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293" w:type="dxa"/>
            <w:shd w:val="clear" w:color="auto" w:fill="auto"/>
            <w:noWrap/>
            <w:vAlign w:val="center"/>
          </w:tcPr>
          <w:p w14:paraId="6179513A">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454E55D1">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2E60F620">
            <w:pPr>
              <w:widowControl/>
              <w:jc w:val="center"/>
              <w:rPr>
                <w:rFonts w:ascii="宋体" w:hAnsi="宋体" w:cs="宋体"/>
                <w:color w:val="auto"/>
                <w:kern w:val="0"/>
                <w:sz w:val="21"/>
                <w:szCs w:val="21"/>
                <w:highlight w:val="none"/>
              </w:rPr>
            </w:pPr>
          </w:p>
        </w:tc>
      </w:tr>
      <w:tr w14:paraId="64B7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center"/>
          </w:tcPr>
          <w:p w14:paraId="67483A74">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1643" w:type="dxa"/>
            <w:shd w:val="clear" w:color="auto" w:fill="auto"/>
            <w:noWrap/>
            <w:vAlign w:val="center"/>
          </w:tcPr>
          <w:p w14:paraId="49716524">
            <w:pPr>
              <w:widowControl/>
              <w:spacing w:line="360" w:lineRule="auto"/>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电度表屏</w:t>
            </w:r>
          </w:p>
        </w:tc>
        <w:tc>
          <w:tcPr>
            <w:tcW w:w="2603" w:type="dxa"/>
            <w:shd w:val="clear" w:color="auto" w:fill="auto"/>
            <w:noWrap/>
            <w:vAlign w:val="center"/>
          </w:tcPr>
          <w:p w14:paraId="4C130552">
            <w:pPr>
              <w:widowControl/>
              <w:jc w:val="center"/>
              <w:rPr>
                <w:rFonts w:hint="eastAsia" w:cs="宋体"/>
                <w:color w:val="auto"/>
                <w:sz w:val="21"/>
                <w:szCs w:val="21"/>
                <w:highlight w:val="none"/>
                <w:lang w:eastAsia="zh-CN"/>
              </w:rPr>
            </w:pPr>
          </w:p>
        </w:tc>
        <w:tc>
          <w:tcPr>
            <w:tcW w:w="614" w:type="dxa"/>
            <w:shd w:val="clear" w:color="auto" w:fill="auto"/>
            <w:noWrap/>
            <w:vAlign w:val="center"/>
          </w:tcPr>
          <w:p w14:paraId="515D20D8">
            <w:pPr>
              <w:widowControl/>
              <w:jc w:val="center"/>
              <w:rPr>
                <w:rFonts w:hint="eastAsia" w:ascii="宋体" w:hAnsi="宋体" w:cs="宋体"/>
                <w:color w:val="auto"/>
                <w:kern w:val="0"/>
                <w:sz w:val="21"/>
                <w:szCs w:val="21"/>
                <w:highlight w:val="none"/>
                <w:lang w:val="en-US" w:eastAsia="zh-CN"/>
              </w:rPr>
            </w:pPr>
          </w:p>
        </w:tc>
        <w:tc>
          <w:tcPr>
            <w:tcW w:w="322" w:type="dxa"/>
            <w:shd w:val="clear" w:color="auto" w:fill="auto"/>
            <w:noWrap/>
            <w:vAlign w:val="center"/>
          </w:tcPr>
          <w:p w14:paraId="796A2B89">
            <w:pPr>
              <w:widowControl/>
              <w:jc w:val="center"/>
              <w:rPr>
                <w:rFonts w:hint="eastAsia" w:ascii="宋体" w:hAnsi="宋体" w:cs="宋体"/>
                <w:color w:val="auto"/>
                <w:kern w:val="0"/>
                <w:sz w:val="21"/>
                <w:szCs w:val="21"/>
                <w:highlight w:val="none"/>
                <w:lang w:val="en-US" w:eastAsia="zh-CN"/>
              </w:rPr>
            </w:pPr>
          </w:p>
        </w:tc>
        <w:tc>
          <w:tcPr>
            <w:tcW w:w="293" w:type="dxa"/>
            <w:shd w:val="clear" w:color="auto" w:fill="auto"/>
            <w:noWrap/>
            <w:vAlign w:val="center"/>
          </w:tcPr>
          <w:p w14:paraId="209AA0FE">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524C5E2">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98FD4C2">
            <w:pPr>
              <w:widowControl/>
              <w:jc w:val="center"/>
              <w:rPr>
                <w:rFonts w:ascii="宋体" w:hAnsi="宋体" w:cs="宋体"/>
                <w:color w:val="auto"/>
                <w:kern w:val="0"/>
                <w:sz w:val="21"/>
                <w:szCs w:val="21"/>
                <w:highlight w:val="none"/>
              </w:rPr>
            </w:pPr>
          </w:p>
        </w:tc>
      </w:tr>
      <w:tr w14:paraId="0A62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52" w:type="dxa"/>
            <w:shd w:val="clear" w:color="auto" w:fill="auto"/>
            <w:noWrap/>
            <w:vAlign w:val="center"/>
          </w:tcPr>
          <w:p w14:paraId="09F35AB5">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3_1</w:t>
            </w:r>
          </w:p>
        </w:tc>
        <w:tc>
          <w:tcPr>
            <w:tcW w:w="1643" w:type="dxa"/>
            <w:shd w:val="clear" w:color="auto" w:fill="auto"/>
            <w:noWrap/>
            <w:vAlign w:val="center"/>
          </w:tcPr>
          <w:p w14:paraId="25DFF3E1">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#1机组电度表屏</w:t>
            </w:r>
          </w:p>
        </w:tc>
        <w:tc>
          <w:tcPr>
            <w:tcW w:w="2603" w:type="dxa"/>
            <w:shd w:val="clear" w:color="auto" w:fill="auto"/>
            <w:noWrap/>
            <w:vAlign w:val="center"/>
          </w:tcPr>
          <w:p w14:paraId="2A694B2B">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u w:val="none"/>
                <w:lang w:val="en-US" w:eastAsia="zh-CN" w:bidi="ar"/>
              </w:rPr>
              <w:t>2260*800*600</w:t>
            </w:r>
          </w:p>
        </w:tc>
        <w:tc>
          <w:tcPr>
            <w:tcW w:w="614" w:type="dxa"/>
            <w:shd w:val="clear" w:color="auto" w:fill="auto"/>
            <w:noWrap/>
            <w:vAlign w:val="center"/>
          </w:tcPr>
          <w:p w14:paraId="22134501">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面</w:t>
            </w:r>
          </w:p>
        </w:tc>
        <w:tc>
          <w:tcPr>
            <w:tcW w:w="322" w:type="dxa"/>
            <w:shd w:val="clear" w:color="auto" w:fill="auto"/>
            <w:noWrap/>
            <w:vAlign w:val="center"/>
          </w:tcPr>
          <w:p w14:paraId="322AF5BE">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1</w:t>
            </w:r>
          </w:p>
        </w:tc>
        <w:tc>
          <w:tcPr>
            <w:tcW w:w="293" w:type="dxa"/>
            <w:shd w:val="clear" w:color="auto" w:fill="auto"/>
            <w:noWrap/>
            <w:vAlign w:val="center"/>
          </w:tcPr>
          <w:p w14:paraId="4DA59D79">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3BDBCDEE">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342309A">
            <w:pPr>
              <w:spacing w:line="360" w:lineRule="auto"/>
              <w:ind w:right="-129"/>
              <w:jc w:val="center"/>
              <w:rPr>
                <w:rFonts w:ascii="宋体" w:hAnsi="宋体" w:cs="宋体"/>
                <w:color w:val="auto"/>
                <w:kern w:val="0"/>
                <w:sz w:val="21"/>
                <w:szCs w:val="21"/>
                <w:highlight w:val="none"/>
              </w:rPr>
            </w:pPr>
          </w:p>
        </w:tc>
      </w:tr>
      <w:tr w14:paraId="3B88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2" w:type="dxa"/>
            <w:shd w:val="clear" w:color="auto" w:fill="auto"/>
            <w:noWrap/>
            <w:vAlign w:val="center"/>
          </w:tcPr>
          <w:p w14:paraId="519F274C">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643" w:type="dxa"/>
            <w:shd w:val="clear" w:color="auto" w:fill="auto"/>
            <w:noWrap/>
            <w:vAlign w:val="center"/>
          </w:tcPr>
          <w:p w14:paraId="34890F4A">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电度表</w:t>
            </w:r>
          </w:p>
        </w:tc>
        <w:tc>
          <w:tcPr>
            <w:tcW w:w="2603" w:type="dxa"/>
            <w:shd w:val="clear" w:color="auto" w:fill="auto"/>
            <w:noWrap/>
            <w:vAlign w:val="center"/>
          </w:tcPr>
          <w:p w14:paraId="22794625">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见电度表要求</w:t>
            </w:r>
          </w:p>
        </w:tc>
        <w:tc>
          <w:tcPr>
            <w:tcW w:w="614" w:type="dxa"/>
            <w:shd w:val="clear" w:color="auto" w:fill="auto"/>
            <w:noWrap/>
            <w:vAlign w:val="center"/>
          </w:tcPr>
          <w:p w14:paraId="4EE26757">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台</w:t>
            </w:r>
          </w:p>
        </w:tc>
        <w:tc>
          <w:tcPr>
            <w:tcW w:w="322" w:type="dxa"/>
            <w:shd w:val="clear" w:color="auto" w:fill="auto"/>
            <w:noWrap/>
            <w:vAlign w:val="center"/>
          </w:tcPr>
          <w:p w14:paraId="637ADE35">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3</w:t>
            </w:r>
          </w:p>
        </w:tc>
        <w:tc>
          <w:tcPr>
            <w:tcW w:w="293" w:type="dxa"/>
            <w:shd w:val="clear" w:color="auto" w:fill="auto"/>
            <w:noWrap/>
            <w:vAlign w:val="center"/>
          </w:tcPr>
          <w:p w14:paraId="730252C2">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EF9F6E1">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0038FB9F">
            <w:pPr>
              <w:spacing w:line="360" w:lineRule="auto"/>
              <w:ind w:right="-129"/>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双网口</w:t>
            </w:r>
          </w:p>
        </w:tc>
      </w:tr>
      <w:tr w14:paraId="5BEA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652" w:type="dxa"/>
            <w:shd w:val="clear" w:color="auto" w:fill="auto"/>
            <w:noWrap/>
            <w:vAlign w:val="center"/>
          </w:tcPr>
          <w:p w14:paraId="3C729350">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643" w:type="dxa"/>
            <w:shd w:val="clear" w:color="auto" w:fill="auto"/>
            <w:noWrap/>
            <w:vAlign w:val="center"/>
          </w:tcPr>
          <w:p w14:paraId="4937BECE">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交换机</w:t>
            </w:r>
          </w:p>
        </w:tc>
        <w:tc>
          <w:tcPr>
            <w:tcW w:w="2603" w:type="dxa"/>
            <w:shd w:val="clear" w:color="auto" w:fill="auto"/>
            <w:noWrap/>
            <w:vAlign w:val="center"/>
          </w:tcPr>
          <w:p w14:paraId="465A02C6">
            <w:pPr>
              <w:adjustRightInd w:val="0"/>
              <w:snapToGrid w:val="0"/>
              <w:spacing w:after="160" w:line="240" w:lineRule="atLeast"/>
              <w:rPr>
                <w:rFonts w:ascii="宋体" w:hAnsi="宋体" w:cs="宋体"/>
                <w:color w:val="auto"/>
                <w:sz w:val="21"/>
                <w:szCs w:val="21"/>
                <w:highlight w:val="none"/>
              </w:rPr>
            </w:pPr>
            <w:r>
              <w:rPr>
                <w:rFonts w:hint="eastAsia" w:ascii="宋体" w:hAnsi="宋体" w:cs="宋体"/>
                <w:color w:val="auto"/>
                <w:sz w:val="21"/>
                <w:szCs w:val="21"/>
                <w:highlight w:val="none"/>
              </w:rPr>
              <w:t>100M网口8个，光口口8个，工业级，无风扇，使用电力工业权威机构检测合格的国产工业交换机</w:t>
            </w:r>
          </w:p>
          <w:p w14:paraId="5B7C210F">
            <w:pPr>
              <w:adjustRightInd w:val="0"/>
              <w:snapToGrid w:val="0"/>
              <w:spacing w:after="160" w:line="240" w:lineRule="atLeast"/>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具备双电源模块，支持SNMP V2及以上协议</w:t>
            </w:r>
          </w:p>
        </w:tc>
        <w:tc>
          <w:tcPr>
            <w:tcW w:w="614" w:type="dxa"/>
            <w:shd w:val="clear" w:color="auto" w:fill="auto"/>
            <w:noWrap/>
            <w:vAlign w:val="center"/>
          </w:tcPr>
          <w:p w14:paraId="46015779">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台</w:t>
            </w:r>
          </w:p>
        </w:tc>
        <w:tc>
          <w:tcPr>
            <w:tcW w:w="322" w:type="dxa"/>
            <w:shd w:val="clear" w:color="auto" w:fill="auto"/>
            <w:noWrap/>
            <w:vAlign w:val="center"/>
          </w:tcPr>
          <w:p w14:paraId="5D557661">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2</w:t>
            </w:r>
          </w:p>
        </w:tc>
        <w:tc>
          <w:tcPr>
            <w:tcW w:w="293" w:type="dxa"/>
            <w:shd w:val="clear" w:color="auto" w:fill="auto"/>
            <w:noWrap/>
            <w:vAlign w:val="center"/>
          </w:tcPr>
          <w:p w14:paraId="16FD5C95">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EBB6581">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AFB840A">
            <w:pPr>
              <w:spacing w:line="360" w:lineRule="auto"/>
              <w:ind w:right="-129"/>
              <w:jc w:val="center"/>
              <w:rPr>
                <w:rFonts w:ascii="宋体" w:hAnsi="宋体" w:cs="宋体"/>
                <w:color w:val="auto"/>
                <w:kern w:val="0"/>
                <w:sz w:val="21"/>
                <w:szCs w:val="21"/>
                <w:highlight w:val="none"/>
              </w:rPr>
            </w:pPr>
          </w:p>
        </w:tc>
      </w:tr>
      <w:tr w14:paraId="1587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52" w:type="dxa"/>
            <w:shd w:val="clear" w:color="auto" w:fill="auto"/>
            <w:noWrap/>
            <w:vAlign w:val="center"/>
          </w:tcPr>
          <w:p w14:paraId="55065CB8">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3_2</w:t>
            </w:r>
          </w:p>
        </w:tc>
        <w:tc>
          <w:tcPr>
            <w:tcW w:w="1643" w:type="dxa"/>
            <w:shd w:val="clear" w:color="auto" w:fill="auto"/>
            <w:noWrap/>
            <w:vAlign w:val="center"/>
          </w:tcPr>
          <w:p w14:paraId="477A1539">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#2机组电度表屏</w:t>
            </w:r>
          </w:p>
        </w:tc>
        <w:tc>
          <w:tcPr>
            <w:tcW w:w="2603" w:type="dxa"/>
            <w:shd w:val="clear" w:color="auto" w:fill="auto"/>
            <w:noWrap/>
            <w:vAlign w:val="center"/>
          </w:tcPr>
          <w:p w14:paraId="73A333A3">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u w:val="none"/>
                <w:lang w:val="en-US" w:eastAsia="zh-CN" w:bidi="ar"/>
              </w:rPr>
              <w:t>2260*800*600</w:t>
            </w:r>
          </w:p>
        </w:tc>
        <w:tc>
          <w:tcPr>
            <w:tcW w:w="614" w:type="dxa"/>
            <w:shd w:val="clear" w:color="auto" w:fill="auto"/>
            <w:noWrap/>
            <w:vAlign w:val="center"/>
          </w:tcPr>
          <w:p w14:paraId="26BA8D43">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面</w:t>
            </w:r>
          </w:p>
        </w:tc>
        <w:tc>
          <w:tcPr>
            <w:tcW w:w="322" w:type="dxa"/>
            <w:shd w:val="clear" w:color="auto" w:fill="auto"/>
            <w:noWrap/>
            <w:vAlign w:val="center"/>
          </w:tcPr>
          <w:p w14:paraId="41D92159">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1</w:t>
            </w:r>
          </w:p>
        </w:tc>
        <w:tc>
          <w:tcPr>
            <w:tcW w:w="293" w:type="dxa"/>
            <w:shd w:val="clear" w:color="auto" w:fill="auto"/>
            <w:noWrap/>
            <w:vAlign w:val="center"/>
          </w:tcPr>
          <w:p w14:paraId="62505FC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38431175">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890FBE9">
            <w:pPr>
              <w:spacing w:line="360" w:lineRule="auto"/>
              <w:ind w:right="-129"/>
              <w:jc w:val="center"/>
              <w:rPr>
                <w:rFonts w:ascii="宋体" w:hAnsi="宋体" w:cs="宋体"/>
                <w:color w:val="auto"/>
                <w:kern w:val="0"/>
                <w:sz w:val="21"/>
                <w:szCs w:val="21"/>
                <w:highlight w:val="none"/>
              </w:rPr>
            </w:pPr>
          </w:p>
        </w:tc>
      </w:tr>
      <w:tr w14:paraId="4E50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2" w:type="dxa"/>
            <w:shd w:val="clear" w:color="auto" w:fill="auto"/>
            <w:noWrap/>
            <w:vAlign w:val="center"/>
          </w:tcPr>
          <w:p w14:paraId="1A30AFF8">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643" w:type="dxa"/>
            <w:shd w:val="clear" w:color="auto" w:fill="auto"/>
            <w:noWrap/>
            <w:vAlign w:val="center"/>
          </w:tcPr>
          <w:p w14:paraId="2FD84274">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电度表</w:t>
            </w:r>
          </w:p>
        </w:tc>
        <w:tc>
          <w:tcPr>
            <w:tcW w:w="2603" w:type="dxa"/>
            <w:shd w:val="clear" w:color="auto" w:fill="auto"/>
            <w:noWrap/>
            <w:vAlign w:val="center"/>
          </w:tcPr>
          <w:p w14:paraId="05BFE2F5">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见电度表要求</w:t>
            </w:r>
          </w:p>
        </w:tc>
        <w:tc>
          <w:tcPr>
            <w:tcW w:w="614" w:type="dxa"/>
            <w:shd w:val="clear" w:color="auto" w:fill="auto"/>
            <w:noWrap/>
            <w:vAlign w:val="center"/>
          </w:tcPr>
          <w:p w14:paraId="0F3BB937">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台</w:t>
            </w:r>
          </w:p>
        </w:tc>
        <w:tc>
          <w:tcPr>
            <w:tcW w:w="322" w:type="dxa"/>
            <w:shd w:val="clear" w:color="auto" w:fill="auto"/>
            <w:noWrap/>
            <w:vAlign w:val="center"/>
          </w:tcPr>
          <w:p w14:paraId="4DD6B97D">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3</w:t>
            </w:r>
          </w:p>
        </w:tc>
        <w:tc>
          <w:tcPr>
            <w:tcW w:w="293" w:type="dxa"/>
            <w:shd w:val="clear" w:color="auto" w:fill="auto"/>
            <w:noWrap/>
            <w:vAlign w:val="center"/>
          </w:tcPr>
          <w:p w14:paraId="122293C4">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E75D573">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00B40D11">
            <w:pPr>
              <w:spacing w:line="360" w:lineRule="auto"/>
              <w:ind w:right="-129"/>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双网口</w:t>
            </w:r>
          </w:p>
        </w:tc>
      </w:tr>
      <w:tr w14:paraId="3B29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652" w:type="dxa"/>
            <w:shd w:val="clear" w:color="auto" w:fill="auto"/>
            <w:noWrap/>
            <w:vAlign w:val="center"/>
          </w:tcPr>
          <w:p w14:paraId="4B311193">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643" w:type="dxa"/>
            <w:shd w:val="clear" w:color="auto" w:fill="auto"/>
            <w:noWrap/>
            <w:vAlign w:val="center"/>
          </w:tcPr>
          <w:p w14:paraId="6A603E5F">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交换机</w:t>
            </w:r>
          </w:p>
        </w:tc>
        <w:tc>
          <w:tcPr>
            <w:tcW w:w="2603" w:type="dxa"/>
            <w:shd w:val="clear" w:color="auto" w:fill="auto"/>
            <w:noWrap/>
            <w:vAlign w:val="center"/>
          </w:tcPr>
          <w:p w14:paraId="4D6D575C">
            <w:pPr>
              <w:adjustRightInd w:val="0"/>
              <w:snapToGrid w:val="0"/>
              <w:spacing w:after="160" w:line="240" w:lineRule="auto"/>
              <w:rPr>
                <w:rFonts w:ascii="宋体" w:hAnsi="宋体" w:cs="宋体"/>
                <w:color w:val="auto"/>
                <w:sz w:val="21"/>
                <w:szCs w:val="21"/>
                <w:highlight w:val="none"/>
              </w:rPr>
            </w:pPr>
            <w:r>
              <w:rPr>
                <w:rFonts w:hint="eastAsia" w:ascii="宋体" w:hAnsi="宋体" w:cs="宋体"/>
                <w:color w:val="auto"/>
                <w:sz w:val="21"/>
                <w:szCs w:val="21"/>
                <w:highlight w:val="none"/>
              </w:rPr>
              <w:t>100M网口8个，光口口8个，工业级，无风扇，使用电力工业权威机构检测合格的国产工业交换机</w:t>
            </w:r>
          </w:p>
          <w:p w14:paraId="61DF54DF">
            <w:pPr>
              <w:adjustRightInd w:val="0"/>
              <w:snapToGrid w:val="0"/>
              <w:spacing w:after="160" w:line="240"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具备双电源模块，支持SNMP V2及以上协议</w:t>
            </w:r>
          </w:p>
        </w:tc>
        <w:tc>
          <w:tcPr>
            <w:tcW w:w="614" w:type="dxa"/>
            <w:shd w:val="clear" w:color="auto" w:fill="auto"/>
            <w:noWrap/>
            <w:vAlign w:val="center"/>
          </w:tcPr>
          <w:p w14:paraId="35CA03E8">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台</w:t>
            </w:r>
          </w:p>
        </w:tc>
        <w:tc>
          <w:tcPr>
            <w:tcW w:w="322" w:type="dxa"/>
            <w:shd w:val="clear" w:color="auto" w:fill="auto"/>
            <w:noWrap/>
            <w:vAlign w:val="center"/>
          </w:tcPr>
          <w:p w14:paraId="45A93840">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2</w:t>
            </w:r>
          </w:p>
        </w:tc>
        <w:tc>
          <w:tcPr>
            <w:tcW w:w="293" w:type="dxa"/>
            <w:shd w:val="clear" w:color="auto" w:fill="auto"/>
            <w:noWrap/>
            <w:vAlign w:val="center"/>
          </w:tcPr>
          <w:p w14:paraId="516F691E">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ECC2BD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53A569B2">
            <w:pPr>
              <w:spacing w:line="360" w:lineRule="auto"/>
              <w:ind w:right="-129"/>
              <w:jc w:val="center"/>
              <w:rPr>
                <w:rFonts w:ascii="宋体" w:hAnsi="宋体" w:cs="宋体"/>
                <w:color w:val="auto"/>
                <w:kern w:val="0"/>
                <w:sz w:val="21"/>
                <w:szCs w:val="21"/>
                <w:highlight w:val="none"/>
              </w:rPr>
            </w:pPr>
          </w:p>
        </w:tc>
      </w:tr>
      <w:tr w14:paraId="2030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2" w:type="dxa"/>
            <w:shd w:val="clear" w:color="auto" w:fill="auto"/>
            <w:noWrap/>
            <w:vAlign w:val="center"/>
          </w:tcPr>
          <w:p w14:paraId="79AC6DF3">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3_3</w:t>
            </w:r>
          </w:p>
        </w:tc>
        <w:tc>
          <w:tcPr>
            <w:tcW w:w="1643" w:type="dxa"/>
            <w:shd w:val="clear" w:color="auto" w:fill="auto"/>
            <w:noWrap/>
            <w:vAlign w:val="center"/>
          </w:tcPr>
          <w:p w14:paraId="29ED3B5E">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关口电度表屏</w:t>
            </w:r>
          </w:p>
        </w:tc>
        <w:tc>
          <w:tcPr>
            <w:tcW w:w="2603" w:type="dxa"/>
            <w:shd w:val="clear" w:color="auto" w:fill="auto"/>
            <w:noWrap/>
            <w:vAlign w:val="center"/>
          </w:tcPr>
          <w:p w14:paraId="157B3DCF">
            <w:pPr>
              <w:keepNext w:val="0"/>
              <w:keepLines w:val="0"/>
              <w:widowControl/>
              <w:suppressLineNumbers w:val="0"/>
              <w:jc w:val="center"/>
              <w:textAlignment w:val="center"/>
              <w:rPr>
                <w:rFonts w:ascii="宋体" w:hAnsi="宋体" w:eastAsia="宋体" w:cs="宋体"/>
                <w:color w:val="auto"/>
                <w:kern w:val="2"/>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u w:val="none"/>
                <w:lang w:val="en-US" w:eastAsia="zh-CN" w:bidi="ar"/>
              </w:rPr>
              <w:t>2260*800*600</w:t>
            </w:r>
          </w:p>
        </w:tc>
        <w:tc>
          <w:tcPr>
            <w:tcW w:w="614" w:type="dxa"/>
            <w:shd w:val="clear" w:color="auto" w:fill="auto"/>
            <w:noWrap/>
            <w:vAlign w:val="center"/>
          </w:tcPr>
          <w:p w14:paraId="5BBF99F4">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面</w:t>
            </w:r>
          </w:p>
        </w:tc>
        <w:tc>
          <w:tcPr>
            <w:tcW w:w="322" w:type="dxa"/>
            <w:shd w:val="clear" w:color="auto" w:fill="auto"/>
            <w:noWrap/>
            <w:vAlign w:val="center"/>
          </w:tcPr>
          <w:p w14:paraId="3961B555">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1</w:t>
            </w:r>
          </w:p>
        </w:tc>
        <w:tc>
          <w:tcPr>
            <w:tcW w:w="293" w:type="dxa"/>
            <w:shd w:val="clear" w:color="auto" w:fill="auto"/>
            <w:noWrap/>
            <w:vAlign w:val="center"/>
          </w:tcPr>
          <w:p w14:paraId="3FE16AC0">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24EE7EA">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34A0F81A">
            <w:pPr>
              <w:spacing w:line="360" w:lineRule="auto"/>
              <w:ind w:right="-129"/>
              <w:jc w:val="center"/>
              <w:rPr>
                <w:rFonts w:ascii="宋体" w:hAnsi="宋体" w:cs="宋体"/>
                <w:color w:val="auto"/>
                <w:kern w:val="0"/>
                <w:sz w:val="21"/>
                <w:szCs w:val="21"/>
                <w:highlight w:val="none"/>
              </w:rPr>
            </w:pPr>
          </w:p>
        </w:tc>
      </w:tr>
      <w:tr w14:paraId="5958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2" w:type="dxa"/>
            <w:shd w:val="clear" w:color="auto" w:fill="auto"/>
            <w:noWrap/>
            <w:vAlign w:val="center"/>
          </w:tcPr>
          <w:p w14:paraId="0FDDE9DA">
            <w:pPr>
              <w:widowControl/>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643" w:type="dxa"/>
            <w:shd w:val="clear" w:color="auto" w:fill="auto"/>
            <w:noWrap/>
            <w:vAlign w:val="center"/>
          </w:tcPr>
          <w:p w14:paraId="1CFB6967">
            <w:pPr>
              <w:adjustRightInd w:val="0"/>
              <w:snapToGrid w:val="0"/>
              <w:spacing w:after="160" w:line="259"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电度表</w:t>
            </w:r>
          </w:p>
        </w:tc>
        <w:tc>
          <w:tcPr>
            <w:tcW w:w="2603" w:type="dxa"/>
            <w:shd w:val="clear" w:color="auto" w:fill="auto"/>
            <w:noWrap/>
            <w:vAlign w:val="center"/>
          </w:tcPr>
          <w:p w14:paraId="69B831C4">
            <w:pPr>
              <w:adjustRightInd w:val="0"/>
              <w:snapToGrid w:val="0"/>
              <w:spacing w:after="160" w:line="259" w:lineRule="auto"/>
              <w:rPr>
                <w:rFonts w:hint="eastAsia" w:ascii="宋体" w:hAnsi="宋体" w:eastAsia="宋体" w:cs="宋体"/>
                <w:b w:val="0"/>
                <w:bCs w:val="0"/>
                <w:i w:val="0"/>
                <w:iCs w:val="0"/>
                <w:snapToGrid w:val="0"/>
                <w:color w:val="auto"/>
                <w:kern w:val="0"/>
                <w:sz w:val="21"/>
                <w:szCs w:val="21"/>
                <w:highlight w:val="none"/>
                <w:u w:val="none"/>
                <w:lang w:val="en-US" w:eastAsia="zh-CN" w:bidi="ar"/>
              </w:rPr>
            </w:pPr>
            <w:r>
              <w:rPr>
                <w:rFonts w:hint="eastAsia" w:ascii="宋体" w:hAnsi="宋体" w:cs="宋体"/>
                <w:color w:val="auto"/>
                <w:sz w:val="21"/>
                <w:szCs w:val="21"/>
                <w:highlight w:val="none"/>
              </w:rPr>
              <w:t>见电度表要求</w:t>
            </w:r>
          </w:p>
        </w:tc>
        <w:tc>
          <w:tcPr>
            <w:tcW w:w="614" w:type="dxa"/>
            <w:shd w:val="clear" w:color="auto" w:fill="auto"/>
            <w:noWrap/>
            <w:vAlign w:val="center"/>
          </w:tcPr>
          <w:p w14:paraId="2EB1BD1C">
            <w:pPr>
              <w:adjustRightInd w:val="0"/>
              <w:snapToGrid w:val="0"/>
              <w:spacing w:after="160" w:line="259"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台</w:t>
            </w:r>
          </w:p>
        </w:tc>
        <w:tc>
          <w:tcPr>
            <w:tcW w:w="322" w:type="dxa"/>
            <w:shd w:val="clear" w:color="auto" w:fill="auto"/>
            <w:noWrap/>
            <w:vAlign w:val="center"/>
          </w:tcPr>
          <w:p w14:paraId="0CE629CF">
            <w:pPr>
              <w:adjustRightInd w:val="0"/>
              <w:snapToGrid w:val="0"/>
              <w:spacing w:after="160" w:line="259" w:lineRule="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293" w:type="dxa"/>
            <w:shd w:val="clear" w:color="auto" w:fill="auto"/>
            <w:noWrap/>
            <w:vAlign w:val="center"/>
          </w:tcPr>
          <w:p w14:paraId="60DCD692">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74AF3C47">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F5BF337">
            <w:pPr>
              <w:spacing w:line="360" w:lineRule="auto"/>
              <w:ind w:right="-129" w:right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双网口</w:t>
            </w:r>
          </w:p>
        </w:tc>
      </w:tr>
      <w:tr w14:paraId="2CD8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2" w:type="dxa"/>
            <w:shd w:val="clear" w:color="auto" w:fill="auto"/>
            <w:noWrap/>
            <w:vAlign w:val="center"/>
          </w:tcPr>
          <w:p w14:paraId="20CF77F8">
            <w:pPr>
              <w:widowControl/>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rPr>
              <w:t>3_4</w:t>
            </w:r>
          </w:p>
        </w:tc>
        <w:tc>
          <w:tcPr>
            <w:tcW w:w="1643" w:type="dxa"/>
            <w:shd w:val="clear" w:color="auto" w:fill="auto"/>
            <w:noWrap/>
            <w:vAlign w:val="center"/>
          </w:tcPr>
          <w:p w14:paraId="4E79F11D">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线路</w:t>
            </w:r>
            <w:r>
              <w:rPr>
                <w:rFonts w:hint="eastAsia" w:ascii="宋体" w:hAnsi="宋体" w:cs="宋体"/>
                <w:color w:val="auto"/>
                <w:sz w:val="21"/>
                <w:szCs w:val="21"/>
                <w:highlight w:val="none"/>
              </w:rPr>
              <w:t>电度表屏</w:t>
            </w:r>
          </w:p>
        </w:tc>
        <w:tc>
          <w:tcPr>
            <w:tcW w:w="2603" w:type="dxa"/>
            <w:shd w:val="clear" w:color="auto" w:fill="auto"/>
            <w:noWrap/>
            <w:vAlign w:val="center"/>
          </w:tcPr>
          <w:p w14:paraId="34D01A4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u w:val="none"/>
                <w:lang w:val="en-US" w:eastAsia="zh-CN" w:bidi="ar"/>
              </w:rPr>
              <w:t>2260*800*600</w:t>
            </w:r>
          </w:p>
        </w:tc>
        <w:tc>
          <w:tcPr>
            <w:tcW w:w="614" w:type="dxa"/>
            <w:shd w:val="clear" w:color="auto" w:fill="auto"/>
            <w:noWrap/>
            <w:vAlign w:val="center"/>
          </w:tcPr>
          <w:p w14:paraId="529744E6">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面</w:t>
            </w:r>
          </w:p>
        </w:tc>
        <w:tc>
          <w:tcPr>
            <w:tcW w:w="322" w:type="dxa"/>
            <w:shd w:val="clear" w:color="auto" w:fill="auto"/>
            <w:noWrap/>
            <w:vAlign w:val="center"/>
          </w:tcPr>
          <w:p w14:paraId="249F7AE3">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1</w:t>
            </w:r>
          </w:p>
        </w:tc>
        <w:tc>
          <w:tcPr>
            <w:tcW w:w="293" w:type="dxa"/>
            <w:shd w:val="clear" w:color="auto" w:fill="auto"/>
            <w:noWrap/>
            <w:vAlign w:val="center"/>
          </w:tcPr>
          <w:p w14:paraId="09129DAA">
            <w:pPr>
              <w:widowControl/>
              <w:jc w:val="center"/>
              <w:rPr>
                <w:rFonts w:ascii="宋体" w:hAnsi="宋体" w:eastAsia="宋体" w:cs="宋体"/>
                <w:color w:val="auto"/>
                <w:kern w:val="0"/>
                <w:sz w:val="21"/>
                <w:szCs w:val="21"/>
                <w:highlight w:val="none"/>
                <w:lang w:val="en-US" w:eastAsia="zh-CN" w:bidi="ar-SA"/>
              </w:rPr>
            </w:pPr>
          </w:p>
        </w:tc>
        <w:tc>
          <w:tcPr>
            <w:tcW w:w="684" w:type="dxa"/>
            <w:shd w:val="clear" w:color="auto" w:fill="auto"/>
            <w:noWrap/>
            <w:vAlign w:val="center"/>
          </w:tcPr>
          <w:p w14:paraId="097A44CB">
            <w:pPr>
              <w:widowControl/>
              <w:jc w:val="center"/>
              <w:rPr>
                <w:rFonts w:ascii="宋体" w:hAnsi="宋体" w:eastAsia="宋体" w:cs="宋体"/>
                <w:color w:val="auto"/>
                <w:kern w:val="0"/>
                <w:sz w:val="21"/>
                <w:szCs w:val="21"/>
                <w:highlight w:val="none"/>
                <w:lang w:val="en-US" w:eastAsia="zh-CN" w:bidi="ar-SA"/>
              </w:rPr>
            </w:pPr>
          </w:p>
        </w:tc>
        <w:tc>
          <w:tcPr>
            <w:tcW w:w="1643" w:type="dxa"/>
            <w:shd w:val="clear" w:color="auto" w:fill="auto"/>
            <w:noWrap/>
            <w:vAlign w:val="center"/>
          </w:tcPr>
          <w:p w14:paraId="17ADAFC6">
            <w:pPr>
              <w:spacing w:line="360" w:lineRule="auto"/>
              <w:ind w:right="-129" w:rightChars="0"/>
              <w:jc w:val="center"/>
              <w:rPr>
                <w:rFonts w:ascii="宋体" w:hAnsi="宋体" w:eastAsia="宋体" w:cs="宋体"/>
                <w:color w:val="auto"/>
                <w:kern w:val="0"/>
                <w:sz w:val="21"/>
                <w:szCs w:val="21"/>
                <w:highlight w:val="none"/>
                <w:lang w:val="en-US" w:eastAsia="zh-CN" w:bidi="ar-SA"/>
              </w:rPr>
            </w:pPr>
          </w:p>
        </w:tc>
      </w:tr>
      <w:tr w14:paraId="4408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52" w:type="dxa"/>
            <w:shd w:val="clear" w:color="auto" w:fill="auto"/>
            <w:noWrap/>
            <w:vAlign w:val="center"/>
          </w:tcPr>
          <w:p w14:paraId="46CE8156">
            <w:pPr>
              <w:widowControl/>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643" w:type="dxa"/>
            <w:shd w:val="clear" w:color="auto" w:fill="auto"/>
            <w:noWrap/>
            <w:vAlign w:val="center"/>
          </w:tcPr>
          <w:p w14:paraId="018206FF">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电度表</w:t>
            </w:r>
          </w:p>
        </w:tc>
        <w:tc>
          <w:tcPr>
            <w:tcW w:w="2603" w:type="dxa"/>
            <w:shd w:val="clear" w:color="auto" w:fill="auto"/>
            <w:noWrap/>
            <w:vAlign w:val="center"/>
          </w:tcPr>
          <w:p w14:paraId="150F6D94">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见电度表要求</w:t>
            </w:r>
          </w:p>
        </w:tc>
        <w:tc>
          <w:tcPr>
            <w:tcW w:w="614" w:type="dxa"/>
            <w:shd w:val="clear" w:color="auto" w:fill="auto"/>
            <w:noWrap/>
            <w:vAlign w:val="center"/>
          </w:tcPr>
          <w:p w14:paraId="4BE91F88">
            <w:pPr>
              <w:adjustRightInd w:val="0"/>
              <w:snapToGrid w:val="0"/>
              <w:spacing w:after="160" w:line="259"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台</w:t>
            </w:r>
          </w:p>
        </w:tc>
        <w:tc>
          <w:tcPr>
            <w:tcW w:w="322" w:type="dxa"/>
            <w:shd w:val="clear" w:color="auto" w:fill="auto"/>
            <w:noWrap/>
            <w:vAlign w:val="center"/>
          </w:tcPr>
          <w:p w14:paraId="15A5F542">
            <w:pPr>
              <w:adjustRightInd w:val="0"/>
              <w:snapToGrid w:val="0"/>
              <w:spacing w:after="160" w:line="259" w:lineRule="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4</w:t>
            </w:r>
          </w:p>
        </w:tc>
        <w:tc>
          <w:tcPr>
            <w:tcW w:w="293" w:type="dxa"/>
            <w:shd w:val="clear" w:color="auto" w:fill="auto"/>
            <w:noWrap/>
            <w:vAlign w:val="center"/>
          </w:tcPr>
          <w:p w14:paraId="396DF285">
            <w:pPr>
              <w:widowControl/>
              <w:jc w:val="center"/>
              <w:rPr>
                <w:rFonts w:ascii="宋体" w:hAnsi="宋体" w:eastAsia="宋体" w:cs="宋体"/>
                <w:color w:val="auto"/>
                <w:kern w:val="0"/>
                <w:sz w:val="21"/>
                <w:szCs w:val="21"/>
                <w:highlight w:val="none"/>
                <w:lang w:val="en-US" w:eastAsia="zh-CN" w:bidi="ar-SA"/>
              </w:rPr>
            </w:pPr>
          </w:p>
        </w:tc>
        <w:tc>
          <w:tcPr>
            <w:tcW w:w="684" w:type="dxa"/>
            <w:shd w:val="clear" w:color="auto" w:fill="auto"/>
            <w:noWrap/>
            <w:vAlign w:val="center"/>
          </w:tcPr>
          <w:p w14:paraId="77B48F79">
            <w:pPr>
              <w:widowControl/>
              <w:jc w:val="center"/>
              <w:rPr>
                <w:rFonts w:ascii="宋体" w:hAnsi="宋体" w:eastAsia="宋体" w:cs="宋体"/>
                <w:color w:val="auto"/>
                <w:kern w:val="0"/>
                <w:sz w:val="21"/>
                <w:szCs w:val="21"/>
                <w:highlight w:val="none"/>
                <w:lang w:val="en-US" w:eastAsia="zh-CN" w:bidi="ar-SA"/>
              </w:rPr>
            </w:pPr>
          </w:p>
        </w:tc>
        <w:tc>
          <w:tcPr>
            <w:tcW w:w="1643" w:type="dxa"/>
            <w:shd w:val="clear" w:color="auto" w:fill="auto"/>
            <w:noWrap/>
            <w:vAlign w:val="center"/>
          </w:tcPr>
          <w:p w14:paraId="3A6A3353">
            <w:pPr>
              <w:spacing w:line="360" w:lineRule="auto"/>
              <w:ind w:right="-129" w:right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rPr>
              <w:t>双网口</w:t>
            </w:r>
          </w:p>
        </w:tc>
      </w:tr>
      <w:tr w14:paraId="051B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52" w:type="dxa"/>
            <w:shd w:val="clear" w:color="auto" w:fill="auto"/>
            <w:noWrap/>
            <w:vAlign w:val="center"/>
          </w:tcPr>
          <w:p w14:paraId="6F10E936">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3_5</w:t>
            </w:r>
          </w:p>
        </w:tc>
        <w:tc>
          <w:tcPr>
            <w:tcW w:w="1643" w:type="dxa"/>
            <w:shd w:val="clear" w:color="auto" w:fill="auto"/>
            <w:noWrap/>
            <w:vAlign w:val="center"/>
          </w:tcPr>
          <w:p w14:paraId="730491B8">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尾纤及空开机柜附件等</w:t>
            </w:r>
          </w:p>
        </w:tc>
        <w:tc>
          <w:tcPr>
            <w:tcW w:w="2603" w:type="dxa"/>
            <w:shd w:val="clear" w:color="auto" w:fill="auto"/>
            <w:noWrap/>
            <w:vAlign w:val="center"/>
          </w:tcPr>
          <w:p w14:paraId="38DCF184">
            <w:pPr>
              <w:keepNext w:val="0"/>
              <w:keepLines w:val="0"/>
              <w:widowControl/>
              <w:suppressLineNumbers w:val="0"/>
              <w:jc w:val="center"/>
              <w:textAlignment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含电度表与电能量采集终端通讯所需的</w:t>
            </w:r>
            <w:r>
              <w:rPr>
                <w:rFonts w:hint="eastAsia" w:ascii="宋体" w:hAnsi="宋体" w:cs="宋体"/>
                <w:color w:val="auto"/>
                <w:sz w:val="21"/>
                <w:szCs w:val="21"/>
                <w:highlight w:val="none"/>
              </w:rPr>
              <w:t>通讯光缆、光纤接线盒、同轴电缆、尾缆、网线等附件。</w:t>
            </w:r>
          </w:p>
        </w:tc>
        <w:tc>
          <w:tcPr>
            <w:tcW w:w="614" w:type="dxa"/>
            <w:shd w:val="clear" w:color="auto" w:fill="auto"/>
            <w:noWrap/>
            <w:vAlign w:val="center"/>
          </w:tcPr>
          <w:p w14:paraId="6667158C">
            <w:pPr>
              <w:adjustRightInd w:val="0"/>
              <w:snapToGrid w:val="0"/>
              <w:spacing w:after="160" w:line="259" w:lineRule="auto"/>
              <w:rPr>
                <w:rFonts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套</w:t>
            </w:r>
          </w:p>
        </w:tc>
        <w:tc>
          <w:tcPr>
            <w:tcW w:w="322" w:type="dxa"/>
            <w:shd w:val="clear" w:color="auto" w:fill="auto"/>
            <w:noWrap/>
            <w:vAlign w:val="center"/>
          </w:tcPr>
          <w:p w14:paraId="3352F69D">
            <w:pPr>
              <w:adjustRightInd w:val="0"/>
              <w:snapToGrid w:val="0"/>
              <w:spacing w:after="160" w:line="259" w:lineRule="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1</w:t>
            </w:r>
          </w:p>
        </w:tc>
        <w:tc>
          <w:tcPr>
            <w:tcW w:w="293" w:type="dxa"/>
            <w:shd w:val="clear" w:color="auto" w:fill="auto"/>
            <w:noWrap/>
            <w:vAlign w:val="center"/>
          </w:tcPr>
          <w:p w14:paraId="378B682B">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96CC6A5">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70E5F03D">
            <w:pPr>
              <w:spacing w:line="360" w:lineRule="auto"/>
              <w:ind w:right="-129"/>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长度参考3.2.4设备布置，</w:t>
            </w:r>
            <w:r>
              <w:rPr>
                <w:rFonts w:hint="eastAsia" w:ascii="宋体" w:hAnsi="宋体" w:cs="宋体"/>
                <w:color w:val="auto"/>
                <w:kern w:val="0"/>
                <w:sz w:val="21"/>
                <w:szCs w:val="21"/>
                <w:highlight w:val="none"/>
              </w:rPr>
              <w:t>数量满足工程需要，工作内容包括光缆的熔接</w:t>
            </w:r>
          </w:p>
        </w:tc>
      </w:tr>
      <w:tr w14:paraId="346F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73356B3A">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1643" w:type="dxa"/>
            <w:shd w:val="clear" w:color="auto" w:fill="auto"/>
            <w:noWrap/>
            <w:vAlign w:val="center"/>
          </w:tcPr>
          <w:p w14:paraId="40E00641">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时钟同步系统</w:t>
            </w:r>
          </w:p>
        </w:tc>
        <w:tc>
          <w:tcPr>
            <w:tcW w:w="2603" w:type="dxa"/>
            <w:shd w:val="clear" w:color="auto" w:fill="auto"/>
            <w:noWrap/>
            <w:vAlign w:val="center"/>
          </w:tcPr>
          <w:p w14:paraId="7F419982">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7343E36C">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3CE2BB78">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311290F8">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72EBC76E">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3E45223B">
            <w:pPr>
              <w:widowControl/>
              <w:jc w:val="center"/>
              <w:rPr>
                <w:rFonts w:ascii="宋体" w:hAnsi="宋体" w:cs="宋体"/>
                <w:color w:val="auto"/>
                <w:kern w:val="0"/>
                <w:sz w:val="21"/>
                <w:szCs w:val="21"/>
                <w:highlight w:val="none"/>
              </w:rPr>
            </w:pPr>
          </w:p>
        </w:tc>
      </w:tr>
      <w:tr w14:paraId="33DF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7466FE37">
            <w:pPr>
              <w:spacing w:line="24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4_1</w:t>
            </w:r>
          </w:p>
        </w:tc>
        <w:tc>
          <w:tcPr>
            <w:tcW w:w="1643" w:type="dxa"/>
            <w:shd w:val="clear" w:color="auto" w:fill="auto"/>
            <w:noWrap/>
            <w:vAlign w:val="center"/>
          </w:tcPr>
          <w:p w14:paraId="02EDE862">
            <w:pPr>
              <w:spacing w:line="24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主时钟屏</w:t>
            </w:r>
          </w:p>
        </w:tc>
        <w:tc>
          <w:tcPr>
            <w:tcW w:w="2603" w:type="dxa"/>
            <w:shd w:val="clear" w:color="auto" w:fill="auto"/>
            <w:noWrap/>
            <w:vAlign w:val="center"/>
          </w:tcPr>
          <w:p w14:paraId="6821FA6D">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s="宋体"/>
                <w:color w:val="auto"/>
                <w:sz w:val="21"/>
                <w:szCs w:val="21"/>
                <w:highlight w:val="none"/>
              </w:rPr>
              <w:t>柜体尺寸：2260*800*600mm</w:t>
            </w:r>
          </w:p>
        </w:tc>
        <w:tc>
          <w:tcPr>
            <w:tcW w:w="614" w:type="dxa"/>
            <w:shd w:val="clear" w:color="auto" w:fill="auto"/>
            <w:noWrap/>
            <w:vAlign w:val="center"/>
          </w:tcPr>
          <w:p w14:paraId="3C86C83F">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面</w:t>
            </w:r>
          </w:p>
        </w:tc>
        <w:tc>
          <w:tcPr>
            <w:tcW w:w="322" w:type="dxa"/>
            <w:shd w:val="clear" w:color="auto" w:fill="auto"/>
            <w:noWrap/>
            <w:vAlign w:val="center"/>
          </w:tcPr>
          <w:p w14:paraId="1D0ACB33">
            <w:pPr>
              <w:spacing w:line="240" w:lineRule="auto"/>
              <w:jc w:val="center"/>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1</w:t>
            </w:r>
          </w:p>
        </w:tc>
        <w:tc>
          <w:tcPr>
            <w:tcW w:w="293" w:type="dxa"/>
            <w:shd w:val="clear" w:color="auto" w:fill="auto"/>
            <w:noWrap/>
            <w:vAlign w:val="center"/>
          </w:tcPr>
          <w:p w14:paraId="2C0AC7BF">
            <w:pPr>
              <w:spacing w:line="240" w:lineRule="auto"/>
              <w:jc w:val="center"/>
              <w:rPr>
                <w:rFonts w:ascii="宋体" w:hAnsi="宋体" w:eastAsia="宋体" w:cs="Times New Roman"/>
                <w:color w:val="auto"/>
                <w:kern w:val="2"/>
                <w:sz w:val="21"/>
                <w:szCs w:val="21"/>
                <w:highlight w:val="none"/>
                <w:lang w:val="en-US" w:eastAsia="zh-CN" w:bidi="ar-SA"/>
              </w:rPr>
            </w:pPr>
          </w:p>
        </w:tc>
        <w:tc>
          <w:tcPr>
            <w:tcW w:w="684" w:type="dxa"/>
            <w:shd w:val="clear" w:color="auto" w:fill="auto"/>
            <w:noWrap/>
            <w:vAlign w:val="center"/>
          </w:tcPr>
          <w:p w14:paraId="093D96C1">
            <w:pPr>
              <w:spacing w:line="240" w:lineRule="auto"/>
              <w:jc w:val="center"/>
              <w:rPr>
                <w:rFonts w:ascii="宋体" w:hAnsi="宋体" w:eastAsia="宋体" w:cs="Times New Roman"/>
                <w:color w:val="auto"/>
                <w:kern w:val="2"/>
                <w:sz w:val="21"/>
                <w:szCs w:val="21"/>
                <w:highlight w:val="none"/>
                <w:lang w:val="en-US" w:eastAsia="zh-CN" w:bidi="ar-SA"/>
              </w:rPr>
            </w:pPr>
          </w:p>
        </w:tc>
        <w:tc>
          <w:tcPr>
            <w:tcW w:w="1643" w:type="dxa"/>
            <w:shd w:val="clear" w:color="auto" w:fill="auto"/>
            <w:noWrap/>
            <w:vAlign w:val="center"/>
          </w:tcPr>
          <w:p w14:paraId="3C466B59">
            <w:pPr>
              <w:spacing w:line="240" w:lineRule="auto"/>
              <w:jc w:val="left"/>
              <w:rPr>
                <w:rFonts w:ascii="宋体" w:hAnsi="宋体" w:eastAsia="宋体" w:cs="Times New Roman"/>
                <w:color w:val="auto"/>
                <w:kern w:val="2"/>
                <w:sz w:val="21"/>
                <w:szCs w:val="21"/>
                <w:highlight w:val="none"/>
                <w:lang w:val="en-US" w:eastAsia="zh-CN" w:bidi="ar-SA"/>
              </w:rPr>
            </w:pPr>
          </w:p>
        </w:tc>
      </w:tr>
      <w:tr w14:paraId="1E7B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652" w:type="dxa"/>
            <w:shd w:val="clear" w:color="auto" w:fill="auto"/>
            <w:noWrap/>
            <w:vAlign w:val="center"/>
          </w:tcPr>
          <w:p w14:paraId="0BD75993">
            <w:pPr>
              <w:widowControl/>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rPr>
              <w:t>(1)</w:t>
            </w:r>
          </w:p>
        </w:tc>
        <w:tc>
          <w:tcPr>
            <w:tcW w:w="1643" w:type="dxa"/>
            <w:shd w:val="clear" w:color="auto" w:fill="auto"/>
            <w:noWrap/>
            <w:vAlign w:val="center"/>
          </w:tcPr>
          <w:p w14:paraId="5AFD1637">
            <w:pPr>
              <w:spacing w:line="24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主时钟</w:t>
            </w:r>
          </w:p>
        </w:tc>
        <w:tc>
          <w:tcPr>
            <w:tcW w:w="2603" w:type="dxa"/>
            <w:shd w:val="clear" w:color="auto" w:fill="auto"/>
            <w:noWrap/>
            <w:vAlign w:val="center"/>
          </w:tcPr>
          <w:p w14:paraId="4033E975">
            <w:pPr>
              <w:spacing w:line="240" w:lineRule="auto"/>
              <w:jc w:val="center"/>
              <w:rPr>
                <w:rFonts w:ascii="宋体" w:hAnsi="宋体" w:eastAsia="宋体" w:cs="Times New Roman"/>
                <w:color w:val="auto"/>
                <w:kern w:val="2"/>
                <w:sz w:val="21"/>
                <w:szCs w:val="21"/>
                <w:highlight w:val="none"/>
                <w:lang w:val="en-US" w:eastAsia="zh-CN" w:bidi="ar-SA"/>
              </w:rPr>
            </w:pPr>
          </w:p>
        </w:tc>
        <w:tc>
          <w:tcPr>
            <w:tcW w:w="614" w:type="dxa"/>
            <w:shd w:val="clear" w:color="auto" w:fill="auto"/>
            <w:noWrap/>
            <w:vAlign w:val="center"/>
          </w:tcPr>
          <w:p w14:paraId="6A088201">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台</w:t>
            </w:r>
          </w:p>
        </w:tc>
        <w:tc>
          <w:tcPr>
            <w:tcW w:w="322" w:type="dxa"/>
            <w:shd w:val="clear" w:color="auto" w:fill="auto"/>
            <w:noWrap/>
            <w:vAlign w:val="center"/>
          </w:tcPr>
          <w:p w14:paraId="3F24EE85">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2</w:t>
            </w:r>
          </w:p>
        </w:tc>
        <w:tc>
          <w:tcPr>
            <w:tcW w:w="293" w:type="dxa"/>
            <w:shd w:val="clear" w:color="auto" w:fill="auto"/>
            <w:noWrap/>
            <w:vAlign w:val="center"/>
          </w:tcPr>
          <w:p w14:paraId="4C747289">
            <w:pPr>
              <w:spacing w:line="240" w:lineRule="auto"/>
              <w:jc w:val="center"/>
              <w:rPr>
                <w:rFonts w:ascii="宋体" w:hAnsi="宋体" w:eastAsia="宋体" w:cs="Times New Roman"/>
                <w:color w:val="auto"/>
                <w:kern w:val="2"/>
                <w:sz w:val="21"/>
                <w:szCs w:val="21"/>
                <w:highlight w:val="none"/>
                <w:lang w:val="en-US" w:eastAsia="zh-CN" w:bidi="ar-SA"/>
              </w:rPr>
            </w:pPr>
          </w:p>
        </w:tc>
        <w:tc>
          <w:tcPr>
            <w:tcW w:w="684" w:type="dxa"/>
            <w:shd w:val="clear" w:color="auto" w:fill="auto"/>
            <w:noWrap/>
            <w:vAlign w:val="center"/>
          </w:tcPr>
          <w:p w14:paraId="756DFEE0">
            <w:pPr>
              <w:spacing w:line="240" w:lineRule="auto"/>
              <w:jc w:val="center"/>
              <w:rPr>
                <w:rFonts w:ascii="宋体" w:hAnsi="宋体" w:eastAsia="宋体" w:cs="Times New Roman"/>
                <w:color w:val="auto"/>
                <w:kern w:val="2"/>
                <w:sz w:val="21"/>
                <w:szCs w:val="21"/>
                <w:highlight w:val="none"/>
                <w:lang w:val="en-US" w:eastAsia="zh-CN" w:bidi="ar-SA"/>
              </w:rPr>
            </w:pPr>
          </w:p>
        </w:tc>
        <w:tc>
          <w:tcPr>
            <w:tcW w:w="1643" w:type="dxa"/>
            <w:shd w:val="clear" w:color="auto" w:fill="auto"/>
            <w:noWrap/>
            <w:vAlign w:val="center"/>
          </w:tcPr>
          <w:p w14:paraId="31A7A98D">
            <w:pPr>
              <w:spacing w:line="240" w:lineRule="auto"/>
              <w:jc w:val="left"/>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满足自主可控“四统一、 四规范”要求，双北斗信号、高精 度守时、双电源，对时接口按需</w:t>
            </w:r>
          </w:p>
        </w:tc>
      </w:tr>
      <w:tr w14:paraId="46AF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451AC4BE">
            <w:pPr>
              <w:widowControl/>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rPr>
              <w:t>(2)</w:t>
            </w:r>
          </w:p>
        </w:tc>
        <w:tc>
          <w:tcPr>
            <w:tcW w:w="1643" w:type="dxa"/>
            <w:shd w:val="clear" w:color="auto" w:fill="auto"/>
            <w:noWrap/>
            <w:vAlign w:val="center"/>
          </w:tcPr>
          <w:p w14:paraId="49B22BBF">
            <w:pPr>
              <w:spacing w:line="24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卫星信号防干扰装置</w:t>
            </w:r>
          </w:p>
        </w:tc>
        <w:tc>
          <w:tcPr>
            <w:tcW w:w="2603" w:type="dxa"/>
            <w:shd w:val="clear" w:color="auto" w:fill="auto"/>
            <w:noWrap/>
            <w:vAlign w:val="center"/>
          </w:tcPr>
          <w:p w14:paraId="6F73DF84">
            <w:pPr>
              <w:spacing w:line="240" w:lineRule="auto"/>
              <w:jc w:val="center"/>
              <w:rPr>
                <w:rFonts w:ascii="宋体" w:hAnsi="宋体" w:eastAsia="宋体" w:cs="Times New Roman"/>
                <w:color w:val="auto"/>
                <w:kern w:val="2"/>
                <w:sz w:val="21"/>
                <w:szCs w:val="21"/>
                <w:highlight w:val="none"/>
                <w:lang w:val="en-US" w:eastAsia="zh-CN" w:bidi="ar-SA"/>
              </w:rPr>
            </w:pPr>
          </w:p>
        </w:tc>
        <w:tc>
          <w:tcPr>
            <w:tcW w:w="614" w:type="dxa"/>
            <w:shd w:val="clear" w:color="auto" w:fill="auto"/>
            <w:noWrap/>
            <w:vAlign w:val="center"/>
          </w:tcPr>
          <w:p w14:paraId="3EF666D5">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台</w:t>
            </w:r>
          </w:p>
        </w:tc>
        <w:tc>
          <w:tcPr>
            <w:tcW w:w="322" w:type="dxa"/>
            <w:shd w:val="clear" w:color="auto" w:fill="auto"/>
            <w:noWrap/>
            <w:vAlign w:val="center"/>
          </w:tcPr>
          <w:p w14:paraId="4E2A13AD">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2</w:t>
            </w:r>
          </w:p>
        </w:tc>
        <w:tc>
          <w:tcPr>
            <w:tcW w:w="293" w:type="dxa"/>
            <w:shd w:val="clear" w:color="auto" w:fill="auto"/>
            <w:noWrap/>
            <w:vAlign w:val="center"/>
          </w:tcPr>
          <w:p w14:paraId="01A14C4E">
            <w:pPr>
              <w:spacing w:line="240" w:lineRule="auto"/>
              <w:jc w:val="center"/>
              <w:rPr>
                <w:rFonts w:ascii="宋体" w:hAnsi="宋体" w:eastAsia="宋体" w:cs="Times New Roman"/>
                <w:color w:val="auto"/>
                <w:kern w:val="2"/>
                <w:sz w:val="21"/>
                <w:szCs w:val="21"/>
                <w:highlight w:val="none"/>
                <w:lang w:val="en-US" w:eastAsia="zh-CN" w:bidi="ar-SA"/>
              </w:rPr>
            </w:pPr>
          </w:p>
        </w:tc>
        <w:tc>
          <w:tcPr>
            <w:tcW w:w="684" w:type="dxa"/>
            <w:shd w:val="clear" w:color="auto" w:fill="auto"/>
            <w:noWrap/>
            <w:vAlign w:val="center"/>
          </w:tcPr>
          <w:p w14:paraId="4C38598D">
            <w:pPr>
              <w:spacing w:line="240" w:lineRule="auto"/>
              <w:jc w:val="center"/>
              <w:rPr>
                <w:rFonts w:ascii="宋体" w:hAnsi="宋体" w:eastAsia="宋体" w:cs="Times New Roman"/>
                <w:color w:val="auto"/>
                <w:kern w:val="2"/>
                <w:sz w:val="21"/>
                <w:szCs w:val="21"/>
                <w:highlight w:val="none"/>
                <w:lang w:val="en-US" w:eastAsia="zh-CN" w:bidi="ar-SA"/>
              </w:rPr>
            </w:pPr>
          </w:p>
        </w:tc>
        <w:tc>
          <w:tcPr>
            <w:tcW w:w="1643" w:type="dxa"/>
            <w:shd w:val="clear" w:color="auto" w:fill="auto"/>
            <w:noWrap/>
            <w:vAlign w:val="center"/>
          </w:tcPr>
          <w:p w14:paraId="77A3F5C4">
            <w:pPr>
              <w:autoSpaceDE w:val="0"/>
              <w:autoSpaceDN w:val="0"/>
              <w:adjustRightInd w:val="0"/>
              <w:spacing w:line="240" w:lineRule="auto"/>
              <w:jc w:val="left"/>
              <w:textAlignment w:val="bottom"/>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2 路卫星信号输入/输 出；满足 GA1800-2021 电力系统治 安反恐防范要求，已通过国网电科 院相关检测。含在天线和安装附件 内</w:t>
            </w:r>
          </w:p>
        </w:tc>
      </w:tr>
      <w:tr w14:paraId="5C0D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2DE33738">
            <w:pPr>
              <w:spacing w:line="24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（3）</w:t>
            </w:r>
          </w:p>
        </w:tc>
        <w:tc>
          <w:tcPr>
            <w:tcW w:w="1643" w:type="dxa"/>
            <w:shd w:val="clear" w:color="auto" w:fill="auto"/>
            <w:noWrap/>
            <w:vAlign w:val="center"/>
          </w:tcPr>
          <w:p w14:paraId="491BC847">
            <w:pPr>
              <w:spacing w:line="240" w:lineRule="auto"/>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专用防雷器</w:t>
            </w:r>
          </w:p>
        </w:tc>
        <w:tc>
          <w:tcPr>
            <w:tcW w:w="2603" w:type="dxa"/>
            <w:shd w:val="clear" w:color="auto" w:fill="auto"/>
            <w:noWrap/>
            <w:vAlign w:val="center"/>
          </w:tcPr>
          <w:p w14:paraId="29566D6E">
            <w:pPr>
              <w:spacing w:line="240" w:lineRule="auto"/>
              <w:jc w:val="center"/>
              <w:rPr>
                <w:rFonts w:ascii="宋体" w:hAnsi="宋体" w:eastAsia="宋体" w:cs="Times New Roman"/>
                <w:color w:val="auto"/>
                <w:kern w:val="2"/>
                <w:sz w:val="21"/>
                <w:szCs w:val="21"/>
                <w:highlight w:val="none"/>
                <w:lang w:val="en-US" w:eastAsia="zh-CN" w:bidi="ar-SA"/>
              </w:rPr>
            </w:pPr>
          </w:p>
        </w:tc>
        <w:tc>
          <w:tcPr>
            <w:tcW w:w="614" w:type="dxa"/>
            <w:shd w:val="clear" w:color="auto" w:fill="auto"/>
            <w:noWrap/>
            <w:vAlign w:val="center"/>
          </w:tcPr>
          <w:p w14:paraId="0DE2EDC9">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个</w:t>
            </w:r>
          </w:p>
        </w:tc>
        <w:tc>
          <w:tcPr>
            <w:tcW w:w="322" w:type="dxa"/>
            <w:shd w:val="clear" w:color="auto" w:fill="auto"/>
            <w:noWrap/>
            <w:vAlign w:val="center"/>
          </w:tcPr>
          <w:p w14:paraId="7490FF1A">
            <w:pPr>
              <w:spacing w:line="240" w:lineRule="auto"/>
              <w:jc w:val="center"/>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2</w:t>
            </w:r>
          </w:p>
        </w:tc>
        <w:tc>
          <w:tcPr>
            <w:tcW w:w="293" w:type="dxa"/>
            <w:shd w:val="clear" w:color="auto" w:fill="auto"/>
            <w:noWrap/>
            <w:vAlign w:val="center"/>
          </w:tcPr>
          <w:p w14:paraId="053EBDD3">
            <w:pPr>
              <w:spacing w:line="240" w:lineRule="auto"/>
              <w:jc w:val="center"/>
              <w:rPr>
                <w:rFonts w:ascii="宋体" w:hAnsi="宋体" w:eastAsia="宋体" w:cs="Times New Roman"/>
                <w:color w:val="auto"/>
                <w:kern w:val="2"/>
                <w:sz w:val="21"/>
                <w:szCs w:val="21"/>
                <w:highlight w:val="none"/>
                <w:lang w:val="en-US" w:eastAsia="zh-CN" w:bidi="ar-SA"/>
              </w:rPr>
            </w:pPr>
          </w:p>
        </w:tc>
        <w:tc>
          <w:tcPr>
            <w:tcW w:w="684" w:type="dxa"/>
            <w:shd w:val="clear" w:color="auto" w:fill="auto"/>
            <w:noWrap/>
            <w:vAlign w:val="center"/>
          </w:tcPr>
          <w:p w14:paraId="6604D392">
            <w:pPr>
              <w:spacing w:line="240" w:lineRule="auto"/>
              <w:jc w:val="center"/>
              <w:rPr>
                <w:rFonts w:ascii="宋体" w:hAnsi="宋体" w:eastAsia="宋体" w:cs="Times New Roman"/>
                <w:color w:val="auto"/>
                <w:kern w:val="2"/>
                <w:sz w:val="21"/>
                <w:szCs w:val="21"/>
                <w:highlight w:val="none"/>
                <w:lang w:val="en-US" w:eastAsia="zh-CN" w:bidi="ar-SA"/>
              </w:rPr>
            </w:pPr>
          </w:p>
        </w:tc>
        <w:tc>
          <w:tcPr>
            <w:tcW w:w="1643" w:type="dxa"/>
            <w:shd w:val="clear" w:color="auto" w:fill="auto"/>
            <w:noWrap/>
            <w:vAlign w:val="center"/>
          </w:tcPr>
          <w:p w14:paraId="62967589">
            <w:pPr>
              <w:spacing w:line="240" w:lineRule="auto"/>
              <w:jc w:val="both"/>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北斗天线配套</w:t>
            </w:r>
          </w:p>
        </w:tc>
      </w:tr>
      <w:tr w14:paraId="3FDA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52" w:type="dxa"/>
            <w:shd w:val="clear" w:color="auto" w:fill="auto"/>
            <w:noWrap/>
            <w:vAlign w:val="center"/>
          </w:tcPr>
          <w:p w14:paraId="091E56BF">
            <w:pPr>
              <w:spacing w:line="24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4</w:t>
            </w:r>
            <w:r>
              <w:rPr>
                <w:rFonts w:hint="eastAsia" w:ascii="宋体" w:hAnsi="宋体"/>
                <w:color w:val="auto"/>
                <w:sz w:val="21"/>
                <w:szCs w:val="21"/>
                <w:highlight w:val="none"/>
                <w:lang w:eastAsia="zh-CN"/>
              </w:rPr>
              <w:t>）</w:t>
            </w:r>
          </w:p>
        </w:tc>
        <w:tc>
          <w:tcPr>
            <w:tcW w:w="1643" w:type="dxa"/>
            <w:shd w:val="clear" w:color="auto" w:fill="auto"/>
            <w:noWrap/>
            <w:vAlign w:val="center"/>
          </w:tcPr>
          <w:p w14:paraId="45A20AE5">
            <w:pPr>
              <w:spacing w:line="240" w:lineRule="auto"/>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天线和安装附件</w:t>
            </w:r>
          </w:p>
        </w:tc>
        <w:tc>
          <w:tcPr>
            <w:tcW w:w="2603" w:type="dxa"/>
            <w:shd w:val="clear" w:color="auto" w:fill="auto"/>
            <w:noWrap/>
            <w:vAlign w:val="center"/>
          </w:tcPr>
          <w:p w14:paraId="2168726C">
            <w:pPr>
              <w:spacing w:line="240" w:lineRule="auto"/>
              <w:jc w:val="center"/>
              <w:rPr>
                <w:rFonts w:ascii="宋体" w:hAnsi="宋体" w:eastAsia="宋体" w:cs="Times New Roman"/>
                <w:color w:val="auto"/>
                <w:kern w:val="2"/>
                <w:sz w:val="21"/>
                <w:szCs w:val="21"/>
                <w:highlight w:val="none"/>
                <w:lang w:val="en-US" w:eastAsia="zh-CN" w:bidi="ar-SA"/>
              </w:rPr>
            </w:pPr>
          </w:p>
        </w:tc>
        <w:tc>
          <w:tcPr>
            <w:tcW w:w="614" w:type="dxa"/>
            <w:shd w:val="clear" w:color="auto" w:fill="auto"/>
            <w:noWrap/>
            <w:vAlign w:val="center"/>
          </w:tcPr>
          <w:p w14:paraId="71D56090">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套</w:t>
            </w:r>
          </w:p>
        </w:tc>
        <w:tc>
          <w:tcPr>
            <w:tcW w:w="322" w:type="dxa"/>
            <w:shd w:val="clear" w:color="auto" w:fill="auto"/>
            <w:noWrap/>
            <w:vAlign w:val="center"/>
          </w:tcPr>
          <w:p w14:paraId="0F850BEE">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4</w:t>
            </w:r>
          </w:p>
        </w:tc>
        <w:tc>
          <w:tcPr>
            <w:tcW w:w="293" w:type="dxa"/>
            <w:shd w:val="clear" w:color="auto" w:fill="auto"/>
            <w:noWrap/>
            <w:vAlign w:val="center"/>
          </w:tcPr>
          <w:p w14:paraId="6AB9A3B3">
            <w:pPr>
              <w:spacing w:line="240" w:lineRule="auto"/>
              <w:jc w:val="center"/>
              <w:rPr>
                <w:rFonts w:ascii="宋体" w:hAnsi="宋体" w:eastAsia="宋体" w:cs="Times New Roman"/>
                <w:color w:val="auto"/>
                <w:kern w:val="2"/>
                <w:sz w:val="21"/>
                <w:szCs w:val="21"/>
                <w:highlight w:val="none"/>
                <w:lang w:val="en-US" w:eastAsia="zh-CN" w:bidi="ar-SA"/>
              </w:rPr>
            </w:pPr>
          </w:p>
        </w:tc>
        <w:tc>
          <w:tcPr>
            <w:tcW w:w="684" w:type="dxa"/>
            <w:shd w:val="clear" w:color="auto" w:fill="auto"/>
            <w:noWrap/>
            <w:vAlign w:val="center"/>
          </w:tcPr>
          <w:p w14:paraId="3ACC97FB">
            <w:pPr>
              <w:spacing w:line="240" w:lineRule="auto"/>
              <w:jc w:val="center"/>
              <w:rPr>
                <w:rFonts w:ascii="宋体" w:hAnsi="宋体" w:eastAsia="宋体" w:cs="Times New Roman"/>
                <w:color w:val="auto"/>
                <w:kern w:val="2"/>
                <w:sz w:val="21"/>
                <w:szCs w:val="21"/>
                <w:highlight w:val="none"/>
                <w:lang w:val="en-US" w:eastAsia="zh-CN" w:bidi="ar-SA"/>
              </w:rPr>
            </w:pPr>
          </w:p>
        </w:tc>
        <w:tc>
          <w:tcPr>
            <w:tcW w:w="1643" w:type="dxa"/>
            <w:shd w:val="clear" w:color="auto" w:fill="auto"/>
            <w:noWrap/>
            <w:vAlign w:val="center"/>
          </w:tcPr>
          <w:p w14:paraId="2ACAA7A1">
            <w:pPr>
              <w:spacing w:line="240" w:lineRule="auto"/>
              <w:jc w:val="both"/>
              <w:rPr>
                <w:rFonts w:ascii="宋体" w:hAnsi="宋体" w:eastAsia="宋体" w:cs="Times New Roman"/>
                <w:color w:val="auto"/>
                <w:kern w:val="2"/>
                <w:sz w:val="21"/>
                <w:szCs w:val="21"/>
                <w:highlight w:val="none"/>
                <w:lang w:val="en-US" w:eastAsia="zh-CN" w:bidi="ar-SA"/>
              </w:rPr>
            </w:pPr>
            <w:r>
              <w:rPr>
                <w:color w:val="auto"/>
                <w:sz w:val="21"/>
                <w:szCs w:val="21"/>
                <w:highlight w:val="none"/>
              </w:rPr>
              <w:t>北斗卫星信号接收，含安装支架。</w:t>
            </w:r>
          </w:p>
        </w:tc>
      </w:tr>
      <w:tr w14:paraId="2429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652" w:type="dxa"/>
            <w:shd w:val="clear" w:color="auto" w:fill="auto"/>
            <w:noWrap/>
            <w:vAlign w:val="center"/>
          </w:tcPr>
          <w:p w14:paraId="012B4F08">
            <w:pPr>
              <w:spacing w:line="24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5</w:t>
            </w:r>
            <w:r>
              <w:rPr>
                <w:rFonts w:hint="eastAsia" w:ascii="宋体" w:hAnsi="宋体"/>
                <w:color w:val="auto"/>
                <w:sz w:val="21"/>
                <w:szCs w:val="21"/>
                <w:highlight w:val="none"/>
                <w:lang w:eastAsia="zh-CN"/>
              </w:rPr>
              <w:t>）</w:t>
            </w:r>
          </w:p>
        </w:tc>
        <w:tc>
          <w:tcPr>
            <w:tcW w:w="1643" w:type="dxa"/>
            <w:shd w:val="clear" w:color="auto" w:fill="auto"/>
            <w:noWrap/>
            <w:vAlign w:val="center"/>
          </w:tcPr>
          <w:p w14:paraId="6DC0A45A">
            <w:pPr>
              <w:spacing w:line="240" w:lineRule="auto"/>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扩展时钟</w:t>
            </w:r>
          </w:p>
        </w:tc>
        <w:tc>
          <w:tcPr>
            <w:tcW w:w="2603" w:type="dxa"/>
            <w:shd w:val="clear" w:color="auto" w:fill="auto"/>
            <w:noWrap/>
            <w:vAlign w:val="center"/>
          </w:tcPr>
          <w:p w14:paraId="64774158">
            <w:pPr>
              <w:spacing w:line="240" w:lineRule="auto"/>
              <w:jc w:val="center"/>
              <w:rPr>
                <w:rFonts w:ascii="宋体" w:hAnsi="宋体" w:eastAsia="宋体" w:cs="Times New Roman"/>
                <w:color w:val="auto"/>
                <w:kern w:val="2"/>
                <w:sz w:val="21"/>
                <w:szCs w:val="21"/>
                <w:highlight w:val="none"/>
                <w:lang w:val="en-US" w:eastAsia="zh-CN" w:bidi="ar-SA"/>
              </w:rPr>
            </w:pPr>
          </w:p>
        </w:tc>
        <w:tc>
          <w:tcPr>
            <w:tcW w:w="614" w:type="dxa"/>
            <w:shd w:val="clear" w:color="auto" w:fill="auto"/>
            <w:noWrap/>
            <w:vAlign w:val="center"/>
          </w:tcPr>
          <w:p w14:paraId="3D13BA20">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台</w:t>
            </w:r>
          </w:p>
        </w:tc>
        <w:tc>
          <w:tcPr>
            <w:tcW w:w="322" w:type="dxa"/>
            <w:shd w:val="clear" w:color="auto" w:fill="auto"/>
            <w:noWrap/>
            <w:vAlign w:val="center"/>
          </w:tcPr>
          <w:p w14:paraId="092D299D">
            <w:pPr>
              <w:spacing w:line="240" w:lineRule="auto"/>
              <w:jc w:val="center"/>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2</w:t>
            </w:r>
          </w:p>
        </w:tc>
        <w:tc>
          <w:tcPr>
            <w:tcW w:w="293" w:type="dxa"/>
            <w:shd w:val="clear" w:color="auto" w:fill="auto"/>
            <w:noWrap/>
            <w:vAlign w:val="center"/>
          </w:tcPr>
          <w:p w14:paraId="68A8DE15">
            <w:pPr>
              <w:spacing w:line="240" w:lineRule="auto"/>
              <w:jc w:val="center"/>
              <w:rPr>
                <w:rFonts w:ascii="宋体" w:hAnsi="宋体" w:eastAsia="宋体" w:cs="Times New Roman"/>
                <w:color w:val="auto"/>
                <w:kern w:val="2"/>
                <w:sz w:val="21"/>
                <w:szCs w:val="21"/>
                <w:highlight w:val="none"/>
                <w:lang w:val="en-US" w:eastAsia="zh-CN" w:bidi="ar-SA"/>
              </w:rPr>
            </w:pPr>
          </w:p>
        </w:tc>
        <w:tc>
          <w:tcPr>
            <w:tcW w:w="684" w:type="dxa"/>
            <w:shd w:val="clear" w:color="auto" w:fill="auto"/>
            <w:noWrap/>
            <w:vAlign w:val="center"/>
          </w:tcPr>
          <w:p w14:paraId="17796DA9">
            <w:pPr>
              <w:spacing w:line="240" w:lineRule="auto"/>
              <w:jc w:val="center"/>
              <w:rPr>
                <w:rFonts w:ascii="宋体" w:hAnsi="宋体" w:eastAsia="宋体" w:cs="Times New Roman"/>
                <w:color w:val="auto"/>
                <w:kern w:val="2"/>
                <w:sz w:val="21"/>
                <w:szCs w:val="21"/>
                <w:highlight w:val="none"/>
                <w:lang w:val="en-US" w:eastAsia="zh-CN" w:bidi="ar-SA"/>
              </w:rPr>
            </w:pPr>
          </w:p>
        </w:tc>
        <w:tc>
          <w:tcPr>
            <w:tcW w:w="1643" w:type="dxa"/>
            <w:shd w:val="clear" w:color="auto" w:fill="auto"/>
            <w:noWrap/>
            <w:vAlign w:val="center"/>
          </w:tcPr>
          <w:p w14:paraId="14846CF3">
            <w:pPr>
              <w:spacing w:line="240" w:lineRule="auto"/>
              <w:jc w:val="both"/>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满足自主可控“四统一、 四规范”要求，双北斗信号、高精 度守时、双电源，对时接口按需</w:t>
            </w:r>
          </w:p>
        </w:tc>
      </w:tr>
      <w:tr w14:paraId="194A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4E6D2CB1">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4_2</w:t>
            </w:r>
          </w:p>
        </w:tc>
        <w:tc>
          <w:tcPr>
            <w:tcW w:w="1643" w:type="dxa"/>
            <w:shd w:val="clear" w:color="auto" w:fill="auto"/>
            <w:noWrap/>
            <w:vAlign w:val="center"/>
          </w:tcPr>
          <w:p w14:paraId="2F2A5AC5">
            <w:pPr>
              <w:spacing w:line="240" w:lineRule="auto"/>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扩展</w:t>
            </w:r>
            <w:r>
              <w:rPr>
                <w:rFonts w:hint="eastAsia" w:ascii="宋体" w:hAnsi="宋体"/>
                <w:color w:val="auto"/>
                <w:sz w:val="21"/>
                <w:szCs w:val="21"/>
                <w:highlight w:val="none"/>
              </w:rPr>
              <w:t>时钟屏</w:t>
            </w:r>
          </w:p>
        </w:tc>
        <w:tc>
          <w:tcPr>
            <w:tcW w:w="2603" w:type="dxa"/>
            <w:shd w:val="clear" w:color="auto" w:fill="auto"/>
            <w:noWrap/>
            <w:vAlign w:val="center"/>
          </w:tcPr>
          <w:p w14:paraId="0D959E12">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s="宋体"/>
                <w:color w:val="auto"/>
                <w:sz w:val="21"/>
                <w:szCs w:val="21"/>
                <w:highlight w:val="none"/>
              </w:rPr>
              <w:t>柜体尺寸：2260*800*600mm</w:t>
            </w:r>
          </w:p>
        </w:tc>
        <w:tc>
          <w:tcPr>
            <w:tcW w:w="614" w:type="dxa"/>
            <w:shd w:val="clear" w:color="auto" w:fill="auto"/>
            <w:noWrap/>
            <w:vAlign w:val="center"/>
          </w:tcPr>
          <w:p w14:paraId="4C1BBA60">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面</w:t>
            </w:r>
          </w:p>
        </w:tc>
        <w:tc>
          <w:tcPr>
            <w:tcW w:w="322" w:type="dxa"/>
            <w:shd w:val="clear" w:color="auto" w:fill="auto"/>
            <w:noWrap/>
            <w:vAlign w:val="center"/>
          </w:tcPr>
          <w:p w14:paraId="1774E727">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2</w:t>
            </w:r>
          </w:p>
        </w:tc>
        <w:tc>
          <w:tcPr>
            <w:tcW w:w="293" w:type="dxa"/>
            <w:shd w:val="clear" w:color="auto" w:fill="auto"/>
            <w:noWrap/>
            <w:vAlign w:val="center"/>
          </w:tcPr>
          <w:p w14:paraId="18A9DA94">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62892C3D">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26931DD6">
            <w:pPr>
              <w:widowControl/>
              <w:jc w:val="center"/>
              <w:rPr>
                <w:rFonts w:ascii="宋体" w:hAnsi="宋体" w:cs="宋体"/>
                <w:color w:val="auto"/>
                <w:kern w:val="0"/>
                <w:sz w:val="21"/>
                <w:szCs w:val="21"/>
                <w:highlight w:val="none"/>
              </w:rPr>
            </w:pPr>
          </w:p>
        </w:tc>
      </w:tr>
      <w:tr w14:paraId="233AD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652" w:type="dxa"/>
            <w:shd w:val="clear" w:color="auto" w:fill="auto"/>
            <w:noWrap/>
            <w:vAlign w:val="center"/>
          </w:tcPr>
          <w:p w14:paraId="0C5AFBE0">
            <w:pPr>
              <w:widowControl/>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643" w:type="dxa"/>
            <w:shd w:val="clear" w:color="auto" w:fill="auto"/>
            <w:noWrap/>
            <w:vAlign w:val="center"/>
          </w:tcPr>
          <w:p w14:paraId="64E74E18">
            <w:pPr>
              <w:spacing w:line="240" w:lineRule="auto"/>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扩展时钟</w:t>
            </w:r>
          </w:p>
        </w:tc>
        <w:tc>
          <w:tcPr>
            <w:tcW w:w="2603" w:type="dxa"/>
            <w:shd w:val="clear" w:color="auto" w:fill="auto"/>
            <w:noWrap/>
            <w:vAlign w:val="center"/>
          </w:tcPr>
          <w:p w14:paraId="687AE177">
            <w:pPr>
              <w:spacing w:line="240" w:lineRule="auto"/>
              <w:jc w:val="center"/>
              <w:rPr>
                <w:rFonts w:ascii="宋体" w:hAnsi="宋体" w:eastAsia="宋体" w:cs="Times New Roman"/>
                <w:color w:val="auto"/>
                <w:kern w:val="2"/>
                <w:sz w:val="21"/>
                <w:szCs w:val="21"/>
                <w:highlight w:val="none"/>
                <w:lang w:val="en-US" w:eastAsia="zh-CN" w:bidi="ar-SA"/>
              </w:rPr>
            </w:pPr>
          </w:p>
        </w:tc>
        <w:tc>
          <w:tcPr>
            <w:tcW w:w="614" w:type="dxa"/>
            <w:shd w:val="clear" w:color="auto" w:fill="auto"/>
            <w:noWrap/>
            <w:vAlign w:val="center"/>
          </w:tcPr>
          <w:p w14:paraId="1C670E55">
            <w:pPr>
              <w:spacing w:line="240" w:lineRule="auto"/>
              <w:jc w:val="center"/>
              <w:rPr>
                <w:rFonts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rPr>
              <w:t>台</w:t>
            </w:r>
          </w:p>
        </w:tc>
        <w:tc>
          <w:tcPr>
            <w:tcW w:w="322" w:type="dxa"/>
            <w:shd w:val="clear" w:color="auto" w:fill="auto"/>
            <w:noWrap/>
            <w:vAlign w:val="center"/>
          </w:tcPr>
          <w:p w14:paraId="0ADB4954">
            <w:pPr>
              <w:spacing w:line="240" w:lineRule="auto"/>
              <w:jc w:val="center"/>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2</w:t>
            </w:r>
          </w:p>
        </w:tc>
        <w:tc>
          <w:tcPr>
            <w:tcW w:w="293" w:type="dxa"/>
            <w:shd w:val="clear" w:color="auto" w:fill="auto"/>
            <w:noWrap/>
            <w:vAlign w:val="center"/>
          </w:tcPr>
          <w:p w14:paraId="069E8E40">
            <w:pPr>
              <w:spacing w:line="240" w:lineRule="auto"/>
              <w:jc w:val="center"/>
              <w:rPr>
                <w:rFonts w:ascii="宋体" w:hAnsi="宋体" w:eastAsia="宋体" w:cs="Times New Roman"/>
                <w:color w:val="auto"/>
                <w:kern w:val="2"/>
                <w:sz w:val="21"/>
                <w:szCs w:val="21"/>
                <w:highlight w:val="none"/>
                <w:lang w:val="en-US" w:eastAsia="zh-CN" w:bidi="ar-SA"/>
              </w:rPr>
            </w:pPr>
          </w:p>
        </w:tc>
        <w:tc>
          <w:tcPr>
            <w:tcW w:w="684" w:type="dxa"/>
            <w:shd w:val="clear" w:color="auto" w:fill="auto"/>
            <w:noWrap/>
            <w:vAlign w:val="center"/>
          </w:tcPr>
          <w:p w14:paraId="3AEDDD17">
            <w:pPr>
              <w:spacing w:line="240" w:lineRule="auto"/>
              <w:jc w:val="center"/>
              <w:rPr>
                <w:rFonts w:ascii="宋体" w:hAnsi="宋体" w:eastAsia="宋体" w:cs="Times New Roman"/>
                <w:color w:val="auto"/>
                <w:kern w:val="2"/>
                <w:sz w:val="21"/>
                <w:szCs w:val="21"/>
                <w:highlight w:val="none"/>
                <w:lang w:val="en-US" w:eastAsia="zh-CN" w:bidi="ar-SA"/>
              </w:rPr>
            </w:pPr>
          </w:p>
        </w:tc>
        <w:tc>
          <w:tcPr>
            <w:tcW w:w="1643" w:type="dxa"/>
            <w:shd w:val="clear" w:color="auto" w:fill="auto"/>
            <w:noWrap/>
            <w:vAlign w:val="center"/>
          </w:tcPr>
          <w:p w14:paraId="0120C984">
            <w:pPr>
              <w:spacing w:line="240" w:lineRule="auto"/>
              <w:jc w:val="both"/>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满足自主可控“四统一、 四规范”要求，双北斗信号、高精 度守时、双电源，对时接口按需</w:t>
            </w:r>
          </w:p>
        </w:tc>
      </w:tr>
      <w:tr w14:paraId="42CD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21075336">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4_3</w:t>
            </w:r>
          </w:p>
        </w:tc>
        <w:tc>
          <w:tcPr>
            <w:tcW w:w="1643" w:type="dxa"/>
            <w:shd w:val="clear" w:color="auto" w:fill="auto"/>
            <w:noWrap/>
            <w:vAlign w:val="center"/>
          </w:tcPr>
          <w:p w14:paraId="75E20E32">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其他</w:t>
            </w:r>
          </w:p>
        </w:tc>
        <w:tc>
          <w:tcPr>
            <w:tcW w:w="2603" w:type="dxa"/>
            <w:shd w:val="clear" w:color="auto" w:fill="auto"/>
            <w:noWrap/>
            <w:vAlign w:val="center"/>
          </w:tcPr>
          <w:p w14:paraId="688BDCFD">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3C1D49C0">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154EF240">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401FC193">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23D7B78">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D441254">
            <w:pPr>
              <w:widowControl/>
              <w:jc w:val="center"/>
              <w:rPr>
                <w:rFonts w:ascii="宋体" w:hAnsi="宋体" w:cs="宋体"/>
                <w:color w:val="auto"/>
                <w:kern w:val="0"/>
                <w:sz w:val="21"/>
                <w:szCs w:val="21"/>
                <w:highlight w:val="none"/>
              </w:rPr>
            </w:pPr>
          </w:p>
        </w:tc>
      </w:tr>
      <w:tr w14:paraId="248A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4B0053B9">
            <w:pPr>
              <w:widowControl/>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643" w:type="dxa"/>
            <w:shd w:val="clear" w:color="auto" w:fill="auto"/>
            <w:noWrap/>
            <w:vAlign w:val="center"/>
          </w:tcPr>
          <w:p w14:paraId="3657CDFE">
            <w:pPr>
              <w:widowControl/>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整套对时系统所需的电缆光缆及附件</w:t>
            </w:r>
          </w:p>
        </w:tc>
        <w:tc>
          <w:tcPr>
            <w:tcW w:w="2603" w:type="dxa"/>
            <w:shd w:val="clear" w:color="auto" w:fill="auto"/>
            <w:noWrap/>
            <w:vAlign w:val="center"/>
          </w:tcPr>
          <w:p w14:paraId="03C6D3EA">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2D7207FD">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322" w:type="dxa"/>
            <w:shd w:val="clear" w:color="auto" w:fill="auto"/>
            <w:noWrap/>
            <w:vAlign w:val="center"/>
          </w:tcPr>
          <w:p w14:paraId="0E1EEEC6">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w:t>
            </w:r>
          </w:p>
        </w:tc>
        <w:tc>
          <w:tcPr>
            <w:tcW w:w="293" w:type="dxa"/>
            <w:shd w:val="clear" w:color="auto" w:fill="auto"/>
            <w:noWrap/>
            <w:vAlign w:val="center"/>
          </w:tcPr>
          <w:p w14:paraId="3FFE5A0F">
            <w:pPr>
              <w:widowControl/>
              <w:jc w:val="center"/>
              <w:rPr>
                <w:rFonts w:hint="eastAsia" w:ascii="宋体" w:hAnsi="宋体" w:eastAsia="宋体" w:cs="宋体"/>
                <w:color w:val="auto"/>
                <w:kern w:val="0"/>
                <w:sz w:val="21"/>
                <w:szCs w:val="21"/>
                <w:highlight w:val="none"/>
                <w:lang w:val="en-US" w:eastAsia="zh-CN"/>
              </w:rPr>
            </w:pPr>
          </w:p>
        </w:tc>
        <w:tc>
          <w:tcPr>
            <w:tcW w:w="684" w:type="dxa"/>
            <w:shd w:val="clear" w:color="auto" w:fill="auto"/>
            <w:noWrap/>
            <w:vAlign w:val="center"/>
          </w:tcPr>
          <w:p w14:paraId="4372AF75">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CEF1046">
            <w:pPr>
              <w:widowControl/>
              <w:jc w:val="both"/>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长度参考3.2.4设备布置，满足工程需求。</w:t>
            </w:r>
            <w:r>
              <w:rPr>
                <w:rFonts w:hint="eastAsia" w:ascii="宋体" w:hAnsi="宋体" w:cs="宋体"/>
                <w:color w:val="auto"/>
                <w:kern w:val="0"/>
                <w:sz w:val="21"/>
                <w:szCs w:val="21"/>
                <w:highlight w:val="none"/>
              </w:rPr>
              <w:t>工作内容包括光缆的熔接</w:t>
            </w:r>
          </w:p>
        </w:tc>
      </w:tr>
      <w:tr w14:paraId="16FF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49061D41">
            <w:pPr>
              <w:widowControl/>
              <w:jc w:val="center"/>
              <w:rPr>
                <w:rFonts w:hint="eastAsia" w:ascii="宋体" w:hAnsi="宋体" w:cs="宋体"/>
                <w:color w:val="auto"/>
                <w:kern w:val="0"/>
                <w:sz w:val="21"/>
                <w:szCs w:val="21"/>
                <w:highlight w:val="none"/>
              </w:rPr>
            </w:pPr>
          </w:p>
        </w:tc>
        <w:tc>
          <w:tcPr>
            <w:tcW w:w="1643" w:type="dxa"/>
            <w:shd w:val="clear" w:color="auto" w:fill="auto"/>
            <w:noWrap/>
            <w:vAlign w:val="center"/>
          </w:tcPr>
          <w:p w14:paraId="24099FA2">
            <w:pPr>
              <w:widowControl/>
              <w:jc w:val="center"/>
              <w:rPr>
                <w:rFonts w:hint="eastAsia" w:ascii="宋体" w:hAnsi="宋体" w:cs="宋体"/>
                <w:color w:val="auto"/>
                <w:kern w:val="0"/>
                <w:sz w:val="21"/>
                <w:szCs w:val="21"/>
                <w:highlight w:val="none"/>
              </w:rPr>
            </w:pPr>
          </w:p>
        </w:tc>
        <w:tc>
          <w:tcPr>
            <w:tcW w:w="2603" w:type="dxa"/>
            <w:shd w:val="clear" w:color="auto" w:fill="auto"/>
            <w:noWrap/>
            <w:vAlign w:val="center"/>
          </w:tcPr>
          <w:p w14:paraId="532635A9">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2EB3F12D">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16700D7D">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4587B3D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DC3F970">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5EAD5AB6">
            <w:pPr>
              <w:widowControl/>
              <w:jc w:val="center"/>
              <w:rPr>
                <w:rFonts w:ascii="宋体" w:hAnsi="宋体" w:cs="宋体"/>
                <w:color w:val="auto"/>
                <w:kern w:val="0"/>
                <w:sz w:val="21"/>
                <w:szCs w:val="21"/>
                <w:highlight w:val="none"/>
              </w:rPr>
            </w:pPr>
          </w:p>
        </w:tc>
      </w:tr>
      <w:tr w14:paraId="6C77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52" w:type="dxa"/>
            <w:shd w:val="clear" w:color="auto" w:fill="auto"/>
            <w:noWrap/>
            <w:vAlign w:val="center"/>
          </w:tcPr>
          <w:p w14:paraId="545612D0">
            <w:pPr>
              <w:widowControl/>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5</w:t>
            </w:r>
          </w:p>
        </w:tc>
        <w:tc>
          <w:tcPr>
            <w:tcW w:w="1643" w:type="dxa"/>
            <w:shd w:val="clear" w:color="auto" w:fill="auto"/>
            <w:noWrap/>
            <w:vAlign w:val="center"/>
          </w:tcPr>
          <w:p w14:paraId="6E9B6B34">
            <w:pPr>
              <w:widowControl/>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随机备品备件</w:t>
            </w:r>
          </w:p>
        </w:tc>
        <w:tc>
          <w:tcPr>
            <w:tcW w:w="2603" w:type="dxa"/>
            <w:shd w:val="clear" w:color="auto" w:fill="auto"/>
            <w:noWrap/>
            <w:vAlign w:val="center"/>
          </w:tcPr>
          <w:p w14:paraId="74BCAAE7">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4AB574DA">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40FB8ABE">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50DEED0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305FFE4">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3233D75F">
            <w:pPr>
              <w:widowControl/>
              <w:jc w:val="center"/>
              <w:rPr>
                <w:rFonts w:ascii="宋体" w:hAnsi="宋体" w:cs="宋体"/>
                <w:color w:val="auto"/>
                <w:kern w:val="0"/>
                <w:sz w:val="21"/>
                <w:szCs w:val="21"/>
                <w:highlight w:val="none"/>
              </w:rPr>
            </w:pPr>
          </w:p>
        </w:tc>
      </w:tr>
      <w:tr w14:paraId="00A5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67CD1731">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5_</w:t>
            </w:r>
            <w:r>
              <w:rPr>
                <w:rFonts w:hint="eastAsia" w:ascii="宋体" w:hAnsi="宋体" w:cs="宋体"/>
                <w:color w:val="auto"/>
                <w:kern w:val="0"/>
                <w:sz w:val="21"/>
                <w:szCs w:val="21"/>
                <w:highlight w:val="none"/>
              </w:rPr>
              <w:t>1</w:t>
            </w:r>
          </w:p>
        </w:tc>
        <w:tc>
          <w:tcPr>
            <w:tcW w:w="1643" w:type="dxa"/>
            <w:shd w:val="clear" w:color="auto" w:fill="auto"/>
            <w:noWrap/>
            <w:vAlign w:val="center"/>
          </w:tcPr>
          <w:p w14:paraId="1AFFEACD">
            <w:pPr>
              <w:spacing w:line="360" w:lineRule="auto"/>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测控装置电源模块</w:t>
            </w:r>
          </w:p>
        </w:tc>
        <w:tc>
          <w:tcPr>
            <w:tcW w:w="2603" w:type="dxa"/>
            <w:shd w:val="clear" w:color="auto" w:fill="auto"/>
            <w:noWrap/>
            <w:vAlign w:val="center"/>
          </w:tcPr>
          <w:p w14:paraId="5119E8EA">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551F3A94">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块</w:t>
            </w:r>
          </w:p>
        </w:tc>
        <w:tc>
          <w:tcPr>
            <w:tcW w:w="322" w:type="dxa"/>
            <w:shd w:val="clear" w:color="auto" w:fill="auto"/>
            <w:noWrap/>
            <w:vAlign w:val="center"/>
          </w:tcPr>
          <w:p w14:paraId="4CFD4233">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7F4A4ED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6C8CC111">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6AB3EFE">
            <w:pPr>
              <w:widowControl/>
              <w:jc w:val="center"/>
              <w:rPr>
                <w:rFonts w:ascii="宋体" w:hAnsi="宋体" w:cs="宋体"/>
                <w:color w:val="auto"/>
                <w:kern w:val="0"/>
                <w:sz w:val="21"/>
                <w:szCs w:val="21"/>
                <w:highlight w:val="none"/>
              </w:rPr>
            </w:pPr>
          </w:p>
        </w:tc>
      </w:tr>
      <w:tr w14:paraId="732B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5077ADAB">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5_</w:t>
            </w:r>
            <w:r>
              <w:rPr>
                <w:rFonts w:hint="eastAsia" w:ascii="宋体" w:hAnsi="宋体" w:cs="宋体"/>
                <w:color w:val="auto"/>
                <w:kern w:val="0"/>
                <w:sz w:val="21"/>
                <w:szCs w:val="21"/>
                <w:highlight w:val="none"/>
              </w:rPr>
              <w:t>2</w:t>
            </w:r>
          </w:p>
        </w:tc>
        <w:tc>
          <w:tcPr>
            <w:tcW w:w="1643" w:type="dxa"/>
            <w:shd w:val="clear" w:color="auto" w:fill="auto"/>
            <w:noWrap/>
            <w:vAlign w:val="center"/>
          </w:tcPr>
          <w:p w14:paraId="03CFBD01">
            <w:pPr>
              <w:spacing w:line="360" w:lineRule="auto"/>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测控装置DI模块</w:t>
            </w:r>
          </w:p>
        </w:tc>
        <w:tc>
          <w:tcPr>
            <w:tcW w:w="2603" w:type="dxa"/>
            <w:shd w:val="clear" w:color="auto" w:fill="auto"/>
            <w:noWrap/>
            <w:vAlign w:val="center"/>
          </w:tcPr>
          <w:p w14:paraId="69EE029D">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2501DA3F">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块</w:t>
            </w:r>
          </w:p>
        </w:tc>
        <w:tc>
          <w:tcPr>
            <w:tcW w:w="322" w:type="dxa"/>
            <w:shd w:val="clear" w:color="auto" w:fill="auto"/>
            <w:noWrap/>
            <w:vAlign w:val="center"/>
          </w:tcPr>
          <w:p w14:paraId="3957ABC9">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34510589">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672B8FA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30F031F">
            <w:pPr>
              <w:widowControl/>
              <w:jc w:val="center"/>
              <w:rPr>
                <w:rFonts w:ascii="宋体" w:hAnsi="宋体" w:cs="宋体"/>
                <w:color w:val="auto"/>
                <w:kern w:val="0"/>
                <w:sz w:val="21"/>
                <w:szCs w:val="21"/>
                <w:highlight w:val="none"/>
              </w:rPr>
            </w:pPr>
          </w:p>
        </w:tc>
      </w:tr>
      <w:tr w14:paraId="4F424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vAlign w:val="center"/>
          </w:tcPr>
          <w:p w14:paraId="24CB6438">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5_</w:t>
            </w:r>
            <w:r>
              <w:rPr>
                <w:rFonts w:hint="eastAsia" w:ascii="宋体" w:hAnsi="宋体" w:cs="宋体"/>
                <w:color w:val="auto"/>
                <w:kern w:val="0"/>
                <w:sz w:val="21"/>
                <w:szCs w:val="21"/>
                <w:highlight w:val="none"/>
              </w:rPr>
              <w:t>3</w:t>
            </w:r>
          </w:p>
        </w:tc>
        <w:tc>
          <w:tcPr>
            <w:tcW w:w="1643" w:type="dxa"/>
            <w:shd w:val="clear" w:color="auto" w:fill="auto"/>
            <w:noWrap/>
            <w:vAlign w:val="center"/>
          </w:tcPr>
          <w:p w14:paraId="78D3FCE7">
            <w:pPr>
              <w:spacing w:line="360" w:lineRule="auto"/>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测控装置DO模块</w:t>
            </w:r>
          </w:p>
        </w:tc>
        <w:tc>
          <w:tcPr>
            <w:tcW w:w="2603" w:type="dxa"/>
            <w:shd w:val="clear" w:color="auto" w:fill="auto"/>
            <w:noWrap/>
            <w:vAlign w:val="center"/>
          </w:tcPr>
          <w:p w14:paraId="0C9DCBFE">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56AD3532">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块</w:t>
            </w:r>
          </w:p>
        </w:tc>
        <w:tc>
          <w:tcPr>
            <w:tcW w:w="322" w:type="dxa"/>
            <w:shd w:val="clear" w:color="auto" w:fill="auto"/>
            <w:noWrap/>
            <w:vAlign w:val="center"/>
          </w:tcPr>
          <w:p w14:paraId="12E025E8">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076FF996">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302FBCAA">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462D102">
            <w:pPr>
              <w:widowControl/>
              <w:jc w:val="center"/>
              <w:rPr>
                <w:rFonts w:ascii="宋体" w:hAnsi="宋体" w:cs="宋体"/>
                <w:color w:val="auto"/>
                <w:kern w:val="0"/>
                <w:sz w:val="21"/>
                <w:szCs w:val="21"/>
                <w:highlight w:val="none"/>
              </w:rPr>
            </w:pPr>
          </w:p>
        </w:tc>
      </w:tr>
      <w:tr w14:paraId="12F2F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tcPr>
          <w:p w14:paraId="05C26857">
            <w:pPr>
              <w:rPr>
                <w:color w:val="auto"/>
                <w:sz w:val="21"/>
                <w:szCs w:val="21"/>
                <w:highlight w:val="none"/>
              </w:rPr>
            </w:pPr>
            <w:r>
              <w:rPr>
                <w:rFonts w:hint="eastAsia" w:ascii="宋体" w:hAnsi="宋体" w:cs="宋体"/>
                <w:color w:val="auto"/>
                <w:kern w:val="0"/>
                <w:sz w:val="21"/>
                <w:szCs w:val="21"/>
                <w:highlight w:val="none"/>
                <w:lang w:eastAsia="zh-CN"/>
              </w:rPr>
              <w:t>5_</w:t>
            </w:r>
            <w:r>
              <w:rPr>
                <w:rFonts w:hint="eastAsia" w:ascii="宋体" w:hAnsi="宋体" w:cs="宋体"/>
                <w:color w:val="auto"/>
                <w:kern w:val="0"/>
                <w:sz w:val="21"/>
                <w:szCs w:val="21"/>
                <w:highlight w:val="none"/>
              </w:rPr>
              <w:t>4</w:t>
            </w:r>
          </w:p>
        </w:tc>
        <w:tc>
          <w:tcPr>
            <w:tcW w:w="1643" w:type="dxa"/>
            <w:shd w:val="clear" w:color="auto" w:fill="auto"/>
            <w:noWrap/>
            <w:vAlign w:val="center"/>
          </w:tcPr>
          <w:p w14:paraId="0D1E296B">
            <w:pPr>
              <w:spacing w:line="360" w:lineRule="auto"/>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测控装置AI模块</w:t>
            </w:r>
          </w:p>
        </w:tc>
        <w:tc>
          <w:tcPr>
            <w:tcW w:w="2603" w:type="dxa"/>
            <w:shd w:val="clear" w:color="auto" w:fill="auto"/>
            <w:noWrap/>
            <w:vAlign w:val="center"/>
          </w:tcPr>
          <w:p w14:paraId="0C525974">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7782454A">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块</w:t>
            </w:r>
          </w:p>
        </w:tc>
        <w:tc>
          <w:tcPr>
            <w:tcW w:w="322" w:type="dxa"/>
            <w:shd w:val="clear" w:color="auto" w:fill="auto"/>
            <w:noWrap/>
            <w:vAlign w:val="center"/>
          </w:tcPr>
          <w:p w14:paraId="7201454D">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06323157">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D69FC23">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69FE9C0">
            <w:pPr>
              <w:widowControl/>
              <w:jc w:val="center"/>
              <w:rPr>
                <w:rFonts w:ascii="宋体" w:hAnsi="宋体" w:cs="宋体"/>
                <w:color w:val="auto"/>
                <w:kern w:val="0"/>
                <w:sz w:val="21"/>
                <w:szCs w:val="21"/>
                <w:highlight w:val="none"/>
              </w:rPr>
            </w:pPr>
          </w:p>
        </w:tc>
      </w:tr>
      <w:tr w14:paraId="02A2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2" w:type="dxa"/>
            <w:shd w:val="clear" w:color="auto" w:fill="auto"/>
            <w:noWrap/>
          </w:tcPr>
          <w:p w14:paraId="404392C1">
            <w:pPr>
              <w:rPr>
                <w:color w:val="auto"/>
                <w:sz w:val="21"/>
                <w:szCs w:val="21"/>
                <w:highlight w:val="none"/>
              </w:rPr>
            </w:pPr>
            <w:r>
              <w:rPr>
                <w:rFonts w:hint="eastAsia" w:ascii="宋体" w:hAnsi="宋体" w:cs="宋体"/>
                <w:color w:val="auto"/>
                <w:kern w:val="0"/>
                <w:sz w:val="21"/>
                <w:szCs w:val="21"/>
                <w:highlight w:val="none"/>
                <w:lang w:eastAsia="zh-CN"/>
              </w:rPr>
              <w:t>5_</w:t>
            </w:r>
            <w:r>
              <w:rPr>
                <w:rFonts w:hint="eastAsia" w:ascii="宋体" w:hAnsi="宋体" w:cs="宋体"/>
                <w:color w:val="auto"/>
                <w:kern w:val="0"/>
                <w:sz w:val="21"/>
                <w:szCs w:val="21"/>
                <w:highlight w:val="none"/>
              </w:rPr>
              <w:t>5</w:t>
            </w:r>
          </w:p>
        </w:tc>
        <w:tc>
          <w:tcPr>
            <w:tcW w:w="1643" w:type="dxa"/>
            <w:shd w:val="clear" w:color="auto" w:fill="auto"/>
            <w:noWrap/>
            <w:vAlign w:val="center"/>
          </w:tcPr>
          <w:p w14:paraId="57ECE9CD">
            <w:pPr>
              <w:spacing w:line="360" w:lineRule="auto"/>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测控装置AO模块</w:t>
            </w:r>
          </w:p>
        </w:tc>
        <w:tc>
          <w:tcPr>
            <w:tcW w:w="2603" w:type="dxa"/>
            <w:shd w:val="clear" w:color="auto" w:fill="auto"/>
            <w:noWrap/>
            <w:vAlign w:val="center"/>
          </w:tcPr>
          <w:p w14:paraId="4B5B3A6B">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5CA30BD6">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块</w:t>
            </w:r>
          </w:p>
        </w:tc>
        <w:tc>
          <w:tcPr>
            <w:tcW w:w="322" w:type="dxa"/>
            <w:shd w:val="clear" w:color="auto" w:fill="auto"/>
            <w:noWrap/>
            <w:vAlign w:val="center"/>
          </w:tcPr>
          <w:p w14:paraId="18B19E6E">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4DEABC88">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15D075D7">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2D78589">
            <w:pPr>
              <w:widowControl/>
              <w:jc w:val="center"/>
              <w:rPr>
                <w:rFonts w:ascii="宋体" w:hAnsi="宋体" w:cs="宋体"/>
                <w:color w:val="auto"/>
                <w:kern w:val="0"/>
                <w:sz w:val="21"/>
                <w:szCs w:val="21"/>
                <w:highlight w:val="none"/>
              </w:rPr>
            </w:pPr>
          </w:p>
        </w:tc>
      </w:tr>
      <w:tr w14:paraId="2201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tcPr>
          <w:p w14:paraId="2ADCA468">
            <w:pPr>
              <w:rPr>
                <w:color w:val="auto"/>
                <w:sz w:val="21"/>
                <w:szCs w:val="21"/>
                <w:highlight w:val="none"/>
              </w:rPr>
            </w:pPr>
            <w:r>
              <w:rPr>
                <w:rFonts w:hint="eastAsia" w:ascii="宋体" w:hAnsi="宋体" w:cs="宋体"/>
                <w:color w:val="auto"/>
                <w:kern w:val="0"/>
                <w:sz w:val="21"/>
                <w:szCs w:val="21"/>
                <w:highlight w:val="none"/>
                <w:lang w:eastAsia="zh-CN"/>
              </w:rPr>
              <w:t>5_</w:t>
            </w:r>
            <w:r>
              <w:rPr>
                <w:rFonts w:hint="eastAsia" w:ascii="宋体" w:hAnsi="宋体" w:cs="宋体"/>
                <w:color w:val="auto"/>
                <w:kern w:val="0"/>
                <w:sz w:val="21"/>
                <w:szCs w:val="21"/>
                <w:highlight w:val="none"/>
              </w:rPr>
              <w:t>6</w:t>
            </w:r>
          </w:p>
        </w:tc>
        <w:tc>
          <w:tcPr>
            <w:tcW w:w="1643" w:type="dxa"/>
            <w:shd w:val="clear" w:color="auto" w:fill="auto"/>
            <w:noWrap/>
            <w:vAlign w:val="center"/>
          </w:tcPr>
          <w:p w14:paraId="55B380E6">
            <w:pPr>
              <w:spacing w:line="360" w:lineRule="auto"/>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网络交换机</w:t>
            </w:r>
          </w:p>
        </w:tc>
        <w:tc>
          <w:tcPr>
            <w:tcW w:w="2603" w:type="dxa"/>
            <w:shd w:val="clear" w:color="auto" w:fill="auto"/>
            <w:noWrap/>
            <w:vAlign w:val="center"/>
          </w:tcPr>
          <w:p w14:paraId="0CDBD7F9">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6F069CD8">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台</w:t>
            </w:r>
          </w:p>
        </w:tc>
        <w:tc>
          <w:tcPr>
            <w:tcW w:w="322" w:type="dxa"/>
            <w:shd w:val="clear" w:color="auto" w:fill="auto"/>
            <w:noWrap/>
            <w:vAlign w:val="center"/>
          </w:tcPr>
          <w:p w14:paraId="50A85F43">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51C1807B">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241600D">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76B6C99">
            <w:pPr>
              <w:widowControl/>
              <w:jc w:val="center"/>
              <w:rPr>
                <w:rFonts w:ascii="宋体" w:hAnsi="宋体" w:cs="宋体"/>
                <w:color w:val="auto"/>
                <w:kern w:val="0"/>
                <w:sz w:val="21"/>
                <w:szCs w:val="21"/>
                <w:highlight w:val="none"/>
              </w:rPr>
            </w:pPr>
          </w:p>
        </w:tc>
      </w:tr>
      <w:tr w14:paraId="4195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tcPr>
          <w:p w14:paraId="647ED324">
            <w:pPr>
              <w:rPr>
                <w:color w:val="auto"/>
                <w:sz w:val="21"/>
                <w:szCs w:val="21"/>
                <w:highlight w:val="none"/>
              </w:rPr>
            </w:pPr>
            <w:r>
              <w:rPr>
                <w:rFonts w:hint="eastAsia" w:ascii="宋体" w:hAnsi="宋体" w:cs="宋体"/>
                <w:color w:val="auto"/>
                <w:kern w:val="0"/>
                <w:sz w:val="21"/>
                <w:szCs w:val="21"/>
                <w:highlight w:val="none"/>
                <w:lang w:eastAsia="zh-CN"/>
              </w:rPr>
              <w:t>5_</w:t>
            </w:r>
            <w:r>
              <w:rPr>
                <w:rFonts w:hint="eastAsia" w:ascii="宋体" w:hAnsi="宋体" w:cs="宋体"/>
                <w:color w:val="auto"/>
                <w:kern w:val="0"/>
                <w:sz w:val="21"/>
                <w:szCs w:val="21"/>
                <w:highlight w:val="none"/>
              </w:rPr>
              <w:t>7</w:t>
            </w:r>
          </w:p>
        </w:tc>
        <w:tc>
          <w:tcPr>
            <w:tcW w:w="1643" w:type="dxa"/>
            <w:shd w:val="clear" w:color="auto" w:fill="auto"/>
            <w:noWrap/>
            <w:vAlign w:val="center"/>
          </w:tcPr>
          <w:p w14:paraId="106D3EED">
            <w:pPr>
              <w:spacing w:line="360" w:lineRule="auto"/>
              <w:jc w:val="both"/>
              <w:rPr>
                <w:rFonts w:ascii="宋体" w:hAnsi="宋体" w:cs="宋体"/>
                <w:color w:val="auto"/>
                <w:kern w:val="0"/>
                <w:sz w:val="21"/>
                <w:szCs w:val="21"/>
                <w:highlight w:val="none"/>
              </w:rPr>
            </w:pPr>
            <w:r>
              <w:rPr>
                <w:rFonts w:hint="eastAsia" w:ascii="宋体" w:hAnsi="宋体" w:cs="宋体"/>
                <w:color w:val="auto"/>
                <w:kern w:val="0"/>
                <w:sz w:val="21"/>
                <w:szCs w:val="21"/>
                <w:highlight w:val="none"/>
              </w:rPr>
              <w:t>测控装置CPU板</w:t>
            </w:r>
          </w:p>
        </w:tc>
        <w:tc>
          <w:tcPr>
            <w:tcW w:w="2603" w:type="dxa"/>
            <w:shd w:val="clear" w:color="auto" w:fill="auto"/>
            <w:noWrap/>
            <w:vAlign w:val="center"/>
          </w:tcPr>
          <w:p w14:paraId="50999B93">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44353385">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块</w:t>
            </w:r>
          </w:p>
        </w:tc>
        <w:tc>
          <w:tcPr>
            <w:tcW w:w="322" w:type="dxa"/>
            <w:shd w:val="clear" w:color="auto" w:fill="auto"/>
            <w:noWrap/>
            <w:vAlign w:val="center"/>
          </w:tcPr>
          <w:p w14:paraId="63318A98">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788441F4">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CEAB23B">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4FD5706">
            <w:pPr>
              <w:widowControl/>
              <w:jc w:val="center"/>
              <w:rPr>
                <w:rFonts w:ascii="宋体" w:hAnsi="宋体" w:cs="宋体"/>
                <w:color w:val="auto"/>
                <w:kern w:val="0"/>
                <w:sz w:val="21"/>
                <w:szCs w:val="21"/>
                <w:highlight w:val="none"/>
              </w:rPr>
            </w:pPr>
          </w:p>
        </w:tc>
      </w:tr>
      <w:tr w14:paraId="30C8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52" w:type="dxa"/>
            <w:shd w:val="clear" w:color="auto" w:fill="auto"/>
            <w:noWrap/>
            <w:vAlign w:val="center"/>
          </w:tcPr>
          <w:p w14:paraId="7B9224F6">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5_8</w:t>
            </w:r>
          </w:p>
        </w:tc>
        <w:tc>
          <w:tcPr>
            <w:tcW w:w="1643" w:type="dxa"/>
            <w:shd w:val="clear" w:color="auto" w:fill="auto"/>
            <w:noWrap/>
            <w:vAlign w:val="center"/>
          </w:tcPr>
          <w:p w14:paraId="73EB1580">
            <w:pPr>
              <w:spacing w:after="0" w:line="360" w:lineRule="auto"/>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事故总装置电源模块</w:t>
            </w:r>
          </w:p>
        </w:tc>
        <w:tc>
          <w:tcPr>
            <w:tcW w:w="2603" w:type="dxa"/>
            <w:shd w:val="clear" w:color="auto" w:fill="auto"/>
            <w:noWrap/>
            <w:vAlign w:val="center"/>
          </w:tcPr>
          <w:p w14:paraId="0EFE72C6">
            <w:pPr>
              <w:adjustRightInd/>
              <w:snapToGrid/>
              <w:spacing w:after="0" w:line="360" w:lineRule="auto"/>
              <w:jc w:val="center"/>
              <w:rPr>
                <w:rFonts w:hint="eastAsia" w:ascii="宋体" w:hAnsi="宋体" w:eastAsia="宋体" w:cs="宋体"/>
                <w:color w:val="auto"/>
                <w:kern w:val="0"/>
                <w:sz w:val="21"/>
                <w:szCs w:val="21"/>
                <w:highlight w:val="none"/>
                <w:lang w:val="en-US" w:eastAsia="zh-CN" w:bidi="ar-SA"/>
              </w:rPr>
            </w:pPr>
          </w:p>
        </w:tc>
        <w:tc>
          <w:tcPr>
            <w:tcW w:w="614" w:type="dxa"/>
            <w:shd w:val="clear" w:color="auto" w:fill="auto"/>
            <w:noWrap/>
            <w:vAlign w:val="center"/>
          </w:tcPr>
          <w:p w14:paraId="70CB5338">
            <w:pPr>
              <w:spacing w:after="0"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块</w:t>
            </w:r>
          </w:p>
        </w:tc>
        <w:tc>
          <w:tcPr>
            <w:tcW w:w="322" w:type="dxa"/>
            <w:shd w:val="clear" w:color="auto" w:fill="auto"/>
            <w:noWrap/>
            <w:vAlign w:val="center"/>
          </w:tcPr>
          <w:p w14:paraId="3CE62513">
            <w:pPr>
              <w:spacing w:after="0"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w:t>
            </w:r>
          </w:p>
        </w:tc>
        <w:tc>
          <w:tcPr>
            <w:tcW w:w="293" w:type="dxa"/>
            <w:shd w:val="clear" w:color="auto" w:fill="auto"/>
            <w:noWrap/>
            <w:vAlign w:val="center"/>
          </w:tcPr>
          <w:p w14:paraId="56D34F6D">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52F47D59">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934B3E3">
            <w:pPr>
              <w:widowControl/>
              <w:jc w:val="center"/>
              <w:rPr>
                <w:rFonts w:ascii="宋体" w:hAnsi="宋体" w:cs="宋体"/>
                <w:color w:val="auto"/>
                <w:kern w:val="0"/>
                <w:sz w:val="21"/>
                <w:szCs w:val="21"/>
                <w:highlight w:val="none"/>
              </w:rPr>
            </w:pPr>
          </w:p>
        </w:tc>
      </w:tr>
      <w:tr w14:paraId="36A1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652" w:type="dxa"/>
            <w:shd w:val="clear" w:color="auto" w:fill="auto"/>
            <w:noWrap/>
            <w:vAlign w:val="center"/>
          </w:tcPr>
          <w:p w14:paraId="3DF5B0A7">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5_9</w:t>
            </w:r>
          </w:p>
        </w:tc>
        <w:tc>
          <w:tcPr>
            <w:tcW w:w="1643" w:type="dxa"/>
            <w:shd w:val="clear" w:color="auto" w:fill="auto"/>
            <w:noWrap/>
            <w:vAlign w:val="center"/>
          </w:tcPr>
          <w:p w14:paraId="70F51FA6">
            <w:pPr>
              <w:spacing w:after="0" w:line="360" w:lineRule="auto"/>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电能量采集装置电源模块</w:t>
            </w:r>
          </w:p>
        </w:tc>
        <w:tc>
          <w:tcPr>
            <w:tcW w:w="2603" w:type="dxa"/>
            <w:shd w:val="clear" w:color="auto" w:fill="auto"/>
            <w:noWrap/>
            <w:vAlign w:val="center"/>
          </w:tcPr>
          <w:p w14:paraId="226DCB56">
            <w:pPr>
              <w:adjustRightInd/>
              <w:snapToGrid/>
              <w:spacing w:after="0" w:line="360" w:lineRule="auto"/>
              <w:jc w:val="center"/>
              <w:rPr>
                <w:rFonts w:hint="eastAsia" w:ascii="宋体" w:hAnsi="宋体" w:eastAsia="宋体" w:cs="宋体"/>
                <w:color w:val="auto"/>
                <w:kern w:val="0"/>
                <w:sz w:val="21"/>
                <w:szCs w:val="21"/>
                <w:highlight w:val="none"/>
                <w:lang w:val="en-US" w:eastAsia="zh-CN" w:bidi="ar-SA"/>
              </w:rPr>
            </w:pPr>
          </w:p>
        </w:tc>
        <w:tc>
          <w:tcPr>
            <w:tcW w:w="614" w:type="dxa"/>
            <w:shd w:val="clear" w:color="auto" w:fill="auto"/>
            <w:noWrap/>
            <w:vAlign w:val="center"/>
          </w:tcPr>
          <w:p w14:paraId="6C7647B2">
            <w:pPr>
              <w:spacing w:after="0"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块</w:t>
            </w:r>
          </w:p>
        </w:tc>
        <w:tc>
          <w:tcPr>
            <w:tcW w:w="322" w:type="dxa"/>
            <w:shd w:val="clear" w:color="auto" w:fill="auto"/>
            <w:noWrap/>
            <w:vAlign w:val="center"/>
          </w:tcPr>
          <w:p w14:paraId="4454E5A5">
            <w:pPr>
              <w:spacing w:after="0"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w:t>
            </w:r>
          </w:p>
        </w:tc>
        <w:tc>
          <w:tcPr>
            <w:tcW w:w="293" w:type="dxa"/>
            <w:shd w:val="clear" w:color="auto" w:fill="auto"/>
            <w:noWrap/>
            <w:vAlign w:val="center"/>
          </w:tcPr>
          <w:p w14:paraId="5E23B96C">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7458D232">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08ADABE5">
            <w:pPr>
              <w:widowControl/>
              <w:jc w:val="center"/>
              <w:rPr>
                <w:rFonts w:ascii="宋体" w:hAnsi="宋体" w:cs="宋体"/>
                <w:color w:val="auto"/>
                <w:kern w:val="0"/>
                <w:sz w:val="21"/>
                <w:szCs w:val="21"/>
                <w:highlight w:val="none"/>
              </w:rPr>
            </w:pPr>
          </w:p>
        </w:tc>
      </w:tr>
      <w:tr w14:paraId="646E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2" w:type="dxa"/>
            <w:shd w:val="clear" w:color="auto" w:fill="auto"/>
            <w:noWrap/>
            <w:vAlign w:val="center"/>
          </w:tcPr>
          <w:p w14:paraId="033B6BD6">
            <w:pPr>
              <w:widowControl/>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6</w:t>
            </w:r>
          </w:p>
        </w:tc>
        <w:tc>
          <w:tcPr>
            <w:tcW w:w="1643" w:type="dxa"/>
            <w:shd w:val="clear" w:color="auto" w:fill="auto"/>
            <w:noWrap/>
            <w:vAlign w:val="center"/>
          </w:tcPr>
          <w:p w14:paraId="76630850">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三年随机备品备件（不计入总价）</w:t>
            </w:r>
          </w:p>
        </w:tc>
        <w:tc>
          <w:tcPr>
            <w:tcW w:w="2603" w:type="dxa"/>
            <w:shd w:val="clear" w:color="auto" w:fill="auto"/>
            <w:noWrap/>
            <w:vAlign w:val="center"/>
          </w:tcPr>
          <w:p w14:paraId="377D3440">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25A75E71">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649097D0">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0B906C25">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1A20EB2A">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48A4D710">
            <w:pPr>
              <w:widowControl/>
              <w:jc w:val="center"/>
              <w:rPr>
                <w:rFonts w:ascii="宋体" w:hAnsi="宋体" w:cs="宋体"/>
                <w:color w:val="auto"/>
                <w:kern w:val="0"/>
                <w:sz w:val="21"/>
                <w:szCs w:val="21"/>
                <w:highlight w:val="none"/>
              </w:rPr>
            </w:pPr>
          </w:p>
        </w:tc>
      </w:tr>
      <w:tr w14:paraId="4723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2" w:type="dxa"/>
            <w:shd w:val="clear" w:color="auto" w:fill="auto"/>
            <w:noWrap/>
            <w:vAlign w:val="center"/>
          </w:tcPr>
          <w:p w14:paraId="3AAB9BBA">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6</w:t>
            </w:r>
            <w:r>
              <w:rPr>
                <w:rFonts w:hint="eastAsia" w:ascii="宋体" w:hAnsi="宋体" w:cs="宋体"/>
                <w:color w:val="auto"/>
                <w:kern w:val="0"/>
                <w:sz w:val="21"/>
                <w:szCs w:val="21"/>
                <w:highlight w:val="none"/>
              </w:rPr>
              <w:t>_1</w:t>
            </w:r>
          </w:p>
        </w:tc>
        <w:tc>
          <w:tcPr>
            <w:tcW w:w="1643" w:type="dxa"/>
            <w:shd w:val="clear" w:color="auto" w:fill="auto"/>
            <w:noWrap/>
            <w:vAlign w:val="center"/>
          </w:tcPr>
          <w:p w14:paraId="437A8951">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投标人填写</w:t>
            </w:r>
          </w:p>
        </w:tc>
        <w:tc>
          <w:tcPr>
            <w:tcW w:w="2603" w:type="dxa"/>
            <w:shd w:val="clear" w:color="auto" w:fill="auto"/>
            <w:noWrap/>
            <w:vAlign w:val="center"/>
          </w:tcPr>
          <w:p w14:paraId="4966C40A">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18D6C929">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75E52487">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3C582D63">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4BE572E0">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E05B3AB">
            <w:pPr>
              <w:widowControl/>
              <w:jc w:val="center"/>
              <w:rPr>
                <w:rFonts w:ascii="宋体" w:hAnsi="宋体" w:cs="宋体"/>
                <w:color w:val="auto"/>
                <w:kern w:val="0"/>
                <w:sz w:val="21"/>
                <w:szCs w:val="21"/>
                <w:highlight w:val="none"/>
              </w:rPr>
            </w:pPr>
          </w:p>
        </w:tc>
      </w:tr>
      <w:tr w14:paraId="35EE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2" w:type="dxa"/>
            <w:shd w:val="clear" w:color="auto" w:fill="auto"/>
            <w:noWrap/>
            <w:vAlign w:val="center"/>
          </w:tcPr>
          <w:p w14:paraId="5F225679">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BCDA442">
            <w:pPr>
              <w:widowControl/>
              <w:jc w:val="center"/>
              <w:rPr>
                <w:rFonts w:ascii="宋体" w:hAnsi="宋体" w:cs="宋体"/>
                <w:color w:val="auto"/>
                <w:kern w:val="0"/>
                <w:sz w:val="21"/>
                <w:szCs w:val="21"/>
                <w:highlight w:val="none"/>
              </w:rPr>
            </w:pPr>
          </w:p>
        </w:tc>
        <w:tc>
          <w:tcPr>
            <w:tcW w:w="2603" w:type="dxa"/>
            <w:shd w:val="clear" w:color="auto" w:fill="auto"/>
            <w:noWrap/>
            <w:vAlign w:val="center"/>
          </w:tcPr>
          <w:p w14:paraId="27C52903">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38B3519B">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0254E6DC">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030A248C">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28213CF9">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377C63B5">
            <w:pPr>
              <w:widowControl/>
              <w:jc w:val="center"/>
              <w:rPr>
                <w:rFonts w:ascii="宋体" w:hAnsi="宋体" w:cs="宋体"/>
                <w:color w:val="auto"/>
                <w:kern w:val="0"/>
                <w:sz w:val="21"/>
                <w:szCs w:val="21"/>
                <w:highlight w:val="none"/>
              </w:rPr>
            </w:pPr>
          </w:p>
        </w:tc>
      </w:tr>
      <w:tr w14:paraId="4987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2" w:type="dxa"/>
            <w:shd w:val="clear" w:color="auto" w:fill="auto"/>
            <w:noWrap/>
            <w:vAlign w:val="center"/>
          </w:tcPr>
          <w:p w14:paraId="45930C78">
            <w:pPr>
              <w:widowControl/>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7</w:t>
            </w:r>
          </w:p>
        </w:tc>
        <w:tc>
          <w:tcPr>
            <w:tcW w:w="1643" w:type="dxa"/>
            <w:shd w:val="clear" w:color="auto" w:fill="auto"/>
            <w:noWrap/>
            <w:vAlign w:val="center"/>
          </w:tcPr>
          <w:p w14:paraId="3D901D95">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专用工具</w:t>
            </w:r>
          </w:p>
        </w:tc>
        <w:tc>
          <w:tcPr>
            <w:tcW w:w="2603" w:type="dxa"/>
            <w:shd w:val="clear" w:color="auto" w:fill="auto"/>
            <w:noWrap/>
            <w:vAlign w:val="center"/>
          </w:tcPr>
          <w:p w14:paraId="678B3683">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069EF2DB">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06CB685C">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54EBE423">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F29D0B6">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1AD6A95C">
            <w:pPr>
              <w:widowControl/>
              <w:jc w:val="center"/>
              <w:rPr>
                <w:rFonts w:ascii="宋体" w:hAnsi="宋体" w:cs="宋体"/>
                <w:color w:val="auto"/>
                <w:kern w:val="0"/>
                <w:sz w:val="21"/>
                <w:szCs w:val="21"/>
                <w:highlight w:val="none"/>
              </w:rPr>
            </w:pPr>
          </w:p>
        </w:tc>
      </w:tr>
      <w:tr w14:paraId="6B04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2" w:type="dxa"/>
            <w:shd w:val="clear" w:color="auto" w:fill="auto"/>
            <w:noWrap/>
            <w:vAlign w:val="center"/>
          </w:tcPr>
          <w:p w14:paraId="1E1C8757">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7</w:t>
            </w:r>
            <w:r>
              <w:rPr>
                <w:rFonts w:hint="eastAsia" w:ascii="宋体" w:hAnsi="宋体" w:cs="宋体"/>
                <w:color w:val="auto"/>
                <w:kern w:val="0"/>
                <w:sz w:val="21"/>
                <w:szCs w:val="21"/>
                <w:highlight w:val="none"/>
              </w:rPr>
              <w:t>_1</w:t>
            </w:r>
          </w:p>
        </w:tc>
        <w:tc>
          <w:tcPr>
            <w:tcW w:w="1643" w:type="dxa"/>
            <w:shd w:val="clear" w:color="auto" w:fill="auto"/>
            <w:noWrap/>
            <w:vAlign w:val="center"/>
          </w:tcPr>
          <w:p w14:paraId="6A0FA528">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携带式维护终端及通讯数据连接线</w:t>
            </w:r>
          </w:p>
        </w:tc>
        <w:tc>
          <w:tcPr>
            <w:tcW w:w="2603" w:type="dxa"/>
            <w:shd w:val="clear" w:color="auto" w:fill="auto"/>
            <w:noWrap/>
            <w:vAlign w:val="center"/>
          </w:tcPr>
          <w:p w14:paraId="1F40AB08">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5CCB4B09">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台</w:t>
            </w:r>
          </w:p>
        </w:tc>
        <w:tc>
          <w:tcPr>
            <w:tcW w:w="322" w:type="dxa"/>
            <w:shd w:val="clear" w:color="auto" w:fill="auto"/>
            <w:noWrap/>
            <w:vAlign w:val="center"/>
          </w:tcPr>
          <w:p w14:paraId="45A0BF4F">
            <w:pPr>
              <w:spacing w:line="360" w:lineRule="auto"/>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3" w:type="dxa"/>
            <w:shd w:val="clear" w:color="auto" w:fill="auto"/>
            <w:noWrap/>
            <w:vAlign w:val="center"/>
          </w:tcPr>
          <w:p w14:paraId="65E03CCB">
            <w:pPr>
              <w:spacing w:line="360" w:lineRule="auto"/>
              <w:ind w:firstLine="384"/>
              <w:jc w:val="center"/>
              <w:rPr>
                <w:rFonts w:ascii="宋体" w:hAnsi="宋体" w:cs="宋体"/>
                <w:color w:val="auto"/>
                <w:kern w:val="0"/>
                <w:sz w:val="21"/>
                <w:szCs w:val="21"/>
                <w:highlight w:val="none"/>
              </w:rPr>
            </w:pPr>
          </w:p>
        </w:tc>
        <w:tc>
          <w:tcPr>
            <w:tcW w:w="684" w:type="dxa"/>
            <w:shd w:val="clear" w:color="auto" w:fill="auto"/>
            <w:noWrap/>
            <w:vAlign w:val="center"/>
          </w:tcPr>
          <w:p w14:paraId="317D79FD">
            <w:pPr>
              <w:spacing w:line="360" w:lineRule="auto"/>
              <w:ind w:firstLine="384"/>
              <w:jc w:val="center"/>
              <w:rPr>
                <w:rFonts w:ascii="宋体" w:hAnsi="宋体" w:cs="宋体"/>
                <w:color w:val="auto"/>
                <w:kern w:val="0"/>
                <w:sz w:val="21"/>
                <w:szCs w:val="21"/>
                <w:highlight w:val="none"/>
              </w:rPr>
            </w:pPr>
          </w:p>
        </w:tc>
        <w:tc>
          <w:tcPr>
            <w:tcW w:w="1643" w:type="dxa"/>
            <w:shd w:val="clear" w:color="auto" w:fill="auto"/>
            <w:noWrap/>
            <w:vAlign w:val="center"/>
          </w:tcPr>
          <w:p w14:paraId="67E1C5E2">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包括维护软件包</w:t>
            </w:r>
          </w:p>
        </w:tc>
      </w:tr>
      <w:tr w14:paraId="78C95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2" w:type="dxa"/>
            <w:shd w:val="clear" w:color="auto" w:fill="auto"/>
            <w:noWrap/>
            <w:vAlign w:val="center"/>
          </w:tcPr>
          <w:p w14:paraId="7BBE1C24">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7_2</w:t>
            </w:r>
          </w:p>
        </w:tc>
        <w:tc>
          <w:tcPr>
            <w:tcW w:w="1643" w:type="dxa"/>
            <w:shd w:val="clear" w:color="auto" w:fill="auto"/>
            <w:noWrap/>
            <w:vAlign w:val="center"/>
          </w:tcPr>
          <w:p w14:paraId="5F3E5EA9">
            <w:pPr>
              <w:spacing w:line="360" w:lineRule="auto"/>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电度表对时工具</w:t>
            </w:r>
          </w:p>
        </w:tc>
        <w:tc>
          <w:tcPr>
            <w:tcW w:w="2603" w:type="dxa"/>
            <w:shd w:val="clear" w:color="auto" w:fill="auto"/>
            <w:noWrap/>
            <w:vAlign w:val="center"/>
          </w:tcPr>
          <w:p w14:paraId="3C1E1DA5">
            <w:pPr>
              <w:spacing w:line="360" w:lineRule="auto"/>
              <w:jc w:val="center"/>
              <w:rPr>
                <w:rFonts w:ascii="宋体" w:hAnsi="宋体" w:cs="宋体"/>
                <w:color w:val="auto"/>
                <w:kern w:val="0"/>
                <w:sz w:val="21"/>
                <w:szCs w:val="21"/>
                <w:highlight w:val="none"/>
              </w:rPr>
            </w:pPr>
          </w:p>
        </w:tc>
        <w:tc>
          <w:tcPr>
            <w:tcW w:w="614" w:type="dxa"/>
            <w:shd w:val="clear" w:color="auto" w:fill="auto"/>
            <w:noWrap/>
            <w:vAlign w:val="center"/>
          </w:tcPr>
          <w:p w14:paraId="2993732E">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322" w:type="dxa"/>
            <w:shd w:val="clear" w:color="auto" w:fill="auto"/>
            <w:noWrap/>
            <w:vAlign w:val="center"/>
          </w:tcPr>
          <w:p w14:paraId="6B1859AD">
            <w:pPr>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293" w:type="dxa"/>
            <w:shd w:val="clear" w:color="auto" w:fill="auto"/>
            <w:noWrap/>
            <w:vAlign w:val="center"/>
          </w:tcPr>
          <w:p w14:paraId="2D5DDE79">
            <w:pPr>
              <w:spacing w:line="360" w:lineRule="auto"/>
              <w:ind w:firstLine="384"/>
              <w:jc w:val="center"/>
              <w:rPr>
                <w:rFonts w:ascii="宋体" w:hAnsi="宋体" w:cs="宋体"/>
                <w:color w:val="auto"/>
                <w:kern w:val="0"/>
                <w:sz w:val="21"/>
                <w:szCs w:val="21"/>
                <w:highlight w:val="none"/>
              </w:rPr>
            </w:pPr>
          </w:p>
        </w:tc>
        <w:tc>
          <w:tcPr>
            <w:tcW w:w="684" w:type="dxa"/>
            <w:shd w:val="clear" w:color="auto" w:fill="auto"/>
            <w:noWrap/>
            <w:vAlign w:val="center"/>
          </w:tcPr>
          <w:p w14:paraId="7F059591">
            <w:pPr>
              <w:spacing w:line="360" w:lineRule="auto"/>
              <w:ind w:firstLine="384"/>
              <w:jc w:val="center"/>
              <w:rPr>
                <w:rFonts w:ascii="宋体" w:hAnsi="宋体" w:cs="宋体"/>
                <w:color w:val="auto"/>
                <w:kern w:val="0"/>
                <w:sz w:val="21"/>
                <w:szCs w:val="21"/>
                <w:highlight w:val="none"/>
              </w:rPr>
            </w:pPr>
          </w:p>
        </w:tc>
        <w:tc>
          <w:tcPr>
            <w:tcW w:w="1643" w:type="dxa"/>
            <w:shd w:val="clear" w:color="auto" w:fill="auto"/>
            <w:noWrap/>
            <w:vAlign w:val="center"/>
          </w:tcPr>
          <w:p w14:paraId="70E9C240">
            <w:pPr>
              <w:widowControl/>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工具选用</w:t>
            </w:r>
            <w:r>
              <w:rPr>
                <w:rFonts w:hint="eastAsia" w:ascii="宋体" w:hAnsi="宋体"/>
                <w:color w:val="auto"/>
                <w:kern w:val="0"/>
                <w:sz w:val="18"/>
                <w:szCs w:val="18"/>
                <w:highlight w:val="none"/>
              </w:rPr>
              <w:t>杭州</w:t>
            </w:r>
            <w:r>
              <w:rPr>
                <w:rFonts w:ascii="宋体" w:hAnsi="宋体"/>
                <w:color w:val="auto"/>
                <w:kern w:val="0"/>
                <w:sz w:val="18"/>
                <w:szCs w:val="18"/>
                <w:highlight w:val="none"/>
              </w:rPr>
              <w:t>涵秀电子</w:t>
            </w:r>
            <w:r>
              <w:rPr>
                <w:rFonts w:hint="eastAsia" w:ascii="宋体" w:hAnsi="宋体"/>
                <w:color w:val="auto"/>
                <w:kern w:val="0"/>
                <w:sz w:val="18"/>
                <w:szCs w:val="18"/>
                <w:highlight w:val="none"/>
                <w:lang w:eastAsia="zh-CN"/>
              </w:rPr>
              <w:t>、</w:t>
            </w:r>
            <w:r>
              <w:rPr>
                <w:rFonts w:hint="eastAsia" w:ascii="宋体" w:hAnsi="宋体" w:cs="宋体"/>
                <w:color w:val="auto"/>
                <w:sz w:val="18"/>
                <w:szCs w:val="18"/>
                <w:highlight w:val="none"/>
              </w:rPr>
              <w:t>成都登禄电力</w:t>
            </w:r>
            <w:r>
              <w:rPr>
                <w:rFonts w:hint="eastAsia" w:ascii="宋体" w:hAnsi="宋体" w:cs="宋体"/>
                <w:color w:val="auto"/>
                <w:sz w:val="18"/>
                <w:szCs w:val="18"/>
                <w:highlight w:val="none"/>
                <w:lang w:eastAsia="zh-CN"/>
              </w:rPr>
              <w:t>、</w:t>
            </w:r>
            <w:r>
              <w:rPr>
                <w:rFonts w:hint="eastAsia" w:ascii="宋体" w:hAnsi="宋体"/>
                <w:bCs/>
                <w:color w:val="auto"/>
                <w:sz w:val="18"/>
                <w:szCs w:val="18"/>
                <w:highlight w:val="none"/>
              </w:rPr>
              <w:t>海盐普源电力</w:t>
            </w:r>
            <w:r>
              <w:rPr>
                <w:rFonts w:hint="eastAsia" w:ascii="宋体" w:hAnsi="宋体"/>
                <w:bCs/>
                <w:color w:val="auto"/>
                <w:sz w:val="18"/>
                <w:szCs w:val="18"/>
                <w:highlight w:val="none"/>
                <w:lang w:val="en-US" w:eastAsia="zh-CN"/>
              </w:rPr>
              <w:t>或相当于品牌</w:t>
            </w:r>
          </w:p>
        </w:tc>
      </w:tr>
      <w:tr w14:paraId="0324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2" w:type="dxa"/>
            <w:shd w:val="clear" w:color="auto" w:fill="auto"/>
            <w:noWrap/>
            <w:vAlign w:val="center"/>
          </w:tcPr>
          <w:p w14:paraId="7762E008">
            <w:pPr>
              <w:widowControl/>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8</w:t>
            </w:r>
          </w:p>
        </w:tc>
        <w:tc>
          <w:tcPr>
            <w:tcW w:w="1643" w:type="dxa"/>
            <w:shd w:val="clear" w:color="auto" w:fill="auto"/>
            <w:noWrap/>
            <w:vAlign w:val="center"/>
          </w:tcPr>
          <w:p w14:paraId="646BA5EC">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技术服务费</w:t>
            </w:r>
          </w:p>
        </w:tc>
        <w:tc>
          <w:tcPr>
            <w:tcW w:w="2603" w:type="dxa"/>
            <w:shd w:val="clear" w:color="auto" w:fill="auto"/>
            <w:noWrap/>
            <w:vAlign w:val="center"/>
          </w:tcPr>
          <w:p w14:paraId="70457154">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331B25F4">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3BD1AB4F">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07A6A111">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0B39F5EE">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6A30759A">
            <w:pPr>
              <w:widowControl/>
              <w:jc w:val="center"/>
              <w:rPr>
                <w:rFonts w:ascii="宋体" w:hAnsi="宋体" w:cs="宋体"/>
                <w:color w:val="auto"/>
                <w:kern w:val="0"/>
                <w:sz w:val="21"/>
                <w:szCs w:val="21"/>
                <w:highlight w:val="none"/>
              </w:rPr>
            </w:pPr>
          </w:p>
        </w:tc>
      </w:tr>
      <w:tr w14:paraId="7947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2" w:type="dxa"/>
            <w:shd w:val="clear" w:color="auto" w:fill="auto"/>
            <w:noWrap/>
            <w:vAlign w:val="center"/>
          </w:tcPr>
          <w:p w14:paraId="6EC28E43">
            <w:pPr>
              <w:widowControl/>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9</w:t>
            </w:r>
          </w:p>
        </w:tc>
        <w:tc>
          <w:tcPr>
            <w:tcW w:w="1643" w:type="dxa"/>
            <w:shd w:val="clear" w:color="auto" w:fill="auto"/>
            <w:noWrap/>
            <w:vAlign w:val="center"/>
          </w:tcPr>
          <w:p w14:paraId="3F05E62B">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运保费</w:t>
            </w:r>
          </w:p>
        </w:tc>
        <w:tc>
          <w:tcPr>
            <w:tcW w:w="2603" w:type="dxa"/>
            <w:shd w:val="clear" w:color="auto" w:fill="auto"/>
            <w:noWrap/>
            <w:vAlign w:val="center"/>
          </w:tcPr>
          <w:p w14:paraId="28DBA303">
            <w:pPr>
              <w:widowControl/>
              <w:jc w:val="center"/>
              <w:rPr>
                <w:rFonts w:ascii="宋体" w:hAnsi="宋体" w:cs="宋体"/>
                <w:color w:val="auto"/>
                <w:kern w:val="0"/>
                <w:sz w:val="21"/>
                <w:szCs w:val="21"/>
                <w:highlight w:val="none"/>
              </w:rPr>
            </w:pPr>
          </w:p>
        </w:tc>
        <w:tc>
          <w:tcPr>
            <w:tcW w:w="614" w:type="dxa"/>
            <w:shd w:val="clear" w:color="auto" w:fill="auto"/>
            <w:noWrap/>
            <w:vAlign w:val="center"/>
          </w:tcPr>
          <w:p w14:paraId="6B04DBEF">
            <w:pPr>
              <w:widowControl/>
              <w:jc w:val="center"/>
              <w:rPr>
                <w:rFonts w:ascii="宋体" w:hAnsi="宋体" w:cs="宋体"/>
                <w:color w:val="auto"/>
                <w:kern w:val="0"/>
                <w:sz w:val="21"/>
                <w:szCs w:val="21"/>
                <w:highlight w:val="none"/>
              </w:rPr>
            </w:pPr>
          </w:p>
        </w:tc>
        <w:tc>
          <w:tcPr>
            <w:tcW w:w="322" w:type="dxa"/>
            <w:shd w:val="clear" w:color="auto" w:fill="auto"/>
            <w:noWrap/>
            <w:vAlign w:val="center"/>
          </w:tcPr>
          <w:p w14:paraId="6B10E1B1">
            <w:pPr>
              <w:widowControl/>
              <w:jc w:val="center"/>
              <w:rPr>
                <w:rFonts w:ascii="宋体" w:hAnsi="宋体" w:cs="宋体"/>
                <w:color w:val="auto"/>
                <w:kern w:val="0"/>
                <w:sz w:val="21"/>
                <w:szCs w:val="21"/>
                <w:highlight w:val="none"/>
              </w:rPr>
            </w:pPr>
          </w:p>
        </w:tc>
        <w:tc>
          <w:tcPr>
            <w:tcW w:w="293" w:type="dxa"/>
            <w:shd w:val="clear" w:color="auto" w:fill="auto"/>
            <w:noWrap/>
            <w:vAlign w:val="center"/>
          </w:tcPr>
          <w:p w14:paraId="3D6FD9B9">
            <w:pPr>
              <w:widowControl/>
              <w:jc w:val="center"/>
              <w:rPr>
                <w:rFonts w:ascii="宋体" w:hAnsi="宋体" w:cs="宋体"/>
                <w:color w:val="auto"/>
                <w:kern w:val="0"/>
                <w:sz w:val="21"/>
                <w:szCs w:val="21"/>
                <w:highlight w:val="none"/>
              </w:rPr>
            </w:pPr>
          </w:p>
        </w:tc>
        <w:tc>
          <w:tcPr>
            <w:tcW w:w="684" w:type="dxa"/>
            <w:shd w:val="clear" w:color="auto" w:fill="auto"/>
            <w:noWrap/>
            <w:vAlign w:val="center"/>
          </w:tcPr>
          <w:p w14:paraId="122C0BF9">
            <w:pPr>
              <w:widowControl/>
              <w:jc w:val="center"/>
              <w:rPr>
                <w:rFonts w:ascii="宋体" w:hAnsi="宋体" w:cs="宋体"/>
                <w:color w:val="auto"/>
                <w:kern w:val="0"/>
                <w:sz w:val="21"/>
                <w:szCs w:val="21"/>
                <w:highlight w:val="none"/>
              </w:rPr>
            </w:pPr>
          </w:p>
        </w:tc>
        <w:tc>
          <w:tcPr>
            <w:tcW w:w="1643" w:type="dxa"/>
            <w:shd w:val="clear" w:color="auto" w:fill="auto"/>
            <w:noWrap/>
            <w:vAlign w:val="center"/>
          </w:tcPr>
          <w:p w14:paraId="7824E555">
            <w:pPr>
              <w:widowControl/>
              <w:jc w:val="center"/>
              <w:rPr>
                <w:rFonts w:ascii="宋体" w:hAnsi="宋体" w:cs="宋体"/>
                <w:color w:val="auto"/>
                <w:kern w:val="0"/>
                <w:sz w:val="21"/>
                <w:szCs w:val="21"/>
                <w:highlight w:val="none"/>
              </w:rPr>
            </w:pPr>
          </w:p>
        </w:tc>
      </w:tr>
    </w:tbl>
    <w:p w14:paraId="5D555E5F">
      <w:pPr>
        <w:autoSpaceDE w:val="0"/>
        <w:autoSpaceDN w:val="0"/>
        <w:adjustRightInd w:val="0"/>
        <w:spacing w:beforeLines="100"/>
        <w:jc w:val="center"/>
        <w:textAlignment w:val="bottom"/>
        <w:rPr>
          <w:rFonts w:hint="default" w:ascii="宋体" w:eastAsia="宋体"/>
          <w:color w:val="auto"/>
          <w:position w:val="-6"/>
          <w:sz w:val="21"/>
          <w:highlight w:val="none"/>
          <w:lang w:val="en-US" w:eastAsia="zh-CN"/>
        </w:rPr>
      </w:pPr>
    </w:p>
    <w:bookmarkEnd w:id="63"/>
    <w:bookmarkEnd w:id="64"/>
    <w:bookmarkEnd w:id="65"/>
    <w:bookmarkEnd w:id="66"/>
    <w:bookmarkEnd w:id="67"/>
    <w:p w14:paraId="7403B6E0">
      <w:pPr>
        <w:spacing w:line="240" w:lineRule="auto"/>
        <w:outlineLvl w:val="9"/>
        <w:rPr>
          <w:rFonts w:hint="eastAsia" w:ascii="宋体"/>
          <w:b/>
          <w:color w:val="auto"/>
          <w:sz w:val="30"/>
          <w:szCs w:val="30"/>
          <w:highlight w:val="none"/>
        </w:rPr>
      </w:pPr>
      <w:bookmarkStart w:id="80" w:name="_Toc74107976"/>
      <w:bookmarkStart w:id="81" w:name="_Toc509632898"/>
      <w:bookmarkStart w:id="82" w:name="_Toc509633010"/>
      <w:bookmarkStart w:id="83" w:name="_Toc502332509"/>
      <w:bookmarkStart w:id="84" w:name="_Toc334015522"/>
      <w:bookmarkStart w:id="85" w:name="_Toc509576599"/>
      <w:bookmarkStart w:id="86" w:name="_Toc502331814"/>
      <w:bookmarkStart w:id="87" w:name="_Toc48273164"/>
      <w:r>
        <w:rPr>
          <w:rFonts w:hint="eastAsia" w:ascii="宋体"/>
          <w:b/>
          <w:color w:val="auto"/>
          <w:sz w:val="30"/>
          <w:szCs w:val="30"/>
          <w:highlight w:val="none"/>
        </w:rPr>
        <w:br w:type="page"/>
      </w:r>
    </w:p>
    <w:p w14:paraId="0F390DB2">
      <w:pPr>
        <w:spacing w:line="360" w:lineRule="auto"/>
        <w:outlineLvl w:val="0"/>
        <w:rPr>
          <w:rFonts w:ascii="宋体"/>
          <w:b/>
          <w:color w:val="auto"/>
          <w:sz w:val="30"/>
          <w:szCs w:val="30"/>
          <w:highlight w:val="none"/>
        </w:rPr>
      </w:pPr>
      <w:r>
        <w:rPr>
          <w:rFonts w:hint="eastAsia" w:ascii="宋体"/>
          <w:b/>
          <w:color w:val="auto"/>
          <w:sz w:val="30"/>
          <w:szCs w:val="30"/>
          <w:highlight w:val="none"/>
        </w:rPr>
        <w:t>附件3技术资料和交付进度</w:t>
      </w:r>
      <w:bookmarkEnd w:id="80"/>
      <w:bookmarkEnd w:id="81"/>
      <w:bookmarkEnd w:id="82"/>
      <w:bookmarkEnd w:id="83"/>
      <w:bookmarkEnd w:id="84"/>
      <w:bookmarkEnd w:id="85"/>
      <w:bookmarkEnd w:id="86"/>
      <w:bookmarkEnd w:id="87"/>
    </w:p>
    <w:p w14:paraId="644B4DCB">
      <w:pPr>
        <w:spacing w:line="360" w:lineRule="auto"/>
        <w:rPr>
          <w:rFonts w:ascii="宋体"/>
          <w:b/>
          <w:color w:val="auto"/>
          <w:sz w:val="24"/>
          <w:szCs w:val="24"/>
          <w:highlight w:val="none"/>
        </w:rPr>
      </w:pPr>
      <w:r>
        <w:rPr>
          <w:rFonts w:hint="eastAsia" w:ascii="宋体"/>
          <w:b/>
          <w:color w:val="auto"/>
          <w:sz w:val="24"/>
          <w:szCs w:val="24"/>
          <w:highlight w:val="none"/>
        </w:rPr>
        <w:t>1. 一般要求</w:t>
      </w:r>
    </w:p>
    <w:p w14:paraId="290D6898">
      <w:pPr>
        <w:spacing w:line="360" w:lineRule="auto"/>
        <w:rPr>
          <w:rFonts w:ascii="宋体" w:hAnsi="宋体"/>
          <w:color w:val="auto"/>
          <w:sz w:val="24"/>
          <w:szCs w:val="24"/>
          <w:highlight w:val="none"/>
        </w:rPr>
      </w:pPr>
      <w:bookmarkStart w:id="88" w:name="OLE_LINK2"/>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1 投标人提供的资料应使用国家法定单位制 (语言为中文) ，进口部件的外文图纸及文件应由投标人免费翻译成中文。图纸资料除提供书面文件外还应提供光盘形式电子文件。图纸应为AutoCAD格式，文本文件应为Word/Excel格式。</w:t>
      </w:r>
    </w:p>
    <w:p w14:paraId="43509F7A">
      <w:pPr>
        <w:spacing w:line="360" w:lineRule="auto"/>
        <w:rPr>
          <w:rFonts w:ascii="宋体" w:hAnsi="宋体"/>
          <w:color w:val="auto"/>
          <w:sz w:val="24"/>
          <w:szCs w:val="24"/>
          <w:highlight w:val="none"/>
        </w:rPr>
      </w:pPr>
      <w:r>
        <w:rPr>
          <w:rFonts w:hint="eastAsia" w:ascii="宋体" w:hAnsi="宋体"/>
          <w:color w:val="auto"/>
          <w:sz w:val="24"/>
          <w:szCs w:val="24"/>
          <w:highlight w:val="none"/>
        </w:rPr>
        <w:t>1.2 资料的组织结构清晰、逻辑性强。资料内容正确、准确、一致、清晰完整，满足工程要求。</w:t>
      </w:r>
    </w:p>
    <w:p w14:paraId="33B593BB">
      <w:pPr>
        <w:spacing w:line="360" w:lineRule="auto"/>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3 投标人资料的提交应及时、充分，正确，满足工程进度要求。在合同签订后</w:t>
      </w:r>
      <w:r>
        <w:rPr>
          <w:rFonts w:ascii="宋体" w:hAnsi="宋体"/>
          <w:color w:val="auto"/>
          <w:sz w:val="24"/>
          <w:szCs w:val="24"/>
          <w:highlight w:val="none"/>
        </w:rPr>
        <w:t xml:space="preserve"> 5 </w:t>
      </w:r>
      <w:r>
        <w:rPr>
          <w:rFonts w:hint="eastAsia" w:ascii="宋体" w:hAnsi="宋体"/>
          <w:color w:val="auto"/>
          <w:sz w:val="24"/>
          <w:szCs w:val="24"/>
          <w:highlight w:val="none"/>
        </w:rPr>
        <w:t>天内给出配合工程设计的全部技术资料和交付进度清单，并经招标人确认。</w:t>
      </w:r>
    </w:p>
    <w:p w14:paraId="40DF3602">
      <w:pPr>
        <w:spacing w:line="360" w:lineRule="auto"/>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4 投标人提供的技术资料分为投标阶段，配合设计阶段，设备监造检验、施工调试试运、性能试验验收和运行维护等四个方面。投标人须满足以上四个方面的具体要求。</w:t>
      </w:r>
    </w:p>
    <w:p w14:paraId="6C1494C9">
      <w:pPr>
        <w:spacing w:line="360" w:lineRule="auto"/>
        <w:rPr>
          <w:rFonts w:ascii="宋体" w:hAnsi="宋体"/>
          <w:color w:val="auto"/>
          <w:sz w:val="24"/>
          <w:szCs w:val="24"/>
          <w:highlight w:val="none"/>
        </w:rPr>
      </w:pPr>
      <w:r>
        <w:rPr>
          <w:rFonts w:hint="eastAsia" w:ascii="宋体" w:hAnsi="宋体"/>
          <w:color w:val="auto"/>
          <w:sz w:val="24"/>
          <w:szCs w:val="24"/>
          <w:highlight w:val="none"/>
        </w:rPr>
        <w:t>1.5 对于其它没有列入合同技术资料清单，却是工程所必需文件和资料，一经发现，投标人应及时免费提供。本期工程为多台设备构成，如后续设备有改进时，投标人也应及时免费提供新的技术资料。</w:t>
      </w:r>
    </w:p>
    <w:p w14:paraId="6F17724F">
      <w:pPr>
        <w:spacing w:line="360" w:lineRule="auto"/>
        <w:rPr>
          <w:rFonts w:ascii="宋体" w:hAnsi="宋体"/>
          <w:color w:val="auto"/>
          <w:sz w:val="24"/>
          <w:szCs w:val="24"/>
          <w:highlight w:val="none"/>
        </w:rPr>
      </w:pPr>
      <w:r>
        <w:rPr>
          <w:rFonts w:hint="eastAsia" w:ascii="宋体" w:hAnsi="宋体"/>
          <w:color w:val="auto"/>
          <w:sz w:val="24"/>
          <w:szCs w:val="24"/>
          <w:highlight w:val="none"/>
        </w:rPr>
        <w:t>1.6 招标人要及时提供与合同设备设计制造有关的资料。</w:t>
      </w:r>
    </w:p>
    <w:p w14:paraId="595A43BC">
      <w:pPr>
        <w:spacing w:line="360" w:lineRule="auto"/>
        <w:rPr>
          <w:rFonts w:ascii="宋体" w:hAnsi="宋体"/>
          <w:color w:val="auto"/>
          <w:sz w:val="24"/>
          <w:szCs w:val="24"/>
          <w:highlight w:val="none"/>
          <w:u w:val="single"/>
        </w:rPr>
      </w:pPr>
      <w:r>
        <w:rPr>
          <w:rFonts w:ascii="宋体" w:hAnsi="宋体"/>
          <w:color w:val="auto"/>
          <w:sz w:val="24"/>
          <w:szCs w:val="24"/>
          <w:highlight w:val="none"/>
        </w:rPr>
        <w:t>1.7</w:t>
      </w:r>
      <w:r>
        <w:rPr>
          <w:rFonts w:hint="eastAsia" w:ascii="宋体" w:hAnsi="宋体"/>
          <w:color w:val="auto"/>
          <w:sz w:val="24"/>
          <w:szCs w:val="24"/>
          <w:highlight w:val="none"/>
        </w:rPr>
        <w:t xml:space="preserve"> 投标人应在合同签订后15天内，向招标人提供满足设计院初步设计需要的资料共</w:t>
      </w:r>
      <w:r>
        <w:rPr>
          <w:rFonts w:hint="eastAsia" w:ascii="宋体" w:hAnsi="宋体"/>
          <w:color w:val="auto"/>
          <w:sz w:val="24"/>
          <w:szCs w:val="24"/>
          <w:highlight w:val="none"/>
          <w:u w:val="single"/>
        </w:rPr>
        <w:t>10套（其中设计院3套，业主方7套），另加2套电子文档（设计院和业主方各1套）。</w:t>
      </w:r>
    </w:p>
    <w:p w14:paraId="21CD910C">
      <w:pPr>
        <w:spacing w:line="360" w:lineRule="auto"/>
        <w:rPr>
          <w:rFonts w:ascii="宋体" w:hAnsi="宋体"/>
          <w:color w:val="auto"/>
          <w:sz w:val="24"/>
          <w:szCs w:val="24"/>
          <w:highlight w:val="none"/>
        </w:rPr>
      </w:pPr>
      <w:r>
        <w:rPr>
          <w:rFonts w:hint="eastAsia" w:ascii="宋体" w:hAnsi="宋体"/>
          <w:color w:val="auto"/>
          <w:sz w:val="24"/>
          <w:szCs w:val="24"/>
          <w:highlight w:val="none"/>
        </w:rPr>
        <w:t>1.8 合同签订后六个月投标人提供的与设备设计、制造、监造、检验、施工、安装、调试、验收等有关的技术资料，</w:t>
      </w:r>
      <w:r>
        <w:rPr>
          <w:rFonts w:hint="eastAsia" w:ascii="宋体" w:hAnsi="宋体"/>
          <w:color w:val="auto"/>
          <w:sz w:val="24"/>
          <w:szCs w:val="24"/>
          <w:highlight w:val="none"/>
          <w:u w:val="single"/>
        </w:rPr>
        <w:t>为</w:t>
      </w:r>
      <w:r>
        <w:rPr>
          <w:rFonts w:ascii="宋体" w:hAnsi="宋体"/>
          <w:color w:val="auto"/>
          <w:sz w:val="24"/>
          <w:szCs w:val="24"/>
          <w:highlight w:val="none"/>
          <w:u w:val="single"/>
        </w:rPr>
        <w:t>1</w:t>
      </w:r>
      <w:r>
        <w:rPr>
          <w:rFonts w:hint="eastAsia" w:ascii="宋体" w:hAnsi="宋体"/>
          <w:color w:val="auto"/>
          <w:sz w:val="24"/>
          <w:szCs w:val="24"/>
          <w:highlight w:val="none"/>
          <w:u w:val="single"/>
        </w:rPr>
        <w:t>8套纸质文件（随机</w:t>
      </w:r>
      <w:r>
        <w:rPr>
          <w:rFonts w:ascii="宋体" w:hAnsi="宋体"/>
          <w:color w:val="auto"/>
          <w:sz w:val="24"/>
          <w:szCs w:val="24"/>
          <w:highlight w:val="none"/>
          <w:u w:val="single"/>
        </w:rPr>
        <w:t>2</w:t>
      </w:r>
      <w:r>
        <w:rPr>
          <w:rFonts w:hint="eastAsia" w:ascii="宋体" w:hAnsi="宋体"/>
          <w:color w:val="auto"/>
          <w:sz w:val="24"/>
          <w:szCs w:val="24"/>
          <w:highlight w:val="none"/>
          <w:u w:val="single"/>
        </w:rPr>
        <w:t>套，设计院4套，招标人12套），电子文件每台机组5套（设计院2套，招标人3套）</w:t>
      </w:r>
      <w:r>
        <w:rPr>
          <w:rFonts w:hint="eastAsia" w:ascii="宋体" w:hAnsi="宋体"/>
          <w:color w:val="auto"/>
          <w:sz w:val="24"/>
          <w:szCs w:val="24"/>
          <w:highlight w:val="none"/>
        </w:rPr>
        <w:t>。</w:t>
      </w:r>
    </w:p>
    <w:p w14:paraId="3FCDFD75">
      <w:pPr>
        <w:spacing w:line="360" w:lineRule="auto"/>
        <w:rPr>
          <w:rFonts w:ascii="宋体" w:hAnsi="宋体"/>
          <w:color w:val="auto"/>
          <w:sz w:val="24"/>
          <w:szCs w:val="24"/>
          <w:highlight w:val="none"/>
        </w:rPr>
      </w:pPr>
      <w:r>
        <w:rPr>
          <w:rFonts w:hint="eastAsia" w:ascii="宋体" w:hAnsi="宋体"/>
          <w:color w:val="auto"/>
          <w:sz w:val="24"/>
          <w:szCs w:val="24"/>
          <w:highlight w:val="none"/>
        </w:rPr>
        <w:t>1.9设备安装调试完毕后，投</w:t>
      </w:r>
      <w:r>
        <w:rPr>
          <w:rFonts w:hint="eastAsia" w:ascii="宋体" w:hAnsi="宋体"/>
          <w:color w:val="auto"/>
          <w:sz w:val="24"/>
          <w:szCs w:val="24"/>
          <w:highlight w:val="none"/>
          <w:u w:val="single"/>
        </w:rPr>
        <w:t>标人应提供6套（设计院1套，招标人5套）完整的设备竣工图，另加3套电子版。</w:t>
      </w:r>
    </w:p>
    <w:p w14:paraId="5FE76409">
      <w:pPr>
        <w:spacing w:line="360" w:lineRule="auto"/>
        <w:rPr>
          <w:rFonts w:ascii="宋体" w:hAnsi="宋体"/>
          <w:color w:val="auto"/>
          <w:sz w:val="24"/>
          <w:szCs w:val="24"/>
          <w:highlight w:val="none"/>
          <w:u w:val="single"/>
        </w:rPr>
      </w:pPr>
      <w:r>
        <w:rPr>
          <w:rFonts w:hint="eastAsia" w:ascii="宋体" w:hAnsi="宋体"/>
          <w:color w:val="auto"/>
          <w:sz w:val="24"/>
          <w:szCs w:val="24"/>
          <w:highlight w:val="none"/>
        </w:rPr>
        <w:t>1.10投标人提供运行和维护手册、培训手册</w:t>
      </w:r>
      <w:r>
        <w:rPr>
          <w:rFonts w:hint="eastAsia" w:ascii="宋体" w:hAnsi="宋体"/>
          <w:color w:val="auto"/>
          <w:sz w:val="24"/>
          <w:szCs w:val="24"/>
          <w:highlight w:val="none"/>
          <w:u w:val="single"/>
        </w:rPr>
        <w:t>18 套纸质文件，另加2套电子版。其它资料（标准规范、质量计划等）提供6套。</w:t>
      </w:r>
    </w:p>
    <w:p w14:paraId="00467E7E">
      <w:pPr>
        <w:spacing w:line="460" w:lineRule="exact"/>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11投标人提供的图纸应清晰，不得提供缩微复印的图纸。</w:t>
      </w:r>
    </w:p>
    <w:p w14:paraId="7A7429C0">
      <w:pPr>
        <w:spacing w:line="460" w:lineRule="exact"/>
        <w:rPr>
          <w:rFonts w:ascii="宋体" w:hAnsi="宋体"/>
          <w:color w:val="auto"/>
          <w:sz w:val="24"/>
          <w:szCs w:val="24"/>
          <w:highlight w:val="none"/>
        </w:rPr>
      </w:pPr>
      <w:r>
        <w:rPr>
          <w:rFonts w:hint="eastAsia" w:ascii="宋体" w:hAnsi="宋体"/>
          <w:color w:val="auto"/>
          <w:sz w:val="24"/>
          <w:szCs w:val="24"/>
          <w:highlight w:val="none"/>
        </w:rPr>
        <w:t>1.12投标人提供的所有资料（包括图纸）均应有本工程专用标识，即盖有“</w:t>
      </w:r>
      <w:r>
        <w:rPr>
          <w:rFonts w:hint="eastAsia" w:ascii="宋体" w:hAnsi="宋体" w:eastAsia="宋体" w:cs="Times New Roman"/>
          <w:color w:val="auto"/>
          <w:sz w:val="24"/>
          <w:szCs w:val="24"/>
          <w:highlight w:val="none"/>
        </w:rPr>
        <w:t>浙能武威2×1000MW调峰火电机组</w:t>
      </w:r>
      <w:r>
        <w:rPr>
          <w:rFonts w:hint="eastAsia" w:ascii="宋体" w:hAnsi="宋体" w:eastAsia="宋体" w:cs="Times New Roman"/>
          <w:color w:val="auto"/>
          <w:sz w:val="24"/>
          <w:szCs w:val="24"/>
          <w:highlight w:val="none"/>
          <w:lang w:val="en-US" w:eastAsia="zh-CN"/>
        </w:rPr>
        <w:t>工程</w:t>
      </w:r>
      <w:r>
        <w:rPr>
          <w:rFonts w:hint="eastAsia" w:ascii="宋体" w:hAnsi="宋体" w:eastAsia="宋体" w:cs="Times New Roman"/>
          <w:color w:val="auto"/>
          <w:sz w:val="24"/>
          <w:szCs w:val="24"/>
          <w:highlight w:val="none"/>
        </w:rPr>
        <w:t>专用</w:t>
      </w:r>
      <w:r>
        <w:rPr>
          <w:rFonts w:hint="eastAsia" w:ascii="宋体" w:hAnsi="宋体"/>
          <w:color w:val="auto"/>
          <w:sz w:val="24"/>
          <w:szCs w:val="24"/>
          <w:highlight w:val="none"/>
        </w:rPr>
        <w:t>”图章，修改版资料对修改部分应有明显的标识或标注。</w:t>
      </w:r>
    </w:p>
    <w:p w14:paraId="6874D665">
      <w:pPr>
        <w:spacing w:line="460" w:lineRule="exact"/>
        <w:rPr>
          <w:rFonts w:ascii="宋体" w:hAnsi="宋体"/>
          <w:color w:val="auto"/>
          <w:sz w:val="24"/>
          <w:szCs w:val="24"/>
          <w:highlight w:val="none"/>
        </w:rPr>
      </w:pPr>
      <w:r>
        <w:rPr>
          <w:rFonts w:hint="eastAsia" w:ascii="宋体" w:hAnsi="宋体"/>
          <w:color w:val="auto"/>
          <w:sz w:val="24"/>
          <w:szCs w:val="24"/>
          <w:highlight w:val="none"/>
        </w:rPr>
        <w:t>1.13 投标人按招标人的要求，编制所供设备的KKS编码。</w:t>
      </w:r>
    </w:p>
    <w:bookmarkEnd w:id="88"/>
    <w:p w14:paraId="534B0ADD">
      <w:pPr>
        <w:spacing w:line="400" w:lineRule="atLeast"/>
        <w:rPr>
          <w:rFonts w:ascii="宋体" w:hAnsi="宋体"/>
          <w:color w:val="auto"/>
          <w:sz w:val="24"/>
          <w:szCs w:val="24"/>
          <w:highlight w:val="none"/>
        </w:rPr>
      </w:pPr>
    </w:p>
    <w:p w14:paraId="6A05B877">
      <w:pPr>
        <w:spacing w:line="360" w:lineRule="auto"/>
        <w:rPr>
          <w:rFonts w:ascii="宋体" w:hAnsi="宋体"/>
          <w:b/>
          <w:color w:val="auto"/>
          <w:sz w:val="24"/>
          <w:szCs w:val="24"/>
          <w:highlight w:val="none"/>
        </w:rPr>
      </w:pPr>
      <w:r>
        <w:rPr>
          <w:rFonts w:hint="eastAsia" w:ascii="宋体" w:hAnsi="宋体"/>
          <w:b/>
          <w:color w:val="auto"/>
          <w:sz w:val="24"/>
          <w:szCs w:val="24"/>
          <w:highlight w:val="none"/>
        </w:rPr>
        <w:t>2. 资料提交的基本要求</w:t>
      </w:r>
    </w:p>
    <w:p w14:paraId="14601C17">
      <w:pPr>
        <w:spacing w:line="360" w:lineRule="auto"/>
        <w:rPr>
          <w:rFonts w:asci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1</w:t>
      </w:r>
      <w:r>
        <w:rPr>
          <w:rFonts w:hint="eastAsia" w:ascii="宋体"/>
          <w:color w:val="auto"/>
          <w:sz w:val="24"/>
          <w:szCs w:val="24"/>
          <w:highlight w:val="none"/>
        </w:rPr>
        <w:t>投标人随投标文件应提供的资料</w:t>
      </w:r>
    </w:p>
    <w:p w14:paraId="5C47DE54">
      <w:pPr>
        <w:tabs>
          <w:tab w:val="left" w:pos="840"/>
        </w:tabs>
        <w:spacing w:line="360" w:lineRule="auto"/>
        <w:ind w:firstLine="480" w:firstLineChars="200"/>
        <w:rPr>
          <w:rFonts w:ascii="宋体"/>
          <w:color w:val="auto"/>
          <w:sz w:val="24"/>
          <w:szCs w:val="24"/>
          <w:highlight w:val="none"/>
        </w:rPr>
      </w:pPr>
      <w:r>
        <w:rPr>
          <w:rFonts w:hint="eastAsia" w:ascii="宋体"/>
          <w:color w:val="auto"/>
          <w:sz w:val="24"/>
          <w:szCs w:val="24"/>
          <w:highlight w:val="none"/>
        </w:rPr>
        <w:t>投标人应在投标文件中提供与本规范书有关的设备特性指标、设计、制造的图纸、文件和说明</w:t>
      </w:r>
      <w:r>
        <w:rPr>
          <w:rFonts w:ascii="宋体"/>
          <w:color w:val="auto"/>
          <w:sz w:val="24"/>
          <w:szCs w:val="24"/>
          <w:highlight w:val="none"/>
        </w:rPr>
        <w:t>(</w:t>
      </w:r>
      <w:r>
        <w:rPr>
          <w:rFonts w:hint="eastAsia" w:ascii="宋体"/>
          <w:color w:val="auto"/>
          <w:sz w:val="24"/>
          <w:szCs w:val="24"/>
          <w:highlight w:val="none"/>
        </w:rPr>
        <w:t>包括功能等</w:t>
      </w:r>
      <w:r>
        <w:rPr>
          <w:rFonts w:ascii="宋体"/>
          <w:color w:val="auto"/>
          <w:sz w:val="24"/>
          <w:szCs w:val="24"/>
          <w:highlight w:val="none"/>
        </w:rPr>
        <w:t>)</w:t>
      </w:r>
      <w:r>
        <w:rPr>
          <w:rFonts w:hint="eastAsia" w:ascii="宋体"/>
          <w:color w:val="auto"/>
          <w:sz w:val="24"/>
          <w:szCs w:val="24"/>
          <w:highlight w:val="none"/>
        </w:rPr>
        <w:t>手册，其中包括标准部件、各种逻辑回路、继电器、选择开关、信号灯等的技术资料以备招标人查核，资料中还应包括各种设备的额定值数据、接点数量及其数据、各元件性能、功率消耗</w:t>
      </w:r>
      <w:r>
        <w:rPr>
          <w:rFonts w:ascii="宋体"/>
          <w:color w:val="auto"/>
          <w:sz w:val="24"/>
          <w:szCs w:val="24"/>
          <w:highlight w:val="none"/>
        </w:rPr>
        <w:t>(</w:t>
      </w:r>
      <w:r>
        <w:rPr>
          <w:rFonts w:hint="eastAsia" w:ascii="宋体"/>
          <w:color w:val="auto"/>
          <w:sz w:val="24"/>
          <w:szCs w:val="24"/>
          <w:highlight w:val="none"/>
        </w:rPr>
        <w:t>包括交流及直流回路，正常及动作情况</w:t>
      </w:r>
      <w:r>
        <w:rPr>
          <w:rFonts w:ascii="宋体"/>
          <w:color w:val="auto"/>
          <w:sz w:val="24"/>
          <w:szCs w:val="24"/>
          <w:highlight w:val="none"/>
        </w:rPr>
        <w:t>)</w:t>
      </w:r>
      <w:r>
        <w:rPr>
          <w:rFonts w:hint="eastAsia" w:ascii="宋体"/>
          <w:color w:val="auto"/>
          <w:sz w:val="24"/>
          <w:szCs w:val="24"/>
          <w:highlight w:val="none"/>
        </w:rPr>
        <w:t>和使用说明等，并对其所提供的全部技术资料的准确性负责。投标人应在报价书中提供偏差文件，逐条提出是否满足本规范书的各条款，还应提供控制逻辑和控制回路供确认。</w:t>
      </w:r>
    </w:p>
    <w:p w14:paraId="1B1A0DB5">
      <w:pPr>
        <w:tabs>
          <w:tab w:val="left" w:pos="840"/>
        </w:tabs>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应提供下列足以证明设备性能的技术数据和所需的技术资料，但不限于下列资料。</w:t>
      </w:r>
    </w:p>
    <w:p w14:paraId="0B9AC64F">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报价者应提供已设计和供货过的升压站计算机监控系统的供货业绩。</w:t>
      </w:r>
    </w:p>
    <w:p w14:paraId="6FC73258">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计算机监控系统的配置图。</w:t>
      </w:r>
    </w:p>
    <w:p w14:paraId="758E9263">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监控屏和接口屏屏面布置图。</w:t>
      </w:r>
    </w:p>
    <w:p w14:paraId="4251A09A">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计算机监控系统设备布置图，表示计算机监控系统各设备的布置，说明各主要尺寸，并在进口件清单中汇总。</w:t>
      </w:r>
    </w:p>
    <w:p w14:paraId="1AD77A51">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与用户设备的接口说明，所满足的通讯规约。</w:t>
      </w:r>
    </w:p>
    <w:p w14:paraId="3CF90A72">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间隔级控制层和站级控制层之间的通讯方案。</w:t>
      </w:r>
    </w:p>
    <w:p w14:paraId="2B1DFB62">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所供设备对环境、电源、接地和其他的要求。</w:t>
      </w:r>
    </w:p>
    <w:p w14:paraId="02980DDB">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系统的防干扰措施。</w:t>
      </w:r>
    </w:p>
    <w:p w14:paraId="531B7D5C">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所供设备适用的全部标准。</w:t>
      </w:r>
    </w:p>
    <w:p w14:paraId="00B681D6">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在正常情况下，设备的使用期限。</w:t>
      </w:r>
    </w:p>
    <w:p w14:paraId="37A2D177">
      <w:pPr>
        <w:numPr>
          <w:ilvl w:val="0"/>
          <w:numId w:val="67"/>
        </w:numPr>
        <w:spacing w:line="360" w:lineRule="auto"/>
        <w:rPr>
          <w:rFonts w:ascii="宋体"/>
          <w:color w:val="auto"/>
          <w:sz w:val="24"/>
          <w:szCs w:val="24"/>
          <w:highlight w:val="none"/>
        </w:rPr>
      </w:pPr>
      <w:r>
        <w:rPr>
          <w:rFonts w:hint="eastAsia" w:ascii="宋体"/>
          <w:color w:val="auto"/>
          <w:sz w:val="24"/>
          <w:szCs w:val="24"/>
          <w:highlight w:val="none"/>
        </w:rPr>
        <w:t>报价书中应按“供货清单”分项列明外购的设备和软件，并说明其维修服务的保障能力。</w:t>
      </w:r>
    </w:p>
    <w:p w14:paraId="4D41FCCA">
      <w:pPr>
        <w:spacing w:line="360" w:lineRule="auto"/>
        <w:rPr>
          <w:rFonts w:ascii="宋体"/>
          <w:color w:val="auto"/>
          <w:sz w:val="24"/>
          <w:szCs w:val="24"/>
          <w:highlight w:val="none"/>
        </w:rPr>
      </w:pPr>
      <w:r>
        <w:rPr>
          <w:rFonts w:hint="eastAsia" w:ascii="宋体"/>
          <w:color w:val="auto"/>
          <w:sz w:val="24"/>
          <w:szCs w:val="24"/>
          <w:highlight w:val="none"/>
        </w:rPr>
        <w:t>2.2 供确认和参考的图纸和资料</w:t>
      </w:r>
    </w:p>
    <w:p w14:paraId="67A3EBFA">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在合同生效后</w:t>
      </w:r>
      <w:r>
        <w:rPr>
          <w:rFonts w:ascii="宋体"/>
          <w:color w:val="auto"/>
          <w:sz w:val="24"/>
          <w:szCs w:val="24"/>
          <w:highlight w:val="none"/>
        </w:rPr>
        <w:t>4</w:t>
      </w:r>
      <w:r>
        <w:rPr>
          <w:rFonts w:hint="eastAsia" w:ascii="宋体"/>
          <w:color w:val="auto"/>
          <w:sz w:val="24"/>
          <w:szCs w:val="24"/>
          <w:highlight w:val="none"/>
        </w:rPr>
        <w:t>周内，投标人应提供下列供确认和参考的资料和图纸</w:t>
      </w:r>
      <w:r>
        <w:rPr>
          <w:rFonts w:ascii="宋体"/>
          <w:color w:val="auto"/>
          <w:sz w:val="24"/>
          <w:szCs w:val="24"/>
          <w:highlight w:val="none"/>
        </w:rPr>
        <w:t>(10</w:t>
      </w:r>
      <w:r>
        <w:rPr>
          <w:rFonts w:hint="eastAsia" w:ascii="宋体"/>
          <w:color w:val="auto"/>
          <w:sz w:val="24"/>
          <w:szCs w:val="24"/>
          <w:highlight w:val="none"/>
        </w:rPr>
        <w:t>套)，但不限于下列图纸：</w:t>
      </w:r>
    </w:p>
    <w:p w14:paraId="635482FC">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各套装置的方框原理图及其说明，各套装置及其元件的原理接线及动作原理的说明。</w:t>
      </w:r>
    </w:p>
    <w:p w14:paraId="05E58B34">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设备内部接线及其说明。</w:t>
      </w:r>
    </w:p>
    <w:p w14:paraId="37F7EAFD">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计算机监控系统所有设备各硬件的功能说明书。</w:t>
      </w:r>
    </w:p>
    <w:p w14:paraId="19F183A1">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计算机监控系统及各种软件的原程序清单及说明书等。</w:t>
      </w:r>
    </w:p>
    <w:p w14:paraId="2450237C">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屏柜基础安装图（包括预埋件）。</w:t>
      </w:r>
    </w:p>
    <w:p w14:paraId="2F8081CD">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计算机监控系统配置图。</w:t>
      </w:r>
    </w:p>
    <w:p w14:paraId="70D061D9">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监控屏和接口屏屏面布置图及图例符号说明。</w:t>
      </w:r>
    </w:p>
    <w:p w14:paraId="02D66658">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设备连接的端子排图包括与用户设备接口的端子排。</w:t>
      </w:r>
    </w:p>
    <w:p w14:paraId="7672B848">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辅助继电器和选择开关使用导则。</w:t>
      </w:r>
    </w:p>
    <w:p w14:paraId="2BDEAEA1">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计算机监控系统所有设备清单，包括设备型号、技术参数、性能数据及参数。</w:t>
      </w:r>
    </w:p>
    <w:p w14:paraId="7A369D7C">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计算机监控系统及各种软件的流程图。</w:t>
      </w:r>
    </w:p>
    <w:p w14:paraId="6CF0B762">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根据用户要求提供与线路保护管理机和电能量计量系统的通讯接口和规约、与调度控制中心远动通信的规约，投标人应提供接口配置和规约开发的技术规范。</w:t>
      </w:r>
    </w:p>
    <w:p w14:paraId="361FE09B">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计算机监控系统控制原理图，包括防误操作逻辑图和同期原理图等。</w:t>
      </w:r>
    </w:p>
    <w:p w14:paraId="7235177F">
      <w:pPr>
        <w:numPr>
          <w:ilvl w:val="0"/>
          <w:numId w:val="68"/>
        </w:numPr>
        <w:spacing w:line="360" w:lineRule="auto"/>
        <w:rPr>
          <w:rFonts w:ascii="宋体"/>
          <w:color w:val="auto"/>
          <w:sz w:val="24"/>
          <w:szCs w:val="24"/>
          <w:highlight w:val="none"/>
        </w:rPr>
      </w:pPr>
      <w:r>
        <w:rPr>
          <w:rFonts w:hint="eastAsia" w:ascii="宋体"/>
          <w:color w:val="auto"/>
          <w:sz w:val="24"/>
          <w:szCs w:val="24"/>
          <w:highlight w:val="none"/>
        </w:rPr>
        <w:t>投标人认为必须提供的其它图纸和说明。</w:t>
      </w:r>
    </w:p>
    <w:p w14:paraId="044925F3">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招标人对图纸的确认并不能解除投标人对图纸的完整性与准确性应负的责任，产品应符合合同规范书的规定。</w:t>
      </w:r>
    </w:p>
    <w:p w14:paraId="74EBA577">
      <w:pPr>
        <w:spacing w:line="360" w:lineRule="auto"/>
        <w:rPr>
          <w:rFonts w:ascii="宋体"/>
          <w:color w:val="auto"/>
          <w:sz w:val="24"/>
          <w:szCs w:val="24"/>
          <w:highlight w:val="none"/>
        </w:rPr>
      </w:pPr>
      <w:r>
        <w:rPr>
          <w:rFonts w:hint="eastAsia" w:ascii="宋体"/>
          <w:color w:val="auto"/>
          <w:sz w:val="24"/>
          <w:szCs w:val="24"/>
          <w:highlight w:val="none"/>
        </w:rPr>
        <w:t>2.3 最终图纸</w:t>
      </w:r>
    </w:p>
    <w:p w14:paraId="4D86A425">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投标人提供的文件和资料应能满足招标人进行系统维护和进一步开发的需要。投标人应提供最终图的</w:t>
      </w:r>
      <w:r>
        <w:rPr>
          <w:rFonts w:ascii="宋体"/>
          <w:color w:val="auto"/>
          <w:sz w:val="24"/>
          <w:szCs w:val="24"/>
          <w:highlight w:val="none"/>
        </w:rPr>
        <w:t>AutoCAD</w:t>
      </w:r>
      <w:r>
        <w:rPr>
          <w:rFonts w:hint="eastAsia" w:ascii="宋体"/>
          <w:color w:val="auto"/>
          <w:sz w:val="24"/>
          <w:szCs w:val="24"/>
          <w:highlight w:val="none"/>
        </w:rPr>
        <w:t>图形文件软盘，以及这些图形文件在</w:t>
      </w:r>
      <w:r>
        <w:rPr>
          <w:rFonts w:ascii="宋体"/>
          <w:color w:val="auto"/>
          <w:sz w:val="24"/>
          <w:szCs w:val="24"/>
          <w:highlight w:val="none"/>
        </w:rPr>
        <w:t>PC</w:t>
      </w:r>
      <w:r>
        <w:rPr>
          <w:rFonts w:hint="eastAsia" w:ascii="宋体"/>
          <w:color w:val="auto"/>
          <w:sz w:val="24"/>
          <w:szCs w:val="24"/>
          <w:highlight w:val="none"/>
        </w:rPr>
        <w:t>机上打开所需的其它相关软件或文件，提供的所有图形文件均应能被</w:t>
      </w:r>
      <w:r>
        <w:rPr>
          <w:rFonts w:ascii="宋体"/>
          <w:color w:val="auto"/>
          <w:sz w:val="24"/>
          <w:szCs w:val="24"/>
          <w:highlight w:val="none"/>
        </w:rPr>
        <w:t>Auto CAD 1</w:t>
      </w:r>
      <w:r>
        <w:rPr>
          <w:rFonts w:hint="eastAsia" w:ascii="宋体"/>
          <w:color w:val="auto"/>
          <w:sz w:val="24"/>
          <w:szCs w:val="24"/>
          <w:highlight w:val="none"/>
        </w:rPr>
        <w:t>4</w:t>
      </w:r>
      <w:r>
        <w:rPr>
          <w:rFonts w:ascii="宋体"/>
          <w:color w:val="auto"/>
          <w:sz w:val="24"/>
          <w:szCs w:val="24"/>
          <w:highlight w:val="none"/>
        </w:rPr>
        <w:t>.0 for Windows</w:t>
      </w:r>
      <w:r>
        <w:rPr>
          <w:rFonts w:hint="eastAsia" w:ascii="宋体"/>
          <w:color w:val="auto"/>
          <w:sz w:val="24"/>
          <w:szCs w:val="24"/>
          <w:highlight w:val="none"/>
        </w:rPr>
        <w:t>版本支持且能拷贝。</w:t>
      </w:r>
    </w:p>
    <w:p w14:paraId="35B9B17D">
      <w:pPr>
        <w:spacing w:line="360" w:lineRule="auto"/>
        <w:rPr>
          <w:rFonts w:ascii="宋体"/>
          <w:color w:val="auto"/>
          <w:kern w:val="0"/>
          <w:sz w:val="24"/>
          <w:szCs w:val="24"/>
          <w:highlight w:val="none"/>
        </w:rPr>
      </w:pPr>
      <w:r>
        <w:rPr>
          <w:rFonts w:hint="eastAsia" w:ascii="宋体"/>
          <w:color w:val="auto"/>
          <w:sz w:val="24"/>
          <w:szCs w:val="24"/>
          <w:highlight w:val="none"/>
        </w:rPr>
        <w:t>投标人在最后一次设计联络会议结束后三周内，应提供下列供设计的最终图纸：</w:t>
      </w:r>
    </w:p>
    <w:p w14:paraId="10FAC7A7">
      <w:pPr>
        <w:numPr>
          <w:ilvl w:val="0"/>
          <w:numId w:val="69"/>
        </w:numPr>
        <w:spacing w:line="360" w:lineRule="auto"/>
        <w:rPr>
          <w:rFonts w:ascii="宋体"/>
          <w:color w:val="auto"/>
          <w:sz w:val="24"/>
          <w:szCs w:val="24"/>
          <w:highlight w:val="none"/>
        </w:rPr>
      </w:pPr>
      <w:r>
        <w:rPr>
          <w:rFonts w:hint="eastAsia" w:ascii="宋体"/>
          <w:color w:val="auto"/>
          <w:sz w:val="24"/>
          <w:szCs w:val="24"/>
          <w:highlight w:val="none"/>
        </w:rPr>
        <w:t>计算机监控系统各个部件的内部接线图和图例符号说明，其中应包括原理接线图及各印刷板元件接线图等。</w:t>
      </w:r>
    </w:p>
    <w:p w14:paraId="02CCFE66">
      <w:pPr>
        <w:numPr>
          <w:ilvl w:val="0"/>
          <w:numId w:val="69"/>
        </w:numPr>
        <w:spacing w:line="360" w:lineRule="auto"/>
        <w:rPr>
          <w:rFonts w:ascii="宋体"/>
          <w:color w:val="auto"/>
          <w:sz w:val="24"/>
          <w:szCs w:val="24"/>
          <w:highlight w:val="none"/>
        </w:rPr>
      </w:pPr>
      <w:r>
        <w:rPr>
          <w:rFonts w:hint="eastAsia" w:ascii="宋体"/>
          <w:color w:val="auto"/>
          <w:sz w:val="24"/>
          <w:szCs w:val="24"/>
          <w:highlight w:val="none"/>
        </w:rPr>
        <w:t>监控屏和接口屏屏面布置图。</w:t>
      </w:r>
    </w:p>
    <w:p w14:paraId="52E77010">
      <w:pPr>
        <w:numPr>
          <w:ilvl w:val="0"/>
          <w:numId w:val="69"/>
        </w:numPr>
        <w:spacing w:line="360" w:lineRule="auto"/>
        <w:rPr>
          <w:rFonts w:ascii="宋体"/>
          <w:color w:val="auto"/>
          <w:sz w:val="24"/>
          <w:szCs w:val="24"/>
          <w:highlight w:val="none"/>
        </w:rPr>
      </w:pPr>
      <w:r>
        <w:rPr>
          <w:rFonts w:hint="eastAsia" w:ascii="宋体"/>
          <w:color w:val="auto"/>
          <w:sz w:val="24"/>
          <w:szCs w:val="24"/>
          <w:highlight w:val="none"/>
        </w:rPr>
        <w:t>设备组装成屏后的内部接线图，包括屏内的端子排图及电缆编号。</w:t>
      </w:r>
    </w:p>
    <w:p w14:paraId="052662A0">
      <w:pPr>
        <w:numPr>
          <w:ilvl w:val="0"/>
          <w:numId w:val="69"/>
        </w:numPr>
        <w:spacing w:line="360" w:lineRule="auto"/>
        <w:rPr>
          <w:rFonts w:ascii="宋体"/>
          <w:color w:val="auto"/>
          <w:sz w:val="24"/>
          <w:szCs w:val="24"/>
          <w:highlight w:val="none"/>
        </w:rPr>
      </w:pPr>
      <w:r>
        <w:rPr>
          <w:rFonts w:hint="eastAsia" w:ascii="宋体"/>
          <w:color w:val="auto"/>
          <w:sz w:val="24"/>
          <w:szCs w:val="24"/>
          <w:highlight w:val="none"/>
        </w:rPr>
        <w:t>已填上柜号和端子号的I/0清单。</w:t>
      </w:r>
    </w:p>
    <w:p w14:paraId="1D2672B1">
      <w:pPr>
        <w:numPr>
          <w:ilvl w:val="0"/>
          <w:numId w:val="69"/>
        </w:numPr>
        <w:spacing w:line="360" w:lineRule="auto"/>
        <w:rPr>
          <w:rFonts w:ascii="宋体"/>
          <w:color w:val="auto"/>
          <w:sz w:val="24"/>
          <w:szCs w:val="24"/>
          <w:highlight w:val="none"/>
        </w:rPr>
      </w:pPr>
      <w:r>
        <w:rPr>
          <w:rFonts w:hint="eastAsia" w:ascii="宋体"/>
          <w:color w:val="auto"/>
          <w:sz w:val="24"/>
          <w:szCs w:val="24"/>
          <w:highlight w:val="none"/>
        </w:rPr>
        <w:t>控制开关、按钮、继电器等设备的接点图及说明。</w:t>
      </w:r>
    </w:p>
    <w:p w14:paraId="112CFD1D">
      <w:pPr>
        <w:numPr>
          <w:ilvl w:val="0"/>
          <w:numId w:val="69"/>
        </w:numPr>
        <w:spacing w:line="360" w:lineRule="auto"/>
        <w:rPr>
          <w:rFonts w:ascii="宋体"/>
          <w:color w:val="auto"/>
          <w:sz w:val="24"/>
          <w:szCs w:val="24"/>
          <w:highlight w:val="none"/>
        </w:rPr>
      </w:pPr>
      <w:r>
        <w:rPr>
          <w:rFonts w:hint="eastAsia" w:ascii="宋体"/>
          <w:color w:val="auto"/>
          <w:sz w:val="24"/>
          <w:szCs w:val="24"/>
          <w:highlight w:val="none"/>
        </w:rPr>
        <w:t>屏的地脚螺丝安装图。</w:t>
      </w:r>
    </w:p>
    <w:p w14:paraId="2B1F776B">
      <w:pPr>
        <w:numPr>
          <w:ilvl w:val="0"/>
          <w:numId w:val="69"/>
        </w:numPr>
        <w:spacing w:line="360" w:lineRule="auto"/>
        <w:rPr>
          <w:rFonts w:ascii="宋体"/>
          <w:color w:val="auto"/>
          <w:sz w:val="24"/>
          <w:szCs w:val="24"/>
          <w:highlight w:val="none"/>
        </w:rPr>
      </w:pPr>
      <w:r>
        <w:rPr>
          <w:rFonts w:hint="eastAsia" w:ascii="宋体"/>
          <w:color w:val="auto"/>
          <w:sz w:val="24"/>
          <w:szCs w:val="24"/>
          <w:highlight w:val="none"/>
        </w:rPr>
        <w:t>软件及软件使用的详细说明书。</w:t>
      </w:r>
    </w:p>
    <w:p w14:paraId="62E94685">
      <w:pPr>
        <w:numPr>
          <w:ilvl w:val="0"/>
          <w:numId w:val="69"/>
        </w:numPr>
        <w:spacing w:line="360" w:lineRule="auto"/>
        <w:rPr>
          <w:rFonts w:ascii="宋体"/>
          <w:color w:val="auto"/>
          <w:kern w:val="0"/>
          <w:sz w:val="24"/>
          <w:szCs w:val="24"/>
          <w:highlight w:val="none"/>
        </w:rPr>
      </w:pPr>
      <w:r>
        <w:rPr>
          <w:rFonts w:hint="eastAsia" w:ascii="宋体"/>
          <w:color w:val="auto"/>
          <w:sz w:val="24"/>
          <w:szCs w:val="24"/>
          <w:highlight w:val="none"/>
        </w:rPr>
        <w:t>投标人认为安装、调试、运行和维护所必须的其它图纸和说明书。</w:t>
      </w:r>
    </w:p>
    <w:p w14:paraId="19497757">
      <w:pPr>
        <w:spacing w:line="360" w:lineRule="auto"/>
        <w:rPr>
          <w:rFonts w:ascii="宋体"/>
          <w:color w:val="auto"/>
          <w:sz w:val="24"/>
          <w:szCs w:val="24"/>
          <w:highlight w:val="none"/>
        </w:rPr>
      </w:pPr>
      <w:r>
        <w:rPr>
          <w:rFonts w:hint="eastAsia" w:ascii="宋体"/>
          <w:color w:val="auto"/>
          <w:sz w:val="24"/>
          <w:szCs w:val="24"/>
          <w:highlight w:val="none"/>
        </w:rPr>
        <w:t>2.4 其它资料和说明书（</w:t>
      </w:r>
      <w:r>
        <w:rPr>
          <w:rFonts w:ascii="宋体"/>
          <w:color w:val="auto"/>
          <w:sz w:val="24"/>
          <w:szCs w:val="24"/>
          <w:highlight w:val="none"/>
        </w:rPr>
        <w:t>20</w:t>
      </w:r>
      <w:r>
        <w:rPr>
          <w:rFonts w:hint="eastAsia" w:ascii="宋体"/>
          <w:color w:val="auto"/>
          <w:sz w:val="24"/>
          <w:szCs w:val="24"/>
          <w:highlight w:val="none"/>
        </w:rPr>
        <w:t>套）</w:t>
      </w:r>
    </w:p>
    <w:p w14:paraId="5DF0DB2D">
      <w:pPr>
        <w:numPr>
          <w:ilvl w:val="0"/>
          <w:numId w:val="70"/>
        </w:numPr>
        <w:spacing w:line="360" w:lineRule="auto"/>
        <w:rPr>
          <w:rFonts w:ascii="宋体"/>
          <w:color w:val="auto"/>
          <w:sz w:val="24"/>
          <w:szCs w:val="24"/>
          <w:highlight w:val="none"/>
        </w:rPr>
      </w:pPr>
      <w:r>
        <w:rPr>
          <w:rFonts w:hint="eastAsia" w:ascii="宋体"/>
          <w:color w:val="auto"/>
          <w:sz w:val="24"/>
          <w:szCs w:val="24"/>
          <w:highlight w:val="none"/>
        </w:rPr>
        <w:t>投标人应提供给招标人装置投产前试验用的详细说明和技术要求，还应提供有关的重要设备和特殊试验仪器的使用说明书，投标人还应提供现有装置进行正常试验及运行维护、故障诊断的详细说明。</w:t>
      </w:r>
    </w:p>
    <w:p w14:paraId="4924DE97">
      <w:pPr>
        <w:numPr>
          <w:ilvl w:val="0"/>
          <w:numId w:val="70"/>
        </w:numPr>
        <w:spacing w:line="360" w:lineRule="auto"/>
        <w:rPr>
          <w:rFonts w:ascii="宋体"/>
          <w:color w:val="auto"/>
          <w:sz w:val="24"/>
          <w:szCs w:val="24"/>
          <w:highlight w:val="none"/>
        </w:rPr>
      </w:pPr>
      <w:r>
        <w:rPr>
          <w:rFonts w:hint="eastAsia" w:ascii="宋体"/>
          <w:color w:val="auto"/>
          <w:sz w:val="24"/>
          <w:szCs w:val="24"/>
          <w:highlight w:val="none"/>
        </w:rPr>
        <w:t>投标人应提供各装置进行工厂试验室试验和动态模拟试验的详细试验报告。</w:t>
      </w:r>
    </w:p>
    <w:p w14:paraId="0644AFCC">
      <w:pPr>
        <w:numPr>
          <w:ilvl w:val="0"/>
          <w:numId w:val="70"/>
        </w:numPr>
        <w:spacing w:line="360" w:lineRule="auto"/>
        <w:rPr>
          <w:rFonts w:ascii="宋体"/>
          <w:color w:val="auto"/>
          <w:kern w:val="0"/>
          <w:sz w:val="24"/>
          <w:szCs w:val="24"/>
          <w:highlight w:val="none"/>
        </w:rPr>
      </w:pPr>
      <w:r>
        <w:rPr>
          <w:rFonts w:hint="eastAsia" w:ascii="宋体"/>
          <w:color w:val="auto"/>
          <w:sz w:val="24"/>
          <w:szCs w:val="24"/>
          <w:highlight w:val="none"/>
        </w:rPr>
        <w:t>专用工具和试验设备的说明。</w:t>
      </w:r>
    </w:p>
    <w:p w14:paraId="39491B56">
      <w:pPr>
        <w:spacing w:line="360" w:lineRule="auto"/>
        <w:rPr>
          <w:rFonts w:ascii="宋体"/>
          <w:color w:val="auto"/>
          <w:sz w:val="24"/>
          <w:szCs w:val="24"/>
          <w:highlight w:val="none"/>
        </w:rPr>
      </w:pPr>
      <w:r>
        <w:rPr>
          <w:rFonts w:hint="eastAsia" w:ascii="宋体"/>
          <w:color w:val="auto"/>
          <w:sz w:val="24"/>
          <w:szCs w:val="24"/>
          <w:highlight w:val="none"/>
        </w:rPr>
        <w:t>2.5说明手册</w:t>
      </w:r>
    </w:p>
    <w:p w14:paraId="225264E0">
      <w:pPr>
        <w:spacing w:line="360" w:lineRule="auto"/>
        <w:ind w:firstLine="480" w:firstLineChars="200"/>
        <w:rPr>
          <w:rFonts w:ascii="宋体"/>
          <w:color w:val="auto"/>
          <w:kern w:val="0"/>
          <w:sz w:val="24"/>
          <w:szCs w:val="24"/>
          <w:highlight w:val="none"/>
        </w:rPr>
      </w:pPr>
      <w:r>
        <w:rPr>
          <w:rFonts w:hint="eastAsia" w:ascii="宋体"/>
          <w:color w:val="auto"/>
          <w:sz w:val="24"/>
          <w:szCs w:val="24"/>
          <w:highlight w:val="none"/>
        </w:rPr>
        <w:t>说明手册应包括所有设备的装配、运行、检验、维护、零件清单、推荐的部件以及型号等方面的说明。说明手册还应包括软件总体说明、各软件设计说明等。</w:t>
      </w:r>
    </w:p>
    <w:p w14:paraId="77AB99E4">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系统总体描述</w:t>
      </w:r>
    </w:p>
    <w:p w14:paraId="1077AACD">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系统的技术参数</w:t>
      </w:r>
    </w:p>
    <w:p w14:paraId="5AE83A05">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运行手册</w:t>
      </w:r>
    </w:p>
    <w:p w14:paraId="7E3D36CF">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维修手册</w:t>
      </w:r>
    </w:p>
    <w:p w14:paraId="1D22C61A">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装配、安装、布置说明</w:t>
      </w:r>
    </w:p>
    <w:p w14:paraId="38B4A8CF">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合同中全部设备之间的连接说明及合同设备与招标人设备系统之间的连接说明。</w:t>
      </w:r>
    </w:p>
    <w:p w14:paraId="4A3068B0">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软件的总体说明。</w:t>
      </w:r>
    </w:p>
    <w:p w14:paraId="3C49E0B5">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全部软件功能的详细说明，以及软件的结构说明及流程图。同时，还应以磁介质或光盘方式提供两套全部软件。</w:t>
      </w:r>
    </w:p>
    <w:p w14:paraId="34BC9F01">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完整而又经确认的程序员指南手册。</w:t>
      </w:r>
    </w:p>
    <w:p w14:paraId="25166922">
      <w:pPr>
        <w:numPr>
          <w:ilvl w:val="0"/>
          <w:numId w:val="71"/>
        </w:numPr>
        <w:spacing w:line="360" w:lineRule="auto"/>
        <w:rPr>
          <w:rFonts w:ascii="宋体"/>
          <w:color w:val="auto"/>
          <w:sz w:val="24"/>
          <w:szCs w:val="24"/>
          <w:highlight w:val="none"/>
        </w:rPr>
      </w:pPr>
      <w:r>
        <w:rPr>
          <w:rFonts w:hint="eastAsia" w:ascii="宋体"/>
          <w:color w:val="auto"/>
          <w:sz w:val="24"/>
          <w:szCs w:val="24"/>
          <w:highlight w:val="none"/>
        </w:rPr>
        <w:t>其他有关说明手册。</w:t>
      </w:r>
    </w:p>
    <w:p w14:paraId="7E823E9E">
      <w:pPr>
        <w:spacing w:line="360" w:lineRule="auto"/>
        <w:ind w:firstLine="559" w:firstLineChars="233"/>
        <w:rPr>
          <w:rFonts w:ascii="宋体"/>
          <w:color w:val="auto"/>
          <w:sz w:val="24"/>
          <w:highlight w:val="none"/>
        </w:rPr>
      </w:pPr>
    </w:p>
    <w:p w14:paraId="7337808F">
      <w:pPr>
        <w:spacing w:line="360" w:lineRule="auto"/>
        <w:ind w:firstLine="559" w:firstLineChars="233"/>
        <w:rPr>
          <w:rFonts w:ascii="宋体"/>
          <w:color w:val="auto"/>
          <w:sz w:val="24"/>
          <w:highlight w:val="none"/>
        </w:rPr>
      </w:pPr>
    </w:p>
    <w:p w14:paraId="7222F43B">
      <w:pPr>
        <w:spacing w:line="360" w:lineRule="auto"/>
        <w:ind w:firstLine="559" w:firstLineChars="233"/>
        <w:rPr>
          <w:rFonts w:ascii="宋体"/>
          <w:color w:val="auto"/>
          <w:sz w:val="24"/>
          <w:highlight w:val="none"/>
        </w:rPr>
      </w:pPr>
    </w:p>
    <w:p w14:paraId="2CD52278">
      <w:pPr>
        <w:spacing w:line="240" w:lineRule="auto"/>
        <w:outlineLvl w:val="9"/>
        <w:rPr>
          <w:rFonts w:ascii="宋体"/>
          <w:b/>
          <w:color w:val="auto"/>
          <w:sz w:val="30"/>
          <w:szCs w:val="30"/>
          <w:highlight w:val="none"/>
        </w:rPr>
      </w:pPr>
      <w:bookmarkStart w:id="89" w:name="_Toc334015523"/>
      <w:bookmarkStart w:id="90" w:name="_Toc316370448"/>
      <w:bookmarkStart w:id="91" w:name="_Toc223320098"/>
      <w:bookmarkStart w:id="92" w:name="_Toc304277655"/>
      <w:bookmarkStart w:id="93" w:name="_Toc529267706"/>
      <w:bookmarkStart w:id="94" w:name="_Toc536410868"/>
      <w:bookmarkStart w:id="95" w:name="_Toc304277668"/>
      <w:bookmarkStart w:id="96" w:name="_Toc223835847"/>
      <w:r>
        <w:rPr>
          <w:rFonts w:hint="eastAsia" w:ascii="宋体"/>
          <w:b/>
          <w:color w:val="auto"/>
          <w:sz w:val="30"/>
          <w:szCs w:val="30"/>
          <w:highlight w:val="none"/>
        </w:rPr>
        <w:t>附件</w:t>
      </w:r>
      <w:r>
        <w:rPr>
          <w:rFonts w:ascii="宋体"/>
          <w:b/>
          <w:color w:val="auto"/>
          <w:sz w:val="30"/>
          <w:szCs w:val="30"/>
          <w:highlight w:val="none"/>
        </w:rPr>
        <w:t>4</w:t>
      </w:r>
      <w:r>
        <w:rPr>
          <w:rFonts w:hint="eastAsia" w:ascii="宋体"/>
          <w:b/>
          <w:color w:val="auto"/>
          <w:sz w:val="30"/>
          <w:szCs w:val="30"/>
          <w:highlight w:val="none"/>
        </w:rPr>
        <w:t>交货进度</w:t>
      </w:r>
      <w:bookmarkEnd w:id="89"/>
      <w:bookmarkEnd w:id="90"/>
      <w:bookmarkEnd w:id="91"/>
      <w:bookmarkEnd w:id="92"/>
      <w:bookmarkEnd w:id="93"/>
      <w:bookmarkEnd w:id="94"/>
      <w:bookmarkEnd w:id="95"/>
      <w:bookmarkEnd w:id="96"/>
    </w:p>
    <w:p w14:paraId="67E946BD">
      <w:pPr>
        <w:pStyle w:val="8"/>
        <w:spacing w:line="360" w:lineRule="auto"/>
        <w:ind w:firstLine="480" w:firstLineChars="200"/>
        <w:rPr>
          <w:rFonts w:hint="eastAsia" w:ascii="宋体" w:hAnsi="宋体"/>
          <w:color w:val="auto"/>
          <w:szCs w:val="24"/>
          <w:highlight w:val="none"/>
        </w:rPr>
      </w:pPr>
    </w:p>
    <w:p w14:paraId="643A5780">
      <w:pPr>
        <w:pStyle w:val="8"/>
        <w:spacing w:line="360" w:lineRule="auto"/>
        <w:ind w:firstLine="480" w:firstLineChars="200"/>
        <w:rPr>
          <w:rFonts w:ascii="宋体" w:hAnsi="宋体"/>
          <w:color w:val="auto"/>
          <w:szCs w:val="24"/>
          <w:highlight w:val="none"/>
        </w:rPr>
      </w:pPr>
      <w:r>
        <w:rPr>
          <w:rFonts w:hint="eastAsia" w:ascii="宋体" w:hAnsi="宋体"/>
          <w:color w:val="auto"/>
          <w:szCs w:val="24"/>
          <w:highlight w:val="none"/>
        </w:rPr>
        <w:t>设备交货进度应按满足工程安装进度的要求，招标人要求的交货时间:</w:t>
      </w:r>
    </w:p>
    <w:p w14:paraId="2308F4CB">
      <w:pPr>
        <w:pStyle w:val="8"/>
        <w:spacing w:line="360" w:lineRule="auto"/>
        <w:ind w:firstLine="960" w:firstLineChars="400"/>
        <w:rPr>
          <w:rFonts w:ascii="宋体" w:hAnsi="宋体"/>
          <w:color w:val="auto"/>
          <w:szCs w:val="24"/>
          <w:highlight w:val="none"/>
        </w:rPr>
      </w:pPr>
      <w:r>
        <w:rPr>
          <w:rFonts w:hint="eastAsia" w:ascii="宋体" w:hAnsi="宋体"/>
          <w:color w:val="auto"/>
          <w:szCs w:val="24"/>
          <w:highlight w:val="none"/>
        </w:rPr>
        <w:t>交货进度表</w:t>
      </w:r>
      <w:r>
        <w:rPr>
          <w:rFonts w:ascii="宋体" w:hAnsi="宋体"/>
          <w:color w:val="auto"/>
          <w:szCs w:val="24"/>
          <w:highlight w:val="none"/>
        </w:rPr>
        <w:t>(</w:t>
      </w:r>
      <w:r>
        <w:rPr>
          <w:rFonts w:hint="eastAsia" w:ascii="宋体" w:hAnsi="宋体"/>
          <w:color w:val="auto"/>
          <w:szCs w:val="24"/>
          <w:highlight w:val="none"/>
        </w:rPr>
        <w:t>包括设备、备品备件、进口件及专用工具</w:t>
      </w:r>
      <w:r>
        <w:rPr>
          <w:rFonts w:ascii="宋体" w:hAnsi="宋体"/>
          <w:color w:val="auto"/>
          <w:szCs w:val="24"/>
          <w:highlight w:val="none"/>
        </w:rPr>
        <w:t>)</w:t>
      </w:r>
    </w:p>
    <w:tbl>
      <w:tblPr>
        <w:tblStyle w:val="31"/>
        <w:tblW w:w="4998"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28" w:type="dxa"/>
        </w:tblCellMar>
      </w:tblPr>
      <w:tblGrid>
        <w:gridCol w:w="1022"/>
        <w:gridCol w:w="2732"/>
        <w:gridCol w:w="2321"/>
        <w:gridCol w:w="2482"/>
      </w:tblGrid>
      <w:tr w14:paraId="479151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trHeight w:val="513" w:hRule="atLeast"/>
          <w:jc w:val="center"/>
        </w:trPr>
        <w:tc>
          <w:tcPr>
            <w:tcW w:w="597" w:type="pct"/>
            <w:tcBorders>
              <w:top w:val="single" w:color="auto" w:sz="6" w:space="0"/>
              <w:left w:val="single" w:color="auto" w:sz="6" w:space="0"/>
              <w:bottom w:val="single" w:color="auto" w:sz="4" w:space="0"/>
              <w:right w:val="single" w:color="auto" w:sz="6" w:space="0"/>
            </w:tcBorders>
            <w:vAlign w:val="center"/>
          </w:tcPr>
          <w:p w14:paraId="4F7094AF">
            <w:pPr>
              <w:spacing w:line="360" w:lineRule="auto"/>
              <w:jc w:val="center"/>
              <w:rPr>
                <w:snapToGrid w:val="0"/>
                <w:color w:val="auto"/>
                <w:sz w:val="24"/>
                <w:highlight w:val="none"/>
              </w:rPr>
            </w:pPr>
            <w:r>
              <w:rPr>
                <w:rFonts w:hint="eastAsia"/>
                <w:snapToGrid w:val="0"/>
                <w:color w:val="auto"/>
                <w:sz w:val="24"/>
                <w:highlight w:val="none"/>
              </w:rPr>
              <w:t>序号</w:t>
            </w:r>
          </w:p>
        </w:tc>
        <w:tc>
          <w:tcPr>
            <w:tcW w:w="1596" w:type="pct"/>
            <w:tcBorders>
              <w:top w:val="single" w:color="auto" w:sz="6" w:space="0"/>
              <w:left w:val="nil"/>
              <w:bottom w:val="single" w:color="auto" w:sz="4" w:space="0"/>
              <w:right w:val="single" w:color="auto" w:sz="6" w:space="0"/>
            </w:tcBorders>
            <w:vAlign w:val="center"/>
          </w:tcPr>
          <w:p w14:paraId="4D8FAD2A">
            <w:pPr>
              <w:spacing w:line="360" w:lineRule="auto"/>
              <w:jc w:val="center"/>
              <w:rPr>
                <w:snapToGrid w:val="0"/>
                <w:color w:val="auto"/>
                <w:sz w:val="24"/>
                <w:highlight w:val="none"/>
              </w:rPr>
            </w:pPr>
            <w:r>
              <w:rPr>
                <w:rFonts w:hint="eastAsia"/>
                <w:snapToGrid w:val="0"/>
                <w:color w:val="auto"/>
                <w:sz w:val="24"/>
                <w:highlight w:val="none"/>
              </w:rPr>
              <w:t>设备</w:t>
            </w:r>
            <w:r>
              <w:rPr>
                <w:snapToGrid w:val="0"/>
                <w:color w:val="auto"/>
                <w:sz w:val="24"/>
                <w:highlight w:val="none"/>
              </w:rPr>
              <w:t>/</w:t>
            </w:r>
            <w:r>
              <w:rPr>
                <w:rFonts w:hint="eastAsia"/>
                <w:snapToGrid w:val="0"/>
                <w:color w:val="auto"/>
                <w:sz w:val="24"/>
                <w:highlight w:val="none"/>
              </w:rPr>
              <w:t>部件名称、型号</w:t>
            </w:r>
          </w:p>
        </w:tc>
        <w:tc>
          <w:tcPr>
            <w:tcW w:w="1356" w:type="pct"/>
            <w:tcBorders>
              <w:top w:val="single" w:color="auto" w:sz="6" w:space="0"/>
              <w:left w:val="nil"/>
              <w:bottom w:val="single" w:color="auto" w:sz="4" w:space="0"/>
              <w:right w:val="single" w:color="auto" w:sz="6" w:space="0"/>
            </w:tcBorders>
            <w:vAlign w:val="center"/>
          </w:tcPr>
          <w:p w14:paraId="19CF296B">
            <w:pPr>
              <w:spacing w:line="360" w:lineRule="auto"/>
              <w:jc w:val="center"/>
              <w:rPr>
                <w:snapToGrid w:val="0"/>
                <w:color w:val="auto"/>
                <w:sz w:val="24"/>
                <w:highlight w:val="none"/>
              </w:rPr>
            </w:pPr>
            <w:r>
              <w:rPr>
                <w:rFonts w:hint="eastAsia"/>
                <w:snapToGrid w:val="0"/>
                <w:color w:val="auto"/>
                <w:sz w:val="24"/>
                <w:highlight w:val="none"/>
              </w:rPr>
              <w:t>交货地点</w:t>
            </w:r>
          </w:p>
        </w:tc>
        <w:tc>
          <w:tcPr>
            <w:tcW w:w="1449" w:type="pct"/>
            <w:tcBorders>
              <w:top w:val="single" w:color="auto" w:sz="6" w:space="0"/>
              <w:left w:val="nil"/>
              <w:bottom w:val="single" w:color="000000" w:sz="6" w:space="0"/>
              <w:right w:val="single" w:color="000000" w:sz="6" w:space="0"/>
            </w:tcBorders>
            <w:vAlign w:val="center"/>
          </w:tcPr>
          <w:p w14:paraId="66D6E31D">
            <w:pPr>
              <w:spacing w:line="360" w:lineRule="auto"/>
              <w:jc w:val="center"/>
              <w:rPr>
                <w:snapToGrid w:val="0"/>
                <w:color w:val="auto"/>
                <w:sz w:val="24"/>
                <w:highlight w:val="none"/>
              </w:rPr>
            </w:pPr>
            <w:r>
              <w:rPr>
                <w:rFonts w:hint="eastAsia"/>
                <w:snapToGrid w:val="0"/>
                <w:color w:val="auto"/>
                <w:sz w:val="24"/>
                <w:highlight w:val="none"/>
              </w:rPr>
              <w:t>交货时间</w:t>
            </w:r>
          </w:p>
        </w:tc>
      </w:tr>
      <w:tr w14:paraId="5955447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597" w:type="pct"/>
            <w:tcBorders>
              <w:top w:val="nil"/>
              <w:left w:val="single" w:color="000000" w:sz="6" w:space="0"/>
              <w:bottom w:val="nil"/>
              <w:right w:val="single" w:color="000000" w:sz="6" w:space="0"/>
            </w:tcBorders>
            <w:vAlign w:val="center"/>
          </w:tcPr>
          <w:p w14:paraId="31D2CAF9">
            <w:pPr>
              <w:spacing w:line="360" w:lineRule="auto"/>
              <w:jc w:val="center"/>
              <w:rPr>
                <w:snapToGrid w:val="0"/>
                <w:color w:val="auto"/>
                <w:sz w:val="24"/>
                <w:highlight w:val="none"/>
              </w:rPr>
            </w:pPr>
            <w:r>
              <w:rPr>
                <w:snapToGrid w:val="0"/>
                <w:color w:val="auto"/>
                <w:sz w:val="24"/>
                <w:highlight w:val="none"/>
              </w:rPr>
              <w:t>1</w:t>
            </w:r>
          </w:p>
        </w:tc>
        <w:tc>
          <w:tcPr>
            <w:tcW w:w="1596" w:type="pct"/>
            <w:tcBorders>
              <w:top w:val="nil"/>
              <w:left w:val="single" w:color="000000" w:sz="6" w:space="0"/>
              <w:bottom w:val="nil"/>
              <w:right w:val="single" w:color="000000" w:sz="6" w:space="0"/>
            </w:tcBorders>
            <w:vAlign w:val="center"/>
          </w:tcPr>
          <w:p w14:paraId="00095F7A">
            <w:pPr>
              <w:spacing w:line="360" w:lineRule="auto"/>
              <w:jc w:val="center"/>
              <w:rPr>
                <w:snapToGrid w:val="0"/>
                <w:color w:val="auto"/>
                <w:sz w:val="24"/>
                <w:highlight w:val="none"/>
              </w:rPr>
            </w:pPr>
            <w:r>
              <w:rPr>
                <w:rFonts w:hint="eastAsia"/>
                <w:snapToGrid w:val="0"/>
                <w:color w:val="auto"/>
                <w:sz w:val="24"/>
                <w:highlight w:val="none"/>
              </w:rPr>
              <w:t>设备本体</w:t>
            </w:r>
          </w:p>
        </w:tc>
        <w:tc>
          <w:tcPr>
            <w:tcW w:w="1356" w:type="pct"/>
            <w:vMerge w:val="restart"/>
            <w:tcBorders>
              <w:top w:val="nil"/>
              <w:left w:val="single" w:color="000000" w:sz="6" w:space="0"/>
              <w:right w:val="single" w:color="000000" w:sz="6" w:space="0"/>
            </w:tcBorders>
            <w:vAlign w:val="center"/>
          </w:tcPr>
          <w:p w14:paraId="621CEF61">
            <w:pPr>
              <w:spacing w:line="360" w:lineRule="auto"/>
              <w:jc w:val="center"/>
              <w:rPr>
                <w:snapToGrid w:val="0"/>
                <w:color w:val="auto"/>
                <w:sz w:val="24"/>
                <w:highlight w:val="none"/>
              </w:rPr>
            </w:pPr>
            <w:r>
              <w:rPr>
                <w:rStyle w:val="33"/>
                <w:rFonts w:ascii="Times New Roman" w:hAnsi="Times New Roman" w:eastAsia="宋体" w:cs="Times New Roman"/>
                <w:color w:val="auto"/>
                <w:sz w:val="24"/>
                <w:highlight w:val="none"/>
              </w:rPr>
              <w:t>甘肃省武威市民勤县红砂岗镇能源化工工业集中区浙能路1号</w:t>
            </w:r>
          </w:p>
        </w:tc>
        <w:tc>
          <w:tcPr>
            <w:tcW w:w="1449" w:type="pct"/>
            <w:vMerge w:val="restart"/>
            <w:tcBorders>
              <w:top w:val="single" w:color="000000" w:sz="6" w:space="0"/>
              <w:left w:val="single" w:color="000000" w:sz="6" w:space="0"/>
              <w:right w:val="single" w:color="000000" w:sz="6" w:space="0"/>
            </w:tcBorders>
            <w:vAlign w:val="center"/>
          </w:tcPr>
          <w:p w14:paraId="07077183">
            <w:pPr>
              <w:spacing w:line="360" w:lineRule="auto"/>
              <w:jc w:val="center"/>
              <w:rPr>
                <w:rFonts w:hint="default" w:eastAsia="宋体"/>
                <w:snapToGrid w:val="0"/>
                <w:color w:val="auto"/>
                <w:sz w:val="24"/>
                <w:highlight w:val="none"/>
                <w:lang w:val="en-US" w:eastAsia="zh-CN"/>
              </w:rPr>
            </w:pPr>
            <w:r>
              <w:rPr>
                <w:rFonts w:hint="eastAsia"/>
                <w:snapToGrid w:val="0"/>
                <w:color w:val="auto"/>
                <w:sz w:val="24"/>
                <w:highlight w:val="none"/>
                <w:lang w:val="en-US" w:eastAsia="zh-CN"/>
              </w:rPr>
              <w:t>2025年8月10日前</w:t>
            </w:r>
          </w:p>
        </w:tc>
      </w:tr>
      <w:tr w14:paraId="1621FE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597" w:type="pct"/>
            <w:tcBorders>
              <w:top w:val="single" w:color="auto" w:sz="6" w:space="0"/>
              <w:left w:val="single" w:color="000000" w:sz="6" w:space="0"/>
              <w:bottom w:val="single" w:color="auto" w:sz="6" w:space="0"/>
              <w:right w:val="single" w:color="000000" w:sz="6" w:space="0"/>
            </w:tcBorders>
            <w:vAlign w:val="center"/>
          </w:tcPr>
          <w:p w14:paraId="5A2084C5">
            <w:pPr>
              <w:spacing w:line="360" w:lineRule="auto"/>
              <w:jc w:val="center"/>
              <w:rPr>
                <w:snapToGrid w:val="0"/>
                <w:color w:val="auto"/>
                <w:sz w:val="24"/>
                <w:highlight w:val="none"/>
              </w:rPr>
            </w:pPr>
            <w:r>
              <w:rPr>
                <w:snapToGrid w:val="0"/>
                <w:color w:val="auto"/>
                <w:sz w:val="24"/>
                <w:highlight w:val="none"/>
              </w:rPr>
              <w:t>2</w:t>
            </w:r>
          </w:p>
        </w:tc>
        <w:tc>
          <w:tcPr>
            <w:tcW w:w="1596" w:type="pct"/>
            <w:tcBorders>
              <w:top w:val="single" w:color="auto" w:sz="6" w:space="0"/>
              <w:left w:val="single" w:color="000000" w:sz="6" w:space="0"/>
              <w:bottom w:val="single" w:color="auto" w:sz="6" w:space="0"/>
              <w:right w:val="single" w:color="000000" w:sz="6" w:space="0"/>
            </w:tcBorders>
            <w:vAlign w:val="center"/>
          </w:tcPr>
          <w:p w14:paraId="4974046F">
            <w:pPr>
              <w:spacing w:line="360" w:lineRule="auto"/>
              <w:jc w:val="center"/>
              <w:rPr>
                <w:snapToGrid w:val="0"/>
                <w:color w:val="auto"/>
                <w:sz w:val="24"/>
                <w:highlight w:val="none"/>
              </w:rPr>
            </w:pPr>
            <w:r>
              <w:rPr>
                <w:rFonts w:hint="eastAsia"/>
                <w:snapToGrid w:val="0"/>
                <w:color w:val="auto"/>
                <w:sz w:val="24"/>
                <w:highlight w:val="none"/>
              </w:rPr>
              <w:t>备品备件</w:t>
            </w:r>
          </w:p>
        </w:tc>
        <w:tc>
          <w:tcPr>
            <w:tcW w:w="1356" w:type="pct"/>
            <w:vMerge w:val="continue"/>
            <w:tcBorders>
              <w:left w:val="single" w:color="000000" w:sz="6" w:space="0"/>
              <w:right w:val="single" w:color="000000" w:sz="6" w:space="0"/>
            </w:tcBorders>
            <w:vAlign w:val="center"/>
          </w:tcPr>
          <w:p w14:paraId="48DA3558">
            <w:pPr>
              <w:spacing w:line="360" w:lineRule="auto"/>
              <w:jc w:val="center"/>
              <w:rPr>
                <w:snapToGrid w:val="0"/>
                <w:color w:val="auto"/>
                <w:sz w:val="24"/>
                <w:highlight w:val="none"/>
              </w:rPr>
            </w:pPr>
          </w:p>
        </w:tc>
        <w:tc>
          <w:tcPr>
            <w:tcW w:w="1449" w:type="pct"/>
            <w:vMerge w:val="continue"/>
            <w:tcBorders>
              <w:left w:val="single" w:color="000000" w:sz="6" w:space="0"/>
              <w:right w:val="single" w:color="000000" w:sz="6" w:space="0"/>
            </w:tcBorders>
            <w:vAlign w:val="center"/>
          </w:tcPr>
          <w:p w14:paraId="773BB21C">
            <w:pPr>
              <w:spacing w:line="360" w:lineRule="auto"/>
              <w:jc w:val="center"/>
              <w:rPr>
                <w:snapToGrid w:val="0"/>
                <w:color w:val="auto"/>
                <w:sz w:val="24"/>
                <w:highlight w:val="none"/>
              </w:rPr>
            </w:pPr>
          </w:p>
        </w:tc>
      </w:tr>
      <w:tr w14:paraId="28F8BE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597" w:type="pct"/>
            <w:tcBorders>
              <w:top w:val="single" w:color="auto" w:sz="6" w:space="0"/>
              <w:left w:val="single" w:color="000000" w:sz="6" w:space="0"/>
              <w:bottom w:val="single" w:color="auto" w:sz="6" w:space="0"/>
              <w:right w:val="single" w:color="000000" w:sz="6" w:space="0"/>
            </w:tcBorders>
            <w:vAlign w:val="center"/>
          </w:tcPr>
          <w:p w14:paraId="37380340">
            <w:pPr>
              <w:spacing w:line="360" w:lineRule="auto"/>
              <w:jc w:val="center"/>
              <w:rPr>
                <w:snapToGrid w:val="0"/>
                <w:color w:val="auto"/>
                <w:sz w:val="24"/>
                <w:highlight w:val="none"/>
              </w:rPr>
            </w:pPr>
            <w:r>
              <w:rPr>
                <w:snapToGrid w:val="0"/>
                <w:color w:val="auto"/>
                <w:sz w:val="24"/>
                <w:highlight w:val="none"/>
              </w:rPr>
              <w:t>3</w:t>
            </w:r>
          </w:p>
        </w:tc>
        <w:tc>
          <w:tcPr>
            <w:tcW w:w="1596" w:type="pct"/>
            <w:tcBorders>
              <w:top w:val="single" w:color="auto" w:sz="6" w:space="0"/>
              <w:left w:val="single" w:color="000000" w:sz="6" w:space="0"/>
              <w:bottom w:val="single" w:color="auto" w:sz="6" w:space="0"/>
              <w:right w:val="single" w:color="000000" w:sz="6" w:space="0"/>
            </w:tcBorders>
            <w:vAlign w:val="center"/>
          </w:tcPr>
          <w:p w14:paraId="785526BF">
            <w:pPr>
              <w:spacing w:line="360" w:lineRule="auto"/>
              <w:jc w:val="center"/>
              <w:rPr>
                <w:snapToGrid w:val="0"/>
                <w:color w:val="auto"/>
                <w:sz w:val="24"/>
                <w:highlight w:val="none"/>
              </w:rPr>
            </w:pPr>
            <w:r>
              <w:rPr>
                <w:rFonts w:hint="eastAsia"/>
                <w:snapToGrid w:val="0"/>
                <w:color w:val="auto"/>
                <w:sz w:val="24"/>
                <w:highlight w:val="none"/>
              </w:rPr>
              <w:t>专用工具</w:t>
            </w:r>
          </w:p>
        </w:tc>
        <w:tc>
          <w:tcPr>
            <w:tcW w:w="1356" w:type="pct"/>
            <w:vMerge w:val="continue"/>
            <w:tcBorders>
              <w:left w:val="single" w:color="000000" w:sz="6" w:space="0"/>
              <w:right w:val="single" w:color="000000" w:sz="6" w:space="0"/>
            </w:tcBorders>
            <w:vAlign w:val="center"/>
          </w:tcPr>
          <w:p w14:paraId="6A148AF2">
            <w:pPr>
              <w:spacing w:line="360" w:lineRule="auto"/>
              <w:jc w:val="center"/>
              <w:rPr>
                <w:snapToGrid w:val="0"/>
                <w:color w:val="auto"/>
                <w:sz w:val="24"/>
                <w:highlight w:val="none"/>
              </w:rPr>
            </w:pPr>
          </w:p>
        </w:tc>
        <w:tc>
          <w:tcPr>
            <w:tcW w:w="1449" w:type="pct"/>
            <w:vMerge w:val="continue"/>
            <w:tcBorders>
              <w:left w:val="single" w:color="000000" w:sz="6" w:space="0"/>
              <w:right w:val="single" w:color="000000" w:sz="6" w:space="0"/>
            </w:tcBorders>
            <w:vAlign w:val="center"/>
          </w:tcPr>
          <w:p w14:paraId="73733C8E">
            <w:pPr>
              <w:spacing w:line="360" w:lineRule="auto"/>
              <w:jc w:val="center"/>
              <w:rPr>
                <w:snapToGrid w:val="0"/>
                <w:color w:val="auto"/>
                <w:sz w:val="24"/>
                <w:highlight w:val="none"/>
              </w:rPr>
            </w:pPr>
          </w:p>
        </w:tc>
      </w:tr>
      <w:tr w14:paraId="1F2DD4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597" w:type="pct"/>
            <w:tcBorders>
              <w:top w:val="single" w:color="auto" w:sz="6" w:space="0"/>
              <w:left w:val="single" w:color="000000" w:sz="6" w:space="0"/>
              <w:bottom w:val="single" w:color="auto" w:sz="6" w:space="0"/>
              <w:right w:val="single" w:color="000000" w:sz="6" w:space="0"/>
            </w:tcBorders>
            <w:vAlign w:val="center"/>
          </w:tcPr>
          <w:p w14:paraId="3F429CC8">
            <w:pPr>
              <w:spacing w:line="360" w:lineRule="auto"/>
              <w:jc w:val="center"/>
              <w:rPr>
                <w:snapToGrid w:val="0"/>
                <w:color w:val="auto"/>
                <w:sz w:val="24"/>
                <w:highlight w:val="none"/>
              </w:rPr>
            </w:pPr>
            <w:r>
              <w:rPr>
                <w:snapToGrid w:val="0"/>
                <w:color w:val="auto"/>
                <w:sz w:val="24"/>
                <w:highlight w:val="none"/>
              </w:rPr>
              <w:t>4</w:t>
            </w:r>
          </w:p>
        </w:tc>
        <w:tc>
          <w:tcPr>
            <w:tcW w:w="1596" w:type="pct"/>
            <w:tcBorders>
              <w:top w:val="single" w:color="auto" w:sz="6" w:space="0"/>
              <w:left w:val="single" w:color="000000" w:sz="6" w:space="0"/>
              <w:bottom w:val="single" w:color="auto" w:sz="6" w:space="0"/>
              <w:right w:val="single" w:color="000000" w:sz="6" w:space="0"/>
            </w:tcBorders>
            <w:vAlign w:val="center"/>
          </w:tcPr>
          <w:p w14:paraId="6160C0C2">
            <w:pPr>
              <w:spacing w:line="360" w:lineRule="auto"/>
              <w:jc w:val="center"/>
              <w:rPr>
                <w:snapToGrid w:val="0"/>
                <w:color w:val="auto"/>
                <w:sz w:val="24"/>
                <w:highlight w:val="none"/>
              </w:rPr>
            </w:pPr>
            <w:r>
              <w:rPr>
                <w:rFonts w:hint="eastAsia"/>
                <w:snapToGrid w:val="0"/>
                <w:color w:val="auto"/>
                <w:sz w:val="24"/>
                <w:highlight w:val="none"/>
              </w:rPr>
              <w:t>其它</w:t>
            </w:r>
          </w:p>
        </w:tc>
        <w:tc>
          <w:tcPr>
            <w:tcW w:w="1356" w:type="pct"/>
            <w:vMerge w:val="continue"/>
            <w:tcBorders>
              <w:left w:val="single" w:color="000000" w:sz="6" w:space="0"/>
              <w:bottom w:val="single" w:color="auto" w:sz="6" w:space="0"/>
              <w:right w:val="single" w:color="000000" w:sz="6" w:space="0"/>
            </w:tcBorders>
            <w:vAlign w:val="center"/>
          </w:tcPr>
          <w:p w14:paraId="111DC85A">
            <w:pPr>
              <w:spacing w:line="360" w:lineRule="auto"/>
              <w:jc w:val="center"/>
              <w:rPr>
                <w:snapToGrid w:val="0"/>
                <w:color w:val="auto"/>
                <w:sz w:val="24"/>
                <w:highlight w:val="none"/>
              </w:rPr>
            </w:pPr>
          </w:p>
        </w:tc>
        <w:tc>
          <w:tcPr>
            <w:tcW w:w="1449" w:type="pct"/>
            <w:vMerge w:val="continue"/>
            <w:tcBorders>
              <w:left w:val="single" w:color="000000" w:sz="6" w:space="0"/>
              <w:bottom w:val="single" w:color="000000" w:sz="6" w:space="0"/>
              <w:right w:val="single" w:color="000000" w:sz="6" w:space="0"/>
            </w:tcBorders>
            <w:vAlign w:val="center"/>
          </w:tcPr>
          <w:p w14:paraId="424E32E2">
            <w:pPr>
              <w:spacing w:line="360" w:lineRule="auto"/>
              <w:jc w:val="center"/>
              <w:rPr>
                <w:snapToGrid w:val="0"/>
                <w:color w:val="auto"/>
                <w:sz w:val="24"/>
                <w:highlight w:val="none"/>
              </w:rPr>
            </w:pPr>
          </w:p>
        </w:tc>
      </w:tr>
    </w:tbl>
    <w:p w14:paraId="408DD36D">
      <w:pPr>
        <w:autoSpaceDE w:val="0"/>
        <w:autoSpaceDN w:val="0"/>
        <w:spacing w:line="360" w:lineRule="auto"/>
        <w:textAlignment w:val="bottom"/>
        <w:rPr>
          <w:rFonts w:ascii="宋体" w:hAnsi="宋体"/>
          <w:color w:val="auto"/>
          <w:sz w:val="21"/>
          <w:szCs w:val="21"/>
          <w:highlight w:val="none"/>
        </w:rPr>
      </w:pPr>
      <w:r>
        <w:rPr>
          <w:rFonts w:hint="eastAsia" w:ascii="仿宋_GB2312" w:eastAsia="仿宋_GB2312"/>
          <w:color w:val="auto"/>
          <w:sz w:val="21"/>
          <w:szCs w:val="21"/>
          <w:highlight w:val="none"/>
          <w:lang w:val="de-DE"/>
        </w:rPr>
        <w:t>注：</w:t>
      </w:r>
      <w:r>
        <w:rPr>
          <w:rFonts w:hint="eastAsia" w:ascii="宋体" w:hAnsi="宋体"/>
          <w:color w:val="auto"/>
          <w:sz w:val="21"/>
          <w:szCs w:val="21"/>
          <w:highlight w:val="none"/>
        </w:rPr>
        <w:t>1）本交货时间为暂定计划，投标人承诺满足工程进度的要求。</w:t>
      </w:r>
    </w:p>
    <w:p w14:paraId="17740D9A">
      <w:pPr>
        <w:pStyle w:val="8"/>
        <w:spacing w:line="360" w:lineRule="auto"/>
        <w:ind w:firstLine="525" w:firstLineChars="250"/>
        <w:rPr>
          <w:rFonts w:ascii="宋体" w:hAnsi="宋体"/>
          <w:color w:val="auto"/>
          <w:sz w:val="21"/>
          <w:szCs w:val="21"/>
          <w:highlight w:val="none"/>
        </w:rPr>
      </w:pPr>
      <w:r>
        <w:rPr>
          <w:rFonts w:hint="eastAsia" w:ascii="宋体" w:hAnsi="宋体"/>
          <w:color w:val="auto"/>
          <w:sz w:val="21"/>
          <w:szCs w:val="21"/>
          <w:highlight w:val="none"/>
        </w:rPr>
        <w:t>2）如交货进度有变动，招标人提前3个月通知，投标人不产生额外费用。</w:t>
      </w:r>
    </w:p>
    <w:p w14:paraId="1087689E">
      <w:pPr>
        <w:pStyle w:val="8"/>
        <w:spacing w:line="360" w:lineRule="auto"/>
        <w:ind w:firstLine="0"/>
        <w:outlineLvl w:val="0"/>
        <w:rPr>
          <w:b/>
          <w:color w:val="auto"/>
          <w:sz w:val="30"/>
          <w:szCs w:val="30"/>
          <w:highlight w:val="none"/>
        </w:rPr>
      </w:pPr>
      <w:r>
        <w:rPr>
          <w:rFonts w:ascii="宋体" w:hAnsi="宋体"/>
          <w:color w:val="auto"/>
          <w:sz w:val="30"/>
          <w:szCs w:val="30"/>
          <w:highlight w:val="none"/>
        </w:rPr>
        <w:br w:type="page"/>
      </w:r>
      <w:bookmarkStart w:id="97" w:name="_Toc316370449"/>
      <w:bookmarkStart w:id="98" w:name="_Toc304277669"/>
      <w:bookmarkStart w:id="99" w:name="_Toc304277656"/>
      <w:bookmarkStart w:id="100" w:name="_Toc334015524"/>
      <w:r>
        <w:rPr>
          <w:rFonts w:hint="eastAsia"/>
          <w:b/>
          <w:color w:val="auto"/>
          <w:sz w:val="30"/>
          <w:szCs w:val="30"/>
          <w:highlight w:val="none"/>
        </w:rPr>
        <w:t>附件</w:t>
      </w:r>
      <w:r>
        <w:rPr>
          <w:b/>
          <w:color w:val="auto"/>
          <w:sz w:val="30"/>
          <w:szCs w:val="30"/>
          <w:highlight w:val="none"/>
        </w:rPr>
        <w:t>5</w:t>
      </w:r>
      <w:r>
        <w:rPr>
          <w:rFonts w:hint="eastAsia"/>
          <w:b/>
          <w:color w:val="auto"/>
          <w:sz w:val="30"/>
          <w:szCs w:val="30"/>
          <w:highlight w:val="none"/>
        </w:rPr>
        <w:t>设备监造、检查和性能验收试验</w:t>
      </w:r>
      <w:bookmarkEnd w:id="97"/>
      <w:bookmarkEnd w:id="98"/>
      <w:bookmarkEnd w:id="99"/>
      <w:bookmarkEnd w:id="100"/>
    </w:p>
    <w:p w14:paraId="21DF3E67">
      <w:pPr>
        <w:pStyle w:val="8"/>
        <w:spacing w:line="360" w:lineRule="auto"/>
        <w:ind w:firstLine="0"/>
        <w:rPr>
          <w:rFonts w:ascii="宋体" w:hAnsi="宋体"/>
          <w:b/>
          <w:color w:val="auto"/>
          <w:szCs w:val="24"/>
          <w:highlight w:val="none"/>
        </w:rPr>
      </w:pPr>
      <w:r>
        <w:rPr>
          <w:rFonts w:ascii="宋体" w:hAnsi="宋体"/>
          <w:b/>
          <w:color w:val="auto"/>
          <w:szCs w:val="24"/>
          <w:highlight w:val="none"/>
        </w:rPr>
        <w:t>1概述</w:t>
      </w:r>
    </w:p>
    <w:p w14:paraId="0B12C898">
      <w:pPr>
        <w:pStyle w:val="8"/>
        <w:spacing w:line="360" w:lineRule="auto"/>
        <w:ind w:firstLine="0"/>
        <w:rPr>
          <w:rFonts w:ascii="宋体" w:hAnsi="宋体"/>
          <w:color w:val="auto"/>
          <w:szCs w:val="24"/>
          <w:highlight w:val="none"/>
        </w:rPr>
      </w:pPr>
      <w:r>
        <w:rPr>
          <w:rFonts w:ascii="宋体" w:hAnsi="宋体"/>
          <w:color w:val="auto"/>
          <w:szCs w:val="24"/>
          <w:highlight w:val="none"/>
        </w:rPr>
        <w:t>1.1本附件用于合同执行期间对投标人所提供的设备（包括对分包外购设备）进行检验、监造和性能验收试验，确保投标人的设备符合技术规范的规定。</w:t>
      </w:r>
    </w:p>
    <w:p w14:paraId="40EAEB3C">
      <w:pPr>
        <w:pStyle w:val="8"/>
        <w:spacing w:line="360" w:lineRule="auto"/>
        <w:ind w:firstLine="0"/>
        <w:rPr>
          <w:rFonts w:ascii="宋体" w:hAnsi="宋体"/>
          <w:color w:val="auto"/>
          <w:szCs w:val="24"/>
          <w:highlight w:val="none"/>
        </w:rPr>
      </w:pPr>
      <w:r>
        <w:rPr>
          <w:rFonts w:ascii="宋体" w:hAnsi="宋体"/>
          <w:color w:val="auto"/>
          <w:szCs w:val="24"/>
          <w:highlight w:val="none"/>
        </w:rPr>
        <w:t>1.2投标人应在合同</w:t>
      </w:r>
      <w:r>
        <w:rPr>
          <w:rFonts w:hint="eastAsia" w:ascii="宋体" w:hAnsi="宋体"/>
          <w:color w:val="auto"/>
          <w:szCs w:val="24"/>
          <w:highlight w:val="none"/>
        </w:rPr>
        <w:t>签订1</w:t>
      </w:r>
      <w:r>
        <w:rPr>
          <w:rFonts w:ascii="宋体" w:hAnsi="宋体"/>
          <w:color w:val="auto"/>
          <w:szCs w:val="24"/>
          <w:highlight w:val="none"/>
        </w:rPr>
        <w:t>0</w:t>
      </w:r>
      <w:r>
        <w:rPr>
          <w:rFonts w:hint="eastAsia" w:ascii="宋体" w:hAnsi="宋体"/>
          <w:color w:val="auto"/>
          <w:szCs w:val="24"/>
          <w:highlight w:val="none"/>
        </w:rPr>
        <w:t>日</w:t>
      </w:r>
      <w:r>
        <w:rPr>
          <w:rFonts w:ascii="宋体" w:hAnsi="宋体"/>
          <w:color w:val="auto"/>
          <w:szCs w:val="24"/>
          <w:highlight w:val="none"/>
        </w:rPr>
        <w:t>内，向招标人提供与本合同设备有关的监造、检验和性能验收试验标准。有关标准应符合技术的规定。</w:t>
      </w:r>
    </w:p>
    <w:p w14:paraId="76B2FEA8">
      <w:pPr>
        <w:pStyle w:val="8"/>
        <w:spacing w:line="360" w:lineRule="auto"/>
        <w:ind w:firstLine="0"/>
        <w:rPr>
          <w:rFonts w:ascii="宋体" w:hAnsi="宋体"/>
          <w:b/>
          <w:color w:val="auto"/>
          <w:szCs w:val="24"/>
          <w:highlight w:val="none"/>
        </w:rPr>
      </w:pPr>
      <w:r>
        <w:rPr>
          <w:rFonts w:ascii="宋体" w:hAnsi="宋体"/>
          <w:b/>
          <w:color w:val="auto"/>
          <w:szCs w:val="24"/>
          <w:highlight w:val="none"/>
        </w:rPr>
        <w:t>2工厂检验</w:t>
      </w:r>
    </w:p>
    <w:p w14:paraId="6288CA89">
      <w:pPr>
        <w:pStyle w:val="8"/>
        <w:spacing w:line="360" w:lineRule="auto"/>
        <w:ind w:firstLine="0"/>
        <w:rPr>
          <w:rFonts w:ascii="宋体" w:hAnsi="宋体"/>
          <w:color w:val="auto"/>
          <w:szCs w:val="24"/>
          <w:highlight w:val="none"/>
        </w:rPr>
      </w:pPr>
      <w:r>
        <w:rPr>
          <w:rFonts w:hint="eastAsia" w:ascii="宋体" w:hAnsi="宋体"/>
          <w:color w:val="auto"/>
          <w:szCs w:val="24"/>
          <w:highlight w:val="none"/>
        </w:rPr>
        <w:t>2</w:t>
      </w:r>
      <w:r>
        <w:rPr>
          <w:rFonts w:ascii="宋体" w:hAnsi="宋体"/>
          <w:color w:val="auto"/>
          <w:szCs w:val="24"/>
          <w:highlight w:val="none"/>
        </w:rPr>
        <w:t xml:space="preserve">.1  </w:t>
      </w:r>
      <w:r>
        <w:rPr>
          <w:rFonts w:hint="eastAsia" w:ascii="宋体" w:hAnsi="宋体"/>
          <w:color w:val="auto"/>
          <w:szCs w:val="24"/>
          <w:highlight w:val="none"/>
        </w:rPr>
        <w:t>招标人有权派遣其检验人员到投标人及其分包商的车间场所</w:t>
      </w:r>
      <w:r>
        <w:rPr>
          <w:rFonts w:ascii="宋体" w:hAnsi="宋体"/>
          <w:color w:val="auto"/>
          <w:szCs w:val="24"/>
          <w:highlight w:val="none"/>
        </w:rPr>
        <w:t xml:space="preserve">, </w:t>
      </w:r>
      <w:r>
        <w:rPr>
          <w:rFonts w:hint="eastAsia" w:ascii="宋体" w:hAnsi="宋体"/>
          <w:color w:val="auto"/>
          <w:szCs w:val="24"/>
          <w:highlight w:val="none"/>
        </w:rPr>
        <w:t>对合同设备的加工制造进行检验。招标人将为此目的而派遣的代表的身份以书面形式通知投标人。</w:t>
      </w:r>
    </w:p>
    <w:p w14:paraId="67F5E17D">
      <w:pPr>
        <w:pStyle w:val="8"/>
        <w:spacing w:line="360" w:lineRule="auto"/>
        <w:ind w:firstLine="0"/>
        <w:rPr>
          <w:rFonts w:ascii="宋体" w:hAnsi="宋体"/>
          <w:color w:val="auto"/>
          <w:szCs w:val="24"/>
          <w:highlight w:val="none"/>
        </w:rPr>
      </w:pPr>
      <w:r>
        <w:rPr>
          <w:rFonts w:hint="eastAsia" w:ascii="宋体" w:hAnsi="宋体"/>
          <w:color w:val="auto"/>
          <w:szCs w:val="24"/>
          <w:highlight w:val="none"/>
        </w:rPr>
        <w:t>2</w:t>
      </w:r>
      <w:r>
        <w:rPr>
          <w:rFonts w:ascii="宋体" w:hAnsi="宋体"/>
          <w:color w:val="auto"/>
          <w:szCs w:val="24"/>
          <w:highlight w:val="none"/>
        </w:rPr>
        <w:t>.</w:t>
      </w:r>
      <w:r>
        <w:rPr>
          <w:rFonts w:hint="eastAsia" w:ascii="宋体" w:hAnsi="宋体"/>
          <w:color w:val="auto"/>
          <w:szCs w:val="24"/>
          <w:highlight w:val="none"/>
        </w:rPr>
        <w:t>2如有合同设备经检验和试验不符合技术规范的要求</w:t>
      </w:r>
      <w:r>
        <w:rPr>
          <w:rFonts w:ascii="宋体" w:hAnsi="宋体"/>
          <w:color w:val="auto"/>
          <w:szCs w:val="24"/>
          <w:highlight w:val="none"/>
        </w:rPr>
        <w:t>,</w:t>
      </w:r>
      <w:r>
        <w:rPr>
          <w:rFonts w:hint="eastAsia" w:ascii="宋体" w:hAnsi="宋体"/>
          <w:color w:val="auto"/>
          <w:szCs w:val="24"/>
          <w:highlight w:val="none"/>
        </w:rPr>
        <w:t>招标人可以拒收</w:t>
      </w:r>
      <w:r>
        <w:rPr>
          <w:rFonts w:ascii="宋体" w:hAnsi="宋体"/>
          <w:color w:val="auto"/>
          <w:szCs w:val="24"/>
          <w:highlight w:val="none"/>
        </w:rPr>
        <w:t>,</w:t>
      </w:r>
      <w:r>
        <w:rPr>
          <w:rFonts w:hint="eastAsia" w:ascii="宋体" w:hAnsi="宋体"/>
          <w:color w:val="auto"/>
          <w:szCs w:val="24"/>
          <w:highlight w:val="none"/>
        </w:rPr>
        <w:t>投标人应更换被拒收的货物</w:t>
      </w:r>
      <w:r>
        <w:rPr>
          <w:rFonts w:ascii="宋体" w:hAnsi="宋体"/>
          <w:color w:val="auto"/>
          <w:szCs w:val="24"/>
          <w:highlight w:val="none"/>
        </w:rPr>
        <w:t>,</w:t>
      </w:r>
      <w:r>
        <w:rPr>
          <w:rFonts w:hint="eastAsia" w:ascii="宋体" w:hAnsi="宋体"/>
          <w:color w:val="auto"/>
          <w:szCs w:val="24"/>
          <w:highlight w:val="none"/>
        </w:rPr>
        <w:t>或进行必要的改造使之符合技术规范的要求</w:t>
      </w:r>
      <w:r>
        <w:rPr>
          <w:rFonts w:ascii="宋体" w:hAnsi="宋体"/>
          <w:color w:val="auto"/>
          <w:szCs w:val="24"/>
          <w:highlight w:val="none"/>
        </w:rPr>
        <w:t>,</w:t>
      </w:r>
      <w:r>
        <w:rPr>
          <w:rFonts w:hint="eastAsia" w:ascii="宋体" w:hAnsi="宋体"/>
          <w:color w:val="auto"/>
          <w:szCs w:val="24"/>
          <w:highlight w:val="none"/>
        </w:rPr>
        <w:t>招标人不承担上述的费用。</w:t>
      </w:r>
    </w:p>
    <w:p w14:paraId="38774EB9">
      <w:pPr>
        <w:pStyle w:val="8"/>
        <w:spacing w:line="360" w:lineRule="auto"/>
        <w:ind w:firstLine="0"/>
        <w:rPr>
          <w:rFonts w:ascii="宋体" w:hAnsi="宋体"/>
          <w:color w:val="auto"/>
          <w:szCs w:val="24"/>
          <w:highlight w:val="none"/>
        </w:rPr>
      </w:pPr>
      <w:r>
        <w:rPr>
          <w:rFonts w:hint="eastAsia" w:ascii="宋体" w:hAnsi="宋体"/>
          <w:color w:val="auto"/>
          <w:szCs w:val="24"/>
          <w:highlight w:val="none"/>
        </w:rPr>
        <w:t>2</w:t>
      </w:r>
      <w:r>
        <w:rPr>
          <w:rFonts w:ascii="宋体" w:hAnsi="宋体"/>
          <w:color w:val="auto"/>
          <w:szCs w:val="24"/>
          <w:highlight w:val="none"/>
        </w:rPr>
        <w:t>.</w:t>
      </w:r>
      <w:r>
        <w:rPr>
          <w:rFonts w:hint="eastAsia" w:ascii="宋体" w:hAnsi="宋体"/>
          <w:color w:val="auto"/>
          <w:szCs w:val="24"/>
          <w:highlight w:val="none"/>
        </w:rPr>
        <w:t>3招标人对货物运到招标人所在地以后进行检验、试验和拒收(如果必要时)的权利</w:t>
      </w:r>
      <w:r>
        <w:rPr>
          <w:rFonts w:ascii="宋体" w:hAnsi="宋体"/>
          <w:color w:val="auto"/>
          <w:szCs w:val="24"/>
          <w:highlight w:val="none"/>
        </w:rPr>
        <w:t>,</w:t>
      </w:r>
      <w:r>
        <w:rPr>
          <w:rFonts w:hint="eastAsia" w:ascii="宋体" w:hAnsi="宋体"/>
          <w:color w:val="auto"/>
          <w:szCs w:val="24"/>
          <w:highlight w:val="none"/>
        </w:rPr>
        <w:t>不得因该货物在原产地发运以前已经由招标人或其代表进行过检验并已通过作为理由而受到限制。招标人人员参加工厂试验</w:t>
      </w:r>
      <w:r>
        <w:rPr>
          <w:rFonts w:ascii="宋体" w:hAnsi="宋体"/>
          <w:color w:val="auto"/>
          <w:szCs w:val="24"/>
          <w:highlight w:val="none"/>
        </w:rPr>
        <w:t>,</w:t>
      </w:r>
      <w:r>
        <w:rPr>
          <w:rFonts w:hint="eastAsia" w:ascii="宋体" w:hAnsi="宋体"/>
          <w:color w:val="auto"/>
          <w:szCs w:val="24"/>
          <w:highlight w:val="none"/>
        </w:rPr>
        <w:t>包括会签任何试验结果</w:t>
      </w:r>
      <w:r>
        <w:rPr>
          <w:rFonts w:ascii="宋体" w:hAnsi="宋体"/>
          <w:color w:val="auto"/>
          <w:szCs w:val="24"/>
          <w:highlight w:val="none"/>
        </w:rPr>
        <w:t>,</w:t>
      </w:r>
      <w:r>
        <w:rPr>
          <w:rFonts w:hint="eastAsia" w:ascii="宋体" w:hAnsi="宋体"/>
          <w:color w:val="auto"/>
          <w:szCs w:val="24"/>
          <w:highlight w:val="none"/>
        </w:rPr>
        <w:t>既不免除投标人按合同规定应负的责任</w:t>
      </w:r>
      <w:r>
        <w:rPr>
          <w:rFonts w:ascii="宋体" w:hAnsi="宋体"/>
          <w:color w:val="auto"/>
          <w:szCs w:val="24"/>
          <w:highlight w:val="none"/>
        </w:rPr>
        <w:t>,</w:t>
      </w:r>
      <w:r>
        <w:rPr>
          <w:rFonts w:hint="eastAsia" w:ascii="宋体" w:hAnsi="宋体"/>
          <w:color w:val="auto"/>
          <w:szCs w:val="24"/>
          <w:highlight w:val="none"/>
        </w:rPr>
        <w:t>也不能代替合同设备到达现场后招标人对其进行的检验。</w:t>
      </w:r>
    </w:p>
    <w:p w14:paraId="3DA27D39">
      <w:pPr>
        <w:pStyle w:val="8"/>
        <w:spacing w:line="360" w:lineRule="auto"/>
        <w:ind w:firstLine="0"/>
        <w:rPr>
          <w:rFonts w:ascii="宋体" w:hAnsi="宋体"/>
          <w:color w:val="auto"/>
          <w:szCs w:val="24"/>
          <w:highlight w:val="none"/>
        </w:rPr>
      </w:pPr>
      <w:r>
        <w:rPr>
          <w:rFonts w:hint="eastAsia" w:ascii="宋体" w:hAnsi="宋体"/>
          <w:color w:val="auto"/>
          <w:szCs w:val="24"/>
          <w:highlight w:val="none"/>
        </w:rPr>
        <w:t>2</w:t>
      </w:r>
      <w:r>
        <w:rPr>
          <w:rFonts w:ascii="宋体" w:hAnsi="宋体"/>
          <w:color w:val="auto"/>
          <w:szCs w:val="24"/>
          <w:highlight w:val="none"/>
        </w:rPr>
        <w:t>.</w:t>
      </w:r>
      <w:r>
        <w:rPr>
          <w:rFonts w:hint="eastAsia" w:ascii="宋体" w:hAnsi="宋体"/>
          <w:color w:val="auto"/>
          <w:szCs w:val="24"/>
          <w:highlight w:val="none"/>
        </w:rPr>
        <w:t>4投标人应在开始进行工厂试验前15天</w:t>
      </w:r>
      <w:r>
        <w:rPr>
          <w:rFonts w:ascii="宋体" w:hAnsi="宋体"/>
          <w:color w:val="auto"/>
          <w:szCs w:val="24"/>
          <w:highlight w:val="none"/>
        </w:rPr>
        <w:t>,</w:t>
      </w:r>
      <w:r>
        <w:rPr>
          <w:rFonts w:hint="eastAsia" w:ascii="宋体" w:hAnsi="宋体"/>
          <w:color w:val="auto"/>
          <w:szCs w:val="24"/>
          <w:highlight w:val="none"/>
        </w:rPr>
        <w:t>通知招标人其日程安排。根据这个日程安排</w:t>
      </w:r>
      <w:r>
        <w:rPr>
          <w:rFonts w:ascii="宋体" w:hAnsi="宋体"/>
          <w:color w:val="auto"/>
          <w:szCs w:val="24"/>
          <w:highlight w:val="none"/>
        </w:rPr>
        <w:t>,</w:t>
      </w:r>
      <w:r>
        <w:rPr>
          <w:rFonts w:hint="eastAsia" w:ascii="宋体" w:hAnsi="宋体"/>
          <w:color w:val="auto"/>
          <w:szCs w:val="24"/>
          <w:highlight w:val="none"/>
        </w:rPr>
        <w:t>招标人将确定对合同设备的那些试验项目和阶段要进行现场验证</w:t>
      </w:r>
      <w:r>
        <w:rPr>
          <w:rFonts w:ascii="宋体" w:hAnsi="宋体"/>
          <w:color w:val="auto"/>
          <w:szCs w:val="24"/>
          <w:highlight w:val="none"/>
        </w:rPr>
        <w:t>,</w:t>
      </w:r>
      <w:r>
        <w:rPr>
          <w:rFonts w:hint="eastAsia" w:ascii="宋体" w:hAnsi="宋体"/>
          <w:color w:val="auto"/>
          <w:szCs w:val="24"/>
          <w:highlight w:val="none"/>
        </w:rPr>
        <w:t>并将在接到投标人关于安装、试验和检验的日程安排通知后10天内通知投标人。然后招标人将派出技术人员前往投标人和(或)其分包商生产现场</w:t>
      </w:r>
      <w:r>
        <w:rPr>
          <w:rFonts w:ascii="宋体" w:hAnsi="宋体"/>
          <w:color w:val="auto"/>
          <w:szCs w:val="24"/>
          <w:highlight w:val="none"/>
        </w:rPr>
        <w:t>,</w:t>
      </w:r>
      <w:r>
        <w:rPr>
          <w:rFonts w:hint="eastAsia" w:ascii="宋体" w:hAnsi="宋体"/>
          <w:color w:val="auto"/>
          <w:szCs w:val="24"/>
          <w:highlight w:val="none"/>
        </w:rPr>
        <w:t>以观察和了解该合同设备工厂试验的情况及其运输包装的情况 。若发现任一货物的质量不符合合同规定的标准</w:t>
      </w:r>
      <w:r>
        <w:rPr>
          <w:rFonts w:ascii="宋体" w:hAnsi="宋体"/>
          <w:color w:val="auto"/>
          <w:szCs w:val="24"/>
          <w:highlight w:val="none"/>
        </w:rPr>
        <w:t>,</w:t>
      </w:r>
      <w:r>
        <w:rPr>
          <w:rFonts w:hint="eastAsia" w:ascii="宋体" w:hAnsi="宋体"/>
          <w:color w:val="auto"/>
          <w:szCs w:val="24"/>
          <w:highlight w:val="none"/>
        </w:rPr>
        <w:t>或包装不满足要求</w:t>
      </w:r>
      <w:r>
        <w:rPr>
          <w:rFonts w:ascii="宋体" w:hAnsi="宋体"/>
          <w:color w:val="auto"/>
          <w:szCs w:val="24"/>
          <w:highlight w:val="none"/>
        </w:rPr>
        <w:t>,</w:t>
      </w:r>
      <w:r>
        <w:rPr>
          <w:rFonts w:hint="eastAsia" w:ascii="宋体" w:hAnsi="宋体"/>
          <w:color w:val="auto"/>
          <w:szCs w:val="24"/>
          <w:highlight w:val="none"/>
        </w:rPr>
        <w:t>招标人代表有权发表意见</w:t>
      </w:r>
      <w:r>
        <w:rPr>
          <w:rFonts w:ascii="宋体" w:hAnsi="宋体"/>
          <w:color w:val="auto"/>
          <w:szCs w:val="24"/>
          <w:highlight w:val="none"/>
        </w:rPr>
        <w:t>,</w:t>
      </w:r>
      <w:r>
        <w:rPr>
          <w:rFonts w:hint="eastAsia" w:ascii="宋体" w:hAnsi="宋体"/>
          <w:color w:val="auto"/>
          <w:szCs w:val="24"/>
          <w:highlight w:val="none"/>
        </w:rPr>
        <w:t>投标人应认真考虑其意见</w:t>
      </w:r>
      <w:r>
        <w:rPr>
          <w:rFonts w:ascii="宋体" w:hAnsi="宋体"/>
          <w:color w:val="auto"/>
          <w:szCs w:val="24"/>
          <w:highlight w:val="none"/>
        </w:rPr>
        <w:t>,</w:t>
      </w:r>
      <w:r>
        <w:rPr>
          <w:rFonts w:hint="eastAsia" w:ascii="宋体" w:hAnsi="宋体"/>
          <w:color w:val="auto"/>
          <w:szCs w:val="24"/>
          <w:highlight w:val="none"/>
        </w:rPr>
        <w:t>并采取必要措施以确保待运合同设备的质量</w:t>
      </w:r>
      <w:r>
        <w:rPr>
          <w:rFonts w:ascii="宋体" w:hAnsi="宋体"/>
          <w:color w:val="auto"/>
          <w:szCs w:val="24"/>
          <w:highlight w:val="none"/>
        </w:rPr>
        <w:t>,</w:t>
      </w:r>
      <w:r>
        <w:rPr>
          <w:rFonts w:hint="eastAsia" w:ascii="宋体" w:hAnsi="宋体"/>
          <w:color w:val="auto"/>
          <w:szCs w:val="24"/>
          <w:highlight w:val="none"/>
        </w:rPr>
        <w:t xml:space="preserve"> 现场验证检验程序由双方代表共同协商决定。</w:t>
      </w:r>
    </w:p>
    <w:p w14:paraId="2EC464BF">
      <w:pPr>
        <w:pStyle w:val="8"/>
        <w:spacing w:line="360" w:lineRule="auto"/>
        <w:ind w:firstLine="0"/>
        <w:rPr>
          <w:rFonts w:ascii="宋体" w:hAnsi="宋体"/>
          <w:color w:val="auto"/>
          <w:szCs w:val="24"/>
          <w:highlight w:val="none"/>
        </w:rPr>
      </w:pPr>
      <w:r>
        <w:rPr>
          <w:rFonts w:hint="eastAsia" w:ascii="宋体" w:hAnsi="宋体"/>
          <w:color w:val="auto"/>
          <w:szCs w:val="24"/>
          <w:highlight w:val="none"/>
        </w:rPr>
        <w:t>2</w:t>
      </w:r>
      <w:r>
        <w:rPr>
          <w:rFonts w:ascii="宋体" w:hAnsi="宋体"/>
          <w:color w:val="auto"/>
          <w:szCs w:val="24"/>
          <w:highlight w:val="none"/>
        </w:rPr>
        <w:t>.</w:t>
      </w:r>
      <w:r>
        <w:rPr>
          <w:rFonts w:hint="eastAsia" w:ascii="宋体" w:hAnsi="宋体"/>
          <w:color w:val="auto"/>
          <w:szCs w:val="24"/>
          <w:highlight w:val="none"/>
        </w:rPr>
        <w:t>5若招标人不派代表参加上述试验</w:t>
      </w:r>
      <w:r>
        <w:rPr>
          <w:rFonts w:ascii="宋体" w:hAnsi="宋体"/>
          <w:color w:val="auto"/>
          <w:szCs w:val="24"/>
          <w:highlight w:val="none"/>
        </w:rPr>
        <w:t>,</w:t>
      </w:r>
      <w:r>
        <w:rPr>
          <w:rFonts w:hint="eastAsia" w:ascii="宋体" w:hAnsi="宋体"/>
          <w:color w:val="auto"/>
          <w:szCs w:val="24"/>
          <w:highlight w:val="none"/>
        </w:rPr>
        <w:t>投标人应在接到招标人关于不派员到投标人和(或)其分包商工厂的通知后</w:t>
      </w:r>
      <w:r>
        <w:rPr>
          <w:rFonts w:ascii="宋体" w:hAnsi="宋体"/>
          <w:color w:val="auto"/>
          <w:szCs w:val="24"/>
          <w:highlight w:val="none"/>
        </w:rPr>
        <w:t>,</w:t>
      </w:r>
      <w:r>
        <w:rPr>
          <w:rFonts w:hint="eastAsia" w:ascii="宋体" w:hAnsi="宋体"/>
          <w:color w:val="auto"/>
          <w:szCs w:val="24"/>
          <w:highlight w:val="none"/>
        </w:rPr>
        <w:t>或招标人未按时派遣人员参加的情况下</w:t>
      </w:r>
      <w:r>
        <w:rPr>
          <w:rFonts w:ascii="宋体" w:hAnsi="宋体"/>
          <w:color w:val="auto"/>
          <w:szCs w:val="24"/>
          <w:highlight w:val="none"/>
        </w:rPr>
        <w:t>,</w:t>
      </w:r>
      <w:r>
        <w:rPr>
          <w:rFonts w:hint="eastAsia" w:ascii="宋体" w:hAnsi="宋体"/>
          <w:color w:val="auto"/>
          <w:szCs w:val="24"/>
          <w:highlight w:val="none"/>
        </w:rPr>
        <w:t>自行组织检验。</w:t>
      </w:r>
    </w:p>
    <w:p w14:paraId="60615302">
      <w:pPr>
        <w:pStyle w:val="8"/>
        <w:spacing w:line="360" w:lineRule="auto"/>
        <w:ind w:firstLine="0"/>
        <w:rPr>
          <w:rFonts w:ascii="宋体" w:hAnsi="宋体"/>
          <w:b/>
          <w:color w:val="auto"/>
          <w:szCs w:val="24"/>
          <w:highlight w:val="none"/>
        </w:rPr>
      </w:pPr>
      <w:r>
        <w:rPr>
          <w:rFonts w:ascii="宋体" w:hAnsi="宋体"/>
          <w:b/>
          <w:color w:val="auto"/>
          <w:szCs w:val="24"/>
          <w:highlight w:val="none"/>
        </w:rPr>
        <w:t xml:space="preserve">3  </w:t>
      </w:r>
      <w:r>
        <w:rPr>
          <w:rFonts w:hint="eastAsia" w:ascii="宋体" w:hAnsi="宋体"/>
          <w:b/>
          <w:color w:val="auto"/>
          <w:szCs w:val="24"/>
          <w:highlight w:val="none"/>
        </w:rPr>
        <w:t>质量保证和试验</w:t>
      </w:r>
    </w:p>
    <w:p w14:paraId="5E44CECD">
      <w:pPr>
        <w:pStyle w:val="8"/>
        <w:spacing w:line="360" w:lineRule="auto"/>
        <w:ind w:firstLine="0"/>
        <w:rPr>
          <w:rFonts w:ascii="宋体" w:hAnsi="宋体"/>
          <w:color w:val="auto"/>
          <w:szCs w:val="24"/>
          <w:highlight w:val="none"/>
        </w:rPr>
      </w:pPr>
      <w:r>
        <w:rPr>
          <w:rFonts w:ascii="宋体" w:hAnsi="宋体"/>
          <w:color w:val="auto"/>
          <w:szCs w:val="24"/>
          <w:highlight w:val="none"/>
        </w:rPr>
        <w:t xml:space="preserve">3.1 </w:t>
      </w:r>
      <w:r>
        <w:rPr>
          <w:rFonts w:hint="eastAsia" w:ascii="宋体" w:hAnsi="宋体"/>
          <w:color w:val="auto"/>
          <w:szCs w:val="24"/>
          <w:highlight w:val="none"/>
        </w:rPr>
        <w:t>质量保证</w:t>
      </w:r>
    </w:p>
    <w:p w14:paraId="088864FD">
      <w:pPr>
        <w:snapToGrid w:val="0"/>
        <w:spacing w:line="360" w:lineRule="auto"/>
        <w:rPr>
          <w:snapToGrid w:val="0"/>
          <w:color w:val="auto"/>
          <w:sz w:val="24"/>
          <w:highlight w:val="none"/>
        </w:rPr>
      </w:pPr>
      <w:r>
        <w:rPr>
          <w:snapToGrid w:val="0"/>
          <w:color w:val="auto"/>
          <w:sz w:val="24"/>
          <w:highlight w:val="none"/>
        </w:rPr>
        <w:t>3.1.1</w:t>
      </w:r>
      <w:r>
        <w:rPr>
          <w:rFonts w:hint="eastAsia"/>
          <w:snapToGrid w:val="0"/>
          <w:color w:val="auto"/>
          <w:sz w:val="24"/>
          <w:highlight w:val="none"/>
        </w:rPr>
        <w:t>投标人提供的产品除应满足本规范书外，还应在提供该产品的鉴定证书。</w:t>
      </w:r>
    </w:p>
    <w:p w14:paraId="1B43F4C9">
      <w:pPr>
        <w:tabs>
          <w:tab w:val="left" w:pos="600"/>
        </w:tabs>
        <w:snapToGrid w:val="0"/>
        <w:spacing w:line="360" w:lineRule="auto"/>
        <w:rPr>
          <w:snapToGrid w:val="0"/>
          <w:color w:val="auto"/>
          <w:sz w:val="24"/>
          <w:highlight w:val="none"/>
        </w:rPr>
      </w:pPr>
      <w:r>
        <w:rPr>
          <w:snapToGrid w:val="0"/>
          <w:color w:val="auto"/>
          <w:sz w:val="24"/>
          <w:highlight w:val="none"/>
        </w:rPr>
        <w:t>3.1.2</w:t>
      </w:r>
      <w:r>
        <w:rPr>
          <w:rFonts w:hint="eastAsia"/>
          <w:snapToGrid w:val="0"/>
          <w:color w:val="auto"/>
          <w:sz w:val="24"/>
          <w:highlight w:val="none"/>
        </w:rPr>
        <w:t>投标人应保证制造过程中的所有工艺、材料试验等（包括投标人的外购件在内）均应符合本规范书的规定。若招标人根据运行经验指定投标人提供某种外购零部件，投标人应积极配合。</w:t>
      </w:r>
    </w:p>
    <w:p w14:paraId="51F13603">
      <w:pPr>
        <w:tabs>
          <w:tab w:val="left" w:pos="600"/>
        </w:tabs>
        <w:snapToGrid w:val="0"/>
        <w:spacing w:line="360" w:lineRule="auto"/>
        <w:rPr>
          <w:snapToGrid w:val="0"/>
          <w:color w:val="auto"/>
          <w:sz w:val="24"/>
          <w:highlight w:val="none"/>
        </w:rPr>
      </w:pPr>
      <w:r>
        <w:rPr>
          <w:snapToGrid w:val="0"/>
          <w:color w:val="auto"/>
          <w:sz w:val="24"/>
          <w:highlight w:val="none"/>
        </w:rPr>
        <w:t>3.1.3</w:t>
      </w:r>
      <w:r>
        <w:rPr>
          <w:rFonts w:hint="eastAsia"/>
          <w:snapToGrid w:val="0"/>
          <w:color w:val="auto"/>
          <w:sz w:val="24"/>
          <w:highlight w:val="none"/>
        </w:rPr>
        <w:t>附属及配套设备必须满足本规范书的有关规定及相关国家标准和行业标准的要求，并提供试验报告和产品合格证。</w:t>
      </w:r>
    </w:p>
    <w:p w14:paraId="3B3DAE4B">
      <w:pPr>
        <w:tabs>
          <w:tab w:val="left" w:pos="600"/>
        </w:tabs>
        <w:snapToGrid w:val="0"/>
        <w:spacing w:line="360" w:lineRule="auto"/>
        <w:rPr>
          <w:snapToGrid w:val="0"/>
          <w:color w:val="auto"/>
          <w:sz w:val="24"/>
          <w:highlight w:val="none"/>
        </w:rPr>
      </w:pPr>
      <w:r>
        <w:rPr>
          <w:snapToGrid w:val="0"/>
          <w:color w:val="auto"/>
          <w:sz w:val="24"/>
          <w:highlight w:val="none"/>
        </w:rPr>
        <w:t>3.1.4</w:t>
      </w:r>
      <w:r>
        <w:rPr>
          <w:rFonts w:hint="eastAsia"/>
          <w:snapToGrid w:val="0"/>
          <w:color w:val="auto"/>
          <w:sz w:val="24"/>
          <w:highlight w:val="none"/>
        </w:rPr>
        <w:t>投标人应有遵守本规范书中各条款和工作项目的ISO900</w:t>
      </w:r>
      <w:r>
        <w:rPr>
          <w:snapToGrid w:val="0"/>
          <w:color w:val="auto"/>
          <w:sz w:val="24"/>
          <w:highlight w:val="none"/>
        </w:rPr>
        <w:t>1</w:t>
      </w:r>
      <w:r>
        <w:rPr>
          <w:rFonts w:hint="eastAsia"/>
          <w:snapToGrid w:val="0"/>
          <w:color w:val="auto"/>
          <w:sz w:val="24"/>
          <w:highlight w:val="none"/>
        </w:rPr>
        <w:t>质量保证体系，该质量保证体系已经通过国家认证和正常运转。</w:t>
      </w:r>
    </w:p>
    <w:p w14:paraId="43DF258A">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.2 试验条件</w:t>
      </w:r>
    </w:p>
    <w:p w14:paraId="3BBB70CC">
      <w:pPr>
        <w:snapToGrid w:val="0"/>
        <w:spacing w:line="300" w:lineRule="auto"/>
        <w:rPr>
          <w:snapToGrid w:val="0"/>
          <w:color w:val="auto"/>
          <w:sz w:val="24"/>
          <w:highlight w:val="none"/>
        </w:rPr>
      </w:pPr>
      <w:r>
        <w:rPr>
          <w:snapToGrid w:val="0"/>
          <w:color w:val="auto"/>
          <w:sz w:val="24"/>
          <w:highlight w:val="none"/>
        </w:rPr>
        <w:t>3.2.1</w:t>
      </w:r>
      <w:r>
        <w:rPr>
          <w:rFonts w:hint="eastAsia"/>
          <w:snapToGrid w:val="0"/>
          <w:color w:val="auto"/>
          <w:sz w:val="24"/>
          <w:highlight w:val="none"/>
        </w:rPr>
        <w:t>除另有规定外，各项试验均应在规定的试验的标准大气条件下进行。</w:t>
      </w:r>
    </w:p>
    <w:p w14:paraId="3C55196B">
      <w:pPr>
        <w:snapToGrid w:val="0"/>
        <w:spacing w:line="300" w:lineRule="auto"/>
        <w:rPr>
          <w:snapToGrid w:val="0"/>
          <w:color w:val="auto"/>
          <w:sz w:val="24"/>
          <w:highlight w:val="none"/>
        </w:rPr>
      </w:pPr>
      <w:r>
        <w:rPr>
          <w:snapToGrid w:val="0"/>
          <w:color w:val="auto"/>
          <w:sz w:val="24"/>
          <w:highlight w:val="none"/>
        </w:rPr>
        <w:t>3.2.2</w:t>
      </w:r>
      <w:r>
        <w:rPr>
          <w:rFonts w:hint="eastAsia"/>
          <w:snapToGrid w:val="0"/>
          <w:color w:val="auto"/>
          <w:sz w:val="24"/>
          <w:highlight w:val="none"/>
        </w:rPr>
        <w:t>被试验装置和测试仪表必须良好接地，并考虑周围环境电磁干扰对测试结果的影响。</w:t>
      </w:r>
    </w:p>
    <w:p w14:paraId="6F59E8D7">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.3  结构和外观检查</w:t>
      </w:r>
    </w:p>
    <w:p w14:paraId="4D34B0B0">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.4  主要功能及技术要求试验</w:t>
      </w:r>
    </w:p>
    <w:p w14:paraId="23FD316C">
      <w:pPr>
        <w:snapToGrid w:val="0"/>
        <w:spacing w:line="500" w:lineRule="atLeast"/>
        <w:rPr>
          <w:snapToGrid w:val="0"/>
          <w:color w:val="auto"/>
          <w:sz w:val="24"/>
          <w:highlight w:val="none"/>
        </w:rPr>
      </w:pPr>
      <w:r>
        <w:rPr>
          <w:snapToGrid w:val="0"/>
          <w:color w:val="auto"/>
          <w:sz w:val="24"/>
          <w:highlight w:val="none"/>
        </w:rPr>
        <w:t>3</w:t>
      </w:r>
      <w:r>
        <w:rPr>
          <w:rFonts w:hint="eastAsia"/>
          <w:snapToGrid w:val="0"/>
          <w:color w:val="auto"/>
          <w:sz w:val="24"/>
          <w:highlight w:val="none"/>
        </w:rPr>
        <w:t>.4.1工厂试验：应包括装置试验、组屏后的屏柜试验、系统功能试验至系统指标试验，应包括以下试验项目，且不仅限于以下试验项目：</w:t>
      </w:r>
    </w:p>
    <w:p w14:paraId="14DAE3F6">
      <w:pPr>
        <w:numPr>
          <w:ilvl w:val="0"/>
          <w:numId w:val="72"/>
        </w:numPr>
        <w:snapToGrid w:val="0"/>
        <w:spacing w:line="500" w:lineRule="atLeast"/>
        <w:ind w:left="480" w:firstLine="0" w:firstLineChars="0"/>
        <w:rPr>
          <w:snapToGrid w:val="0"/>
          <w:color w:val="auto"/>
          <w:sz w:val="24"/>
          <w:highlight w:val="none"/>
        </w:rPr>
      </w:pPr>
      <w:r>
        <w:rPr>
          <w:snapToGrid w:val="0"/>
          <w:color w:val="auto"/>
          <w:sz w:val="24"/>
          <w:highlight w:val="none"/>
        </w:rPr>
        <w:t>I</w:t>
      </w:r>
      <w:r>
        <w:rPr>
          <w:rFonts w:hint="eastAsia"/>
          <w:snapToGrid w:val="0"/>
          <w:color w:val="auto"/>
          <w:sz w:val="24"/>
          <w:highlight w:val="none"/>
        </w:rPr>
        <w:t>／O单元的性能试验</w:t>
      </w:r>
      <w:r>
        <w:rPr>
          <w:snapToGrid w:val="0"/>
          <w:color w:val="auto"/>
          <w:sz w:val="24"/>
          <w:highlight w:val="none"/>
        </w:rPr>
        <w:t>(</w:t>
      </w:r>
      <w:r>
        <w:rPr>
          <w:rFonts w:hint="eastAsia"/>
          <w:snapToGrid w:val="0"/>
          <w:color w:val="auto"/>
          <w:sz w:val="24"/>
          <w:highlight w:val="none"/>
        </w:rPr>
        <w:t>包括信号输入检查、命令输出检查和模拟量测量精度测试等</w:t>
      </w:r>
      <w:r>
        <w:rPr>
          <w:snapToGrid w:val="0"/>
          <w:color w:val="auto"/>
          <w:sz w:val="24"/>
          <w:highlight w:val="none"/>
        </w:rPr>
        <w:t>)</w:t>
      </w:r>
      <w:r>
        <w:rPr>
          <w:rFonts w:hint="eastAsia"/>
          <w:snapToGrid w:val="0"/>
          <w:color w:val="auto"/>
          <w:sz w:val="24"/>
          <w:highlight w:val="none"/>
        </w:rPr>
        <w:t>。</w:t>
      </w:r>
    </w:p>
    <w:p w14:paraId="2CF85C42">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屏柜试验</w:t>
      </w:r>
      <w:r>
        <w:rPr>
          <w:snapToGrid w:val="0"/>
          <w:color w:val="auto"/>
          <w:sz w:val="24"/>
          <w:highlight w:val="none"/>
        </w:rPr>
        <w:t>(</w:t>
      </w:r>
      <w:r>
        <w:rPr>
          <w:rFonts w:hint="eastAsia"/>
          <w:snapToGrid w:val="0"/>
          <w:color w:val="auto"/>
          <w:sz w:val="24"/>
          <w:highlight w:val="none"/>
        </w:rPr>
        <w:t>包括耐压试验、绝缘电阻测量、屏内接线检查等</w:t>
      </w:r>
      <w:r>
        <w:rPr>
          <w:snapToGrid w:val="0"/>
          <w:color w:val="auto"/>
          <w:sz w:val="24"/>
          <w:highlight w:val="none"/>
        </w:rPr>
        <w:t>)</w:t>
      </w:r>
      <w:r>
        <w:rPr>
          <w:rFonts w:hint="eastAsia"/>
          <w:snapToGrid w:val="0"/>
          <w:color w:val="auto"/>
          <w:sz w:val="24"/>
          <w:highlight w:val="none"/>
        </w:rPr>
        <w:t>。</w:t>
      </w:r>
    </w:p>
    <w:p w14:paraId="325825F0">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系统功能试验</w:t>
      </w:r>
      <w:r>
        <w:rPr>
          <w:snapToGrid w:val="0"/>
          <w:color w:val="auto"/>
          <w:sz w:val="24"/>
          <w:highlight w:val="none"/>
        </w:rPr>
        <w:t>(</w:t>
      </w:r>
      <w:r>
        <w:rPr>
          <w:rFonts w:hint="eastAsia"/>
          <w:snapToGrid w:val="0"/>
          <w:color w:val="auto"/>
          <w:sz w:val="24"/>
          <w:highlight w:val="none"/>
        </w:rPr>
        <w:t>包括标书描述的各项功能检查</w:t>
      </w:r>
      <w:r>
        <w:rPr>
          <w:snapToGrid w:val="0"/>
          <w:color w:val="auto"/>
          <w:sz w:val="24"/>
          <w:highlight w:val="none"/>
        </w:rPr>
        <w:t>)</w:t>
      </w:r>
      <w:r>
        <w:rPr>
          <w:rFonts w:hint="eastAsia"/>
          <w:snapToGrid w:val="0"/>
          <w:color w:val="auto"/>
          <w:sz w:val="24"/>
          <w:highlight w:val="none"/>
        </w:rPr>
        <w:t>。</w:t>
      </w:r>
    </w:p>
    <w:p w14:paraId="0E2EB1B8">
      <w:pPr>
        <w:numPr>
          <w:ilvl w:val="0"/>
          <w:numId w:val="72"/>
        </w:numPr>
        <w:snapToGrid w:val="0"/>
        <w:spacing w:line="500" w:lineRule="atLeast"/>
        <w:ind w:left="480" w:firstLine="0" w:firstLineChars="0"/>
        <w:rPr>
          <w:snapToGrid w:val="0"/>
          <w:color w:val="auto"/>
          <w:sz w:val="24"/>
          <w:highlight w:val="none"/>
        </w:rPr>
      </w:pPr>
      <w:r>
        <w:rPr>
          <w:rFonts w:hint="eastAsia"/>
          <w:snapToGrid w:val="0"/>
          <w:color w:val="auto"/>
          <w:sz w:val="24"/>
          <w:highlight w:val="none"/>
        </w:rPr>
        <w:t>电气联锁试验</w:t>
      </w:r>
      <w:r>
        <w:rPr>
          <w:snapToGrid w:val="0"/>
          <w:color w:val="auto"/>
          <w:sz w:val="24"/>
          <w:highlight w:val="none"/>
        </w:rPr>
        <w:t>(</w:t>
      </w:r>
      <w:r>
        <w:rPr>
          <w:rFonts w:hint="eastAsia"/>
          <w:snapToGrid w:val="0"/>
          <w:color w:val="auto"/>
          <w:sz w:val="24"/>
          <w:highlight w:val="none"/>
        </w:rPr>
        <w:t>投标人应模拟电厂一次主接线来验证电气联锁逻辑己按招标人要求实现</w:t>
      </w:r>
      <w:r>
        <w:rPr>
          <w:snapToGrid w:val="0"/>
          <w:color w:val="auto"/>
          <w:sz w:val="24"/>
          <w:highlight w:val="none"/>
        </w:rPr>
        <w:t>)</w:t>
      </w:r>
      <w:r>
        <w:rPr>
          <w:rFonts w:hint="eastAsia"/>
          <w:snapToGrid w:val="0"/>
          <w:color w:val="auto"/>
          <w:sz w:val="24"/>
          <w:highlight w:val="none"/>
        </w:rPr>
        <w:t>。</w:t>
      </w:r>
    </w:p>
    <w:p w14:paraId="7116B8C7">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冗余设备切换试验。</w:t>
      </w:r>
    </w:p>
    <w:p w14:paraId="109E9BCB">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系统</w:t>
      </w:r>
      <w:r>
        <w:rPr>
          <w:snapToGrid w:val="0"/>
          <w:color w:val="auto"/>
          <w:sz w:val="24"/>
          <w:highlight w:val="none"/>
        </w:rPr>
        <w:t>CPU</w:t>
      </w:r>
      <w:r>
        <w:rPr>
          <w:rFonts w:hint="eastAsia"/>
          <w:snapToGrid w:val="0"/>
          <w:color w:val="auto"/>
          <w:sz w:val="24"/>
          <w:highlight w:val="none"/>
        </w:rPr>
        <w:t>和网络负荷率试验。</w:t>
      </w:r>
    </w:p>
    <w:p w14:paraId="5CF8E7EC">
      <w:pPr>
        <w:numPr>
          <w:ilvl w:val="0"/>
          <w:numId w:val="72"/>
        </w:numPr>
        <w:snapToGrid w:val="0"/>
        <w:spacing w:line="500" w:lineRule="atLeast"/>
        <w:ind w:left="480" w:firstLine="0" w:firstLineChars="0"/>
        <w:rPr>
          <w:snapToGrid w:val="0"/>
          <w:color w:val="auto"/>
          <w:sz w:val="24"/>
          <w:highlight w:val="none"/>
        </w:rPr>
      </w:pPr>
      <w:r>
        <w:rPr>
          <w:rFonts w:hint="eastAsia"/>
          <w:snapToGrid w:val="0"/>
          <w:color w:val="auto"/>
          <w:sz w:val="24"/>
          <w:highlight w:val="none"/>
        </w:rPr>
        <w:t>时钟同步系统对时精度试验。</w:t>
      </w:r>
    </w:p>
    <w:p w14:paraId="71B7EE57">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事件顺序记录分辨率试验。</w:t>
      </w:r>
    </w:p>
    <w:p w14:paraId="2A1CC77E">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与各级调度通信模拟试验。</w:t>
      </w:r>
    </w:p>
    <w:p w14:paraId="07FC8401">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与保护通信模拟试验。</w:t>
      </w:r>
    </w:p>
    <w:p w14:paraId="07121009">
      <w:pPr>
        <w:numPr>
          <w:ilvl w:val="0"/>
          <w:numId w:val="72"/>
        </w:numPr>
        <w:snapToGrid w:val="0"/>
        <w:spacing w:line="500" w:lineRule="atLeast"/>
        <w:ind w:left="480"/>
        <w:rPr>
          <w:snapToGrid w:val="0"/>
          <w:color w:val="auto"/>
          <w:sz w:val="24"/>
          <w:highlight w:val="none"/>
        </w:rPr>
      </w:pPr>
      <w:r>
        <w:rPr>
          <w:rFonts w:hint="eastAsia"/>
          <w:snapToGrid w:val="0"/>
          <w:color w:val="auto"/>
          <w:sz w:val="24"/>
          <w:highlight w:val="none"/>
        </w:rPr>
        <w:t>根据实情经双方协商认为需进行的试验。</w:t>
      </w:r>
    </w:p>
    <w:p w14:paraId="2E12FC85">
      <w:pPr>
        <w:snapToGrid w:val="0"/>
        <w:spacing w:line="500" w:lineRule="atLeast"/>
        <w:rPr>
          <w:snapToGrid w:val="0"/>
          <w:color w:val="auto"/>
          <w:sz w:val="24"/>
          <w:highlight w:val="none"/>
        </w:rPr>
      </w:pPr>
      <w:r>
        <w:rPr>
          <w:rFonts w:hint="eastAsia"/>
          <w:snapToGrid w:val="0"/>
          <w:color w:val="auto"/>
          <w:sz w:val="24"/>
          <w:highlight w:val="none"/>
        </w:rPr>
        <w:t>3.4.2在工厂试验期间，投标人应根据标书的技术要求，完成工厂试验报告。试验报告应包括以下项目，且不仅限于以下试验项目：</w:t>
      </w:r>
    </w:p>
    <w:p w14:paraId="66992E96">
      <w:pPr>
        <w:numPr>
          <w:ilvl w:val="0"/>
          <w:numId w:val="73"/>
        </w:numPr>
        <w:snapToGrid w:val="0"/>
        <w:spacing w:line="500" w:lineRule="atLeast"/>
        <w:ind w:left="480"/>
        <w:rPr>
          <w:snapToGrid w:val="0"/>
          <w:color w:val="auto"/>
          <w:sz w:val="24"/>
          <w:highlight w:val="none"/>
        </w:rPr>
      </w:pPr>
      <w:r>
        <w:rPr>
          <w:rFonts w:hint="eastAsia"/>
          <w:snapToGrid w:val="0"/>
          <w:color w:val="auto"/>
          <w:sz w:val="24"/>
          <w:highlight w:val="none"/>
        </w:rPr>
        <w:t>设备的编号、数量和出厂序号。</w:t>
      </w:r>
    </w:p>
    <w:p w14:paraId="1F93101C">
      <w:pPr>
        <w:numPr>
          <w:ilvl w:val="0"/>
          <w:numId w:val="73"/>
        </w:numPr>
        <w:snapToGrid w:val="0"/>
        <w:spacing w:line="500" w:lineRule="atLeast"/>
        <w:ind w:left="480"/>
        <w:rPr>
          <w:snapToGrid w:val="0"/>
          <w:color w:val="auto"/>
          <w:sz w:val="24"/>
          <w:highlight w:val="none"/>
        </w:rPr>
      </w:pPr>
      <w:r>
        <w:rPr>
          <w:rFonts w:hint="eastAsia"/>
          <w:snapToGrid w:val="0"/>
          <w:color w:val="auto"/>
          <w:sz w:val="24"/>
          <w:highlight w:val="none"/>
        </w:rPr>
        <w:t>试验日期和试验地点。</w:t>
      </w:r>
    </w:p>
    <w:p w14:paraId="2CA9565B">
      <w:pPr>
        <w:numPr>
          <w:ilvl w:val="0"/>
          <w:numId w:val="73"/>
        </w:numPr>
        <w:snapToGrid w:val="0"/>
        <w:spacing w:line="500" w:lineRule="atLeast"/>
        <w:ind w:left="480"/>
        <w:rPr>
          <w:snapToGrid w:val="0"/>
          <w:color w:val="auto"/>
          <w:sz w:val="24"/>
          <w:highlight w:val="none"/>
        </w:rPr>
      </w:pPr>
      <w:r>
        <w:rPr>
          <w:rFonts w:hint="eastAsia"/>
          <w:snapToGrid w:val="0"/>
          <w:color w:val="auto"/>
          <w:sz w:val="24"/>
          <w:highlight w:val="none"/>
        </w:rPr>
        <w:t>试验条件</w:t>
      </w:r>
      <w:r>
        <w:rPr>
          <w:snapToGrid w:val="0"/>
          <w:color w:val="auto"/>
          <w:sz w:val="24"/>
          <w:highlight w:val="none"/>
        </w:rPr>
        <w:t>(</w:t>
      </w:r>
      <w:r>
        <w:rPr>
          <w:rFonts w:hint="eastAsia"/>
          <w:snapToGrid w:val="0"/>
          <w:color w:val="auto"/>
          <w:sz w:val="24"/>
          <w:highlight w:val="none"/>
        </w:rPr>
        <w:t>包括环境温度、湿度、试验电源等</w:t>
      </w:r>
      <w:r>
        <w:rPr>
          <w:snapToGrid w:val="0"/>
          <w:color w:val="auto"/>
          <w:sz w:val="24"/>
          <w:highlight w:val="none"/>
        </w:rPr>
        <w:t>)</w:t>
      </w:r>
      <w:r>
        <w:rPr>
          <w:rFonts w:hint="eastAsia"/>
          <w:snapToGrid w:val="0"/>
          <w:color w:val="auto"/>
          <w:sz w:val="24"/>
          <w:highlight w:val="none"/>
        </w:rPr>
        <w:t>。</w:t>
      </w:r>
    </w:p>
    <w:p w14:paraId="30AF71D0">
      <w:pPr>
        <w:numPr>
          <w:ilvl w:val="0"/>
          <w:numId w:val="73"/>
        </w:numPr>
        <w:snapToGrid w:val="0"/>
        <w:spacing w:line="500" w:lineRule="atLeast"/>
        <w:ind w:left="480" w:firstLine="0" w:firstLineChars="0"/>
        <w:rPr>
          <w:snapToGrid w:val="0"/>
          <w:color w:val="auto"/>
          <w:sz w:val="24"/>
          <w:highlight w:val="none"/>
        </w:rPr>
      </w:pPr>
      <w:r>
        <w:rPr>
          <w:rFonts w:hint="eastAsia"/>
          <w:snapToGrid w:val="0"/>
          <w:color w:val="auto"/>
          <w:sz w:val="24"/>
          <w:highlight w:val="none"/>
        </w:rPr>
        <w:t>试验方法和试验仪器仪表</w:t>
      </w:r>
      <w:r>
        <w:rPr>
          <w:snapToGrid w:val="0"/>
          <w:color w:val="auto"/>
          <w:sz w:val="24"/>
          <w:highlight w:val="none"/>
        </w:rPr>
        <w:t>(</w:t>
      </w:r>
      <w:r>
        <w:rPr>
          <w:rFonts w:hint="eastAsia"/>
          <w:snapToGrid w:val="0"/>
          <w:color w:val="auto"/>
          <w:sz w:val="24"/>
          <w:highlight w:val="none"/>
        </w:rPr>
        <w:t>对于精度试验，应标明所使用的测试设备的精度</w:t>
      </w:r>
      <w:r>
        <w:rPr>
          <w:snapToGrid w:val="0"/>
          <w:color w:val="auto"/>
          <w:sz w:val="24"/>
          <w:highlight w:val="none"/>
        </w:rPr>
        <w:t>)</w:t>
      </w:r>
      <w:r>
        <w:rPr>
          <w:rFonts w:hint="eastAsia"/>
          <w:snapToGrid w:val="0"/>
          <w:color w:val="auto"/>
          <w:sz w:val="24"/>
          <w:highlight w:val="none"/>
        </w:rPr>
        <w:t>。</w:t>
      </w:r>
    </w:p>
    <w:p w14:paraId="799BB4C0">
      <w:pPr>
        <w:numPr>
          <w:ilvl w:val="0"/>
          <w:numId w:val="73"/>
        </w:numPr>
        <w:snapToGrid w:val="0"/>
        <w:spacing w:line="500" w:lineRule="atLeast"/>
        <w:ind w:left="480" w:leftChars="0" w:firstLine="0" w:firstLineChars="0"/>
        <w:rPr>
          <w:snapToGrid w:val="0"/>
          <w:color w:val="auto"/>
          <w:sz w:val="24"/>
          <w:highlight w:val="none"/>
        </w:rPr>
      </w:pPr>
      <w:r>
        <w:rPr>
          <w:rFonts w:hint="eastAsia"/>
          <w:snapToGrid w:val="0"/>
          <w:color w:val="auto"/>
          <w:sz w:val="24"/>
          <w:highlight w:val="none"/>
        </w:rPr>
        <w:t>试验依据的标准。如为厂家标准，应提交标准文本供招标人确认，是否满足标书要求。</w:t>
      </w:r>
    </w:p>
    <w:p w14:paraId="3E4C501B">
      <w:pPr>
        <w:numPr>
          <w:ilvl w:val="0"/>
          <w:numId w:val="73"/>
        </w:numPr>
        <w:snapToGrid w:val="0"/>
        <w:spacing w:line="500" w:lineRule="atLeast"/>
        <w:ind w:left="480"/>
        <w:rPr>
          <w:snapToGrid w:val="0"/>
          <w:color w:val="auto"/>
          <w:sz w:val="24"/>
          <w:highlight w:val="none"/>
        </w:rPr>
      </w:pPr>
      <w:r>
        <w:rPr>
          <w:rFonts w:hint="eastAsia"/>
          <w:snapToGrid w:val="0"/>
          <w:color w:val="auto"/>
          <w:sz w:val="24"/>
          <w:highlight w:val="none"/>
        </w:rPr>
        <w:t>试验结果，包括试验数据，试验点，打印数据和示波器图形等。</w:t>
      </w:r>
    </w:p>
    <w:p w14:paraId="1A313B19">
      <w:pPr>
        <w:numPr>
          <w:ilvl w:val="0"/>
          <w:numId w:val="73"/>
        </w:numPr>
        <w:snapToGrid w:val="0"/>
        <w:spacing w:line="500" w:lineRule="atLeast"/>
        <w:ind w:left="480"/>
        <w:rPr>
          <w:snapToGrid w:val="0"/>
          <w:color w:val="auto"/>
          <w:sz w:val="24"/>
          <w:highlight w:val="none"/>
        </w:rPr>
      </w:pPr>
      <w:r>
        <w:rPr>
          <w:rFonts w:hint="eastAsia"/>
          <w:snapToGrid w:val="0"/>
          <w:color w:val="auto"/>
          <w:sz w:val="24"/>
          <w:highlight w:val="none"/>
        </w:rPr>
        <w:t>试验者和审批者的签名。</w:t>
      </w:r>
    </w:p>
    <w:p w14:paraId="01809BFE">
      <w:pPr>
        <w:snapToGrid w:val="0"/>
        <w:spacing w:line="500" w:lineRule="atLeast"/>
        <w:ind w:left="960" w:hanging="960" w:hangingChars="400"/>
        <w:rPr>
          <w:snapToGrid w:val="0"/>
          <w:color w:val="auto"/>
          <w:sz w:val="24"/>
          <w:highlight w:val="none"/>
        </w:rPr>
      </w:pPr>
      <w:r>
        <w:rPr>
          <w:rFonts w:hint="eastAsia"/>
          <w:snapToGrid w:val="0"/>
          <w:color w:val="auto"/>
          <w:sz w:val="24"/>
          <w:highlight w:val="none"/>
        </w:rPr>
        <w:t>3.4.3工厂验收试验：</w:t>
      </w:r>
    </w:p>
    <w:p w14:paraId="56DB3308">
      <w:pPr>
        <w:snapToGrid w:val="0"/>
        <w:spacing w:line="500" w:lineRule="atLeast"/>
        <w:rPr>
          <w:snapToGrid w:val="0"/>
          <w:color w:val="auto"/>
          <w:sz w:val="24"/>
          <w:highlight w:val="none"/>
        </w:rPr>
      </w:pPr>
      <w:r>
        <w:rPr>
          <w:rFonts w:hint="eastAsia"/>
          <w:snapToGrid w:val="0"/>
          <w:color w:val="auto"/>
          <w:sz w:val="24"/>
          <w:highlight w:val="none"/>
        </w:rPr>
        <w:t>3.4.3.1  投标人应向招标人提交计算机监控系统详细的工厂验收试验大纲，该大纲至少应包括：试验日期、试验接线、试验项目、试验方法，以及测量仪器和仪表等。</w:t>
      </w:r>
    </w:p>
    <w:p w14:paraId="34B72A9A">
      <w:pPr>
        <w:snapToGrid w:val="0"/>
        <w:spacing w:line="500" w:lineRule="atLeast"/>
        <w:rPr>
          <w:snapToGrid w:val="0"/>
          <w:color w:val="auto"/>
          <w:sz w:val="24"/>
          <w:highlight w:val="none"/>
        </w:rPr>
      </w:pPr>
      <w:r>
        <w:rPr>
          <w:rFonts w:hint="eastAsia"/>
          <w:snapToGrid w:val="0"/>
          <w:color w:val="auto"/>
          <w:sz w:val="24"/>
          <w:highlight w:val="none"/>
        </w:rPr>
        <w:t>3.4.3.2  投标人应确认提供的系统满足标书要求。</w:t>
      </w:r>
    </w:p>
    <w:p w14:paraId="0C3210EF">
      <w:pPr>
        <w:snapToGrid w:val="0"/>
        <w:spacing w:line="500" w:lineRule="atLeast"/>
        <w:rPr>
          <w:snapToGrid w:val="0"/>
          <w:color w:val="auto"/>
          <w:sz w:val="24"/>
          <w:highlight w:val="none"/>
        </w:rPr>
      </w:pPr>
      <w:r>
        <w:rPr>
          <w:rFonts w:hint="eastAsia"/>
          <w:snapToGrid w:val="0"/>
          <w:color w:val="auto"/>
          <w:sz w:val="24"/>
          <w:highlight w:val="none"/>
        </w:rPr>
        <w:t>3.4.3.3 投标人应按本规范书3.4.1和3.4.2条款的要求，向招标人提供工厂试验报告，有关设备的型式试验报告，同时提供设备和软件的使用和测试说明书。</w:t>
      </w:r>
    </w:p>
    <w:p w14:paraId="063C859D">
      <w:pPr>
        <w:snapToGrid w:val="0"/>
        <w:spacing w:line="500" w:lineRule="atLeast"/>
        <w:rPr>
          <w:snapToGrid w:val="0"/>
          <w:color w:val="auto"/>
          <w:sz w:val="24"/>
          <w:highlight w:val="none"/>
        </w:rPr>
      </w:pPr>
      <w:r>
        <w:rPr>
          <w:rFonts w:hint="eastAsia"/>
          <w:snapToGrid w:val="0"/>
          <w:color w:val="auto"/>
          <w:sz w:val="24"/>
          <w:highlight w:val="none"/>
        </w:rPr>
        <w:t>3.4.3.4  在工厂验收试验期间，投标人应向招标人参加试验的工作人员提供检查、测试和记录设备。</w:t>
      </w:r>
    </w:p>
    <w:p w14:paraId="3E32AAE6">
      <w:pPr>
        <w:snapToGrid w:val="0"/>
        <w:spacing w:line="500" w:lineRule="atLeast"/>
        <w:rPr>
          <w:snapToGrid w:val="0"/>
          <w:color w:val="auto"/>
          <w:sz w:val="24"/>
          <w:highlight w:val="none"/>
        </w:rPr>
      </w:pPr>
      <w:r>
        <w:rPr>
          <w:rFonts w:hint="eastAsia"/>
          <w:snapToGrid w:val="0"/>
          <w:color w:val="auto"/>
          <w:sz w:val="24"/>
          <w:highlight w:val="none"/>
        </w:rPr>
        <w:t>3.4.3.5  招标人参加工厂验收试验的工作人员将不签署任何有关系统性能的说明书，招标人参加工厂验收试验并不意味着解除投标人保证系统质量的保证，也不能代替设备到现场的的检查和测试。</w:t>
      </w:r>
    </w:p>
    <w:p w14:paraId="6066E757">
      <w:pPr>
        <w:snapToGrid w:val="0"/>
        <w:spacing w:line="500" w:lineRule="atLeast"/>
        <w:rPr>
          <w:snapToGrid w:val="0"/>
          <w:color w:val="auto"/>
          <w:sz w:val="24"/>
          <w:highlight w:val="none"/>
        </w:rPr>
      </w:pPr>
      <w:r>
        <w:rPr>
          <w:rFonts w:hint="eastAsia"/>
          <w:snapToGrid w:val="0"/>
          <w:color w:val="auto"/>
          <w:sz w:val="24"/>
          <w:highlight w:val="none"/>
        </w:rPr>
        <w:t>3.4.3.6  工厂验收试验在工厂试验的基础上进行，主要根据标书要进行系统的功能和性能试验，以便确认：</w:t>
      </w:r>
    </w:p>
    <w:p w14:paraId="673550DF">
      <w:pPr>
        <w:snapToGrid w:val="0"/>
        <w:spacing w:line="500" w:lineRule="atLeast"/>
        <w:ind w:firstLine="570"/>
        <w:rPr>
          <w:snapToGrid w:val="0"/>
          <w:color w:val="auto"/>
          <w:sz w:val="24"/>
          <w:highlight w:val="none"/>
        </w:rPr>
      </w:pPr>
      <w:r>
        <w:rPr>
          <w:rFonts w:hint="eastAsia"/>
          <w:snapToGrid w:val="0"/>
          <w:color w:val="auto"/>
          <w:sz w:val="24"/>
          <w:highlight w:val="none"/>
        </w:rPr>
        <w:t>(1) 系统各功能满足标书要求。</w:t>
      </w:r>
    </w:p>
    <w:p w14:paraId="71F7D74A">
      <w:pPr>
        <w:snapToGrid w:val="0"/>
        <w:spacing w:line="500" w:lineRule="atLeast"/>
        <w:ind w:firstLine="570"/>
        <w:rPr>
          <w:snapToGrid w:val="0"/>
          <w:color w:val="auto"/>
          <w:sz w:val="24"/>
          <w:highlight w:val="none"/>
        </w:rPr>
      </w:pPr>
      <w:r>
        <w:rPr>
          <w:rFonts w:hint="eastAsia"/>
          <w:snapToGrid w:val="0"/>
          <w:color w:val="auto"/>
          <w:sz w:val="24"/>
          <w:highlight w:val="none"/>
        </w:rPr>
        <w:t>(2) 系统各项指标满足标书要求。</w:t>
      </w:r>
    </w:p>
    <w:p w14:paraId="198DC303">
      <w:pPr>
        <w:snapToGrid w:val="0"/>
        <w:spacing w:line="500" w:lineRule="atLeast"/>
        <w:ind w:firstLine="570"/>
        <w:rPr>
          <w:snapToGrid w:val="0"/>
          <w:color w:val="auto"/>
          <w:sz w:val="24"/>
          <w:highlight w:val="none"/>
        </w:rPr>
      </w:pPr>
      <w:r>
        <w:rPr>
          <w:rFonts w:hint="eastAsia"/>
          <w:snapToGrid w:val="0"/>
          <w:color w:val="auto"/>
          <w:sz w:val="24"/>
          <w:highlight w:val="none"/>
        </w:rPr>
        <w:t>(3) 所有的硬件和软件缺陷已发现并改正。</w:t>
      </w:r>
    </w:p>
    <w:p w14:paraId="28B55D41">
      <w:pPr>
        <w:snapToGrid w:val="0"/>
        <w:spacing w:line="500" w:lineRule="atLeast"/>
        <w:ind w:firstLine="570"/>
        <w:rPr>
          <w:snapToGrid w:val="0"/>
          <w:color w:val="auto"/>
          <w:sz w:val="24"/>
          <w:highlight w:val="none"/>
        </w:rPr>
      </w:pPr>
      <w:r>
        <w:rPr>
          <w:rFonts w:hint="eastAsia"/>
          <w:snapToGrid w:val="0"/>
          <w:color w:val="auto"/>
          <w:sz w:val="24"/>
          <w:highlight w:val="none"/>
        </w:rPr>
        <w:t>(4) 各项切换功能满足标书要求。</w:t>
      </w:r>
    </w:p>
    <w:p w14:paraId="71C59742">
      <w:pPr>
        <w:snapToGrid w:val="0"/>
        <w:spacing w:line="500" w:lineRule="atLeast"/>
        <w:ind w:firstLine="570"/>
        <w:rPr>
          <w:snapToGrid w:val="0"/>
          <w:color w:val="auto"/>
          <w:sz w:val="24"/>
          <w:highlight w:val="none"/>
        </w:rPr>
      </w:pPr>
      <w:r>
        <w:rPr>
          <w:rFonts w:hint="eastAsia"/>
          <w:snapToGrid w:val="0"/>
          <w:color w:val="auto"/>
          <w:sz w:val="24"/>
          <w:highlight w:val="none"/>
        </w:rPr>
        <w:t>(5) 系统中各计算机的CPU和网络的负荷率满足标书要求。</w:t>
      </w:r>
    </w:p>
    <w:p w14:paraId="357EC82B">
      <w:pPr>
        <w:snapToGrid w:val="0"/>
        <w:spacing w:line="500" w:lineRule="atLeast"/>
        <w:ind w:firstLine="570"/>
        <w:rPr>
          <w:snapToGrid w:val="0"/>
          <w:color w:val="auto"/>
          <w:sz w:val="24"/>
          <w:highlight w:val="none"/>
        </w:rPr>
      </w:pPr>
      <w:r>
        <w:rPr>
          <w:rFonts w:hint="eastAsia"/>
          <w:snapToGrid w:val="0"/>
          <w:color w:val="auto"/>
          <w:sz w:val="24"/>
          <w:highlight w:val="none"/>
        </w:rPr>
        <w:t>(6) 所有自诊断功能有效。</w:t>
      </w:r>
    </w:p>
    <w:p w14:paraId="2D8F99F3">
      <w:pPr>
        <w:snapToGrid w:val="0"/>
        <w:spacing w:line="500" w:lineRule="atLeast"/>
        <w:ind w:firstLine="570"/>
        <w:rPr>
          <w:snapToGrid w:val="0"/>
          <w:color w:val="auto"/>
          <w:sz w:val="24"/>
          <w:highlight w:val="none"/>
        </w:rPr>
      </w:pPr>
      <w:r>
        <w:rPr>
          <w:rFonts w:hint="eastAsia"/>
          <w:snapToGrid w:val="0"/>
          <w:color w:val="auto"/>
          <w:sz w:val="24"/>
          <w:highlight w:val="none"/>
        </w:rPr>
        <w:t>(7) 与各级调度的接口已实现。</w:t>
      </w:r>
    </w:p>
    <w:p w14:paraId="7A339B31">
      <w:pPr>
        <w:snapToGrid w:val="0"/>
        <w:spacing w:line="500" w:lineRule="atLeast"/>
        <w:ind w:firstLine="570"/>
        <w:rPr>
          <w:snapToGrid w:val="0"/>
          <w:color w:val="auto"/>
          <w:sz w:val="24"/>
          <w:highlight w:val="none"/>
        </w:rPr>
      </w:pPr>
      <w:r>
        <w:rPr>
          <w:rFonts w:hint="eastAsia"/>
          <w:snapToGrid w:val="0"/>
          <w:color w:val="auto"/>
          <w:sz w:val="24"/>
          <w:highlight w:val="none"/>
        </w:rPr>
        <w:t>(8) 与保护的接口已实现。</w:t>
      </w:r>
    </w:p>
    <w:p w14:paraId="295D5240">
      <w:pPr>
        <w:snapToGrid w:val="0"/>
        <w:spacing w:line="500" w:lineRule="atLeast"/>
        <w:ind w:firstLine="570"/>
        <w:rPr>
          <w:snapToGrid w:val="0"/>
          <w:color w:val="auto"/>
          <w:sz w:val="24"/>
          <w:highlight w:val="none"/>
        </w:rPr>
      </w:pPr>
      <w:r>
        <w:rPr>
          <w:rFonts w:hint="eastAsia"/>
          <w:snapToGrid w:val="0"/>
          <w:color w:val="auto"/>
          <w:sz w:val="24"/>
          <w:highlight w:val="none"/>
        </w:rPr>
        <w:t>(9) 与智能电度表的接口已实现。</w:t>
      </w:r>
    </w:p>
    <w:p w14:paraId="34FFA634">
      <w:pPr>
        <w:snapToGrid w:val="0"/>
        <w:spacing w:line="500" w:lineRule="atLeast"/>
        <w:ind w:firstLine="570"/>
        <w:rPr>
          <w:snapToGrid w:val="0"/>
          <w:color w:val="auto"/>
          <w:sz w:val="24"/>
          <w:highlight w:val="none"/>
        </w:rPr>
      </w:pPr>
      <w:r>
        <w:rPr>
          <w:rFonts w:hint="eastAsia"/>
          <w:snapToGrid w:val="0"/>
          <w:color w:val="auto"/>
          <w:sz w:val="24"/>
          <w:highlight w:val="none"/>
        </w:rPr>
        <w:t>(10) 系统的稳定性满足标书要求。</w:t>
      </w:r>
    </w:p>
    <w:p w14:paraId="556B010F">
      <w:pPr>
        <w:snapToGrid w:val="0"/>
        <w:spacing w:line="500" w:lineRule="atLeast"/>
        <w:rPr>
          <w:snapToGrid w:val="0"/>
          <w:color w:val="auto"/>
          <w:sz w:val="24"/>
          <w:highlight w:val="none"/>
        </w:rPr>
      </w:pPr>
      <w:r>
        <w:rPr>
          <w:rFonts w:hint="eastAsia"/>
          <w:snapToGrid w:val="0"/>
          <w:color w:val="auto"/>
          <w:sz w:val="24"/>
          <w:highlight w:val="none"/>
        </w:rPr>
        <w:t>3.4.3.7  工厂验收试验应包括系统性能试验、功能试验和稳定试验。</w:t>
      </w:r>
    </w:p>
    <w:p w14:paraId="38D6B651">
      <w:pPr>
        <w:snapToGrid w:val="0"/>
        <w:spacing w:line="500" w:lineRule="atLeast"/>
        <w:rPr>
          <w:snapToGrid w:val="0"/>
          <w:color w:val="auto"/>
          <w:sz w:val="24"/>
          <w:highlight w:val="none"/>
        </w:rPr>
      </w:pPr>
      <w:r>
        <w:rPr>
          <w:rFonts w:hint="eastAsia"/>
          <w:snapToGrid w:val="0"/>
          <w:color w:val="auto"/>
          <w:sz w:val="24"/>
          <w:highlight w:val="none"/>
        </w:rPr>
        <w:t>3.4.3.8  工厂验收试验应该按电气接线的最终规模进行，应该模拟预期的最大系统负荷。投标人应完成测试必要的电缆和光缆的联结，测试分三个部分，第一部分为工厂试验项目的抽测，第二部分为系统试验，第三部分为系统稳定性试验。</w:t>
      </w:r>
    </w:p>
    <w:p w14:paraId="0ECB1327">
      <w:pPr>
        <w:snapToGrid w:val="0"/>
        <w:spacing w:line="500" w:lineRule="atLeast"/>
        <w:rPr>
          <w:snapToGrid w:val="0"/>
          <w:color w:val="auto"/>
          <w:sz w:val="24"/>
          <w:highlight w:val="none"/>
        </w:rPr>
      </w:pPr>
      <w:r>
        <w:rPr>
          <w:rFonts w:hint="eastAsia"/>
          <w:snapToGrid w:val="0"/>
          <w:color w:val="auto"/>
          <w:sz w:val="24"/>
          <w:highlight w:val="none"/>
        </w:rPr>
        <w:t>3.4.3.9  第一部分工厂试验项目的抽测项目由招标人参加验收人员在验收现场确定，若测试结果与工厂试验报告有较大出入，且投标人无法给招标人合理解释，招标人有权要求投标人重新进行有关测试，由此造成的工厂验收时间延长的责任和费用应由投标人承担。</w:t>
      </w:r>
    </w:p>
    <w:p w14:paraId="6291AB26">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3</w:t>
      </w:r>
      <w:r>
        <w:rPr>
          <w:rFonts w:hint="eastAsia"/>
          <w:snapToGrid w:val="0"/>
          <w:color w:val="auto"/>
          <w:sz w:val="24"/>
          <w:highlight w:val="none"/>
        </w:rPr>
        <w:t>.</w:t>
      </w:r>
      <w:r>
        <w:rPr>
          <w:snapToGrid w:val="0"/>
          <w:color w:val="auto"/>
          <w:sz w:val="24"/>
          <w:highlight w:val="none"/>
        </w:rPr>
        <w:t>10</w:t>
      </w:r>
      <w:r>
        <w:rPr>
          <w:rFonts w:hint="eastAsia"/>
          <w:snapToGrid w:val="0"/>
          <w:color w:val="auto"/>
          <w:sz w:val="24"/>
          <w:highlight w:val="none"/>
        </w:rPr>
        <w:t>第二部分系统试验主要包括以下试验项目，且不仅限于以下试验项目：</w:t>
      </w:r>
    </w:p>
    <w:p w14:paraId="41C2FC1C">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系统的人工启动和自启动试验。</w:t>
      </w:r>
    </w:p>
    <w:p w14:paraId="078AFEE4">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网络通信测试。</w:t>
      </w:r>
    </w:p>
    <w:p w14:paraId="3AFAFA5A">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数据采集系统测试和精度测试。</w:t>
      </w:r>
    </w:p>
    <w:p w14:paraId="10077BF6">
      <w:pPr>
        <w:numPr>
          <w:ilvl w:val="0"/>
          <w:numId w:val="74"/>
        </w:numPr>
        <w:snapToGrid w:val="0"/>
        <w:spacing w:line="500" w:lineRule="atLeast"/>
        <w:ind w:left="480"/>
        <w:rPr>
          <w:snapToGrid w:val="0"/>
          <w:color w:val="auto"/>
          <w:sz w:val="24"/>
          <w:highlight w:val="none"/>
        </w:rPr>
      </w:pPr>
      <w:r>
        <w:rPr>
          <w:snapToGrid w:val="0"/>
          <w:color w:val="auto"/>
          <w:sz w:val="24"/>
          <w:highlight w:val="none"/>
        </w:rPr>
        <w:t>CRT</w:t>
      </w:r>
      <w:r>
        <w:rPr>
          <w:rFonts w:hint="eastAsia"/>
          <w:snapToGrid w:val="0"/>
          <w:color w:val="auto"/>
          <w:sz w:val="24"/>
          <w:highlight w:val="none"/>
        </w:rPr>
        <w:t>画面完备性检查，响应时间和刷新周期测试。</w:t>
      </w:r>
    </w:p>
    <w:p w14:paraId="682265D9">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告警系统测试</w:t>
      </w:r>
      <w:r>
        <w:rPr>
          <w:snapToGrid w:val="0"/>
          <w:color w:val="auto"/>
          <w:sz w:val="24"/>
          <w:highlight w:val="none"/>
        </w:rPr>
        <w:t>(</w:t>
      </w:r>
      <w:r>
        <w:rPr>
          <w:rFonts w:hint="eastAsia"/>
          <w:snapToGrid w:val="0"/>
          <w:color w:val="auto"/>
          <w:sz w:val="24"/>
          <w:highlight w:val="none"/>
        </w:rPr>
        <w:t>包括系统自诊断异常告警</w:t>
      </w:r>
      <w:r>
        <w:rPr>
          <w:snapToGrid w:val="0"/>
          <w:color w:val="auto"/>
          <w:sz w:val="24"/>
          <w:highlight w:val="none"/>
        </w:rPr>
        <w:t>)</w:t>
      </w:r>
      <w:r>
        <w:rPr>
          <w:rFonts w:hint="eastAsia"/>
          <w:snapToGrid w:val="0"/>
          <w:color w:val="auto"/>
          <w:sz w:val="24"/>
          <w:highlight w:val="none"/>
        </w:rPr>
        <w:t>。</w:t>
      </w:r>
    </w:p>
    <w:p w14:paraId="74FC3A5D">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系统自诊断测试。</w:t>
      </w:r>
    </w:p>
    <w:p w14:paraId="5781494B">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与各级调度的模拟接口试验。</w:t>
      </w:r>
    </w:p>
    <w:p w14:paraId="0F8E1F0E">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与保护的接口试验。</w:t>
      </w:r>
    </w:p>
    <w:p w14:paraId="261C8B2F">
      <w:pPr>
        <w:numPr>
          <w:ilvl w:val="0"/>
          <w:numId w:val="74"/>
        </w:numPr>
        <w:snapToGrid w:val="0"/>
        <w:spacing w:line="500" w:lineRule="atLeast"/>
        <w:ind w:left="480"/>
        <w:rPr>
          <w:snapToGrid w:val="0"/>
          <w:color w:val="auto"/>
          <w:sz w:val="24"/>
          <w:highlight w:val="none"/>
        </w:rPr>
      </w:pPr>
      <w:r>
        <w:rPr>
          <w:rFonts w:hint="eastAsia"/>
          <w:snapToGrid w:val="0"/>
          <w:color w:val="auto"/>
          <w:sz w:val="24"/>
          <w:highlight w:val="none"/>
        </w:rPr>
        <w:t>与智能电度表的接口试验。</w:t>
      </w:r>
    </w:p>
    <w:p w14:paraId="13E0B2AA">
      <w:pPr>
        <w:numPr>
          <w:ilvl w:val="0"/>
          <w:numId w:val="74"/>
        </w:numPr>
        <w:snapToGrid w:val="0"/>
        <w:spacing w:line="500" w:lineRule="atLeast"/>
        <w:ind w:left="480"/>
        <w:rPr>
          <w:snapToGrid w:val="0"/>
          <w:color w:val="auto"/>
          <w:sz w:val="24"/>
          <w:highlight w:val="none"/>
        </w:rPr>
      </w:pPr>
      <w:r>
        <w:rPr>
          <w:snapToGrid w:val="0"/>
          <w:color w:val="auto"/>
          <w:sz w:val="24"/>
          <w:highlight w:val="none"/>
        </w:rPr>
        <w:t>CPU</w:t>
      </w:r>
      <w:r>
        <w:rPr>
          <w:rFonts w:hint="eastAsia"/>
          <w:snapToGrid w:val="0"/>
          <w:color w:val="auto"/>
          <w:sz w:val="24"/>
          <w:highlight w:val="none"/>
        </w:rPr>
        <w:t>和网络的负荷率测试。</w:t>
      </w:r>
    </w:p>
    <w:p w14:paraId="4F88011B">
      <w:pPr>
        <w:snapToGrid w:val="0"/>
        <w:spacing w:line="500" w:lineRule="atLeast"/>
        <w:ind w:firstLine="480" w:firstLineChars="200"/>
        <w:rPr>
          <w:snapToGrid w:val="0"/>
          <w:color w:val="auto"/>
          <w:sz w:val="24"/>
          <w:highlight w:val="none"/>
        </w:rPr>
      </w:pPr>
      <w:r>
        <w:rPr>
          <w:rFonts w:hint="eastAsia"/>
          <w:snapToGrid w:val="0"/>
          <w:color w:val="auto"/>
          <w:sz w:val="24"/>
          <w:highlight w:val="none"/>
        </w:rPr>
        <w:t>若系统的性能指标不满足标书要求，投标人应承诺在交货前改进，并在现场试验时验证，若仍不能满足要求，将按标书有关条款赔偿。</w:t>
      </w:r>
    </w:p>
    <w:p w14:paraId="7DEB2E0E">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3</w:t>
      </w:r>
      <w:r>
        <w:rPr>
          <w:rFonts w:hint="eastAsia"/>
          <w:snapToGrid w:val="0"/>
          <w:color w:val="auto"/>
          <w:sz w:val="24"/>
          <w:highlight w:val="none"/>
        </w:rPr>
        <w:t>.</w:t>
      </w:r>
      <w:r>
        <w:rPr>
          <w:snapToGrid w:val="0"/>
          <w:color w:val="auto"/>
          <w:sz w:val="24"/>
          <w:highlight w:val="none"/>
        </w:rPr>
        <w:t>11</w:t>
      </w:r>
      <w:r>
        <w:rPr>
          <w:rFonts w:hint="eastAsia"/>
          <w:snapToGrid w:val="0"/>
          <w:color w:val="auto"/>
          <w:sz w:val="24"/>
          <w:highlight w:val="none"/>
        </w:rPr>
        <w:t>第三部分系统稳定性试验在系统试验后进行，系统连续正常运行</w:t>
      </w:r>
      <w:r>
        <w:rPr>
          <w:snapToGrid w:val="0"/>
          <w:color w:val="auto"/>
          <w:sz w:val="24"/>
          <w:highlight w:val="none"/>
        </w:rPr>
        <w:t>72</w:t>
      </w:r>
      <w:r>
        <w:rPr>
          <w:rFonts w:hint="eastAsia"/>
          <w:snapToGrid w:val="0"/>
          <w:color w:val="auto"/>
          <w:sz w:val="24"/>
          <w:highlight w:val="none"/>
        </w:rPr>
        <w:t>小时视为合格，在此期间，应遵循以下原则：</w:t>
      </w:r>
    </w:p>
    <w:p w14:paraId="3F7FE90A">
      <w:pPr>
        <w:numPr>
          <w:ilvl w:val="0"/>
          <w:numId w:val="75"/>
        </w:numPr>
        <w:snapToGrid w:val="0"/>
        <w:spacing w:line="500" w:lineRule="atLeast"/>
        <w:ind w:left="480"/>
        <w:rPr>
          <w:snapToGrid w:val="0"/>
          <w:color w:val="auto"/>
          <w:sz w:val="24"/>
          <w:highlight w:val="none"/>
        </w:rPr>
      </w:pPr>
      <w:r>
        <w:rPr>
          <w:rFonts w:hint="eastAsia"/>
          <w:snapToGrid w:val="0"/>
          <w:color w:val="auto"/>
          <w:sz w:val="24"/>
          <w:highlight w:val="none"/>
        </w:rPr>
        <w:t>稳定试验运行期间，未经招标人同意，投标人对外围设备不应有任何调整。</w:t>
      </w:r>
    </w:p>
    <w:p w14:paraId="7AAF713A">
      <w:pPr>
        <w:numPr>
          <w:ilvl w:val="0"/>
          <w:numId w:val="75"/>
        </w:numPr>
        <w:snapToGrid w:val="0"/>
        <w:spacing w:line="500" w:lineRule="atLeast"/>
        <w:ind w:left="480"/>
        <w:rPr>
          <w:snapToGrid w:val="0"/>
          <w:color w:val="auto"/>
          <w:sz w:val="24"/>
          <w:highlight w:val="none"/>
        </w:rPr>
      </w:pPr>
      <w:r>
        <w:rPr>
          <w:rFonts w:hint="eastAsia"/>
          <w:snapToGrid w:val="0"/>
          <w:color w:val="auto"/>
          <w:sz w:val="24"/>
          <w:highlight w:val="none"/>
        </w:rPr>
        <w:t>没有招标人的事先同意，不能修改程序或进行系统维护。</w:t>
      </w:r>
    </w:p>
    <w:p w14:paraId="14493EE3">
      <w:pPr>
        <w:numPr>
          <w:ilvl w:val="0"/>
          <w:numId w:val="75"/>
        </w:numPr>
        <w:snapToGrid w:val="0"/>
        <w:spacing w:line="500" w:lineRule="atLeast"/>
        <w:ind w:left="480"/>
        <w:rPr>
          <w:snapToGrid w:val="0"/>
          <w:color w:val="auto"/>
          <w:sz w:val="24"/>
          <w:highlight w:val="none"/>
        </w:rPr>
      </w:pPr>
      <w:r>
        <w:rPr>
          <w:rFonts w:hint="eastAsia"/>
          <w:snapToGrid w:val="0"/>
          <w:color w:val="auto"/>
          <w:sz w:val="24"/>
          <w:highlight w:val="none"/>
        </w:rPr>
        <w:t>有故障的设备将用备件代替，故障单元运行时间应该被扣除。</w:t>
      </w:r>
    </w:p>
    <w:p w14:paraId="591FE313">
      <w:pPr>
        <w:numPr>
          <w:ilvl w:val="0"/>
          <w:numId w:val="75"/>
        </w:numPr>
        <w:snapToGrid w:val="0"/>
        <w:spacing w:line="500" w:lineRule="atLeast"/>
        <w:ind w:left="480"/>
        <w:rPr>
          <w:snapToGrid w:val="0"/>
          <w:color w:val="auto"/>
          <w:sz w:val="24"/>
          <w:highlight w:val="none"/>
        </w:rPr>
      </w:pPr>
      <w:r>
        <w:rPr>
          <w:rFonts w:hint="eastAsia"/>
          <w:snapToGrid w:val="0"/>
          <w:color w:val="auto"/>
          <w:sz w:val="24"/>
          <w:highlight w:val="none"/>
        </w:rPr>
        <w:t>除非招标人进行切换试验，试验期间不应有切换发生。</w:t>
      </w:r>
    </w:p>
    <w:p w14:paraId="04AAB8A6">
      <w:pPr>
        <w:numPr>
          <w:ilvl w:val="0"/>
          <w:numId w:val="75"/>
        </w:numPr>
        <w:snapToGrid w:val="0"/>
        <w:spacing w:line="500" w:lineRule="atLeast"/>
        <w:ind w:left="480"/>
        <w:rPr>
          <w:snapToGrid w:val="0"/>
          <w:color w:val="auto"/>
          <w:sz w:val="24"/>
          <w:highlight w:val="none"/>
        </w:rPr>
      </w:pPr>
      <w:r>
        <w:rPr>
          <w:rFonts w:hint="eastAsia"/>
          <w:snapToGrid w:val="0"/>
          <w:color w:val="auto"/>
          <w:sz w:val="24"/>
          <w:highlight w:val="none"/>
        </w:rPr>
        <w:t>如果由于设备故障停止试验，该试验视为无效，试验应重新开始。</w:t>
      </w:r>
    </w:p>
    <w:p w14:paraId="6280A0A1">
      <w:pPr>
        <w:numPr>
          <w:ilvl w:val="0"/>
          <w:numId w:val="75"/>
        </w:numPr>
        <w:snapToGrid w:val="0"/>
        <w:spacing w:line="500" w:lineRule="atLeast"/>
        <w:ind w:left="480"/>
        <w:rPr>
          <w:snapToGrid w:val="0"/>
          <w:color w:val="auto"/>
          <w:sz w:val="24"/>
          <w:highlight w:val="none"/>
        </w:rPr>
      </w:pPr>
      <w:r>
        <w:rPr>
          <w:rFonts w:hint="eastAsia"/>
          <w:snapToGrid w:val="0"/>
          <w:color w:val="auto"/>
          <w:sz w:val="24"/>
          <w:highlight w:val="none"/>
        </w:rPr>
        <w:t>在试验过程的任何阶段，招标人可在系统上进行正常操作。</w:t>
      </w:r>
    </w:p>
    <w:p w14:paraId="34048501">
      <w:pPr>
        <w:numPr>
          <w:ilvl w:val="0"/>
          <w:numId w:val="75"/>
        </w:numPr>
        <w:snapToGrid w:val="0"/>
        <w:spacing w:line="500" w:lineRule="atLeast"/>
        <w:ind w:left="480"/>
        <w:rPr>
          <w:snapToGrid w:val="0"/>
          <w:color w:val="auto"/>
          <w:sz w:val="24"/>
          <w:highlight w:val="none"/>
        </w:rPr>
      </w:pPr>
      <w:r>
        <w:rPr>
          <w:rFonts w:hint="eastAsia"/>
          <w:snapToGrid w:val="0"/>
          <w:color w:val="auto"/>
          <w:sz w:val="24"/>
          <w:highlight w:val="none"/>
        </w:rPr>
        <w:t>若在稳定性试验期间，系统发生未经招标人认可的运行中断，则试验将重新开始，由此造成的工厂验收时间延长的责任和费用应由投标人承担。</w:t>
      </w:r>
    </w:p>
    <w:p w14:paraId="0A08F212">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3</w:t>
      </w:r>
      <w:r>
        <w:rPr>
          <w:rFonts w:hint="eastAsia"/>
          <w:snapToGrid w:val="0"/>
          <w:color w:val="auto"/>
          <w:sz w:val="24"/>
          <w:highlight w:val="none"/>
        </w:rPr>
        <w:t>.</w:t>
      </w:r>
      <w:r>
        <w:rPr>
          <w:snapToGrid w:val="0"/>
          <w:color w:val="auto"/>
          <w:sz w:val="24"/>
          <w:highlight w:val="none"/>
        </w:rPr>
        <w:t>12</w:t>
      </w:r>
      <w:r>
        <w:rPr>
          <w:rFonts w:hint="eastAsia"/>
          <w:snapToGrid w:val="0"/>
          <w:color w:val="auto"/>
          <w:sz w:val="24"/>
          <w:highlight w:val="none"/>
        </w:rPr>
        <w:t>完成所有工厂验收试验后，经招标人参加工厂验收试验人员认可后，设备可以装运至现场。</w:t>
      </w:r>
    </w:p>
    <w:p w14:paraId="48549D95">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现场验收试验：</w:t>
      </w:r>
    </w:p>
    <w:p w14:paraId="40C05CFC">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w:t>
      </w:r>
      <w:r>
        <w:rPr>
          <w:snapToGrid w:val="0"/>
          <w:color w:val="auto"/>
          <w:sz w:val="24"/>
          <w:highlight w:val="none"/>
        </w:rPr>
        <w:t>1</w:t>
      </w:r>
      <w:r>
        <w:rPr>
          <w:rFonts w:hint="eastAsia"/>
          <w:snapToGrid w:val="0"/>
          <w:color w:val="auto"/>
          <w:sz w:val="24"/>
          <w:highlight w:val="none"/>
        </w:rPr>
        <w:t>现场验收试验的时间和条件由招标人根据现场安装和调试的进度确定。招标人有责任指导和配合投标人完成现场安装和调试的各项工作，投标人应负责培训招标人技术人员，使其掌握系统维护的各项技能。</w:t>
      </w:r>
    </w:p>
    <w:p w14:paraId="68A3332E">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w:t>
      </w:r>
      <w:r>
        <w:rPr>
          <w:snapToGrid w:val="0"/>
          <w:color w:val="auto"/>
          <w:sz w:val="24"/>
          <w:highlight w:val="none"/>
        </w:rPr>
        <w:t>2</w:t>
      </w:r>
      <w:r>
        <w:rPr>
          <w:rFonts w:hint="eastAsia"/>
          <w:snapToGrid w:val="0"/>
          <w:color w:val="auto"/>
          <w:sz w:val="24"/>
          <w:highlight w:val="none"/>
        </w:rPr>
        <w:t>现场调试应做到：状态量动作到每一个点，模拟量校对到每一个值，控制量操作到每一个设各。对正确的操作及可能出现的误操作应一一验证，使操作控制的正确率为</w:t>
      </w:r>
      <w:r>
        <w:rPr>
          <w:snapToGrid w:val="0"/>
          <w:color w:val="auto"/>
          <w:sz w:val="24"/>
          <w:highlight w:val="none"/>
        </w:rPr>
        <w:t>100</w:t>
      </w:r>
      <w:r>
        <w:rPr>
          <w:rFonts w:hint="eastAsia"/>
          <w:snapToGrid w:val="0"/>
          <w:color w:val="auto"/>
          <w:sz w:val="24"/>
          <w:highlight w:val="none"/>
        </w:rPr>
        <w:t>%。</w:t>
      </w:r>
    </w:p>
    <w:p w14:paraId="09154D97">
      <w:pPr>
        <w:snapToGrid w:val="0"/>
        <w:spacing w:line="500" w:lineRule="atLeast"/>
        <w:rPr>
          <w:snapToGrid w:val="0"/>
          <w:color w:val="auto"/>
          <w:sz w:val="24"/>
          <w:highlight w:val="none"/>
        </w:rPr>
      </w:pPr>
      <w:r>
        <w:rPr>
          <w:rFonts w:hint="eastAsia"/>
          <w:snapToGrid w:val="0"/>
          <w:color w:val="auto"/>
          <w:sz w:val="24"/>
          <w:highlight w:val="none"/>
        </w:rPr>
        <w:t>现场验收试验在正常运行条件下进行，但不排除异常状态的模拟。</w:t>
      </w:r>
    </w:p>
    <w:p w14:paraId="2E161D7D">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w:t>
      </w:r>
      <w:r>
        <w:rPr>
          <w:snapToGrid w:val="0"/>
          <w:color w:val="auto"/>
          <w:sz w:val="24"/>
          <w:highlight w:val="none"/>
        </w:rPr>
        <w:t>3</w:t>
      </w:r>
      <w:r>
        <w:rPr>
          <w:rFonts w:hint="eastAsia"/>
          <w:snapToGrid w:val="0"/>
          <w:color w:val="auto"/>
          <w:sz w:val="24"/>
          <w:highlight w:val="none"/>
        </w:rPr>
        <w:t>现场验收试验主要目的是检验系统与电厂内一次系统及其它设备的配合，系统的各项功能是否实现，系统的性能指标是否达到。试验主要包括以下试验项目且不仅限于以下试验项目：</w:t>
      </w:r>
    </w:p>
    <w:p w14:paraId="005A3028">
      <w:pPr>
        <w:numPr>
          <w:ilvl w:val="0"/>
          <w:numId w:val="76"/>
        </w:numPr>
        <w:snapToGrid w:val="0"/>
        <w:spacing w:line="500" w:lineRule="atLeast"/>
        <w:ind w:left="480"/>
        <w:rPr>
          <w:snapToGrid w:val="0"/>
          <w:color w:val="auto"/>
          <w:sz w:val="24"/>
          <w:highlight w:val="none"/>
        </w:rPr>
      </w:pPr>
      <w:r>
        <w:rPr>
          <w:snapToGrid w:val="0"/>
          <w:color w:val="auto"/>
          <w:sz w:val="24"/>
          <w:highlight w:val="none"/>
        </w:rPr>
        <w:t>I</w:t>
      </w:r>
      <w:r>
        <w:rPr>
          <w:rFonts w:hint="eastAsia"/>
          <w:snapToGrid w:val="0"/>
          <w:color w:val="auto"/>
          <w:sz w:val="24"/>
          <w:highlight w:val="none"/>
        </w:rPr>
        <w:t>/</w:t>
      </w:r>
      <w:r>
        <w:rPr>
          <w:snapToGrid w:val="0"/>
          <w:color w:val="auto"/>
          <w:sz w:val="24"/>
          <w:highlight w:val="none"/>
        </w:rPr>
        <w:t>O</w:t>
      </w:r>
      <w:r>
        <w:rPr>
          <w:rFonts w:hint="eastAsia"/>
          <w:snapToGrid w:val="0"/>
          <w:color w:val="auto"/>
          <w:sz w:val="24"/>
          <w:highlight w:val="none"/>
        </w:rPr>
        <w:t>单元的性能试验（包括与实际系统配合进行信号输入检查、命令输出检查和模拟量测量精度测试等）。</w:t>
      </w:r>
    </w:p>
    <w:p w14:paraId="0E5A042F">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电气联锁试验（对照电厂一次主接线来验证电气联锁逻辑已按招标人要求实现）。</w:t>
      </w:r>
    </w:p>
    <w:p w14:paraId="1BD4C848">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冗余设备切换试验。</w:t>
      </w:r>
    </w:p>
    <w:p w14:paraId="5CA6E9CF">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系统</w:t>
      </w:r>
      <w:r>
        <w:rPr>
          <w:snapToGrid w:val="0"/>
          <w:color w:val="auto"/>
          <w:sz w:val="24"/>
          <w:highlight w:val="none"/>
        </w:rPr>
        <w:t>CPU</w:t>
      </w:r>
      <w:r>
        <w:rPr>
          <w:rFonts w:hint="eastAsia"/>
          <w:snapToGrid w:val="0"/>
          <w:color w:val="auto"/>
          <w:sz w:val="24"/>
          <w:highlight w:val="none"/>
        </w:rPr>
        <w:t>和网络的负荷率测试。</w:t>
      </w:r>
    </w:p>
    <w:p w14:paraId="56E7C74F">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时钟同步系统对时精度试验。</w:t>
      </w:r>
    </w:p>
    <w:p w14:paraId="3188869D">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事件顺序记录分辨率试验。</w:t>
      </w:r>
    </w:p>
    <w:p w14:paraId="3F7F8060">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与各级调度通信联调试验。</w:t>
      </w:r>
    </w:p>
    <w:p w14:paraId="1C618477">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与现场保护及厂内智能装置通信联调试验。</w:t>
      </w:r>
    </w:p>
    <w:p w14:paraId="47423CA8">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数据采集系统测试和精度测试。</w:t>
      </w:r>
    </w:p>
    <w:p w14:paraId="756BDC27">
      <w:pPr>
        <w:numPr>
          <w:ilvl w:val="0"/>
          <w:numId w:val="76"/>
        </w:numPr>
        <w:snapToGrid w:val="0"/>
        <w:spacing w:line="500" w:lineRule="atLeast"/>
        <w:ind w:left="480"/>
        <w:rPr>
          <w:snapToGrid w:val="0"/>
          <w:color w:val="auto"/>
          <w:sz w:val="24"/>
          <w:highlight w:val="none"/>
        </w:rPr>
      </w:pPr>
      <w:r>
        <w:rPr>
          <w:snapToGrid w:val="0"/>
          <w:color w:val="auto"/>
          <w:sz w:val="24"/>
          <w:highlight w:val="none"/>
        </w:rPr>
        <w:t>CRT</w:t>
      </w:r>
      <w:r>
        <w:rPr>
          <w:rFonts w:hint="eastAsia"/>
          <w:snapToGrid w:val="0"/>
          <w:color w:val="auto"/>
          <w:sz w:val="24"/>
          <w:highlight w:val="none"/>
        </w:rPr>
        <w:t>画面完备性检查，响应时间和刷新周期测试。</w:t>
      </w:r>
    </w:p>
    <w:p w14:paraId="2768A922">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告警系统测试</w:t>
      </w:r>
      <w:r>
        <w:rPr>
          <w:snapToGrid w:val="0"/>
          <w:color w:val="auto"/>
          <w:sz w:val="24"/>
          <w:highlight w:val="none"/>
        </w:rPr>
        <w:t>(</w:t>
      </w:r>
      <w:r>
        <w:rPr>
          <w:rFonts w:hint="eastAsia"/>
          <w:snapToGrid w:val="0"/>
          <w:color w:val="auto"/>
          <w:sz w:val="24"/>
          <w:highlight w:val="none"/>
        </w:rPr>
        <w:t>包括系统自诊断异常告警，与所内其它设备配合进行</w:t>
      </w:r>
      <w:r>
        <w:rPr>
          <w:snapToGrid w:val="0"/>
          <w:color w:val="auto"/>
          <w:sz w:val="24"/>
          <w:highlight w:val="none"/>
        </w:rPr>
        <w:t>)</w:t>
      </w:r>
      <w:r>
        <w:rPr>
          <w:rFonts w:hint="eastAsia"/>
          <w:snapToGrid w:val="0"/>
          <w:color w:val="auto"/>
          <w:sz w:val="24"/>
          <w:highlight w:val="none"/>
        </w:rPr>
        <w:t>。</w:t>
      </w:r>
    </w:p>
    <w:p w14:paraId="06F70758">
      <w:pPr>
        <w:numPr>
          <w:ilvl w:val="0"/>
          <w:numId w:val="76"/>
        </w:numPr>
        <w:snapToGrid w:val="0"/>
        <w:spacing w:line="500" w:lineRule="atLeast"/>
        <w:ind w:left="480"/>
        <w:rPr>
          <w:snapToGrid w:val="0"/>
          <w:color w:val="auto"/>
          <w:sz w:val="24"/>
          <w:highlight w:val="none"/>
        </w:rPr>
      </w:pPr>
      <w:r>
        <w:rPr>
          <w:rFonts w:hint="eastAsia"/>
          <w:snapToGrid w:val="0"/>
          <w:color w:val="auto"/>
          <w:sz w:val="24"/>
          <w:highlight w:val="none"/>
        </w:rPr>
        <w:t>系统自诊断测试。</w:t>
      </w:r>
    </w:p>
    <w:p w14:paraId="3E210E66">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w:t>
      </w:r>
      <w:r>
        <w:rPr>
          <w:snapToGrid w:val="0"/>
          <w:color w:val="auto"/>
          <w:sz w:val="24"/>
          <w:highlight w:val="none"/>
        </w:rPr>
        <w:t>4</w:t>
      </w:r>
      <w:r>
        <w:rPr>
          <w:rFonts w:hint="eastAsia"/>
          <w:snapToGrid w:val="0"/>
          <w:color w:val="auto"/>
          <w:sz w:val="24"/>
          <w:highlight w:val="none"/>
        </w:rPr>
        <w:t>现场验收结束后，在电厂一次系统投运后，进行</w:t>
      </w:r>
      <w:r>
        <w:rPr>
          <w:snapToGrid w:val="0"/>
          <w:color w:val="auto"/>
          <w:sz w:val="24"/>
          <w:highlight w:val="none"/>
        </w:rPr>
        <w:t>72</w:t>
      </w:r>
      <w:r>
        <w:rPr>
          <w:rFonts w:hint="eastAsia"/>
          <w:snapToGrid w:val="0"/>
          <w:color w:val="auto"/>
          <w:sz w:val="24"/>
          <w:highlight w:val="none"/>
        </w:rPr>
        <w:t>小时的稳定性试验，试验要求同工厂验收试验。</w:t>
      </w:r>
    </w:p>
    <w:p w14:paraId="730D087E">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w:t>
      </w:r>
      <w:r>
        <w:rPr>
          <w:snapToGrid w:val="0"/>
          <w:color w:val="auto"/>
          <w:sz w:val="24"/>
          <w:highlight w:val="none"/>
        </w:rPr>
        <w:t>572</w:t>
      </w:r>
      <w:r>
        <w:rPr>
          <w:rFonts w:hint="eastAsia"/>
          <w:snapToGrid w:val="0"/>
          <w:color w:val="auto"/>
          <w:sz w:val="24"/>
          <w:highlight w:val="none"/>
        </w:rPr>
        <w:t>小时稳定性试验结束后，标志现场验收试验结束，双方格签字确认试验结果。</w:t>
      </w:r>
    </w:p>
    <w:p w14:paraId="666DA986">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w:t>
      </w:r>
      <w:r>
        <w:rPr>
          <w:snapToGrid w:val="0"/>
          <w:color w:val="auto"/>
          <w:sz w:val="24"/>
          <w:highlight w:val="none"/>
        </w:rPr>
        <w:t>6</w:t>
      </w:r>
      <w:r>
        <w:rPr>
          <w:rFonts w:hint="eastAsia"/>
          <w:snapToGrid w:val="0"/>
          <w:color w:val="auto"/>
          <w:sz w:val="24"/>
          <w:highlight w:val="none"/>
        </w:rPr>
        <w:t>在试验和调试期间所有损坏的供货范围内设备，投标人应免费给予更换。</w:t>
      </w:r>
    </w:p>
    <w:p w14:paraId="19A0DA09">
      <w:pPr>
        <w:snapToGrid w:val="0"/>
        <w:spacing w:line="500" w:lineRule="atLeast"/>
        <w:rPr>
          <w:snapToGrid w:val="0"/>
          <w:color w:val="auto"/>
          <w:sz w:val="24"/>
          <w:highlight w:val="none"/>
        </w:rPr>
      </w:pPr>
      <w:r>
        <w:rPr>
          <w:rFonts w:hint="eastAsia"/>
          <w:snapToGrid w:val="0"/>
          <w:color w:val="auto"/>
          <w:sz w:val="24"/>
          <w:highlight w:val="none"/>
        </w:rPr>
        <w:t>3.4</w:t>
      </w:r>
      <w:r>
        <w:rPr>
          <w:snapToGrid w:val="0"/>
          <w:color w:val="auto"/>
          <w:sz w:val="24"/>
          <w:highlight w:val="none"/>
        </w:rPr>
        <w:t>.4</w:t>
      </w:r>
      <w:r>
        <w:rPr>
          <w:rFonts w:hint="eastAsia"/>
          <w:snapToGrid w:val="0"/>
          <w:color w:val="auto"/>
          <w:sz w:val="24"/>
          <w:highlight w:val="none"/>
        </w:rPr>
        <w:t>.</w:t>
      </w:r>
      <w:r>
        <w:rPr>
          <w:snapToGrid w:val="0"/>
          <w:color w:val="auto"/>
          <w:sz w:val="24"/>
          <w:highlight w:val="none"/>
        </w:rPr>
        <w:t>7</w:t>
      </w:r>
      <w:r>
        <w:rPr>
          <w:rFonts w:hint="eastAsia"/>
          <w:snapToGrid w:val="0"/>
          <w:color w:val="auto"/>
          <w:sz w:val="24"/>
          <w:highlight w:val="none"/>
        </w:rPr>
        <w:t>现场验收试验结束后，投标人的现场技术人员应负责完整备份系统软件，并提供给招标人。</w:t>
      </w:r>
    </w:p>
    <w:p w14:paraId="6F2ADF84">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.5  绝缘试验</w:t>
      </w:r>
    </w:p>
    <w:p w14:paraId="7D237961">
      <w:pPr>
        <w:snapToGrid w:val="0"/>
        <w:spacing w:line="300" w:lineRule="auto"/>
        <w:ind w:left="425"/>
        <w:rPr>
          <w:snapToGrid w:val="0"/>
          <w:color w:val="auto"/>
          <w:sz w:val="24"/>
          <w:highlight w:val="none"/>
        </w:rPr>
      </w:pPr>
      <w:r>
        <w:rPr>
          <w:rFonts w:hint="eastAsia"/>
          <w:snapToGrid w:val="0"/>
          <w:color w:val="auto"/>
          <w:sz w:val="24"/>
          <w:highlight w:val="none"/>
        </w:rPr>
        <w:t>按GB7261－87和方法，第20章规定，分别进行绝缘电阻测量介质强度及冲击电压试验。</w:t>
      </w:r>
    </w:p>
    <w:p w14:paraId="4FA548DC">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.6  低温试验</w:t>
      </w:r>
    </w:p>
    <w:p w14:paraId="720BFA67">
      <w:pPr>
        <w:snapToGrid w:val="0"/>
        <w:spacing w:line="300" w:lineRule="auto"/>
        <w:ind w:left="425"/>
        <w:rPr>
          <w:snapToGrid w:val="0"/>
          <w:color w:val="auto"/>
          <w:sz w:val="24"/>
          <w:highlight w:val="none"/>
        </w:rPr>
      </w:pPr>
      <w:r>
        <w:rPr>
          <w:rFonts w:hint="eastAsia"/>
          <w:snapToGrid w:val="0"/>
          <w:color w:val="auto"/>
          <w:sz w:val="24"/>
          <w:highlight w:val="none"/>
        </w:rPr>
        <w:t>按GB7261－87第12章的规定和方法进行。</w:t>
      </w:r>
    </w:p>
    <w:p w14:paraId="4DCCE426">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.7  高温试验</w:t>
      </w:r>
    </w:p>
    <w:p w14:paraId="742BFE72">
      <w:pPr>
        <w:snapToGrid w:val="0"/>
        <w:spacing w:line="300" w:lineRule="auto"/>
        <w:ind w:left="425"/>
        <w:rPr>
          <w:snapToGrid w:val="0"/>
          <w:color w:val="auto"/>
          <w:sz w:val="24"/>
          <w:highlight w:val="none"/>
        </w:rPr>
      </w:pPr>
      <w:r>
        <w:rPr>
          <w:rFonts w:hint="eastAsia"/>
          <w:snapToGrid w:val="0"/>
          <w:color w:val="auto"/>
          <w:sz w:val="24"/>
          <w:highlight w:val="none"/>
        </w:rPr>
        <w:t>按GB7261－87第13章的规定和方法进行.</w:t>
      </w:r>
    </w:p>
    <w:p w14:paraId="585B3A6B">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.8  湿热试验</w:t>
      </w:r>
    </w:p>
    <w:p w14:paraId="6E2A9842">
      <w:pPr>
        <w:snapToGrid w:val="0"/>
        <w:spacing w:line="300" w:lineRule="auto"/>
        <w:ind w:left="425"/>
        <w:rPr>
          <w:snapToGrid w:val="0"/>
          <w:color w:val="auto"/>
          <w:sz w:val="24"/>
          <w:highlight w:val="none"/>
        </w:rPr>
      </w:pPr>
      <w:r>
        <w:rPr>
          <w:rFonts w:hint="eastAsia"/>
          <w:snapToGrid w:val="0"/>
          <w:color w:val="auto"/>
          <w:sz w:val="24"/>
          <w:highlight w:val="none"/>
        </w:rPr>
        <w:t>按GB/T2423.9-89或GB7261－87第21章的规定和方法进行。</w:t>
      </w:r>
    </w:p>
    <w:p w14:paraId="151CC4F5">
      <w:pPr>
        <w:snapToGrid w:val="0"/>
        <w:spacing w:line="30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.9  电气干扰试验</w:t>
      </w:r>
    </w:p>
    <w:p w14:paraId="6F5FDD3E">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.9.1按GB/T14598.13－1998的规定和方法，对装置进行脉冲群干扰试验。</w:t>
      </w:r>
    </w:p>
    <w:p w14:paraId="1F2A7BA1">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.9.2按GB/T14598.14－1998的规定和方法，对装置进行静电放电试验。</w:t>
      </w:r>
    </w:p>
    <w:p w14:paraId="6C7AD1C1">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.9.3按GB/T14598.9－1995的规定和方法，对装置进行辐射电磁场干扰试验。</w:t>
      </w:r>
    </w:p>
    <w:p w14:paraId="62CAF874">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.9.4按GB/T14598.10－1996的规定和方法，对装置进行快速瞬变干扰试验。</w:t>
      </w:r>
    </w:p>
    <w:p w14:paraId="34997B43">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.10  连续通电试验</w:t>
      </w:r>
    </w:p>
    <w:p w14:paraId="51A6CEF1">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.10.1装置在完成调试后应进行连续通电试验。</w:t>
      </w:r>
    </w:p>
    <w:p w14:paraId="2A83A7FB">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.10.2连续通电试验的被试装置只施加直流电源，必要时可施加其他激励量进行功能检测；</w:t>
      </w:r>
    </w:p>
    <w:p w14:paraId="0573CD8D">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.10.3连续通电试验时间不少于100h或72h。</w:t>
      </w:r>
    </w:p>
    <w:p w14:paraId="43DF3096">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.10.4在连续通电试验过程中，装置应工作正常，信号指示正确，不应有元器件损坏或其他异常情况出现。</w:t>
      </w:r>
    </w:p>
    <w:p w14:paraId="0F528947">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.11  过负荷能力试验</w:t>
      </w:r>
    </w:p>
    <w:p w14:paraId="18BA4E0D">
      <w:pPr>
        <w:snapToGrid w:val="0"/>
        <w:spacing w:line="360" w:lineRule="auto"/>
        <w:ind w:left="425"/>
        <w:rPr>
          <w:snapToGrid w:val="0"/>
          <w:color w:val="auto"/>
          <w:sz w:val="24"/>
          <w:highlight w:val="none"/>
        </w:rPr>
      </w:pPr>
      <w:r>
        <w:rPr>
          <w:rFonts w:hint="eastAsia"/>
          <w:snapToGrid w:val="0"/>
          <w:color w:val="auto"/>
          <w:sz w:val="24"/>
          <w:highlight w:val="none"/>
        </w:rPr>
        <w:t>按GB7261－87第23章的规定和方法进行。</w:t>
      </w:r>
    </w:p>
    <w:p w14:paraId="605482EE">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.12  电源影响试验</w:t>
      </w:r>
    </w:p>
    <w:p w14:paraId="701F8B9C">
      <w:pPr>
        <w:snapToGrid w:val="0"/>
        <w:spacing w:line="360" w:lineRule="auto"/>
        <w:ind w:left="425"/>
        <w:rPr>
          <w:snapToGrid w:val="0"/>
          <w:color w:val="auto"/>
          <w:sz w:val="24"/>
          <w:highlight w:val="none"/>
        </w:rPr>
      </w:pPr>
      <w:r>
        <w:rPr>
          <w:rFonts w:hint="eastAsia"/>
          <w:snapToGrid w:val="0"/>
          <w:color w:val="auto"/>
          <w:sz w:val="24"/>
          <w:highlight w:val="none"/>
        </w:rPr>
        <w:t>按GB7261－87第15章的规定和方法进行。</w:t>
      </w:r>
    </w:p>
    <w:p w14:paraId="50FBC60A">
      <w:pPr>
        <w:snapToGrid w:val="0"/>
        <w:spacing w:line="360" w:lineRule="auto"/>
        <w:rPr>
          <w:snapToGrid w:val="0"/>
          <w:color w:val="auto"/>
          <w:sz w:val="24"/>
          <w:highlight w:val="none"/>
        </w:rPr>
      </w:pPr>
      <w:r>
        <w:rPr>
          <w:snapToGrid w:val="0"/>
          <w:color w:val="auto"/>
          <w:sz w:val="24"/>
          <w:highlight w:val="none"/>
        </w:rPr>
        <w:t>3</w:t>
      </w:r>
      <w:r>
        <w:rPr>
          <w:rFonts w:hint="eastAsia"/>
          <w:snapToGrid w:val="0"/>
          <w:color w:val="auto"/>
          <w:sz w:val="24"/>
          <w:highlight w:val="none"/>
        </w:rPr>
        <w:t>.13  出厂检验</w:t>
      </w:r>
    </w:p>
    <w:p w14:paraId="328D0F51">
      <w:pPr>
        <w:snapToGrid w:val="0"/>
        <w:spacing w:line="360" w:lineRule="auto"/>
        <w:ind w:left="425"/>
        <w:rPr>
          <w:snapToGrid w:val="0"/>
          <w:color w:val="auto"/>
          <w:sz w:val="24"/>
          <w:highlight w:val="none"/>
        </w:rPr>
      </w:pPr>
      <w:r>
        <w:rPr>
          <w:rFonts w:hint="eastAsia"/>
          <w:snapToGrid w:val="0"/>
          <w:color w:val="auto"/>
          <w:sz w:val="24"/>
          <w:highlight w:val="none"/>
        </w:rPr>
        <w:t>每台装置出厂前必须由制造厂的检验部门进行出厂检验，出厂检验在试验的标准大气条件下进行。检验项目如下：</w:t>
      </w:r>
    </w:p>
    <w:p w14:paraId="511F49B5">
      <w:pPr>
        <w:snapToGrid w:val="0"/>
        <w:spacing w:line="360" w:lineRule="auto"/>
        <w:ind w:left="850"/>
        <w:rPr>
          <w:snapToGrid w:val="0"/>
          <w:color w:val="auto"/>
          <w:sz w:val="24"/>
          <w:highlight w:val="none"/>
        </w:rPr>
      </w:pPr>
      <w:r>
        <w:rPr>
          <w:rFonts w:hint="eastAsia"/>
          <w:snapToGrid w:val="0"/>
          <w:color w:val="auto"/>
          <w:sz w:val="24"/>
          <w:highlight w:val="none"/>
        </w:rPr>
        <w:t>结构与外观；</w:t>
      </w:r>
    </w:p>
    <w:p w14:paraId="4D2FE5C7">
      <w:pPr>
        <w:snapToGrid w:val="0"/>
        <w:spacing w:line="360" w:lineRule="auto"/>
        <w:ind w:left="850"/>
        <w:rPr>
          <w:snapToGrid w:val="0"/>
          <w:color w:val="auto"/>
          <w:sz w:val="24"/>
          <w:highlight w:val="none"/>
        </w:rPr>
      </w:pPr>
      <w:r>
        <w:rPr>
          <w:rFonts w:hint="eastAsia"/>
          <w:snapToGrid w:val="0"/>
          <w:color w:val="auto"/>
          <w:sz w:val="24"/>
          <w:highlight w:val="none"/>
        </w:rPr>
        <w:t>主要功能及技术性能；</w:t>
      </w:r>
    </w:p>
    <w:p w14:paraId="4576D07B">
      <w:pPr>
        <w:snapToGrid w:val="0"/>
        <w:spacing w:line="360" w:lineRule="auto"/>
        <w:ind w:left="850"/>
        <w:rPr>
          <w:snapToGrid w:val="0"/>
          <w:color w:val="auto"/>
          <w:sz w:val="24"/>
          <w:highlight w:val="none"/>
        </w:rPr>
      </w:pPr>
      <w:r>
        <w:rPr>
          <w:rFonts w:hint="eastAsia"/>
          <w:snapToGrid w:val="0"/>
          <w:color w:val="auto"/>
          <w:sz w:val="24"/>
          <w:highlight w:val="none"/>
        </w:rPr>
        <w:t>绝缘电阻；</w:t>
      </w:r>
    </w:p>
    <w:p w14:paraId="2D91930F">
      <w:pPr>
        <w:snapToGrid w:val="0"/>
        <w:spacing w:line="360" w:lineRule="auto"/>
        <w:ind w:left="850"/>
        <w:rPr>
          <w:snapToGrid w:val="0"/>
          <w:color w:val="auto"/>
          <w:sz w:val="24"/>
          <w:highlight w:val="none"/>
        </w:rPr>
      </w:pPr>
      <w:r>
        <w:rPr>
          <w:rFonts w:hint="eastAsia"/>
          <w:snapToGrid w:val="0"/>
          <w:color w:val="auto"/>
          <w:sz w:val="24"/>
          <w:highlight w:val="none"/>
        </w:rPr>
        <w:t>介质强度；</w:t>
      </w:r>
    </w:p>
    <w:p w14:paraId="4FCA3EF7">
      <w:pPr>
        <w:pStyle w:val="8"/>
        <w:spacing w:line="360" w:lineRule="auto"/>
        <w:ind w:firstLine="900" w:firstLineChars="375"/>
        <w:rPr>
          <w:rFonts w:ascii="宋体" w:hAnsi="宋体"/>
          <w:color w:val="auto"/>
          <w:szCs w:val="24"/>
          <w:highlight w:val="none"/>
        </w:rPr>
      </w:pPr>
      <w:r>
        <w:rPr>
          <w:rFonts w:hint="eastAsia"/>
          <w:snapToGrid w:val="0"/>
          <w:color w:val="auto"/>
          <w:highlight w:val="none"/>
        </w:rPr>
        <w:t>连续通电。</w:t>
      </w:r>
    </w:p>
    <w:p w14:paraId="61DAE025">
      <w:pPr>
        <w:pStyle w:val="8"/>
        <w:spacing w:line="360" w:lineRule="auto"/>
        <w:rPr>
          <w:rFonts w:ascii="宋体" w:hAnsi="宋体"/>
          <w:color w:val="auto"/>
          <w:szCs w:val="24"/>
          <w:highlight w:val="none"/>
        </w:rPr>
      </w:pPr>
    </w:p>
    <w:p w14:paraId="344FCD71">
      <w:pPr>
        <w:pStyle w:val="8"/>
        <w:spacing w:line="360" w:lineRule="auto"/>
        <w:rPr>
          <w:rFonts w:ascii="宋体" w:hAnsi="宋体"/>
          <w:color w:val="auto"/>
          <w:szCs w:val="24"/>
          <w:highlight w:val="none"/>
        </w:rPr>
      </w:pPr>
    </w:p>
    <w:p w14:paraId="375C435E">
      <w:pPr>
        <w:pStyle w:val="8"/>
        <w:spacing w:line="360" w:lineRule="auto"/>
        <w:rPr>
          <w:rFonts w:ascii="宋体" w:hAnsi="宋体"/>
          <w:color w:val="auto"/>
          <w:szCs w:val="24"/>
          <w:highlight w:val="none"/>
        </w:rPr>
      </w:pPr>
    </w:p>
    <w:p w14:paraId="69F96931">
      <w:pPr>
        <w:pStyle w:val="8"/>
        <w:spacing w:line="360" w:lineRule="auto"/>
        <w:rPr>
          <w:rFonts w:ascii="宋体" w:hAnsi="宋体"/>
          <w:color w:val="auto"/>
          <w:szCs w:val="24"/>
          <w:highlight w:val="none"/>
        </w:rPr>
      </w:pPr>
    </w:p>
    <w:p w14:paraId="069D98B1">
      <w:pPr>
        <w:pStyle w:val="8"/>
        <w:spacing w:line="360" w:lineRule="auto"/>
        <w:rPr>
          <w:rFonts w:ascii="宋体" w:hAnsi="宋体"/>
          <w:color w:val="auto"/>
          <w:szCs w:val="24"/>
          <w:highlight w:val="none"/>
        </w:rPr>
      </w:pPr>
    </w:p>
    <w:p w14:paraId="121E913A">
      <w:pPr>
        <w:pStyle w:val="8"/>
        <w:spacing w:line="360" w:lineRule="auto"/>
        <w:rPr>
          <w:rFonts w:ascii="宋体" w:hAnsi="宋体"/>
          <w:color w:val="auto"/>
          <w:szCs w:val="24"/>
          <w:highlight w:val="none"/>
        </w:rPr>
      </w:pPr>
    </w:p>
    <w:p w14:paraId="03E2D516">
      <w:pPr>
        <w:pStyle w:val="8"/>
        <w:spacing w:line="360" w:lineRule="auto"/>
        <w:ind w:firstLine="0"/>
        <w:rPr>
          <w:rFonts w:ascii="宋体" w:hAnsi="宋体"/>
          <w:color w:val="auto"/>
          <w:szCs w:val="24"/>
          <w:highlight w:val="none"/>
        </w:rPr>
      </w:pPr>
    </w:p>
    <w:p w14:paraId="58755D03">
      <w:pPr>
        <w:pStyle w:val="8"/>
        <w:spacing w:line="360" w:lineRule="auto"/>
        <w:ind w:firstLine="0"/>
        <w:outlineLvl w:val="0"/>
        <w:rPr>
          <w:b/>
          <w:color w:val="auto"/>
          <w:sz w:val="30"/>
          <w:szCs w:val="30"/>
          <w:highlight w:val="none"/>
        </w:rPr>
      </w:pPr>
      <w:bookmarkStart w:id="101" w:name="_Toc316370450"/>
      <w:bookmarkStart w:id="102" w:name="_Toc304277657"/>
      <w:bookmarkStart w:id="103" w:name="_Toc334015525"/>
      <w:bookmarkStart w:id="104" w:name="_Toc304277670"/>
      <w:r>
        <w:rPr>
          <w:rFonts w:hint="eastAsia"/>
          <w:b/>
          <w:color w:val="auto"/>
          <w:sz w:val="30"/>
          <w:szCs w:val="30"/>
          <w:highlight w:val="none"/>
        </w:rPr>
        <w:t>附件</w:t>
      </w:r>
      <w:r>
        <w:rPr>
          <w:b/>
          <w:color w:val="auto"/>
          <w:sz w:val="30"/>
          <w:szCs w:val="30"/>
          <w:highlight w:val="none"/>
        </w:rPr>
        <w:t>6</w:t>
      </w:r>
      <w:r>
        <w:rPr>
          <w:rFonts w:hint="eastAsia"/>
          <w:b/>
          <w:color w:val="auto"/>
          <w:sz w:val="30"/>
          <w:szCs w:val="30"/>
          <w:highlight w:val="none"/>
        </w:rPr>
        <w:t>技术服务和联络</w:t>
      </w:r>
      <w:bookmarkEnd w:id="101"/>
      <w:bookmarkEnd w:id="102"/>
      <w:bookmarkEnd w:id="103"/>
      <w:bookmarkEnd w:id="104"/>
    </w:p>
    <w:p w14:paraId="7710B7F2">
      <w:pPr>
        <w:pStyle w:val="8"/>
        <w:spacing w:line="360" w:lineRule="auto"/>
        <w:rPr>
          <w:rFonts w:ascii="宋体" w:hAnsi="宋体"/>
          <w:b/>
          <w:bCs/>
          <w:color w:val="auto"/>
          <w:szCs w:val="24"/>
          <w:highlight w:val="none"/>
        </w:rPr>
      </w:pPr>
      <w:r>
        <w:rPr>
          <w:rFonts w:ascii="宋体" w:hAnsi="宋体"/>
          <w:b/>
          <w:bCs/>
          <w:color w:val="auto"/>
          <w:szCs w:val="24"/>
          <w:highlight w:val="none"/>
        </w:rPr>
        <w:t xml:space="preserve">1  </w:t>
      </w:r>
      <w:r>
        <w:rPr>
          <w:rFonts w:hint="eastAsia" w:ascii="宋体" w:hAnsi="宋体"/>
          <w:b/>
          <w:bCs/>
          <w:color w:val="auto"/>
          <w:szCs w:val="24"/>
          <w:highlight w:val="none"/>
        </w:rPr>
        <w:t>投标人现场技术服务</w:t>
      </w:r>
    </w:p>
    <w:p w14:paraId="4FB69A96">
      <w:pPr>
        <w:pStyle w:val="8"/>
        <w:spacing w:line="360" w:lineRule="auto"/>
        <w:rPr>
          <w:rFonts w:ascii="宋体" w:hAnsi="宋体"/>
          <w:color w:val="auto"/>
          <w:szCs w:val="24"/>
          <w:highlight w:val="none"/>
        </w:rPr>
      </w:pPr>
      <w:r>
        <w:rPr>
          <w:rFonts w:ascii="宋体" w:hAnsi="宋体"/>
          <w:color w:val="auto"/>
          <w:szCs w:val="24"/>
          <w:highlight w:val="none"/>
        </w:rPr>
        <w:t xml:space="preserve">1.1  </w:t>
      </w:r>
      <w:r>
        <w:rPr>
          <w:rFonts w:hint="eastAsia" w:ascii="宋体" w:hAnsi="宋体"/>
          <w:color w:val="auto"/>
          <w:szCs w:val="24"/>
          <w:highlight w:val="none"/>
        </w:rPr>
        <w:t>投标人现场服务人员的目的是使所供设备安全、正常投运。投标人要派合格的现场服务人员。在投标阶段应提供包括服务人月数的现场服务计划表（格式）。如果此人月数不能满足工程需要，投标人要追加人月数，且不发生费用。</w:t>
      </w:r>
    </w:p>
    <w:p w14:paraId="40DF65DA">
      <w:pPr>
        <w:pStyle w:val="8"/>
        <w:spacing w:line="360" w:lineRule="auto"/>
        <w:rPr>
          <w:rFonts w:ascii="宋体" w:hAnsi="宋体"/>
          <w:color w:val="auto"/>
          <w:szCs w:val="24"/>
          <w:highlight w:val="none"/>
        </w:rPr>
      </w:pPr>
      <w:r>
        <w:rPr>
          <w:rFonts w:hint="eastAsia" w:ascii="宋体" w:hAnsi="宋体"/>
          <w:color w:val="auto"/>
          <w:szCs w:val="24"/>
          <w:highlight w:val="none"/>
        </w:rPr>
        <w:t>现场服务计划表（按2台机组开列）</w:t>
      </w:r>
    </w:p>
    <w:tbl>
      <w:tblPr>
        <w:tblStyle w:val="31"/>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96"/>
        <w:gridCol w:w="2029"/>
        <w:gridCol w:w="1736"/>
        <w:gridCol w:w="1247"/>
        <w:gridCol w:w="1315"/>
        <w:gridCol w:w="1139"/>
      </w:tblGrid>
      <w:tr w14:paraId="180BD4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96" w:type="dxa"/>
            <w:vMerge w:val="restart"/>
            <w:tcBorders>
              <w:top w:val="single" w:color="auto" w:sz="6" w:space="0"/>
              <w:left w:val="single" w:color="auto" w:sz="6" w:space="0"/>
              <w:bottom w:val="nil"/>
              <w:right w:val="single" w:color="auto" w:sz="6" w:space="0"/>
            </w:tcBorders>
            <w:vAlign w:val="center"/>
          </w:tcPr>
          <w:p w14:paraId="61ACE5FF">
            <w:pPr>
              <w:pStyle w:val="8"/>
              <w:spacing w:line="360" w:lineRule="auto"/>
              <w:rPr>
                <w:rFonts w:ascii="宋体" w:hAnsi="宋体"/>
                <w:color w:val="auto"/>
                <w:szCs w:val="24"/>
                <w:highlight w:val="none"/>
              </w:rPr>
            </w:pPr>
            <w:r>
              <w:rPr>
                <w:rFonts w:hint="eastAsia" w:ascii="宋体" w:hAnsi="宋体"/>
                <w:color w:val="auto"/>
                <w:szCs w:val="24"/>
                <w:highlight w:val="none"/>
              </w:rPr>
              <w:t>序号</w:t>
            </w:r>
          </w:p>
        </w:tc>
        <w:tc>
          <w:tcPr>
            <w:tcW w:w="2029" w:type="dxa"/>
            <w:vMerge w:val="restart"/>
            <w:tcBorders>
              <w:top w:val="single" w:color="auto" w:sz="6" w:space="0"/>
              <w:left w:val="nil"/>
              <w:bottom w:val="nil"/>
              <w:right w:val="single" w:color="auto" w:sz="6" w:space="0"/>
            </w:tcBorders>
            <w:vAlign w:val="center"/>
          </w:tcPr>
          <w:p w14:paraId="554732E5">
            <w:pPr>
              <w:pStyle w:val="8"/>
              <w:spacing w:line="360" w:lineRule="auto"/>
              <w:ind w:firstLine="0"/>
              <w:rPr>
                <w:rFonts w:ascii="宋体" w:hAnsi="宋体"/>
                <w:color w:val="auto"/>
                <w:szCs w:val="24"/>
                <w:highlight w:val="none"/>
              </w:rPr>
            </w:pPr>
            <w:r>
              <w:rPr>
                <w:rFonts w:hint="eastAsia" w:ascii="宋体" w:hAnsi="宋体"/>
                <w:color w:val="auto"/>
                <w:szCs w:val="24"/>
                <w:highlight w:val="none"/>
              </w:rPr>
              <w:t>技术服务内容</w:t>
            </w:r>
          </w:p>
        </w:tc>
        <w:tc>
          <w:tcPr>
            <w:tcW w:w="1736" w:type="dxa"/>
            <w:vMerge w:val="restart"/>
            <w:tcBorders>
              <w:top w:val="single" w:color="auto" w:sz="6" w:space="0"/>
              <w:left w:val="nil"/>
              <w:bottom w:val="nil"/>
              <w:right w:val="single" w:color="auto" w:sz="6" w:space="0"/>
            </w:tcBorders>
            <w:vAlign w:val="center"/>
          </w:tcPr>
          <w:p w14:paraId="575F2050">
            <w:pPr>
              <w:pStyle w:val="8"/>
              <w:spacing w:line="360" w:lineRule="auto"/>
              <w:ind w:firstLine="0"/>
              <w:rPr>
                <w:rFonts w:ascii="宋体" w:hAnsi="宋体"/>
                <w:color w:val="auto"/>
                <w:szCs w:val="24"/>
                <w:highlight w:val="none"/>
              </w:rPr>
            </w:pPr>
            <w:r>
              <w:rPr>
                <w:rFonts w:hint="eastAsia" w:ascii="宋体" w:hAnsi="宋体"/>
                <w:color w:val="auto"/>
                <w:szCs w:val="24"/>
                <w:highlight w:val="none"/>
              </w:rPr>
              <w:t>计划人月数</w:t>
            </w:r>
          </w:p>
        </w:tc>
        <w:tc>
          <w:tcPr>
            <w:tcW w:w="2562" w:type="dxa"/>
            <w:gridSpan w:val="2"/>
            <w:tcBorders>
              <w:top w:val="single" w:color="auto" w:sz="6" w:space="0"/>
              <w:left w:val="nil"/>
              <w:bottom w:val="single" w:color="auto" w:sz="6" w:space="0"/>
              <w:right w:val="nil"/>
            </w:tcBorders>
            <w:vAlign w:val="center"/>
          </w:tcPr>
          <w:p w14:paraId="2A62AF12">
            <w:pPr>
              <w:pStyle w:val="8"/>
              <w:spacing w:line="360" w:lineRule="auto"/>
              <w:rPr>
                <w:rFonts w:ascii="宋体" w:hAnsi="宋体"/>
                <w:color w:val="auto"/>
                <w:szCs w:val="24"/>
                <w:highlight w:val="none"/>
              </w:rPr>
            </w:pPr>
            <w:r>
              <w:rPr>
                <w:rFonts w:hint="eastAsia" w:ascii="宋体" w:hAnsi="宋体"/>
                <w:color w:val="auto"/>
                <w:szCs w:val="24"/>
                <w:highlight w:val="none"/>
              </w:rPr>
              <w:t>派出人员构成</w:t>
            </w:r>
          </w:p>
        </w:tc>
        <w:tc>
          <w:tcPr>
            <w:tcW w:w="1139" w:type="dxa"/>
            <w:vMerge w:val="restart"/>
            <w:tcBorders>
              <w:top w:val="single" w:color="auto" w:sz="6" w:space="0"/>
              <w:left w:val="single" w:color="auto" w:sz="6" w:space="0"/>
              <w:bottom w:val="nil"/>
              <w:right w:val="single" w:color="auto" w:sz="6" w:space="0"/>
            </w:tcBorders>
            <w:vAlign w:val="center"/>
          </w:tcPr>
          <w:p w14:paraId="1AA460E7">
            <w:pPr>
              <w:pStyle w:val="8"/>
              <w:spacing w:line="360" w:lineRule="auto"/>
              <w:ind w:firstLine="0"/>
              <w:rPr>
                <w:rFonts w:ascii="宋体" w:hAnsi="宋体"/>
                <w:color w:val="auto"/>
                <w:szCs w:val="24"/>
                <w:highlight w:val="none"/>
              </w:rPr>
            </w:pPr>
            <w:r>
              <w:rPr>
                <w:rFonts w:hint="eastAsia" w:ascii="宋体" w:hAnsi="宋体"/>
                <w:color w:val="auto"/>
                <w:szCs w:val="24"/>
                <w:highlight w:val="none"/>
              </w:rPr>
              <w:t>备注</w:t>
            </w:r>
          </w:p>
        </w:tc>
      </w:tr>
      <w:tr w14:paraId="792F4E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28" w:hRule="atLeast"/>
        </w:trPr>
        <w:tc>
          <w:tcPr>
            <w:tcW w:w="896" w:type="dxa"/>
            <w:vMerge w:val="continue"/>
            <w:tcBorders>
              <w:top w:val="nil"/>
              <w:left w:val="single" w:color="auto" w:sz="6" w:space="0"/>
              <w:bottom w:val="single" w:color="auto" w:sz="6" w:space="0"/>
              <w:right w:val="single" w:color="auto" w:sz="6" w:space="0"/>
            </w:tcBorders>
            <w:vAlign w:val="center"/>
          </w:tcPr>
          <w:p w14:paraId="73EFB373">
            <w:pPr>
              <w:pStyle w:val="8"/>
              <w:spacing w:line="360" w:lineRule="auto"/>
              <w:rPr>
                <w:rFonts w:ascii="宋体" w:hAnsi="宋体"/>
                <w:color w:val="auto"/>
                <w:szCs w:val="24"/>
                <w:highlight w:val="none"/>
              </w:rPr>
            </w:pPr>
          </w:p>
        </w:tc>
        <w:tc>
          <w:tcPr>
            <w:tcW w:w="2029" w:type="dxa"/>
            <w:vMerge w:val="continue"/>
            <w:tcBorders>
              <w:top w:val="nil"/>
              <w:left w:val="nil"/>
              <w:bottom w:val="single" w:color="auto" w:sz="6" w:space="0"/>
              <w:right w:val="single" w:color="auto" w:sz="6" w:space="0"/>
            </w:tcBorders>
            <w:vAlign w:val="center"/>
          </w:tcPr>
          <w:p w14:paraId="1460497A">
            <w:pPr>
              <w:pStyle w:val="8"/>
              <w:spacing w:line="360" w:lineRule="auto"/>
              <w:rPr>
                <w:rFonts w:ascii="宋体" w:hAnsi="宋体"/>
                <w:color w:val="auto"/>
                <w:szCs w:val="24"/>
                <w:highlight w:val="none"/>
              </w:rPr>
            </w:pPr>
          </w:p>
        </w:tc>
        <w:tc>
          <w:tcPr>
            <w:tcW w:w="1736" w:type="dxa"/>
            <w:vMerge w:val="continue"/>
            <w:tcBorders>
              <w:top w:val="nil"/>
              <w:left w:val="nil"/>
              <w:bottom w:val="single" w:color="auto" w:sz="6" w:space="0"/>
              <w:right w:val="single" w:color="auto" w:sz="6" w:space="0"/>
            </w:tcBorders>
            <w:vAlign w:val="center"/>
          </w:tcPr>
          <w:p w14:paraId="5CFABE7A">
            <w:pPr>
              <w:pStyle w:val="8"/>
              <w:spacing w:line="360" w:lineRule="auto"/>
              <w:rPr>
                <w:rFonts w:ascii="宋体" w:hAnsi="宋体"/>
                <w:color w:val="auto"/>
                <w:szCs w:val="24"/>
                <w:highlight w:val="none"/>
              </w:rPr>
            </w:pPr>
          </w:p>
        </w:tc>
        <w:tc>
          <w:tcPr>
            <w:tcW w:w="1247" w:type="dxa"/>
            <w:tcBorders>
              <w:top w:val="nil"/>
              <w:left w:val="nil"/>
            </w:tcBorders>
            <w:vAlign w:val="center"/>
          </w:tcPr>
          <w:p w14:paraId="3C40A795">
            <w:pPr>
              <w:pStyle w:val="8"/>
              <w:spacing w:line="360" w:lineRule="auto"/>
              <w:rPr>
                <w:rFonts w:ascii="宋体" w:hAnsi="宋体"/>
                <w:color w:val="auto"/>
                <w:szCs w:val="24"/>
                <w:highlight w:val="none"/>
              </w:rPr>
            </w:pPr>
            <w:r>
              <w:rPr>
                <w:rFonts w:hint="eastAsia" w:ascii="宋体" w:hAnsi="宋体"/>
                <w:color w:val="auto"/>
                <w:szCs w:val="24"/>
                <w:highlight w:val="none"/>
              </w:rPr>
              <w:t>职称</w:t>
            </w:r>
          </w:p>
        </w:tc>
        <w:tc>
          <w:tcPr>
            <w:tcW w:w="1315" w:type="dxa"/>
            <w:tcBorders>
              <w:top w:val="nil"/>
              <w:right w:val="nil"/>
            </w:tcBorders>
            <w:vAlign w:val="center"/>
          </w:tcPr>
          <w:p w14:paraId="2C709B25">
            <w:pPr>
              <w:pStyle w:val="8"/>
              <w:spacing w:line="360" w:lineRule="auto"/>
              <w:ind w:firstLine="0"/>
              <w:jc w:val="center"/>
              <w:rPr>
                <w:rFonts w:ascii="宋体" w:hAnsi="宋体"/>
                <w:color w:val="auto"/>
                <w:szCs w:val="24"/>
                <w:highlight w:val="none"/>
              </w:rPr>
            </w:pPr>
            <w:r>
              <w:rPr>
                <w:rFonts w:hint="eastAsia" w:ascii="宋体" w:hAnsi="宋体"/>
                <w:color w:val="auto"/>
                <w:szCs w:val="24"/>
                <w:highlight w:val="none"/>
              </w:rPr>
              <w:t>人数</w:t>
            </w:r>
          </w:p>
        </w:tc>
        <w:tc>
          <w:tcPr>
            <w:tcW w:w="1139" w:type="dxa"/>
            <w:vMerge w:val="continue"/>
            <w:tcBorders>
              <w:top w:val="nil"/>
              <w:left w:val="single" w:color="auto" w:sz="6" w:space="0"/>
              <w:bottom w:val="single" w:color="auto" w:sz="6" w:space="0"/>
              <w:right w:val="single" w:color="auto" w:sz="6" w:space="0"/>
            </w:tcBorders>
            <w:vAlign w:val="center"/>
          </w:tcPr>
          <w:p w14:paraId="6C0EA609">
            <w:pPr>
              <w:pStyle w:val="8"/>
              <w:spacing w:line="360" w:lineRule="auto"/>
              <w:rPr>
                <w:rFonts w:ascii="宋体" w:hAnsi="宋体"/>
                <w:color w:val="auto"/>
                <w:szCs w:val="24"/>
                <w:highlight w:val="none"/>
              </w:rPr>
            </w:pPr>
          </w:p>
        </w:tc>
      </w:tr>
      <w:tr w14:paraId="53BD1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96" w:type="dxa"/>
            <w:tcBorders>
              <w:top w:val="nil"/>
            </w:tcBorders>
            <w:vAlign w:val="center"/>
          </w:tcPr>
          <w:p w14:paraId="1A6BF7E3">
            <w:pPr>
              <w:pStyle w:val="8"/>
              <w:spacing w:line="360" w:lineRule="auto"/>
              <w:rPr>
                <w:rFonts w:ascii="宋体" w:hAnsi="宋体"/>
                <w:color w:val="auto"/>
                <w:szCs w:val="24"/>
                <w:highlight w:val="none"/>
              </w:rPr>
            </w:pPr>
          </w:p>
        </w:tc>
        <w:tc>
          <w:tcPr>
            <w:tcW w:w="2029" w:type="dxa"/>
            <w:tcBorders>
              <w:top w:val="nil"/>
            </w:tcBorders>
            <w:vAlign w:val="center"/>
          </w:tcPr>
          <w:p w14:paraId="10DB90A9">
            <w:pPr>
              <w:pStyle w:val="8"/>
              <w:spacing w:line="360" w:lineRule="auto"/>
              <w:rPr>
                <w:rFonts w:ascii="宋体" w:hAnsi="宋体"/>
                <w:color w:val="auto"/>
                <w:szCs w:val="24"/>
                <w:highlight w:val="none"/>
              </w:rPr>
            </w:pPr>
          </w:p>
        </w:tc>
        <w:tc>
          <w:tcPr>
            <w:tcW w:w="1736" w:type="dxa"/>
            <w:tcBorders>
              <w:top w:val="nil"/>
            </w:tcBorders>
            <w:vAlign w:val="center"/>
          </w:tcPr>
          <w:p w14:paraId="38D06BF7">
            <w:pPr>
              <w:pStyle w:val="8"/>
              <w:spacing w:line="360" w:lineRule="auto"/>
              <w:rPr>
                <w:rFonts w:ascii="宋体" w:hAnsi="宋体"/>
                <w:color w:val="auto"/>
                <w:szCs w:val="24"/>
                <w:highlight w:val="none"/>
              </w:rPr>
            </w:pPr>
          </w:p>
        </w:tc>
        <w:tc>
          <w:tcPr>
            <w:tcW w:w="1247" w:type="dxa"/>
            <w:vAlign w:val="center"/>
          </w:tcPr>
          <w:p w14:paraId="10B3E697">
            <w:pPr>
              <w:pStyle w:val="8"/>
              <w:spacing w:line="360" w:lineRule="auto"/>
              <w:rPr>
                <w:rFonts w:ascii="宋体" w:hAnsi="宋体"/>
                <w:color w:val="auto"/>
                <w:szCs w:val="24"/>
                <w:highlight w:val="none"/>
              </w:rPr>
            </w:pPr>
          </w:p>
        </w:tc>
        <w:tc>
          <w:tcPr>
            <w:tcW w:w="1315" w:type="dxa"/>
            <w:vAlign w:val="center"/>
          </w:tcPr>
          <w:p w14:paraId="2415A812">
            <w:pPr>
              <w:pStyle w:val="8"/>
              <w:spacing w:line="360" w:lineRule="auto"/>
              <w:rPr>
                <w:rFonts w:ascii="宋体" w:hAnsi="宋体"/>
                <w:color w:val="auto"/>
                <w:szCs w:val="24"/>
                <w:highlight w:val="none"/>
              </w:rPr>
            </w:pPr>
          </w:p>
        </w:tc>
        <w:tc>
          <w:tcPr>
            <w:tcW w:w="1139" w:type="dxa"/>
            <w:tcBorders>
              <w:top w:val="nil"/>
            </w:tcBorders>
            <w:vAlign w:val="center"/>
          </w:tcPr>
          <w:p w14:paraId="1856546F">
            <w:pPr>
              <w:pStyle w:val="8"/>
              <w:spacing w:line="360" w:lineRule="auto"/>
              <w:rPr>
                <w:rFonts w:ascii="宋体" w:hAnsi="宋体"/>
                <w:color w:val="auto"/>
                <w:szCs w:val="24"/>
                <w:highlight w:val="none"/>
              </w:rPr>
            </w:pPr>
          </w:p>
        </w:tc>
      </w:tr>
      <w:tr w14:paraId="56C3A6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96" w:type="dxa"/>
            <w:tcBorders>
              <w:top w:val="nil"/>
            </w:tcBorders>
          </w:tcPr>
          <w:p w14:paraId="2B492154">
            <w:pPr>
              <w:pStyle w:val="8"/>
              <w:spacing w:line="360" w:lineRule="auto"/>
              <w:rPr>
                <w:rFonts w:ascii="宋体" w:hAnsi="宋体"/>
                <w:color w:val="auto"/>
                <w:szCs w:val="24"/>
                <w:highlight w:val="none"/>
              </w:rPr>
            </w:pPr>
          </w:p>
        </w:tc>
        <w:tc>
          <w:tcPr>
            <w:tcW w:w="2029" w:type="dxa"/>
            <w:tcBorders>
              <w:top w:val="nil"/>
            </w:tcBorders>
          </w:tcPr>
          <w:p w14:paraId="3AC1CF22">
            <w:pPr>
              <w:pStyle w:val="8"/>
              <w:spacing w:line="360" w:lineRule="auto"/>
              <w:rPr>
                <w:rFonts w:ascii="宋体" w:hAnsi="宋体"/>
                <w:color w:val="auto"/>
                <w:szCs w:val="24"/>
                <w:highlight w:val="none"/>
              </w:rPr>
            </w:pPr>
          </w:p>
        </w:tc>
        <w:tc>
          <w:tcPr>
            <w:tcW w:w="1736" w:type="dxa"/>
            <w:tcBorders>
              <w:top w:val="nil"/>
            </w:tcBorders>
          </w:tcPr>
          <w:p w14:paraId="2703B69E">
            <w:pPr>
              <w:pStyle w:val="8"/>
              <w:spacing w:line="360" w:lineRule="auto"/>
              <w:rPr>
                <w:rFonts w:ascii="宋体" w:hAnsi="宋体"/>
                <w:color w:val="auto"/>
                <w:szCs w:val="24"/>
                <w:highlight w:val="none"/>
              </w:rPr>
            </w:pPr>
          </w:p>
        </w:tc>
        <w:tc>
          <w:tcPr>
            <w:tcW w:w="1247" w:type="dxa"/>
          </w:tcPr>
          <w:p w14:paraId="0C215190">
            <w:pPr>
              <w:pStyle w:val="8"/>
              <w:spacing w:line="360" w:lineRule="auto"/>
              <w:rPr>
                <w:rFonts w:ascii="宋体" w:hAnsi="宋体"/>
                <w:color w:val="auto"/>
                <w:szCs w:val="24"/>
                <w:highlight w:val="none"/>
              </w:rPr>
            </w:pPr>
          </w:p>
        </w:tc>
        <w:tc>
          <w:tcPr>
            <w:tcW w:w="1315" w:type="dxa"/>
          </w:tcPr>
          <w:p w14:paraId="6E7E5C15">
            <w:pPr>
              <w:pStyle w:val="8"/>
              <w:spacing w:line="360" w:lineRule="auto"/>
              <w:rPr>
                <w:rFonts w:ascii="宋体" w:hAnsi="宋体"/>
                <w:color w:val="auto"/>
                <w:szCs w:val="24"/>
                <w:highlight w:val="none"/>
              </w:rPr>
            </w:pPr>
          </w:p>
        </w:tc>
        <w:tc>
          <w:tcPr>
            <w:tcW w:w="1139" w:type="dxa"/>
            <w:tcBorders>
              <w:top w:val="nil"/>
            </w:tcBorders>
          </w:tcPr>
          <w:p w14:paraId="1D05D215">
            <w:pPr>
              <w:pStyle w:val="8"/>
              <w:spacing w:line="360" w:lineRule="auto"/>
              <w:rPr>
                <w:rFonts w:ascii="宋体" w:hAnsi="宋体"/>
                <w:color w:val="auto"/>
                <w:szCs w:val="24"/>
                <w:highlight w:val="none"/>
              </w:rPr>
            </w:pPr>
          </w:p>
        </w:tc>
      </w:tr>
    </w:tbl>
    <w:p w14:paraId="42348E34">
      <w:pPr>
        <w:pStyle w:val="8"/>
        <w:spacing w:line="360" w:lineRule="auto"/>
        <w:ind w:firstLine="0"/>
        <w:rPr>
          <w:rFonts w:ascii="宋体" w:hAnsi="宋体"/>
          <w:color w:val="auto"/>
          <w:szCs w:val="24"/>
          <w:highlight w:val="none"/>
        </w:rPr>
      </w:pPr>
      <w:r>
        <w:rPr>
          <w:rFonts w:ascii="宋体" w:hAnsi="宋体"/>
          <w:color w:val="auto"/>
          <w:szCs w:val="24"/>
          <w:highlight w:val="none"/>
        </w:rPr>
        <w:t xml:space="preserve">1.2  </w:t>
      </w:r>
      <w:r>
        <w:rPr>
          <w:rFonts w:hint="eastAsia" w:ascii="宋体" w:hAnsi="宋体"/>
          <w:color w:val="auto"/>
          <w:szCs w:val="24"/>
          <w:highlight w:val="none"/>
        </w:rPr>
        <w:t>投标人现场服务人员应具有下列资质：</w:t>
      </w:r>
    </w:p>
    <w:p w14:paraId="178CF5AD">
      <w:pPr>
        <w:pStyle w:val="8"/>
        <w:spacing w:line="360" w:lineRule="auto"/>
        <w:ind w:firstLine="0"/>
        <w:rPr>
          <w:rFonts w:ascii="宋体" w:hAnsi="宋体"/>
          <w:color w:val="auto"/>
          <w:szCs w:val="24"/>
          <w:highlight w:val="none"/>
        </w:rPr>
      </w:pPr>
      <w:r>
        <w:rPr>
          <w:rFonts w:ascii="宋体" w:hAnsi="宋体"/>
          <w:color w:val="auto"/>
          <w:szCs w:val="24"/>
          <w:highlight w:val="none"/>
        </w:rPr>
        <w:t>1.2.1</w:t>
      </w:r>
      <w:r>
        <w:rPr>
          <w:rFonts w:hint="eastAsia" w:ascii="宋体" w:hAnsi="宋体"/>
          <w:color w:val="auto"/>
          <w:szCs w:val="24"/>
          <w:highlight w:val="none"/>
        </w:rPr>
        <w:t>遵守法纪，遵守现场的各项规章和制度</w:t>
      </w:r>
      <w:r>
        <w:rPr>
          <w:rFonts w:ascii="宋体" w:hAnsi="宋体"/>
          <w:color w:val="auto"/>
          <w:szCs w:val="24"/>
          <w:highlight w:val="none"/>
        </w:rPr>
        <w:t>;</w:t>
      </w:r>
    </w:p>
    <w:p w14:paraId="7DD6CA48">
      <w:pPr>
        <w:pStyle w:val="8"/>
        <w:spacing w:line="360" w:lineRule="auto"/>
        <w:ind w:firstLine="0"/>
        <w:rPr>
          <w:rFonts w:ascii="宋体" w:hAnsi="宋体"/>
          <w:color w:val="auto"/>
          <w:szCs w:val="24"/>
          <w:highlight w:val="none"/>
        </w:rPr>
      </w:pPr>
      <w:r>
        <w:rPr>
          <w:rFonts w:ascii="宋体" w:hAnsi="宋体"/>
          <w:color w:val="auto"/>
          <w:szCs w:val="24"/>
          <w:highlight w:val="none"/>
        </w:rPr>
        <w:t>1.2.2</w:t>
      </w:r>
      <w:r>
        <w:rPr>
          <w:rFonts w:hint="eastAsia" w:ascii="宋体" w:hAnsi="宋体"/>
          <w:color w:val="auto"/>
          <w:szCs w:val="24"/>
          <w:highlight w:val="none"/>
        </w:rPr>
        <w:t>有较强的责任感和事业心，按时到位</w:t>
      </w:r>
      <w:r>
        <w:rPr>
          <w:rFonts w:ascii="宋体" w:hAnsi="宋体"/>
          <w:color w:val="auto"/>
          <w:szCs w:val="24"/>
          <w:highlight w:val="none"/>
        </w:rPr>
        <w:t>;</w:t>
      </w:r>
    </w:p>
    <w:p w14:paraId="63386F3E">
      <w:pPr>
        <w:pStyle w:val="8"/>
        <w:spacing w:line="360" w:lineRule="auto"/>
        <w:ind w:firstLine="0"/>
        <w:rPr>
          <w:rFonts w:ascii="宋体" w:hAnsi="宋体"/>
          <w:color w:val="auto"/>
          <w:szCs w:val="24"/>
          <w:highlight w:val="none"/>
        </w:rPr>
      </w:pPr>
      <w:r>
        <w:rPr>
          <w:rFonts w:ascii="宋体" w:hAnsi="宋体"/>
          <w:color w:val="auto"/>
          <w:szCs w:val="24"/>
          <w:highlight w:val="none"/>
        </w:rPr>
        <w:t>1.2.3</w:t>
      </w:r>
      <w:r>
        <w:rPr>
          <w:rFonts w:hint="eastAsia" w:ascii="宋体" w:hAnsi="宋体"/>
          <w:color w:val="auto"/>
          <w:szCs w:val="24"/>
          <w:highlight w:val="none"/>
        </w:rPr>
        <w:t>了解合同设备的设计，熟悉其结构，有相同或相近机组的现场工作经验，能够正确地进行现场指导</w:t>
      </w:r>
      <w:r>
        <w:rPr>
          <w:rFonts w:ascii="宋体" w:hAnsi="宋体"/>
          <w:color w:val="auto"/>
          <w:szCs w:val="24"/>
          <w:highlight w:val="none"/>
        </w:rPr>
        <w:t>;</w:t>
      </w:r>
    </w:p>
    <w:p w14:paraId="3271F526">
      <w:pPr>
        <w:pStyle w:val="8"/>
        <w:spacing w:line="360" w:lineRule="auto"/>
        <w:ind w:firstLine="0"/>
        <w:rPr>
          <w:rFonts w:ascii="宋体" w:hAnsi="宋体"/>
          <w:color w:val="auto"/>
          <w:szCs w:val="24"/>
          <w:highlight w:val="none"/>
        </w:rPr>
      </w:pPr>
      <w:r>
        <w:rPr>
          <w:rFonts w:ascii="宋体" w:hAnsi="宋体"/>
          <w:color w:val="auto"/>
          <w:szCs w:val="24"/>
          <w:highlight w:val="none"/>
        </w:rPr>
        <w:t>1.2.4</w:t>
      </w:r>
      <w:r>
        <w:rPr>
          <w:rFonts w:hint="eastAsia" w:ascii="宋体" w:hAnsi="宋体"/>
          <w:color w:val="auto"/>
          <w:szCs w:val="24"/>
          <w:highlight w:val="none"/>
        </w:rPr>
        <w:t>身体健康，适应现场工作的条件。</w:t>
      </w:r>
    </w:p>
    <w:p w14:paraId="284BB741">
      <w:pPr>
        <w:pStyle w:val="8"/>
        <w:spacing w:line="360" w:lineRule="auto"/>
        <w:rPr>
          <w:rFonts w:ascii="宋体" w:hAnsi="宋体"/>
          <w:color w:val="auto"/>
          <w:szCs w:val="24"/>
          <w:highlight w:val="none"/>
        </w:rPr>
      </w:pPr>
      <w:r>
        <w:rPr>
          <w:rFonts w:hint="eastAsia" w:ascii="宋体" w:hAnsi="宋体"/>
          <w:color w:val="auto"/>
          <w:szCs w:val="24"/>
          <w:highlight w:val="none"/>
        </w:rPr>
        <w:t>投标人要向招标人提供服务人员情况表</w:t>
      </w:r>
      <w:r>
        <w:rPr>
          <w:rFonts w:ascii="宋体" w:hAnsi="宋体"/>
          <w:color w:val="auto"/>
          <w:szCs w:val="24"/>
          <w:highlight w:val="none"/>
        </w:rPr>
        <w:t>(</w:t>
      </w:r>
      <w:r>
        <w:rPr>
          <w:rFonts w:hint="eastAsia" w:ascii="宋体" w:hAnsi="宋体"/>
          <w:color w:val="auto"/>
          <w:szCs w:val="24"/>
          <w:highlight w:val="none"/>
        </w:rPr>
        <w:t>见下表格式）。投标人须更换不合格的投标人现场服务人员。</w:t>
      </w:r>
    </w:p>
    <w:p w14:paraId="57F4A41F">
      <w:pPr>
        <w:pStyle w:val="8"/>
        <w:spacing w:line="360" w:lineRule="auto"/>
        <w:rPr>
          <w:rFonts w:ascii="宋体" w:hAnsi="宋体"/>
          <w:color w:val="auto"/>
          <w:szCs w:val="24"/>
          <w:highlight w:val="none"/>
        </w:rPr>
      </w:pPr>
      <w:r>
        <w:rPr>
          <w:rFonts w:hint="eastAsia" w:ascii="宋体" w:hAnsi="宋体"/>
          <w:color w:val="auto"/>
          <w:szCs w:val="24"/>
          <w:highlight w:val="none"/>
        </w:rPr>
        <w:t>服务人员情况表</w:t>
      </w:r>
    </w:p>
    <w:tbl>
      <w:tblPr>
        <w:tblStyle w:val="31"/>
        <w:tblW w:w="0" w:type="auto"/>
        <w:jc w:val="center"/>
        <w:tblLayout w:type="fixed"/>
        <w:tblCellMar>
          <w:top w:w="0" w:type="dxa"/>
          <w:left w:w="28" w:type="dxa"/>
          <w:bottom w:w="0" w:type="dxa"/>
          <w:right w:w="28" w:type="dxa"/>
        </w:tblCellMar>
      </w:tblPr>
      <w:tblGrid>
        <w:gridCol w:w="1108"/>
        <w:gridCol w:w="1035"/>
        <w:gridCol w:w="1365"/>
        <w:gridCol w:w="120"/>
        <w:gridCol w:w="909"/>
        <w:gridCol w:w="997"/>
        <w:gridCol w:w="946"/>
        <w:gridCol w:w="800"/>
        <w:gridCol w:w="1029"/>
      </w:tblGrid>
      <w:tr w14:paraId="693F6F18">
        <w:tblPrEx>
          <w:tblCellMar>
            <w:top w:w="0" w:type="dxa"/>
            <w:left w:w="28" w:type="dxa"/>
            <w:bottom w:w="0" w:type="dxa"/>
            <w:right w:w="28" w:type="dxa"/>
          </w:tblCellMar>
        </w:tblPrEx>
        <w:trPr>
          <w:jc w:val="center"/>
        </w:trPr>
        <w:tc>
          <w:tcPr>
            <w:tcW w:w="1108" w:type="dxa"/>
            <w:tcBorders>
              <w:top w:val="single" w:color="auto" w:sz="4" w:space="0"/>
              <w:left w:val="single" w:color="auto" w:sz="4" w:space="0"/>
              <w:right w:val="single" w:color="auto" w:sz="6" w:space="0"/>
            </w:tcBorders>
            <w:vAlign w:val="center"/>
          </w:tcPr>
          <w:p w14:paraId="4167E2F1">
            <w:pPr>
              <w:pStyle w:val="8"/>
              <w:spacing w:line="360" w:lineRule="auto"/>
              <w:rPr>
                <w:rFonts w:ascii="宋体" w:hAnsi="宋体"/>
                <w:color w:val="auto"/>
                <w:szCs w:val="24"/>
                <w:highlight w:val="none"/>
              </w:rPr>
            </w:pPr>
            <w:r>
              <w:rPr>
                <w:rFonts w:hint="eastAsia" w:ascii="宋体" w:hAnsi="宋体"/>
                <w:color w:val="auto"/>
                <w:szCs w:val="24"/>
                <w:highlight w:val="none"/>
              </w:rPr>
              <w:t>姓名</w:t>
            </w:r>
          </w:p>
        </w:tc>
        <w:tc>
          <w:tcPr>
            <w:tcW w:w="1035" w:type="dxa"/>
            <w:tcBorders>
              <w:top w:val="single" w:color="auto" w:sz="4" w:space="0"/>
              <w:left w:val="nil"/>
              <w:right w:val="single" w:color="auto" w:sz="6" w:space="0"/>
            </w:tcBorders>
            <w:vAlign w:val="center"/>
          </w:tcPr>
          <w:p w14:paraId="6E63F678">
            <w:pPr>
              <w:pStyle w:val="8"/>
              <w:spacing w:line="360" w:lineRule="auto"/>
              <w:rPr>
                <w:rFonts w:ascii="宋体" w:hAnsi="宋体"/>
                <w:color w:val="auto"/>
                <w:szCs w:val="24"/>
                <w:highlight w:val="none"/>
              </w:rPr>
            </w:pPr>
          </w:p>
        </w:tc>
        <w:tc>
          <w:tcPr>
            <w:tcW w:w="1485" w:type="dxa"/>
            <w:gridSpan w:val="2"/>
            <w:tcBorders>
              <w:top w:val="single" w:color="auto" w:sz="4" w:space="0"/>
              <w:left w:val="nil"/>
              <w:right w:val="single" w:color="auto" w:sz="6" w:space="0"/>
            </w:tcBorders>
            <w:vAlign w:val="center"/>
          </w:tcPr>
          <w:p w14:paraId="704441B2">
            <w:pPr>
              <w:pStyle w:val="8"/>
              <w:spacing w:line="360" w:lineRule="auto"/>
              <w:rPr>
                <w:rFonts w:ascii="宋体" w:hAnsi="宋体"/>
                <w:color w:val="auto"/>
                <w:szCs w:val="24"/>
                <w:highlight w:val="none"/>
              </w:rPr>
            </w:pPr>
            <w:r>
              <w:rPr>
                <w:rFonts w:hint="eastAsia" w:ascii="宋体" w:hAnsi="宋体"/>
                <w:color w:val="auto"/>
                <w:szCs w:val="24"/>
                <w:highlight w:val="none"/>
              </w:rPr>
              <w:t>性别</w:t>
            </w:r>
          </w:p>
        </w:tc>
        <w:tc>
          <w:tcPr>
            <w:tcW w:w="909" w:type="dxa"/>
            <w:tcBorders>
              <w:top w:val="single" w:color="auto" w:sz="4" w:space="0"/>
              <w:left w:val="nil"/>
              <w:right w:val="single" w:color="auto" w:sz="6" w:space="0"/>
            </w:tcBorders>
            <w:vAlign w:val="center"/>
          </w:tcPr>
          <w:p w14:paraId="74E349B9">
            <w:pPr>
              <w:pStyle w:val="8"/>
              <w:spacing w:line="360" w:lineRule="auto"/>
              <w:rPr>
                <w:rFonts w:ascii="宋体" w:hAnsi="宋体"/>
                <w:color w:val="auto"/>
                <w:szCs w:val="24"/>
                <w:highlight w:val="none"/>
              </w:rPr>
            </w:pPr>
          </w:p>
        </w:tc>
        <w:tc>
          <w:tcPr>
            <w:tcW w:w="997" w:type="dxa"/>
            <w:tcBorders>
              <w:top w:val="single" w:color="auto" w:sz="4" w:space="0"/>
              <w:left w:val="nil"/>
              <w:right w:val="single" w:color="auto" w:sz="6" w:space="0"/>
            </w:tcBorders>
            <w:vAlign w:val="center"/>
          </w:tcPr>
          <w:p w14:paraId="14E66B26">
            <w:pPr>
              <w:pStyle w:val="8"/>
              <w:spacing w:line="360" w:lineRule="auto"/>
              <w:rPr>
                <w:rFonts w:ascii="宋体" w:hAnsi="宋体"/>
                <w:color w:val="auto"/>
                <w:szCs w:val="24"/>
                <w:highlight w:val="none"/>
              </w:rPr>
            </w:pPr>
            <w:r>
              <w:rPr>
                <w:rFonts w:hint="eastAsia" w:ascii="宋体" w:hAnsi="宋体"/>
                <w:color w:val="auto"/>
                <w:szCs w:val="24"/>
                <w:highlight w:val="none"/>
              </w:rPr>
              <w:t>年龄</w:t>
            </w:r>
          </w:p>
        </w:tc>
        <w:tc>
          <w:tcPr>
            <w:tcW w:w="946" w:type="dxa"/>
            <w:tcBorders>
              <w:top w:val="single" w:color="auto" w:sz="4" w:space="0"/>
              <w:left w:val="nil"/>
              <w:right w:val="single" w:color="auto" w:sz="6" w:space="0"/>
            </w:tcBorders>
            <w:vAlign w:val="center"/>
          </w:tcPr>
          <w:p w14:paraId="1BA66326">
            <w:pPr>
              <w:pStyle w:val="8"/>
              <w:spacing w:line="360" w:lineRule="auto"/>
              <w:rPr>
                <w:rFonts w:ascii="宋体" w:hAnsi="宋体"/>
                <w:color w:val="auto"/>
                <w:szCs w:val="24"/>
                <w:highlight w:val="none"/>
              </w:rPr>
            </w:pPr>
          </w:p>
        </w:tc>
        <w:tc>
          <w:tcPr>
            <w:tcW w:w="800" w:type="dxa"/>
            <w:tcBorders>
              <w:top w:val="single" w:color="auto" w:sz="4" w:space="0"/>
              <w:left w:val="nil"/>
              <w:right w:val="single" w:color="auto" w:sz="6" w:space="0"/>
            </w:tcBorders>
            <w:vAlign w:val="center"/>
          </w:tcPr>
          <w:p w14:paraId="350025A9">
            <w:pPr>
              <w:pStyle w:val="8"/>
              <w:spacing w:line="360" w:lineRule="auto"/>
              <w:ind w:firstLine="0"/>
              <w:rPr>
                <w:rFonts w:ascii="宋体" w:hAnsi="宋体"/>
                <w:color w:val="auto"/>
                <w:szCs w:val="24"/>
                <w:highlight w:val="none"/>
              </w:rPr>
            </w:pPr>
            <w:r>
              <w:rPr>
                <w:rFonts w:hint="eastAsia" w:ascii="宋体" w:hAnsi="宋体"/>
                <w:color w:val="auto"/>
                <w:szCs w:val="24"/>
                <w:highlight w:val="none"/>
              </w:rPr>
              <w:t>民族</w:t>
            </w:r>
          </w:p>
        </w:tc>
        <w:tc>
          <w:tcPr>
            <w:tcW w:w="1029" w:type="dxa"/>
            <w:tcBorders>
              <w:top w:val="single" w:color="auto" w:sz="4" w:space="0"/>
              <w:left w:val="nil"/>
              <w:right w:val="single" w:color="auto" w:sz="4" w:space="0"/>
            </w:tcBorders>
            <w:vAlign w:val="center"/>
          </w:tcPr>
          <w:p w14:paraId="201989A2">
            <w:pPr>
              <w:pStyle w:val="8"/>
              <w:spacing w:line="360" w:lineRule="auto"/>
              <w:rPr>
                <w:rFonts w:ascii="宋体" w:hAnsi="宋体"/>
                <w:color w:val="auto"/>
                <w:szCs w:val="24"/>
                <w:highlight w:val="none"/>
              </w:rPr>
            </w:pPr>
          </w:p>
        </w:tc>
      </w:tr>
      <w:tr w14:paraId="01976DF7">
        <w:tblPrEx>
          <w:tblCellMar>
            <w:top w:w="0" w:type="dxa"/>
            <w:left w:w="28" w:type="dxa"/>
            <w:bottom w:w="0" w:type="dxa"/>
            <w:right w:w="28" w:type="dxa"/>
          </w:tblCellMar>
        </w:tblPrEx>
        <w:trPr>
          <w:jc w:val="center"/>
        </w:trPr>
        <w:tc>
          <w:tcPr>
            <w:tcW w:w="1108" w:type="dxa"/>
            <w:tcBorders>
              <w:top w:val="single" w:color="auto" w:sz="6" w:space="0"/>
              <w:left w:val="single" w:color="auto" w:sz="4" w:space="0"/>
              <w:bottom w:val="single" w:color="auto" w:sz="6" w:space="0"/>
              <w:right w:val="single" w:color="auto" w:sz="6" w:space="0"/>
            </w:tcBorders>
            <w:vAlign w:val="center"/>
          </w:tcPr>
          <w:p w14:paraId="28F8B875">
            <w:pPr>
              <w:pStyle w:val="8"/>
              <w:spacing w:line="360" w:lineRule="auto"/>
              <w:rPr>
                <w:rFonts w:ascii="宋体" w:hAnsi="宋体"/>
                <w:color w:val="auto"/>
                <w:szCs w:val="24"/>
                <w:highlight w:val="none"/>
              </w:rPr>
            </w:pPr>
            <w:r>
              <w:rPr>
                <w:rFonts w:hint="eastAsia" w:ascii="宋体" w:hAnsi="宋体"/>
                <w:color w:val="auto"/>
                <w:szCs w:val="24"/>
                <w:highlight w:val="none"/>
              </w:rPr>
              <w:t>学校</w:t>
            </w:r>
          </w:p>
        </w:tc>
        <w:tc>
          <w:tcPr>
            <w:tcW w:w="1035" w:type="dxa"/>
            <w:tcBorders>
              <w:top w:val="single" w:color="auto" w:sz="6" w:space="0"/>
              <w:left w:val="nil"/>
              <w:bottom w:val="single" w:color="auto" w:sz="6" w:space="0"/>
            </w:tcBorders>
            <w:vAlign w:val="center"/>
          </w:tcPr>
          <w:p w14:paraId="00F6F2AD">
            <w:pPr>
              <w:pStyle w:val="8"/>
              <w:spacing w:line="360" w:lineRule="auto"/>
              <w:rPr>
                <w:rFonts w:ascii="宋体" w:hAnsi="宋体"/>
                <w:color w:val="auto"/>
                <w:szCs w:val="24"/>
                <w:highlight w:val="none"/>
              </w:rPr>
            </w:pPr>
          </w:p>
        </w:tc>
        <w:tc>
          <w:tcPr>
            <w:tcW w:w="1485" w:type="dxa"/>
            <w:gridSpan w:val="2"/>
            <w:tcBorders>
              <w:top w:val="single" w:color="auto" w:sz="6" w:space="0"/>
              <w:left w:val="single" w:color="auto" w:sz="6" w:space="0"/>
              <w:bottom w:val="single" w:color="auto" w:sz="6" w:space="0"/>
              <w:right w:val="single" w:color="auto" w:sz="6" w:space="0"/>
            </w:tcBorders>
            <w:vAlign w:val="center"/>
          </w:tcPr>
          <w:p w14:paraId="31C4A1B3">
            <w:pPr>
              <w:pStyle w:val="8"/>
              <w:spacing w:line="360" w:lineRule="auto"/>
              <w:rPr>
                <w:rFonts w:ascii="宋体" w:hAnsi="宋体"/>
                <w:color w:val="auto"/>
                <w:szCs w:val="24"/>
                <w:highlight w:val="none"/>
              </w:rPr>
            </w:pPr>
            <w:r>
              <w:rPr>
                <w:rFonts w:hint="eastAsia" w:ascii="宋体" w:hAnsi="宋体"/>
                <w:color w:val="auto"/>
                <w:szCs w:val="24"/>
                <w:highlight w:val="none"/>
              </w:rPr>
              <w:t>专业</w:t>
            </w:r>
          </w:p>
        </w:tc>
        <w:tc>
          <w:tcPr>
            <w:tcW w:w="909" w:type="dxa"/>
            <w:tcBorders>
              <w:top w:val="single" w:color="auto" w:sz="6" w:space="0"/>
              <w:left w:val="nil"/>
              <w:bottom w:val="single" w:color="auto" w:sz="6" w:space="0"/>
            </w:tcBorders>
            <w:vAlign w:val="center"/>
          </w:tcPr>
          <w:p w14:paraId="71270688">
            <w:pPr>
              <w:pStyle w:val="8"/>
              <w:spacing w:line="360" w:lineRule="auto"/>
              <w:rPr>
                <w:rFonts w:ascii="宋体" w:hAnsi="宋体"/>
                <w:color w:val="auto"/>
                <w:szCs w:val="24"/>
                <w:highlight w:val="none"/>
              </w:rPr>
            </w:pPr>
          </w:p>
        </w:tc>
        <w:tc>
          <w:tcPr>
            <w:tcW w:w="997" w:type="dxa"/>
            <w:tcBorders>
              <w:top w:val="single" w:color="auto" w:sz="6" w:space="0"/>
              <w:left w:val="single" w:color="auto" w:sz="6" w:space="0"/>
              <w:bottom w:val="single" w:color="auto" w:sz="6" w:space="0"/>
              <w:right w:val="single" w:color="auto" w:sz="6" w:space="0"/>
            </w:tcBorders>
            <w:vAlign w:val="center"/>
          </w:tcPr>
          <w:p w14:paraId="25058A7F">
            <w:pPr>
              <w:pStyle w:val="8"/>
              <w:spacing w:line="360" w:lineRule="auto"/>
              <w:rPr>
                <w:rFonts w:ascii="宋体" w:hAnsi="宋体"/>
                <w:color w:val="auto"/>
                <w:szCs w:val="24"/>
                <w:highlight w:val="none"/>
              </w:rPr>
            </w:pPr>
            <w:r>
              <w:rPr>
                <w:rFonts w:hint="eastAsia" w:ascii="宋体" w:hAnsi="宋体"/>
                <w:color w:val="auto"/>
                <w:szCs w:val="24"/>
                <w:highlight w:val="none"/>
              </w:rPr>
              <w:t>职务</w:t>
            </w:r>
          </w:p>
        </w:tc>
        <w:tc>
          <w:tcPr>
            <w:tcW w:w="946" w:type="dxa"/>
            <w:tcBorders>
              <w:top w:val="single" w:color="auto" w:sz="6" w:space="0"/>
              <w:left w:val="nil"/>
              <w:bottom w:val="single" w:color="auto" w:sz="6" w:space="0"/>
            </w:tcBorders>
            <w:vAlign w:val="center"/>
          </w:tcPr>
          <w:p w14:paraId="303AF74E">
            <w:pPr>
              <w:pStyle w:val="8"/>
              <w:spacing w:line="360" w:lineRule="auto"/>
              <w:rPr>
                <w:rFonts w:ascii="宋体" w:hAnsi="宋体"/>
                <w:color w:val="auto"/>
                <w:szCs w:val="24"/>
                <w:highlight w:val="none"/>
              </w:rPr>
            </w:pPr>
          </w:p>
        </w:tc>
        <w:tc>
          <w:tcPr>
            <w:tcW w:w="800" w:type="dxa"/>
            <w:tcBorders>
              <w:top w:val="single" w:color="auto" w:sz="6" w:space="0"/>
              <w:left w:val="single" w:color="auto" w:sz="6" w:space="0"/>
              <w:bottom w:val="single" w:color="auto" w:sz="6" w:space="0"/>
              <w:right w:val="single" w:color="auto" w:sz="6" w:space="0"/>
            </w:tcBorders>
            <w:vAlign w:val="center"/>
          </w:tcPr>
          <w:p w14:paraId="5871B0AE">
            <w:pPr>
              <w:pStyle w:val="8"/>
              <w:spacing w:line="360" w:lineRule="auto"/>
              <w:ind w:firstLine="0"/>
              <w:rPr>
                <w:rFonts w:ascii="宋体" w:hAnsi="宋体"/>
                <w:color w:val="auto"/>
                <w:szCs w:val="24"/>
                <w:highlight w:val="none"/>
              </w:rPr>
            </w:pPr>
            <w:r>
              <w:rPr>
                <w:rFonts w:hint="eastAsia" w:ascii="宋体" w:hAnsi="宋体"/>
                <w:color w:val="auto"/>
                <w:szCs w:val="24"/>
                <w:highlight w:val="none"/>
              </w:rPr>
              <w:t>职称</w:t>
            </w:r>
          </w:p>
        </w:tc>
        <w:tc>
          <w:tcPr>
            <w:tcW w:w="1029" w:type="dxa"/>
            <w:tcBorders>
              <w:top w:val="single" w:color="auto" w:sz="6" w:space="0"/>
              <w:left w:val="nil"/>
              <w:bottom w:val="single" w:color="auto" w:sz="6" w:space="0"/>
              <w:right w:val="single" w:color="auto" w:sz="4" w:space="0"/>
            </w:tcBorders>
            <w:vAlign w:val="center"/>
          </w:tcPr>
          <w:p w14:paraId="0FF9E232">
            <w:pPr>
              <w:pStyle w:val="8"/>
              <w:spacing w:line="360" w:lineRule="auto"/>
              <w:rPr>
                <w:rFonts w:ascii="宋体" w:hAnsi="宋体"/>
                <w:color w:val="auto"/>
                <w:szCs w:val="24"/>
                <w:highlight w:val="none"/>
              </w:rPr>
            </w:pPr>
          </w:p>
        </w:tc>
      </w:tr>
      <w:tr w14:paraId="508F8468">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15F40395">
            <w:pPr>
              <w:pStyle w:val="8"/>
              <w:spacing w:line="360" w:lineRule="auto"/>
              <w:rPr>
                <w:rFonts w:ascii="宋体" w:hAnsi="宋体"/>
                <w:color w:val="auto"/>
                <w:szCs w:val="24"/>
                <w:highlight w:val="none"/>
              </w:rPr>
            </w:pPr>
          </w:p>
        </w:tc>
        <w:tc>
          <w:tcPr>
            <w:tcW w:w="5372" w:type="dxa"/>
            <w:gridSpan w:val="6"/>
            <w:tcBorders>
              <w:left w:val="nil"/>
            </w:tcBorders>
          </w:tcPr>
          <w:p w14:paraId="03B79B51">
            <w:pPr>
              <w:pStyle w:val="8"/>
              <w:spacing w:line="360" w:lineRule="auto"/>
              <w:rPr>
                <w:rFonts w:ascii="宋体" w:hAnsi="宋体"/>
                <w:color w:val="auto"/>
                <w:szCs w:val="24"/>
                <w:highlight w:val="none"/>
              </w:rPr>
            </w:pPr>
            <w:r>
              <w:rPr>
                <w:rFonts w:hint="eastAsia" w:ascii="宋体" w:hAnsi="宋体"/>
                <w:color w:val="auto"/>
                <w:szCs w:val="24"/>
                <w:highlight w:val="none"/>
              </w:rPr>
              <w:t>（现场服务业绩）</w:t>
            </w:r>
          </w:p>
        </w:tc>
        <w:tc>
          <w:tcPr>
            <w:tcW w:w="800" w:type="dxa"/>
          </w:tcPr>
          <w:p w14:paraId="06C41F3B">
            <w:pPr>
              <w:pStyle w:val="8"/>
              <w:spacing w:line="360" w:lineRule="auto"/>
              <w:rPr>
                <w:rFonts w:ascii="宋体" w:hAnsi="宋体"/>
                <w:color w:val="auto"/>
                <w:szCs w:val="24"/>
                <w:highlight w:val="none"/>
              </w:rPr>
            </w:pPr>
          </w:p>
        </w:tc>
        <w:tc>
          <w:tcPr>
            <w:tcW w:w="1029" w:type="dxa"/>
            <w:tcBorders>
              <w:right w:val="single" w:color="auto" w:sz="4" w:space="0"/>
            </w:tcBorders>
          </w:tcPr>
          <w:p w14:paraId="6C362C96">
            <w:pPr>
              <w:pStyle w:val="8"/>
              <w:spacing w:line="360" w:lineRule="auto"/>
              <w:rPr>
                <w:rFonts w:ascii="宋体" w:hAnsi="宋体"/>
                <w:color w:val="auto"/>
                <w:szCs w:val="24"/>
                <w:highlight w:val="none"/>
              </w:rPr>
            </w:pPr>
          </w:p>
        </w:tc>
      </w:tr>
      <w:tr w14:paraId="3EB2E795">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45CDE1DC">
            <w:pPr>
              <w:pStyle w:val="8"/>
              <w:spacing w:line="360" w:lineRule="auto"/>
              <w:rPr>
                <w:rFonts w:ascii="宋体" w:hAnsi="宋体"/>
                <w:color w:val="auto"/>
                <w:szCs w:val="24"/>
                <w:highlight w:val="none"/>
              </w:rPr>
            </w:pPr>
            <w:r>
              <w:rPr>
                <w:rFonts w:hint="eastAsia" w:ascii="宋体" w:hAnsi="宋体"/>
                <w:color w:val="auto"/>
                <w:szCs w:val="24"/>
                <w:highlight w:val="none"/>
              </w:rPr>
              <w:t>工</w:t>
            </w:r>
          </w:p>
        </w:tc>
        <w:tc>
          <w:tcPr>
            <w:tcW w:w="1035" w:type="dxa"/>
            <w:tcBorders>
              <w:left w:val="nil"/>
            </w:tcBorders>
          </w:tcPr>
          <w:p w14:paraId="2F42D740">
            <w:pPr>
              <w:pStyle w:val="8"/>
              <w:spacing w:line="360" w:lineRule="auto"/>
              <w:rPr>
                <w:rFonts w:ascii="宋体" w:hAnsi="宋体"/>
                <w:color w:val="auto"/>
                <w:szCs w:val="24"/>
                <w:highlight w:val="none"/>
              </w:rPr>
            </w:pPr>
          </w:p>
        </w:tc>
        <w:tc>
          <w:tcPr>
            <w:tcW w:w="1365" w:type="dxa"/>
          </w:tcPr>
          <w:p w14:paraId="0126CD37">
            <w:pPr>
              <w:pStyle w:val="8"/>
              <w:spacing w:line="360" w:lineRule="auto"/>
              <w:rPr>
                <w:rFonts w:ascii="宋体" w:hAnsi="宋体"/>
                <w:color w:val="auto"/>
                <w:szCs w:val="24"/>
                <w:highlight w:val="none"/>
              </w:rPr>
            </w:pPr>
          </w:p>
        </w:tc>
        <w:tc>
          <w:tcPr>
            <w:tcW w:w="1029" w:type="dxa"/>
            <w:gridSpan w:val="2"/>
          </w:tcPr>
          <w:p w14:paraId="30BEDAB0">
            <w:pPr>
              <w:pStyle w:val="8"/>
              <w:spacing w:line="360" w:lineRule="auto"/>
              <w:rPr>
                <w:rFonts w:ascii="宋体" w:hAnsi="宋体"/>
                <w:color w:val="auto"/>
                <w:szCs w:val="24"/>
                <w:highlight w:val="none"/>
              </w:rPr>
            </w:pPr>
          </w:p>
        </w:tc>
        <w:tc>
          <w:tcPr>
            <w:tcW w:w="997" w:type="dxa"/>
          </w:tcPr>
          <w:p w14:paraId="7D05B27B">
            <w:pPr>
              <w:pStyle w:val="8"/>
              <w:spacing w:line="360" w:lineRule="auto"/>
              <w:rPr>
                <w:rFonts w:ascii="宋体" w:hAnsi="宋体"/>
                <w:color w:val="auto"/>
                <w:szCs w:val="24"/>
                <w:highlight w:val="none"/>
              </w:rPr>
            </w:pPr>
          </w:p>
        </w:tc>
        <w:tc>
          <w:tcPr>
            <w:tcW w:w="946" w:type="dxa"/>
          </w:tcPr>
          <w:p w14:paraId="7262EDCB">
            <w:pPr>
              <w:pStyle w:val="8"/>
              <w:spacing w:line="360" w:lineRule="auto"/>
              <w:rPr>
                <w:rFonts w:ascii="宋体" w:hAnsi="宋体"/>
                <w:color w:val="auto"/>
                <w:szCs w:val="24"/>
                <w:highlight w:val="none"/>
              </w:rPr>
            </w:pPr>
          </w:p>
        </w:tc>
        <w:tc>
          <w:tcPr>
            <w:tcW w:w="800" w:type="dxa"/>
          </w:tcPr>
          <w:p w14:paraId="2689ECFD">
            <w:pPr>
              <w:pStyle w:val="8"/>
              <w:spacing w:line="360" w:lineRule="auto"/>
              <w:rPr>
                <w:rFonts w:ascii="宋体" w:hAnsi="宋体"/>
                <w:color w:val="auto"/>
                <w:szCs w:val="24"/>
                <w:highlight w:val="none"/>
              </w:rPr>
            </w:pPr>
          </w:p>
        </w:tc>
        <w:tc>
          <w:tcPr>
            <w:tcW w:w="1029" w:type="dxa"/>
            <w:tcBorders>
              <w:right w:val="single" w:color="auto" w:sz="4" w:space="0"/>
            </w:tcBorders>
          </w:tcPr>
          <w:p w14:paraId="6D049CC4">
            <w:pPr>
              <w:pStyle w:val="8"/>
              <w:spacing w:line="360" w:lineRule="auto"/>
              <w:rPr>
                <w:rFonts w:ascii="宋体" w:hAnsi="宋体"/>
                <w:color w:val="auto"/>
                <w:szCs w:val="24"/>
                <w:highlight w:val="none"/>
              </w:rPr>
            </w:pPr>
          </w:p>
        </w:tc>
      </w:tr>
      <w:tr w14:paraId="785ACDF6">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4E49A110">
            <w:pPr>
              <w:pStyle w:val="8"/>
              <w:spacing w:line="360" w:lineRule="auto"/>
              <w:rPr>
                <w:rFonts w:ascii="宋体" w:hAnsi="宋体"/>
                <w:color w:val="auto"/>
                <w:szCs w:val="24"/>
                <w:highlight w:val="none"/>
              </w:rPr>
            </w:pPr>
            <w:r>
              <w:rPr>
                <w:rFonts w:hint="eastAsia" w:ascii="宋体" w:hAnsi="宋体"/>
                <w:color w:val="auto"/>
                <w:szCs w:val="24"/>
                <w:highlight w:val="none"/>
              </w:rPr>
              <w:t>作</w:t>
            </w:r>
          </w:p>
        </w:tc>
        <w:tc>
          <w:tcPr>
            <w:tcW w:w="1035" w:type="dxa"/>
            <w:tcBorders>
              <w:left w:val="nil"/>
            </w:tcBorders>
          </w:tcPr>
          <w:p w14:paraId="24A3E5C9">
            <w:pPr>
              <w:pStyle w:val="8"/>
              <w:spacing w:line="360" w:lineRule="auto"/>
              <w:rPr>
                <w:rFonts w:ascii="宋体" w:hAnsi="宋体"/>
                <w:color w:val="auto"/>
                <w:szCs w:val="24"/>
                <w:highlight w:val="none"/>
              </w:rPr>
            </w:pPr>
          </w:p>
        </w:tc>
        <w:tc>
          <w:tcPr>
            <w:tcW w:w="1365" w:type="dxa"/>
          </w:tcPr>
          <w:p w14:paraId="6C5738C4">
            <w:pPr>
              <w:pStyle w:val="8"/>
              <w:spacing w:line="360" w:lineRule="auto"/>
              <w:rPr>
                <w:rFonts w:ascii="宋体" w:hAnsi="宋体"/>
                <w:color w:val="auto"/>
                <w:szCs w:val="24"/>
                <w:highlight w:val="none"/>
              </w:rPr>
            </w:pPr>
          </w:p>
        </w:tc>
        <w:tc>
          <w:tcPr>
            <w:tcW w:w="1029" w:type="dxa"/>
            <w:gridSpan w:val="2"/>
          </w:tcPr>
          <w:p w14:paraId="06625BDF">
            <w:pPr>
              <w:pStyle w:val="8"/>
              <w:spacing w:line="360" w:lineRule="auto"/>
              <w:rPr>
                <w:rFonts w:ascii="宋体" w:hAnsi="宋体"/>
                <w:color w:val="auto"/>
                <w:szCs w:val="24"/>
                <w:highlight w:val="none"/>
              </w:rPr>
            </w:pPr>
          </w:p>
        </w:tc>
        <w:tc>
          <w:tcPr>
            <w:tcW w:w="997" w:type="dxa"/>
          </w:tcPr>
          <w:p w14:paraId="57FEBF51">
            <w:pPr>
              <w:pStyle w:val="8"/>
              <w:spacing w:line="360" w:lineRule="auto"/>
              <w:rPr>
                <w:rFonts w:ascii="宋体" w:hAnsi="宋体"/>
                <w:color w:val="auto"/>
                <w:szCs w:val="24"/>
                <w:highlight w:val="none"/>
              </w:rPr>
            </w:pPr>
          </w:p>
        </w:tc>
        <w:tc>
          <w:tcPr>
            <w:tcW w:w="946" w:type="dxa"/>
          </w:tcPr>
          <w:p w14:paraId="2C00C06B">
            <w:pPr>
              <w:pStyle w:val="8"/>
              <w:spacing w:line="360" w:lineRule="auto"/>
              <w:rPr>
                <w:rFonts w:ascii="宋体" w:hAnsi="宋体"/>
                <w:color w:val="auto"/>
                <w:szCs w:val="24"/>
                <w:highlight w:val="none"/>
              </w:rPr>
            </w:pPr>
          </w:p>
        </w:tc>
        <w:tc>
          <w:tcPr>
            <w:tcW w:w="800" w:type="dxa"/>
          </w:tcPr>
          <w:p w14:paraId="53DB96D3">
            <w:pPr>
              <w:pStyle w:val="8"/>
              <w:spacing w:line="360" w:lineRule="auto"/>
              <w:rPr>
                <w:rFonts w:ascii="宋体" w:hAnsi="宋体"/>
                <w:color w:val="auto"/>
                <w:szCs w:val="24"/>
                <w:highlight w:val="none"/>
              </w:rPr>
            </w:pPr>
          </w:p>
        </w:tc>
        <w:tc>
          <w:tcPr>
            <w:tcW w:w="1029" w:type="dxa"/>
            <w:tcBorders>
              <w:right w:val="single" w:color="auto" w:sz="4" w:space="0"/>
            </w:tcBorders>
          </w:tcPr>
          <w:p w14:paraId="0C3D3961">
            <w:pPr>
              <w:pStyle w:val="8"/>
              <w:spacing w:line="360" w:lineRule="auto"/>
              <w:rPr>
                <w:rFonts w:ascii="宋体" w:hAnsi="宋体"/>
                <w:color w:val="auto"/>
                <w:szCs w:val="24"/>
                <w:highlight w:val="none"/>
              </w:rPr>
            </w:pPr>
          </w:p>
        </w:tc>
      </w:tr>
      <w:tr w14:paraId="35D0A208">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2EB6BD9D">
            <w:pPr>
              <w:pStyle w:val="8"/>
              <w:spacing w:line="360" w:lineRule="auto"/>
              <w:rPr>
                <w:rFonts w:ascii="宋体" w:hAnsi="宋体"/>
                <w:color w:val="auto"/>
                <w:szCs w:val="24"/>
                <w:highlight w:val="none"/>
              </w:rPr>
            </w:pPr>
            <w:r>
              <w:rPr>
                <w:rFonts w:hint="eastAsia" w:ascii="宋体" w:hAnsi="宋体"/>
                <w:color w:val="auto"/>
                <w:szCs w:val="24"/>
                <w:highlight w:val="none"/>
              </w:rPr>
              <w:t>简</w:t>
            </w:r>
          </w:p>
        </w:tc>
        <w:tc>
          <w:tcPr>
            <w:tcW w:w="1035" w:type="dxa"/>
            <w:tcBorders>
              <w:left w:val="nil"/>
            </w:tcBorders>
          </w:tcPr>
          <w:p w14:paraId="03910661">
            <w:pPr>
              <w:pStyle w:val="8"/>
              <w:spacing w:line="360" w:lineRule="auto"/>
              <w:rPr>
                <w:rFonts w:ascii="宋体" w:hAnsi="宋体"/>
                <w:color w:val="auto"/>
                <w:szCs w:val="24"/>
                <w:highlight w:val="none"/>
              </w:rPr>
            </w:pPr>
          </w:p>
        </w:tc>
        <w:tc>
          <w:tcPr>
            <w:tcW w:w="1365" w:type="dxa"/>
          </w:tcPr>
          <w:p w14:paraId="17EF7025">
            <w:pPr>
              <w:pStyle w:val="8"/>
              <w:spacing w:line="360" w:lineRule="auto"/>
              <w:rPr>
                <w:rFonts w:ascii="宋体" w:hAnsi="宋体"/>
                <w:color w:val="auto"/>
                <w:szCs w:val="24"/>
                <w:highlight w:val="none"/>
              </w:rPr>
            </w:pPr>
          </w:p>
        </w:tc>
        <w:tc>
          <w:tcPr>
            <w:tcW w:w="1029" w:type="dxa"/>
            <w:gridSpan w:val="2"/>
          </w:tcPr>
          <w:p w14:paraId="2C508185">
            <w:pPr>
              <w:pStyle w:val="8"/>
              <w:spacing w:line="360" w:lineRule="auto"/>
              <w:rPr>
                <w:rFonts w:ascii="宋体" w:hAnsi="宋体"/>
                <w:color w:val="auto"/>
                <w:szCs w:val="24"/>
                <w:highlight w:val="none"/>
              </w:rPr>
            </w:pPr>
          </w:p>
        </w:tc>
        <w:tc>
          <w:tcPr>
            <w:tcW w:w="997" w:type="dxa"/>
          </w:tcPr>
          <w:p w14:paraId="54AA28DB">
            <w:pPr>
              <w:pStyle w:val="8"/>
              <w:spacing w:line="360" w:lineRule="auto"/>
              <w:rPr>
                <w:rFonts w:ascii="宋体" w:hAnsi="宋体"/>
                <w:color w:val="auto"/>
                <w:szCs w:val="24"/>
                <w:highlight w:val="none"/>
              </w:rPr>
            </w:pPr>
          </w:p>
        </w:tc>
        <w:tc>
          <w:tcPr>
            <w:tcW w:w="946" w:type="dxa"/>
          </w:tcPr>
          <w:p w14:paraId="68C64919">
            <w:pPr>
              <w:pStyle w:val="8"/>
              <w:spacing w:line="360" w:lineRule="auto"/>
              <w:rPr>
                <w:rFonts w:ascii="宋体" w:hAnsi="宋体"/>
                <w:color w:val="auto"/>
                <w:szCs w:val="24"/>
                <w:highlight w:val="none"/>
              </w:rPr>
            </w:pPr>
          </w:p>
        </w:tc>
        <w:tc>
          <w:tcPr>
            <w:tcW w:w="800" w:type="dxa"/>
          </w:tcPr>
          <w:p w14:paraId="76B2C1DF">
            <w:pPr>
              <w:pStyle w:val="8"/>
              <w:spacing w:line="360" w:lineRule="auto"/>
              <w:rPr>
                <w:rFonts w:ascii="宋体" w:hAnsi="宋体"/>
                <w:color w:val="auto"/>
                <w:szCs w:val="24"/>
                <w:highlight w:val="none"/>
              </w:rPr>
            </w:pPr>
          </w:p>
        </w:tc>
        <w:tc>
          <w:tcPr>
            <w:tcW w:w="1029" w:type="dxa"/>
            <w:tcBorders>
              <w:right w:val="single" w:color="auto" w:sz="4" w:space="0"/>
            </w:tcBorders>
          </w:tcPr>
          <w:p w14:paraId="2114BD15">
            <w:pPr>
              <w:pStyle w:val="8"/>
              <w:spacing w:line="360" w:lineRule="auto"/>
              <w:rPr>
                <w:rFonts w:ascii="宋体" w:hAnsi="宋体"/>
                <w:color w:val="auto"/>
                <w:szCs w:val="24"/>
                <w:highlight w:val="none"/>
              </w:rPr>
            </w:pPr>
          </w:p>
        </w:tc>
      </w:tr>
      <w:tr w14:paraId="7319CAA7">
        <w:tblPrEx>
          <w:tblCellMar>
            <w:top w:w="0" w:type="dxa"/>
            <w:left w:w="28" w:type="dxa"/>
            <w:bottom w:w="0" w:type="dxa"/>
            <w:right w:w="28" w:type="dxa"/>
          </w:tblCellMar>
        </w:tblPrEx>
        <w:trPr>
          <w:jc w:val="center"/>
        </w:trPr>
        <w:tc>
          <w:tcPr>
            <w:tcW w:w="1108" w:type="dxa"/>
            <w:tcBorders>
              <w:left w:val="single" w:color="auto" w:sz="4" w:space="0"/>
              <w:bottom w:val="single" w:color="auto" w:sz="4" w:space="0"/>
              <w:right w:val="single" w:color="auto" w:sz="6" w:space="0"/>
            </w:tcBorders>
          </w:tcPr>
          <w:p w14:paraId="42E56588">
            <w:pPr>
              <w:pStyle w:val="8"/>
              <w:spacing w:line="360" w:lineRule="auto"/>
              <w:rPr>
                <w:rFonts w:ascii="宋体" w:hAnsi="宋体"/>
                <w:color w:val="auto"/>
                <w:szCs w:val="24"/>
                <w:highlight w:val="none"/>
              </w:rPr>
            </w:pPr>
            <w:r>
              <w:rPr>
                <w:rFonts w:hint="eastAsia" w:ascii="宋体" w:hAnsi="宋体"/>
                <w:color w:val="auto"/>
                <w:szCs w:val="24"/>
                <w:highlight w:val="none"/>
              </w:rPr>
              <w:t>历</w:t>
            </w:r>
          </w:p>
        </w:tc>
        <w:tc>
          <w:tcPr>
            <w:tcW w:w="1035" w:type="dxa"/>
            <w:tcBorders>
              <w:left w:val="nil"/>
              <w:bottom w:val="single" w:color="auto" w:sz="4" w:space="0"/>
            </w:tcBorders>
          </w:tcPr>
          <w:p w14:paraId="2C3D02DB">
            <w:pPr>
              <w:pStyle w:val="8"/>
              <w:spacing w:line="360" w:lineRule="auto"/>
              <w:rPr>
                <w:rFonts w:ascii="宋体" w:hAnsi="宋体"/>
                <w:color w:val="auto"/>
                <w:szCs w:val="24"/>
                <w:highlight w:val="none"/>
              </w:rPr>
            </w:pPr>
          </w:p>
        </w:tc>
        <w:tc>
          <w:tcPr>
            <w:tcW w:w="1365" w:type="dxa"/>
            <w:tcBorders>
              <w:bottom w:val="single" w:color="auto" w:sz="4" w:space="0"/>
            </w:tcBorders>
          </w:tcPr>
          <w:p w14:paraId="76F4F792">
            <w:pPr>
              <w:pStyle w:val="8"/>
              <w:spacing w:line="360" w:lineRule="auto"/>
              <w:rPr>
                <w:rFonts w:ascii="宋体" w:hAnsi="宋体"/>
                <w:color w:val="auto"/>
                <w:szCs w:val="24"/>
                <w:highlight w:val="none"/>
              </w:rPr>
            </w:pPr>
          </w:p>
        </w:tc>
        <w:tc>
          <w:tcPr>
            <w:tcW w:w="1029" w:type="dxa"/>
            <w:gridSpan w:val="2"/>
            <w:tcBorders>
              <w:bottom w:val="single" w:color="auto" w:sz="4" w:space="0"/>
            </w:tcBorders>
          </w:tcPr>
          <w:p w14:paraId="0D11CF86">
            <w:pPr>
              <w:pStyle w:val="8"/>
              <w:spacing w:line="360" w:lineRule="auto"/>
              <w:rPr>
                <w:rFonts w:ascii="宋体" w:hAnsi="宋体"/>
                <w:color w:val="auto"/>
                <w:szCs w:val="24"/>
                <w:highlight w:val="none"/>
              </w:rPr>
            </w:pPr>
          </w:p>
        </w:tc>
        <w:tc>
          <w:tcPr>
            <w:tcW w:w="997" w:type="dxa"/>
            <w:tcBorders>
              <w:bottom w:val="single" w:color="auto" w:sz="4" w:space="0"/>
            </w:tcBorders>
          </w:tcPr>
          <w:p w14:paraId="3F404EB2">
            <w:pPr>
              <w:pStyle w:val="8"/>
              <w:spacing w:line="360" w:lineRule="auto"/>
              <w:rPr>
                <w:rFonts w:ascii="宋体" w:hAnsi="宋体"/>
                <w:color w:val="auto"/>
                <w:szCs w:val="24"/>
                <w:highlight w:val="none"/>
              </w:rPr>
            </w:pPr>
          </w:p>
        </w:tc>
        <w:tc>
          <w:tcPr>
            <w:tcW w:w="946" w:type="dxa"/>
            <w:tcBorders>
              <w:bottom w:val="single" w:color="auto" w:sz="4" w:space="0"/>
            </w:tcBorders>
          </w:tcPr>
          <w:p w14:paraId="0453FC51">
            <w:pPr>
              <w:pStyle w:val="8"/>
              <w:spacing w:line="360" w:lineRule="auto"/>
              <w:rPr>
                <w:rFonts w:ascii="宋体" w:hAnsi="宋体"/>
                <w:color w:val="auto"/>
                <w:szCs w:val="24"/>
                <w:highlight w:val="none"/>
              </w:rPr>
            </w:pPr>
          </w:p>
        </w:tc>
        <w:tc>
          <w:tcPr>
            <w:tcW w:w="800" w:type="dxa"/>
            <w:tcBorders>
              <w:bottom w:val="single" w:color="auto" w:sz="4" w:space="0"/>
            </w:tcBorders>
          </w:tcPr>
          <w:p w14:paraId="173E8272">
            <w:pPr>
              <w:pStyle w:val="8"/>
              <w:spacing w:line="360" w:lineRule="auto"/>
              <w:rPr>
                <w:rFonts w:ascii="宋体" w:hAnsi="宋体"/>
                <w:color w:val="auto"/>
                <w:szCs w:val="24"/>
                <w:highlight w:val="none"/>
              </w:rPr>
            </w:pPr>
          </w:p>
        </w:tc>
        <w:tc>
          <w:tcPr>
            <w:tcW w:w="1029" w:type="dxa"/>
            <w:tcBorders>
              <w:bottom w:val="single" w:color="auto" w:sz="4" w:space="0"/>
              <w:right w:val="single" w:color="auto" w:sz="4" w:space="0"/>
            </w:tcBorders>
          </w:tcPr>
          <w:p w14:paraId="56A6A394">
            <w:pPr>
              <w:pStyle w:val="8"/>
              <w:spacing w:line="360" w:lineRule="auto"/>
              <w:rPr>
                <w:rFonts w:ascii="宋体" w:hAnsi="宋体"/>
                <w:color w:val="auto"/>
                <w:szCs w:val="24"/>
                <w:highlight w:val="none"/>
              </w:rPr>
            </w:pPr>
          </w:p>
        </w:tc>
      </w:tr>
    </w:tbl>
    <w:p w14:paraId="70C991E7">
      <w:pPr>
        <w:pStyle w:val="8"/>
        <w:spacing w:line="360" w:lineRule="auto"/>
        <w:rPr>
          <w:rFonts w:ascii="宋体" w:hAnsi="宋体"/>
          <w:color w:val="auto"/>
          <w:szCs w:val="24"/>
          <w:highlight w:val="none"/>
        </w:rPr>
      </w:pPr>
      <w:r>
        <w:rPr>
          <w:rFonts w:hint="eastAsia" w:ascii="宋体" w:hAnsi="宋体"/>
          <w:color w:val="auto"/>
          <w:szCs w:val="24"/>
          <w:highlight w:val="none"/>
        </w:rPr>
        <w:t>（注：每人一表）</w:t>
      </w:r>
    </w:p>
    <w:p w14:paraId="4CD50D26">
      <w:pPr>
        <w:pStyle w:val="8"/>
        <w:spacing w:line="360" w:lineRule="auto"/>
        <w:rPr>
          <w:rFonts w:ascii="宋体" w:hAnsi="宋体"/>
          <w:color w:val="auto"/>
          <w:szCs w:val="24"/>
          <w:highlight w:val="none"/>
        </w:rPr>
      </w:pPr>
      <w:r>
        <w:rPr>
          <w:rFonts w:ascii="宋体" w:hAnsi="宋体"/>
          <w:color w:val="auto"/>
          <w:szCs w:val="24"/>
          <w:highlight w:val="none"/>
        </w:rPr>
        <w:t xml:space="preserve">1.3  </w:t>
      </w:r>
      <w:r>
        <w:rPr>
          <w:rFonts w:hint="eastAsia" w:ascii="宋体" w:hAnsi="宋体"/>
          <w:color w:val="auto"/>
          <w:szCs w:val="24"/>
          <w:highlight w:val="none"/>
        </w:rPr>
        <w:t>投标人现场服务人员的职责</w:t>
      </w:r>
    </w:p>
    <w:p w14:paraId="0C4E7DDE">
      <w:pPr>
        <w:pStyle w:val="8"/>
        <w:spacing w:line="360" w:lineRule="auto"/>
        <w:rPr>
          <w:rFonts w:ascii="宋体" w:hAnsi="宋体"/>
          <w:color w:val="auto"/>
          <w:szCs w:val="24"/>
          <w:highlight w:val="none"/>
        </w:rPr>
      </w:pPr>
      <w:r>
        <w:rPr>
          <w:rFonts w:ascii="宋体" w:hAnsi="宋体"/>
          <w:color w:val="auto"/>
          <w:szCs w:val="24"/>
          <w:highlight w:val="none"/>
        </w:rPr>
        <w:t>1.3.1</w:t>
      </w:r>
      <w:r>
        <w:rPr>
          <w:rFonts w:hint="eastAsia" w:ascii="宋体" w:hAnsi="宋体"/>
          <w:color w:val="auto"/>
          <w:szCs w:val="24"/>
          <w:highlight w:val="none"/>
        </w:rPr>
        <w:t>投标人现场服务人员的任务主要包括设备催交、货物的开箱检验、设备质量问题的处理、指导安装和调试、参加试运和性能验收试验。</w:t>
      </w:r>
    </w:p>
    <w:p w14:paraId="093BDDE5">
      <w:pPr>
        <w:pStyle w:val="8"/>
        <w:spacing w:line="360" w:lineRule="auto"/>
        <w:rPr>
          <w:rFonts w:ascii="宋体" w:hAnsi="宋体"/>
          <w:color w:val="auto"/>
          <w:szCs w:val="24"/>
          <w:highlight w:val="none"/>
        </w:rPr>
      </w:pPr>
      <w:r>
        <w:rPr>
          <w:rFonts w:ascii="宋体" w:hAnsi="宋体"/>
          <w:color w:val="auto"/>
          <w:szCs w:val="24"/>
          <w:highlight w:val="none"/>
        </w:rPr>
        <w:t>1.3.2</w:t>
      </w:r>
      <w:r>
        <w:rPr>
          <w:rFonts w:hint="eastAsia" w:ascii="宋体" w:hAnsi="宋体"/>
          <w:color w:val="auto"/>
          <w:szCs w:val="24"/>
          <w:highlight w:val="none"/>
        </w:rPr>
        <w:t>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309BF1C4">
      <w:pPr>
        <w:pStyle w:val="8"/>
        <w:spacing w:line="360" w:lineRule="auto"/>
        <w:rPr>
          <w:rFonts w:ascii="宋体" w:hAnsi="宋体"/>
          <w:color w:val="auto"/>
          <w:szCs w:val="24"/>
          <w:highlight w:val="none"/>
        </w:rPr>
      </w:pPr>
      <w:r>
        <w:rPr>
          <w:rFonts w:hint="eastAsia" w:ascii="宋体" w:hAnsi="宋体"/>
          <w:color w:val="auto"/>
          <w:szCs w:val="24"/>
          <w:highlight w:val="none"/>
        </w:rPr>
        <w:t>安装、调试重要工序表（投标人细化）</w:t>
      </w:r>
    </w:p>
    <w:tbl>
      <w:tblPr>
        <w:tblStyle w:val="3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08"/>
        <w:gridCol w:w="2280"/>
        <w:gridCol w:w="3000"/>
        <w:gridCol w:w="1440"/>
      </w:tblGrid>
      <w:tr w14:paraId="5B2E07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vAlign w:val="center"/>
          </w:tcPr>
          <w:p w14:paraId="2C3148F1">
            <w:pPr>
              <w:pStyle w:val="8"/>
              <w:spacing w:line="360" w:lineRule="auto"/>
              <w:rPr>
                <w:rFonts w:ascii="宋体" w:hAnsi="宋体"/>
                <w:color w:val="auto"/>
                <w:szCs w:val="24"/>
                <w:highlight w:val="none"/>
              </w:rPr>
            </w:pPr>
            <w:r>
              <w:rPr>
                <w:rFonts w:hint="eastAsia" w:ascii="宋体" w:hAnsi="宋体"/>
                <w:color w:val="auto"/>
                <w:szCs w:val="24"/>
                <w:highlight w:val="none"/>
              </w:rPr>
              <w:t>序号</w:t>
            </w:r>
          </w:p>
        </w:tc>
        <w:tc>
          <w:tcPr>
            <w:tcW w:w="2280" w:type="dxa"/>
            <w:vAlign w:val="center"/>
          </w:tcPr>
          <w:p w14:paraId="5AE263E6">
            <w:pPr>
              <w:pStyle w:val="8"/>
              <w:spacing w:line="360" w:lineRule="auto"/>
              <w:rPr>
                <w:rFonts w:ascii="宋体" w:hAnsi="宋体"/>
                <w:color w:val="auto"/>
                <w:szCs w:val="24"/>
                <w:highlight w:val="none"/>
              </w:rPr>
            </w:pPr>
            <w:r>
              <w:rPr>
                <w:rFonts w:hint="eastAsia" w:ascii="宋体" w:hAnsi="宋体"/>
                <w:color w:val="auto"/>
                <w:szCs w:val="24"/>
                <w:highlight w:val="none"/>
              </w:rPr>
              <w:t>工序名称</w:t>
            </w:r>
          </w:p>
        </w:tc>
        <w:tc>
          <w:tcPr>
            <w:tcW w:w="3000" w:type="dxa"/>
            <w:vAlign w:val="center"/>
          </w:tcPr>
          <w:p w14:paraId="69F5D6CD">
            <w:pPr>
              <w:pStyle w:val="8"/>
              <w:spacing w:line="360" w:lineRule="auto"/>
              <w:rPr>
                <w:rFonts w:ascii="宋体" w:hAnsi="宋体"/>
                <w:color w:val="auto"/>
                <w:szCs w:val="24"/>
                <w:highlight w:val="none"/>
              </w:rPr>
            </w:pPr>
            <w:r>
              <w:rPr>
                <w:rFonts w:hint="eastAsia" w:ascii="宋体" w:hAnsi="宋体"/>
                <w:color w:val="auto"/>
                <w:szCs w:val="24"/>
                <w:highlight w:val="none"/>
              </w:rPr>
              <w:t>工序主要内容</w:t>
            </w:r>
          </w:p>
        </w:tc>
        <w:tc>
          <w:tcPr>
            <w:tcW w:w="1440" w:type="dxa"/>
            <w:vAlign w:val="center"/>
          </w:tcPr>
          <w:p w14:paraId="6E96447D">
            <w:pPr>
              <w:pStyle w:val="8"/>
              <w:spacing w:line="360" w:lineRule="auto"/>
              <w:rPr>
                <w:rFonts w:ascii="宋体" w:hAnsi="宋体"/>
                <w:color w:val="auto"/>
                <w:szCs w:val="24"/>
                <w:highlight w:val="none"/>
              </w:rPr>
            </w:pPr>
            <w:r>
              <w:rPr>
                <w:rFonts w:hint="eastAsia" w:ascii="宋体" w:hAnsi="宋体"/>
                <w:color w:val="auto"/>
                <w:szCs w:val="24"/>
                <w:highlight w:val="none"/>
              </w:rPr>
              <w:t>备注</w:t>
            </w:r>
          </w:p>
        </w:tc>
      </w:tr>
      <w:tr w14:paraId="1D84A4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Pr>
          <w:p w14:paraId="64E84D37">
            <w:pPr>
              <w:pStyle w:val="8"/>
              <w:spacing w:line="360" w:lineRule="auto"/>
              <w:rPr>
                <w:rFonts w:ascii="宋体" w:hAnsi="宋体"/>
                <w:color w:val="auto"/>
                <w:szCs w:val="24"/>
                <w:highlight w:val="none"/>
              </w:rPr>
            </w:pPr>
          </w:p>
        </w:tc>
        <w:tc>
          <w:tcPr>
            <w:tcW w:w="2280" w:type="dxa"/>
          </w:tcPr>
          <w:p w14:paraId="1A9DE8F8">
            <w:pPr>
              <w:pStyle w:val="8"/>
              <w:spacing w:line="360" w:lineRule="auto"/>
              <w:rPr>
                <w:rFonts w:ascii="宋体" w:hAnsi="宋体"/>
                <w:color w:val="auto"/>
                <w:szCs w:val="24"/>
                <w:highlight w:val="none"/>
              </w:rPr>
            </w:pPr>
          </w:p>
        </w:tc>
        <w:tc>
          <w:tcPr>
            <w:tcW w:w="3000" w:type="dxa"/>
          </w:tcPr>
          <w:p w14:paraId="22BF5FBE">
            <w:pPr>
              <w:pStyle w:val="8"/>
              <w:spacing w:line="360" w:lineRule="auto"/>
              <w:rPr>
                <w:rFonts w:ascii="宋体" w:hAnsi="宋体"/>
                <w:color w:val="auto"/>
                <w:szCs w:val="24"/>
                <w:highlight w:val="none"/>
              </w:rPr>
            </w:pPr>
          </w:p>
        </w:tc>
        <w:tc>
          <w:tcPr>
            <w:tcW w:w="1440" w:type="dxa"/>
          </w:tcPr>
          <w:p w14:paraId="570AE7AC">
            <w:pPr>
              <w:pStyle w:val="8"/>
              <w:spacing w:line="360" w:lineRule="auto"/>
              <w:rPr>
                <w:rFonts w:ascii="宋体" w:hAnsi="宋体"/>
                <w:color w:val="auto"/>
                <w:szCs w:val="24"/>
                <w:highlight w:val="none"/>
              </w:rPr>
            </w:pPr>
          </w:p>
        </w:tc>
      </w:tr>
      <w:tr w14:paraId="044620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Pr>
          <w:p w14:paraId="4E80EFB5">
            <w:pPr>
              <w:pStyle w:val="8"/>
              <w:spacing w:line="360" w:lineRule="auto"/>
              <w:rPr>
                <w:rFonts w:ascii="宋体" w:hAnsi="宋体"/>
                <w:color w:val="auto"/>
                <w:szCs w:val="24"/>
                <w:highlight w:val="none"/>
              </w:rPr>
            </w:pPr>
          </w:p>
        </w:tc>
        <w:tc>
          <w:tcPr>
            <w:tcW w:w="2280" w:type="dxa"/>
          </w:tcPr>
          <w:p w14:paraId="0E03C7F5">
            <w:pPr>
              <w:pStyle w:val="8"/>
              <w:spacing w:line="360" w:lineRule="auto"/>
              <w:rPr>
                <w:rFonts w:ascii="宋体" w:hAnsi="宋体"/>
                <w:color w:val="auto"/>
                <w:szCs w:val="24"/>
                <w:highlight w:val="none"/>
              </w:rPr>
            </w:pPr>
          </w:p>
        </w:tc>
        <w:tc>
          <w:tcPr>
            <w:tcW w:w="3000" w:type="dxa"/>
          </w:tcPr>
          <w:p w14:paraId="33DF9C3B">
            <w:pPr>
              <w:pStyle w:val="8"/>
              <w:spacing w:line="360" w:lineRule="auto"/>
              <w:rPr>
                <w:rFonts w:ascii="宋体" w:hAnsi="宋体"/>
                <w:color w:val="auto"/>
                <w:szCs w:val="24"/>
                <w:highlight w:val="none"/>
              </w:rPr>
            </w:pPr>
          </w:p>
        </w:tc>
        <w:tc>
          <w:tcPr>
            <w:tcW w:w="1440" w:type="dxa"/>
          </w:tcPr>
          <w:p w14:paraId="128ED8AA">
            <w:pPr>
              <w:pStyle w:val="8"/>
              <w:spacing w:line="360" w:lineRule="auto"/>
              <w:rPr>
                <w:rFonts w:ascii="宋体" w:hAnsi="宋体"/>
                <w:color w:val="auto"/>
                <w:szCs w:val="24"/>
                <w:highlight w:val="none"/>
              </w:rPr>
            </w:pPr>
          </w:p>
        </w:tc>
      </w:tr>
    </w:tbl>
    <w:p w14:paraId="007ACFC7">
      <w:pPr>
        <w:pStyle w:val="8"/>
        <w:spacing w:line="360" w:lineRule="auto"/>
        <w:rPr>
          <w:rFonts w:ascii="宋体" w:hAnsi="宋体"/>
          <w:color w:val="auto"/>
          <w:szCs w:val="24"/>
          <w:highlight w:val="none"/>
        </w:rPr>
      </w:pPr>
    </w:p>
    <w:p w14:paraId="251F4B62">
      <w:pPr>
        <w:pStyle w:val="8"/>
        <w:spacing w:line="360" w:lineRule="auto"/>
        <w:ind w:firstLine="0"/>
        <w:rPr>
          <w:rFonts w:ascii="宋体" w:hAnsi="宋体"/>
          <w:color w:val="auto"/>
          <w:szCs w:val="24"/>
          <w:highlight w:val="none"/>
        </w:rPr>
      </w:pPr>
      <w:r>
        <w:rPr>
          <w:rFonts w:ascii="宋体" w:hAnsi="宋体"/>
          <w:color w:val="auto"/>
          <w:szCs w:val="24"/>
          <w:highlight w:val="none"/>
        </w:rPr>
        <w:t>1.3.3</w:t>
      </w:r>
      <w:r>
        <w:rPr>
          <w:rFonts w:hint="eastAsia" w:ascii="宋体" w:hAnsi="宋体"/>
          <w:color w:val="auto"/>
          <w:szCs w:val="24"/>
          <w:highlight w:val="none"/>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r>
        <w:rPr>
          <w:rFonts w:ascii="宋体" w:hAnsi="宋体"/>
          <w:color w:val="auto"/>
          <w:szCs w:val="24"/>
          <w:highlight w:val="none"/>
        </w:rPr>
        <w:t xml:space="preserve">1.3.4  </w:t>
      </w:r>
      <w:r>
        <w:rPr>
          <w:rFonts w:hint="eastAsia" w:ascii="宋体" w:hAnsi="宋体"/>
          <w:color w:val="auto"/>
          <w:szCs w:val="24"/>
          <w:highlight w:val="none"/>
        </w:rPr>
        <w:t>投标人对其现场服务人员的一切行为负全部责任。</w:t>
      </w:r>
    </w:p>
    <w:p w14:paraId="42CCCAF8">
      <w:pPr>
        <w:pStyle w:val="8"/>
        <w:spacing w:line="360" w:lineRule="auto"/>
        <w:ind w:firstLine="0"/>
        <w:rPr>
          <w:rFonts w:ascii="宋体" w:hAnsi="宋体"/>
          <w:color w:val="auto"/>
          <w:szCs w:val="24"/>
          <w:highlight w:val="none"/>
        </w:rPr>
      </w:pPr>
      <w:r>
        <w:rPr>
          <w:rFonts w:ascii="宋体" w:hAnsi="宋体"/>
          <w:color w:val="auto"/>
          <w:szCs w:val="24"/>
          <w:highlight w:val="none"/>
        </w:rPr>
        <w:t>1.3.5</w:t>
      </w:r>
      <w:r>
        <w:rPr>
          <w:rFonts w:hint="eastAsia" w:ascii="宋体" w:hAnsi="宋体"/>
          <w:color w:val="auto"/>
          <w:szCs w:val="24"/>
          <w:highlight w:val="none"/>
        </w:rPr>
        <w:t>投标人现场服务人员的正常来去和更换事先与招标人协商。</w:t>
      </w:r>
    </w:p>
    <w:p w14:paraId="26263AB2">
      <w:pPr>
        <w:pStyle w:val="8"/>
        <w:spacing w:line="360" w:lineRule="auto"/>
        <w:ind w:firstLine="0"/>
        <w:rPr>
          <w:rFonts w:ascii="宋体" w:hAnsi="宋体"/>
          <w:color w:val="auto"/>
          <w:szCs w:val="24"/>
          <w:highlight w:val="none"/>
        </w:rPr>
      </w:pPr>
      <w:r>
        <w:rPr>
          <w:rFonts w:ascii="宋体" w:hAnsi="宋体"/>
          <w:color w:val="auto"/>
          <w:szCs w:val="24"/>
          <w:highlight w:val="none"/>
        </w:rPr>
        <w:t xml:space="preserve">1.4  </w:t>
      </w:r>
      <w:r>
        <w:rPr>
          <w:rFonts w:hint="eastAsia" w:ascii="宋体" w:hAnsi="宋体"/>
          <w:color w:val="auto"/>
          <w:szCs w:val="24"/>
          <w:highlight w:val="none"/>
        </w:rPr>
        <w:t>招标人的义务</w:t>
      </w:r>
    </w:p>
    <w:p w14:paraId="5E1CB6E8">
      <w:pPr>
        <w:pStyle w:val="8"/>
        <w:spacing w:line="360" w:lineRule="auto"/>
        <w:rPr>
          <w:rFonts w:ascii="宋体" w:hAnsi="宋体"/>
          <w:color w:val="auto"/>
          <w:szCs w:val="24"/>
          <w:highlight w:val="none"/>
        </w:rPr>
      </w:pPr>
      <w:r>
        <w:rPr>
          <w:rFonts w:hint="eastAsia" w:ascii="宋体" w:hAnsi="宋体"/>
          <w:color w:val="auto"/>
          <w:szCs w:val="24"/>
          <w:highlight w:val="none"/>
        </w:rPr>
        <w:t>招标人要配合投标人现场服务人员的工作，并在生活、交通和通讯上提供方便。</w:t>
      </w:r>
    </w:p>
    <w:p w14:paraId="3B56538B">
      <w:pPr>
        <w:pStyle w:val="8"/>
        <w:spacing w:line="360" w:lineRule="auto"/>
        <w:ind w:firstLine="0"/>
        <w:rPr>
          <w:rFonts w:ascii="宋体" w:hAnsi="宋体"/>
          <w:b/>
          <w:bCs/>
          <w:color w:val="auto"/>
          <w:szCs w:val="24"/>
          <w:highlight w:val="none"/>
        </w:rPr>
      </w:pPr>
      <w:r>
        <w:rPr>
          <w:rFonts w:ascii="宋体" w:hAnsi="宋体"/>
          <w:b/>
          <w:bCs/>
          <w:color w:val="auto"/>
          <w:szCs w:val="24"/>
          <w:highlight w:val="none"/>
        </w:rPr>
        <w:t xml:space="preserve">2  </w:t>
      </w:r>
      <w:r>
        <w:rPr>
          <w:rFonts w:hint="eastAsia" w:ascii="宋体" w:hAnsi="宋体"/>
          <w:b/>
          <w:bCs/>
          <w:color w:val="auto"/>
          <w:szCs w:val="24"/>
          <w:highlight w:val="none"/>
        </w:rPr>
        <w:t>培训</w:t>
      </w:r>
    </w:p>
    <w:p w14:paraId="54507D86">
      <w:pPr>
        <w:pStyle w:val="8"/>
        <w:spacing w:line="360" w:lineRule="auto"/>
        <w:ind w:firstLine="0"/>
        <w:rPr>
          <w:rFonts w:ascii="宋体" w:hAnsi="宋体"/>
          <w:color w:val="auto"/>
          <w:szCs w:val="24"/>
          <w:highlight w:val="none"/>
        </w:rPr>
      </w:pPr>
      <w:r>
        <w:rPr>
          <w:rFonts w:ascii="宋体" w:hAnsi="宋体"/>
          <w:color w:val="auto"/>
          <w:szCs w:val="24"/>
          <w:highlight w:val="none"/>
        </w:rPr>
        <w:t xml:space="preserve">2.1   </w:t>
      </w:r>
      <w:r>
        <w:rPr>
          <w:rFonts w:hint="eastAsia" w:ascii="宋体" w:hAnsi="宋体"/>
          <w:color w:val="auto"/>
          <w:szCs w:val="24"/>
          <w:highlight w:val="none"/>
        </w:rPr>
        <w:t>为使合同设备能正常安装和运行，投标人有责任提供相应的技术培训。培训内容应与工程进度相一致。</w:t>
      </w:r>
    </w:p>
    <w:p w14:paraId="5C58288D">
      <w:pPr>
        <w:pStyle w:val="8"/>
        <w:spacing w:line="360" w:lineRule="auto"/>
        <w:rPr>
          <w:rFonts w:ascii="宋体" w:hAnsi="宋体"/>
          <w:color w:val="auto"/>
          <w:szCs w:val="24"/>
          <w:highlight w:val="none"/>
        </w:rPr>
      </w:pPr>
      <w:r>
        <w:rPr>
          <w:rFonts w:hint="eastAsia" w:ascii="宋体" w:hAnsi="宋体"/>
          <w:color w:val="auto"/>
          <w:szCs w:val="24"/>
          <w:highlight w:val="none"/>
        </w:rPr>
        <w:t>培训计划和内容由投标人在投标文件中列出（投标人细化）</w:t>
      </w:r>
    </w:p>
    <w:tbl>
      <w:tblPr>
        <w:tblStyle w:val="3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58"/>
        <w:gridCol w:w="1400"/>
        <w:gridCol w:w="1830"/>
        <w:gridCol w:w="1080"/>
        <w:gridCol w:w="1080"/>
        <w:gridCol w:w="1080"/>
        <w:gridCol w:w="1112"/>
      </w:tblGrid>
      <w:tr w14:paraId="736C4A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758" w:type="dxa"/>
            <w:vMerge w:val="restart"/>
            <w:tcBorders>
              <w:top w:val="single" w:color="auto" w:sz="6" w:space="0"/>
              <w:left w:val="single" w:color="auto" w:sz="6" w:space="0"/>
              <w:bottom w:val="nil"/>
              <w:right w:val="nil"/>
            </w:tcBorders>
            <w:vAlign w:val="center"/>
          </w:tcPr>
          <w:p w14:paraId="26C7BA1D">
            <w:pPr>
              <w:pStyle w:val="8"/>
              <w:spacing w:line="360" w:lineRule="auto"/>
              <w:ind w:firstLine="0"/>
              <w:rPr>
                <w:rFonts w:ascii="宋体" w:hAnsi="宋体"/>
                <w:color w:val="auto"/>
                <w:szCs w:val="24"/>
                <w:highlight w:val="none"/>
              </w:rPr>
            </w:pPr>
            <w:r>
              <w:rPr>
                <w:rFonts w:hint="eastAsia" w:ascii="宋体" w:hAnsi="宋体"/>
                <w:color w:val="auto"/>
                <w:szCs w:val="24"/>
                <w:highlight w:val="none"/>
              </w:rPr>
              <w:t>序号</w:t>
            </w:r>
          </w:p>
        </w:tc>
        <w:tc>
          <w:tcPr>
            <w:tcW w:w="1400" w:type="dxa"/>
            <w:vMerge w:val="restart"/>
            <w:tcBorders>
              <w:top w:val="single" w:color="auto" w:sz="6" w:space="0"/>
              <w:left w:val="single" w:color="auto" w:sz="6" w:space="0"/>
              <w:bottom w:val="nil"/>
              <w:right w:val="nil"/>
            </w:tcBorders>
            <w:vAlign w:val="center"/>
          </w:tcPr>
          <w:p w14:paraId="7E047F2A">
            <w:pPr>
              <w:pStyle w:val="8"/>
              <w:spacing w:line="360" w:lineRule="auto"/>
              <w:ind w:firstLine="0"/>
              <w:rPr>
                <w:rFonts w:ascii="宋体" w:hAnsi="宋体"/>
                <w:color w:val="auto"/>
                <w:szCs w:val="24"/>
                <w:highlight w:val="none"/>
              </w:rPr>
            </w:pPr>
            <w:r>
              <w:rPr>
                <w:rFonts w:hint="eastAsia" w:ascii="宋体" w:hAnsi="宋体"/>
                <w:color w:val="auto"/>
                <w:szCs w:val="24"/>
                <w:highlight w:val="none"/>
              </w:rPr>
              <w:t>培训内容</w:t>
            </w:r>
          </w:p>
        </w:tc>
        <w:tc>
          <w:tcPr>
            <w:tcW w:w="1830" w:type="dxa"/>
            <w:vMerge w:val="restart"/>
            <w:tcBorders>
              <w:top w:val="single" w:color="auto" w:sz="6" w:space="0"/>
              <w:left w:val="single" w:color="auto" w:sz="6" w:space="0"/>
              <w:bottom w:val="nil"/>
              <w:right w:val="single" w:color="auto" w:sz="6" w:space="0"/>
            </w:tcBorders>
            <w:vAlign w:val="center"/>
          </w:tcPr>
          <w:p w14:paraId="069DE785">
            <w:pPr>
              <w:pStyle w:val="8"/>
              <w:spacing w:line="360" w:lineRule="auto"/>
              <w:rPr>
                <w:rFonts w:ascii="宋体" w:hAnsi="宋体"/>
                <w:color w:val="auto"/>
                <w:szCs w:val="24"/>
                <w:highlight w:val="none"/>
              </w:rPr>
            </w:pPr>
            <w:r>
              <w:rPr>
                <w:rFonts w:hint="eastAsia" w:ascii="宋体" w:hAnsi="宋体"/>
                <w:color w:val="auto"/>
                <w:szCs w:val="24"/>
                <w:highlight w:val="none"/>
              </w:rPr>
              <w:t>计划人月数</w:t>
            </w:r>
          </w:p>
        </w:tc>
        <w:tc>
          <w:tcPr>
            <w:tcW w:w="2160" w:type="dxa"/>
            <w:gridSpan w:val="2"/>
            <w:tcBorders>
              <w:top w:val="single" w:color="auto" w:sz="6" w:space="0"/>
              <w:left w:val="nil"/>
              <w:bottom w:val="single" w:color="auto" w:sz="6" w:space="0"/>
              <w:right w:val="nil"/>
            </w:tcBorders>
            <w:vAlign w:val="center"/>
          </w:tcPr>
          <w:p w14:paraId="3A506C0E">
            <w:pPr>
              <w:pStyle w:val="8"/>
              <w:spacing w:line="360" w:lineRule="auto"/>
              <w:rPr>
                <w:rFonts w:ascii="宋体" w:hAnsi="宋体"/>
                <w:color w:val="auto"/>
                <w:szCs w:val="24"/>
                <w:highlight w:val="none"/>
              </w:rPr>
            </w:pPr>
            <w:r>
              <w:rPr>
                <w:rFonts w:hint="eastAsia" w:ascii="宋体" w:hAnsi="宋体"/>
                <w:color w:val="auto"/>
                <w:szCs w:val="24"/>
                <w:highlight w:val="none"/>
              </w:rPr>
              <w:t>培训教师构成</w:t>
            </w:r>
          </w:p>
        </w:tc>
        <w:tc>
          <w:tcPr>
            <w:tcW w:w="1080" w:type="dxa"/>
            <w:vMerge w:val="restart"/>
            <w:tcBorders>
              <w:top w:val="single" w:color="auto" w:sz="6" w:space="0"/>
              <w:left w:val="single" w:color="auto" w:sz="6" w:space="0"/>
              <w:bottom w:val="nil"/>
              <w:right w:val="nil"/>
            </w:tcBorders>
            <w:vAlign w:val="center"/>
          </w:tcPr>
          <w:p w14:paraId="04B463A6">
            <w:pPr>
              <w:pStyle w:val="8"/>
              <w:spacing w:line="360" w:lineRule="auto"/>
              <w:ind w:firstLine="0"/>
              <w:jc w:val="center"/>
              <w:rPr>
                <w:rFonts w:ascii="宋体" w:hAnsi="宋体"/>
                <w:color w:val="auto"/>
                <w:szCs w:val="24"/>
                <w:highlight w:val="none"/>
              </w:rPr>
            </w:pPr>
            <w:r>
              <w:rPr>
                <w:rFonts w:hint="eastAsia" w:ascii="宋体" w:hAnsi="宋体"/>
                <w:color w:val="auto"/>
                <w:szCs w:val="24"/>
                <w:highlight w:val="none"/>
              </w:rPr>
              <w:t>地点</w:t>
            </w:r>
          </w:p>
        </w:tc>
        <w:tc>
          <w:tcPr>
            <w:tcW w:w="1112" w:type="dxa"/>
            <w:vMerge w:val="restart"/>
            <w:tcBorders>
              <w:top w:val="single" w:color="auto" w:sz="6" w:space="0"/>
              <w:left w:val="single" w:color="auto" w:sz="6" w:space="0"/>
              <w:bottom w:val="nil"/>
              <w:right w:val="single" w:color="auto" w:sz="6" w:space="0"/>
            </w:tcBorders>
            <w:vAlign w:val="center"/>
          </w:tcPr>
          <w:p w14:paraId="7F707A66">
            <w:pPr>
              <w:pStyle w:val="8"/>
              <w:spacing w:line="360" w:lineRule="auto"/>
              <w:ind w:firstLine="0"/>
              <w:jc w:val="center"/>
              <w:rPr>
                <w:rFonts w:ascii="宋体" w:hAnsi="宋体"/>
                <w:color w:val="auto"/>
                <w:szCs w:val="24"/>
                <w:highlight w:val="none"/>
              </w:rPr>
            </w:pPr>
            <w:r>
              <w:rPr>
                <w:rFonts w:hint="eastAsia" w:ascii="宋体" w:hAnsi="宋体"/>
                <w:color w:val="auto"/>
                <w:szCs w:val="24"/>
                <w:highlight w:val="none"/>
              </w:rPr>
              <w:t>备注</w:t>
            </w:r>
          </w:p>
        </w:tc>
      </w:tr>
      <w:tr w14:paraId="109C15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758" w:type="dxa"/>
            <w:vMerge w:val="continue"/>
            <w:tcBorders>
              <w:top w:val="nil"/>
              <w:left w:val="single" w:color="auto" w:sz="6" w:space="0"/>
              <w:bottom w:val="single" w:color="auto" w:sz="6" w:space="0"/>
              <w:right w:val="nil"/>
            </w:tcBorders>
            <w:vAlign w:val="center"/>
          </w:tcPr>
          <w:p w14:paraId="7DF10C9F">
            <w:pPr>
              <w:pStyle w:val="8"/>
              <w:spacing w:line="360" w:lineRule="auto"/>
              <w:rPr>
                <w:rFonts w:ascii="宋体" w:hAnsi="宋体"/>
                <w:color w:val="auto"/>
                <w:szCs w:val="24"/>
                <w:highlight w:val="none"/>
              </w:rPr>
            </w:pPr>
          </w:p>
        </w:tc>
        <w:tc>
          <w:tcPr>
            <w:tcW w:w="1400" w:type="dxa"/>
            <w:vMerge w:val="continue"/>
            <w:tcBorders>
              <w:top w:val="nil"/>
              <w:left w:val="single" w:color="auto" w:sz="6" w:space="0"/>
              <w:bottom w:val="single" w:color="auto" w:sz="6" w:space="0"/>
              <w:right w:val="nil"/>
            </w:tcBorders>
            <w:vAlign w:val="center"/>
          </w:tcPr>
          <w:p w14:paraId="66518447">
            <w:pPr>
              <w:pStyle w:val="8"/>
              <w:spacing w:line="360" w:lineRule="auto"/>
              <w:rPr>
                <w:rFonts w:ascii="宋体" w:hAnsi="宋体"/>
                <w:color w:val="auto"/>
                <w:szCs w:val="24"/>
                <w:highlight w:val="none"/>
              </w:rPr>
            </w:pPr>
          </w:p>
        </w:tc>
        <w:tc>
          <w:tcPr>
            <w:tcW w:w="1830" w:type="dxa"/>
            <w:vMerge w:val="continue"/>
            <w:tcBorders>
              <w:top w:val="nil"/>
              <w:left w:val="single" w:color="auto" w:sz="6" w:space="0"/>
              <w:bottom w:val="single" w:color="auto" w:sz="6" w:space="0"/>
              <w:right w:val="single" w:color="auto" w:sz="6" w:space="0"/>
            </w:tcBorders>
            <w:vAlign w:val="center"/>
          </w:tcPr>
          <w:p w14:paraId="51751A2A">
            <w:pPr>
              <w:pStyle w:val="8"/>
              <w:spacing w:line="360" w:lineRule="auto"/>
              <w:rPr>
                <w:rFonts w:ascii="宋体" w:hAnsi="宋体"/>
                <w:color w:val="auto"/>
                <w:szCs w:val="24"/>
                <w:highlight w:val="none"/>
              </w:rPr>
            </w:pPr>
          </w:p>
        </w:tc>
        <w:tc>
          <w:tcPr>
            <w:tcW w:w="1080" w:type="dxa"/>
            <w:tcBorders>
              <w:top w:val="nil"/>
              <w:left w:val="nil"/>
            </w:tcBorders>
            <w:vAlign w:val="center"/>
          </w:tcPr>
          <w:p w14:paraId="38714611">
            <w:pPr>
              <w:pStyle w:val="8"/>
              <w:spacing w:line="360" w:lineRule="auto"/>
              <w:ind w:firstLine="0"/>
              <w:jc w:val="center"/>
              <w:rPr>
                <w:rFonts w:ascii="宋体" w:hAnsi="宋体"/>
                <w:color w:val="auto"/>
                <w:szCs w:val="24"/>
                <w:highlight w:val="none"/>
              </w:rPr>
            </w:pPr>
            <w:r>
              <w:rPr>
                <w:rFonts w:hint="eastAsia" w:ascii="宋体" w:hAnsi="宋体"/>
                <w:color w:val="auto"/>
                <w:szCs w:val="24"/>
                <w:highlight w:val="none"/>
              </w:rPr>
              <w:t>职称</w:t>
            </w:r>
          </w:p>
        </w:tc>
        <w:tc>
          <w:tcPr>
            <w:tcW w:w="1080" w:type="dxa"/>
            <w:tcBorders>
              <w:top w:val="nil"/>
              <w:right w:val="nil"/>
            </w:tcBorders>
            <w:vAlign w:val="center"/>
          </w:tcPr>
          <w:p w14:paraId="72FDABCA">
            <w:pPr>
              <w:pStyle w:val="8"/>
              <w:spacing w:line="360" w:lineRule="auto"/>
              <w:ind w:firstLine="0"/>
              <w:jc w:val="center"/>
              <w:rPr>
                <w:rFonts w:ascii="宋体" w:hAnsi="宋体"/>
                <w:color w:val="auto"/>
                <w:szCs w:val="24"/>
                <w:highlight w:val="none"/>
              </w:rPr>
            </w:pPr>
            <w:r>
              <w:rPr>
                <w:rFonts w:hint="eastAsia" w:ascii="宋体" w:hAnsi="宋体"/>
                <w:color w:val="auto"/>
                <w:szCs w:val="24"/>
                <w:highlight w:val="none"/>
              </w:rPr>
              <w:t>人数</w:t>
            </w:r>
          </w:p>
        </w:tc>
        <w:tc>
          <w:tcPr>
            <w:tcW w:w="1080" w:type="dxa"/>
            <w:vMerge w:val="continue"/>
            <w:tcBorders>
              <w:top w:val="nil"/>
              <w:left w:val="single" w:color="auto" w:sz="6" w:space="0"/>
              <w:bottom w:val="single" w:color="auto" w:sz="6" w:space="0"/>
              <w:right w:val="nil"/>
            </w:tcBorders>
            <w:vAlign w:val="center"/>
          </w:tcPr>
          <w:p w14:paraId="514A6FE8">
            <w:pPr>
              <w:pStyle w:val="8"/>
              <w:spacing w:line="360" w:lineRule="auto"/>
              <w:rPr>
                <w:rFonts w:ascii="宋体" w:hAnsi="宋体"/>
                <w:color w:val="auto"/>
                <w:szCs w:val="24"/>
                <w:highlight w:val="none"/>
              </w:rPr>
            </w:pPr>
          </w:p>
        </w:tc>
        <w:tc>
          <w:tcPr>
            <w:tcW w:w="1112" w:type="dxa"/>
            <w:vMerge w:val="continue"/>
            <w:tcBorders>
              <w:top w:val="nil"/>
              <w:left w:val="single" w:color="auto" w:sz="6" w:space="0"/>
              <w:bottom w:val="single" w:color="auto" w:sz="6" w:space="0"/>
              <w:right w:val="single" w:color="auto" w:sz="6" w:space="0"/>
            </w:tcBorders>
            <w:vAlign w:val="center"/>
          </w:tcPr>
          <w:p w14:paraId="46D60FBC">
            <w:pPr>
              <w:pStyle w:val="8"/>
              <w:spacing w:line="360" w:lineRule="auto"/>
              <w:rPr>
                <w:rFonts w:ascii="宋体" w:hAnsi="宋体"/>
                <w:color w:val="auto"/>
                <w:szCs w:val="24"/>
                <w:highlight w:val="none"/>
              </w:rPr>
            </w:pPr>
          </w:p>
        </w:tc>
      </w:tr>
      <w:tr w14:paraId="149EAF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58" w:type="dxa"/>
            <w:tcBorders>
              <w:top w:val="nil"/>
            </w:tcBorders>
            <w:vAlign w:val="center"/>
          </w:tcPr>
          <w:p w14:paraId="79E3E0D8">
            <w:pPr>
              <w:pStyle w:val="8"/>
              <w:spacing w:line="360" w:lineRule="auto"/>
              <w:rPr>
                <w:rFonts w:ascii="宋体" w:hAnsi="宋体"/>
                <w:color w:val="auto"/>
                <w:szCs w:val="24"/>
                <w:highlight w:val="none"/>
              </w:rPr>
            </w:pPr>
          </w:p>
        </w:tc>
        <w:tc>
          <w:tcPr>
            <w:tcW w:w="1400" w:type="dxa"/>
            <w:tcBorders>
              <w:top w:val="nil"/>
            </w:tcBorders>
            <w:vAlign w:val="center"/>
          </w:tcPr>
          <w:p w14:paraId="02742A55">
            <w:pPr>
              <w:pStyle w:val="8"/>
              <w:spacing w:line="360" w:lineRule="auto"/>
              <w:rPr>
                <w:rFonts w:ascii="宋体" w:hAnsi="宋体"/>
                <w:color w:val="auto"/>
                <w:szCs w:val="24"/>
                <w:highlight w:val="none"/>
              </w:rPr>
            </w:pPr>
          </w:p>
        </w:tc>
        <w:tc>
          <w:tcPr>
            <w:tcW w:w="1830" w:type="dxa"/>
            <w:tcBorders>
              <w:top w:val="nil"/>
            </w:tcBorders>
            <w:vAlign w:val="center"/>
          </w:tcPr>
          <w:p w14:paraId="478E458F">
            <w:pPr>
              <w:pStyle w:val="8"/>
              <w:spacing w:line="360" w:lineRule="auto"/>
              <w:rPr>
                <w:rFonts w:ascii="宋体" w:hAnsi="宋体"/>
                <w:color w:val="auto"/>
                <w:szCs w:val="24"/>
                <w:highlight w:val="none"/>
              </w:rPr>
            </w:pPr>
          </w:p>
        </w:tc>
        <w:tc>
          <w:tcPr>
            <w:tcW w:w="1080" w:type="dxa"/>
            <w:vAlign w:val="center"/>
          </w:tcPr>
          <w:p w14:paraId="2A2802A9">
            <w:pPr>
              <w:pStyle w:val="8"/>
              <w:spacing w:line="360" w:lineRule="auto"/>
              <w:rPr>
                <w:rFonts w:ascii="宋体" w:hAnsi="宋体"/>
                <w:color w:val="auto"/>
                <w:szCs w:val="24"/>
                <w:highlight w:val="none"/>
              </w:rPr>
            </w:pPr>
          </w:p>
        </w:tc>
        <w:tc>
          <w:tcPr>
            <w:tcW w:w="1080" w:type="dxa"/>
            <w:vAlign w:val="center"/>
          </w:tcPr>
          <w:p w14:paraId="13DC8704">
            <w:pPr>
              <w:pStyle w:val="8"/>
              <w:spacing w:line="360" w:lineRule="auto"/>
              <w:rPr>
                <w:rFonts w:ascii="宋体" w:hAnsi="宋体"/>
                <w:color w:val="auto"/>
                <w:szCs w:val="24"/>
                <w:highlight w:val="none"/>
              </w:rPr>
            </w:pPr>
          </w:p>
        </w:tc>
        <w:tc>
          <w:tcPr>
            <w:tcW w:w="1080" w:type="dxa"/>
            <w:tcBorders>
              <w:top w:val="nil"/>
            </w:tcBorders>
            <w:vAlign w:val="center"/>
          </w:tcPr>
          <w:p w14:paraId="78D74E93">
            <w:pPr>
              <w:pStyle w:val="8"/>
              <w:spacing w:line="360" w:lineRule="auto"/>
              <w:rPr>
                <w:rFonts w:ascii="宋体" w:hAnsi="宋体"/>
                <w:color w:val="auto"/>
                <w:szCs w:val="24"/>
                <w:highlight w:val="none"/>
              </w:rPr>
            </w:pPr>
          </w:p>
        </w:tc>
        <w:tc>
          <w:tcPr>
            <w:tcW w:w="1112" w:type="dxa"/>
            <w:tcBorders>
              <w:top w:val="nil"/>
            </w:tcBorders>
            <w:vAlign w:val="center"/>
          </w:tcPr>
          <w:p w14:paraId="2E94BB91">
            <w:pPr>
              <w:pStyle w:val="8"/>
              <w:spacing w:line="360" w:lineRule="auto"/>
              <w:rPr>
                <w:rFonts w:ascii="宋体" w:hAnsi="宋体"/>
                <w:color w:val="auto"/>
                <w:szCs w:val="24"/>
                <w:highlight w:val="none"/>
              </w:rPr>
            </w:pPr>
          </w:p>
        </w:tc>
      </w:tr>
      <w:tr w14:paraId="0B7F66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58" w:type="dxa"/>
            <w:tcBorders>
              <w:top w:val="nil"/>
            </w:tcBorders>
            <w:vAlign w:val="center"/>
          </w:tcPr>
          <w:p w14:paraId="20934A0B">
            <w:pPr>
              <w:pStyle w:val="8"/>
              <w:spacing w:line="360" w:lineRule="auto"/>
              <w:rPr>
                <w:rFonts w:ascii="宋体" w:hAnsi="宋体"/>
                <w:color w:val="auto"/>
                <w:szCs w:val="24"/>
                <w:highlight w:val="none"/>
              </w:rPr>
            </w:pPr>
          </w:p>
        </w:tc>
        <w:tc>
          <w:tcPr>
            <w:tcW w:w="1400" w:type="dxa"/>
            <w:tcBorders>
              <w:top w:val="nil"/>
            </w:tcBorders>
            <w:vAlign w:val="center"/>
          </w:tcPr>
          <w:p w14:paraId="0B73C4B7">
            <w:pPr>
              <w:pStyle w:val="8"/>
              <w:spacing w:line="360" w:lineRule="auto"/>
              <w:rPr>
                <w:rFonts w:ascii="宋体" w:hAnsi="宋体"/>
                <w:color w:val="auto"/>
                <w:szCs w:val="24"/>
                <w:highlight w:val="none"/>
              </w:rPr>
            </w:pPr>
          </w:p>
        </w:tc>
        <w:tc>
          <w:tcPr>
            <w:tcW w:w="1830" w:type="dxa"/>
            <w:tcBorders>
              <w:top w:val="nil"/>
            </w:tcBorders>
            <w:vAlign w:val="center"/>
          </w:tcPr>
          <w:p w14:paraId="74DBC753">
            <w:pPr>
              <w:pStyle w:val="8"/>
              <w:spacing w:line="360" w:lineRule="auto"/>
              <w:rPr>
                <w:rFonts w:ascii="宋体" w:hAnsi="宋体"/>
                <w:color w:val="auto"/>
                <w:szCs w:val="24"/>
                <w:highlight w:val="none"/>
              </w:rPr>
            </w:pPr>
          </w:p>
        </w:tc>
        <w:tc>
          <w:tcPr>
            <w:tcW w:w="1080" w:type="dxa"/>
            <w:vAlign w:val="center"/>
          </w:tcPr>
          <w:p w14:paraId="2880EE6D">
            <w:pPr>
              <w:pStyle w:val="8"/>
              <w:spacing w:line="360" w:lineRule="auto"/>
              <w:rPr>
                <w:rFonts w:ascii="宋体" w:hAnsi="宋体"/>
                <w:color w:val="auto"/>
                <w:szCs w:val="24"/>
                <w:highlight w:val="none"/>
              </w:rPr>
            </w:pPr>
          </w:p>
        </w:tc>
        <w:tc>
          <w:tcPr>
            <w:tcW w:w="1080" w:type="dxa"/>
            <w:vAlign w:val="center"/>
          </w:tcPr>
          <w:p w14:paraId="50230F7D">
            <w:pPr>
              <w:pStyle w:val="8"/>
              <w:spacing w:line="360" w:lineRule="auto"/>
              <w:rPr>
                <w:rFonts w:ascii="宋体" w:hAnsi="宋体"/>
                <w:color w:val="auto"/>
                <w:szCs w:val="24"/>
                <w:highlight w:val="none"/>
              </w:rPr>
            </w:pPr>
          </w:p>
        </w:tc>
        <w:tc>
          <w:tcPr>
            <w:tcW w:w="1080" w:type="dxa"/>
            <w:tcBorders>
              <w:top w:val="nil"/>
            </w:tcBorders>
            <w:vAlign w:val="center"/>
          </w:tcPr>
          <w:p w14:paraId="2A32F9CB">
            <w:pPr>
              <w:pStyle w:val="8"/>
              <w:spacing w:line="360" w:lineRule="auto"/>
              <w:rPr>
                <w:rFonts w:ascii="宋体" w:hAnsi="宋体"/>
                <w:color w:val="auto"/>
                <w:szCs w:val="24"/>
                <w:highlight w:val="none"/>
              </w:rPr>
            </w:pPr>
          </w:p>
        </w:tc>
        <w:tc>
          <w:tcPr>
            <w:tcW w:w="1112" w:type="dxa"/>
            <w:tcBorders>
              <w:top w:val="nil"/>
            </w:tcBorders>
            <w:vAlign w:val="center"/>
          </w:tcPr>
          <w:p w14:paraId="55FD1260">
            <w:pPr>
              <w:pStyle w:val="8"/>
              <w:spacing w:line="360" w:lineRule="auto"/>
              <w:rPr>
                <w:rFonts w:ascii="宋体" w:hAnsi="宋体"/>
                <w:color w:val="auto"/>
                <w:szCs w:val="24"/>
                <w:highlight w:val="none"/>
              </w:rPr>
            </w:pPr>
          </w:p>
        </w:tc>
      </w:tr>
      <w:tr w14:paraId="32AE6E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58" w:type="dxa"/>
            <w:vAlign w:val="center"/>
          </w:tcPr>
          <w:p w14:paraId="25B202BA">
            <w:pPr>
              <w:pStyle w:val="8"/>
              <w:spacing w:line="360" w:lineRule="auto"/>
              <w:rPr>
                <w:rFonts w:ascii="宋体" w:hAnsi="宋体"/>
                <w:color w:val="auto"/>
                <w:szCs w:val="24"/>
                <w:highlight w:val="none"/>
              </w:rPr>
            </w:pPr>
          </w:p>
        </w:tc>
        <w:tc>
          <w:tcPr>
            <w:tcW w:w="1400" w:type="dxa"/>
            <w:vAlign w:val="center"/>
          </w:tcPr>
          <w:p w14:paraId="69365E93">
            <w:pPr>
              <w:pStyle w:val="8"/>
              <w:spacing w:line="360" w:lineRule="auto"/>
              <w:rPr>
                <w:rFonts w:ascii="宋体" w:hAnsi="宋体"/>
                <w:color w:val="auto"/>
                <w:szCs w:val="24"/>
                <w:highlight w:val="none"/>
              </w:rPr>
            </w:pPr>
          </w:p>
        </w:tc>
        <w:tc>
          <w:tcPr>
            <w:tcW w:w="1830" w:type="dxa"/>
            <w:vAlign w:val="center"/>
          </w:tcPr>
          <w:p w14:paraId="644BB32C">
            <w:pPr>
              <w:pStyle w:val="8"/>
              <w:spacing w:line="360" w:lineRule="auto"/>
              <w:rPr>
                <w:rFonts w:ascii="宋体" w:hAnsi="宋体"/>
                <w:color w:val="auto"/>
                <w:szCs w:val="24"/>
                <w:highlight w:val="none"/>
              </w:rPr>
            </w:pPr>
          </w:p>
        </w:tc>
        <w:tc>
          <w:tcPr>
            <w:tcW w:w="1080" w:type="dxa"/>
            <w:vAlign w:val="center"/>
          </w:tcPr>
          <w:p w14:paraId="410AA921">
            <w:pPr>
              <w:pStyle w:val="8"/>
              <w:spacing w:line="360" w:lineRule="auto"/>
              <w:rPr>
                <w:rFonts w:ascii="宋体" w:hAnsi="宋体"/>
                <w:color w:val="auto"/>
                <w:szCs w:val="24"/>
                <w:highlight w:val="none"/>
              </w:rPr>
            </w:pPr>
          </w:p>
        </w:tc>
        <w:tc>
          <w:tcPr>
            <w:tcW w:w="1080" w:type="dxa"/>
            <w:vAlign w:val="center"/>
          </w:tcPr>
          <w:p w14:paraId="0CF4D055">
            <w:pPr>
              <w:pStyle w:val="8"/>
              <w:spacing w:line="360" w:lineRule="auto"/>
              <w:rPr>
                <w:rFonts w:ascii="宋体" w:hAnsi="宋体"/>
                <w:color w:val="auto"/>
                <w:szCs w:val="24"/>
                <w:highlight w:val="none"/>
              </w:rPr>
            </w:pPr>
          </w:p>
        </w:tc>
        <w:tc>
          <w:tcPr>
            <w:tcW w:w="1080" w:type="dxa"/>
            <w:vAlign w:val="center"/>
          </w:tcPr>
          <w:p w14:paraId="5BDDFF67">
            <w:pPr>
              <w:pStyle w:val="8"/>
              <w:spacing w:line="360" w:lineRule="auto"/>
              <w:rPr>
                <w:rFonts w:ascii="宋体" w:hAnsi="宋体"/>
                <w:color w:val="auto"/>
                <w:szCs w:val="24"/>
                <w:highlight w:val="none"/>
              </w:rPr>
            </w:pPr>
          </w:p>
        </w:tc>
        <w:tc>
          <w:tcPr>
            <w:tcW w:w="1112" w:type="dxa"/>
            <w:vAlign w:val="center"/>
          </w:tcPr>
          <w:p w14:paraId="0463C15F">
            <w:pPr>
              <w:pStyle w:val="8"/>
              <w:spacing w:line="360" w:lineRule="auto"/>
              <w:rPr>
                <w:rFonts w:ascii="宋体" w:hAnsi="宋体"/>
                <w:color w:val="auto"/>
                <w:szCs w:val="24"/>
                <w:highlight w:val="none"/>
              </w:rPr>
            </w:pPr>
          </w:p>
        </w:tc>
      </w:tr>
    </w:tbl>
    <w:p w14:paraId="02AD15BA">
      <w:pPr>
        <w:pStyle w:val="8"/>
        <w:spacing w:line="360" w:lineRule="auto"/>
        <w:rPr>
          <w:rFonts w:ascii="宋体" w:hAnsi="宋体"/>
          <w:color w:val="auto"/>
          <w:szCs w:val="24"/>
          <w:highlight w:val="none"/>
        </w:rPr>
      </w:pPr>
      <w:r>
        <w:rPr>
          <w:rFonts w:ascii="宋体" w:hAnsi="宋体"/>
          <w:color w:val="auto"/>
          <w:szCs w:val="24"/>
          <w:highlight w:val="none"/>
        </w:rPr>
        <w:t xml:space="preserve">2.3   </w:t>
      </w:r>
      <w:r>
        <w:rPr>
          <w:rFonts w:hint="eastAsia" w:ascii="宋体" w:hAnsi="宋体"/>
          <w:color w:val="auto"/>
          <w:szCs w:val="24"/>
          <w:highlight w:val="none"/>
        </w:rPr>
        <w:t>培训的时间、人数、地点等具体内容由招投标双方商定。</w:t>
      </w:r>
    </w:p>
    <w:p w14:paraId="2DE5F8A8">
      <w:pPr>
        <w:pStyle w:val="8"/>
        <w:spacing w:line="360" w:lineRule="auto"/>
        <w:rPr>
          <w:rFonts w:ascii="宋体" w:hAnsi="宋体"/>
          <w:color w:val="auto"/>
          <w:szCs w:val="24"/>
          <w:highlight w:val="none"/>
        </w:rPr>
      </w:pPr>
      <w:r>
        <w:rPr>
          <w:rFonts w:ascii="宋体" w:hAnsi="宋体"/>
          <w:color w:val="auto"/>
          <w:szCs w:val="24"/>
          <w:highlight w:val="none"/>
        </w:rPr>
        <w:t xml:space="preserve">2.4   </w:t>
      </w:r>
      <w:r>
        <w:rPr>
          <w:rFonts w:hint="eastAsia" w:ascii="宋体" w:hAnsi="宋体"/>
          <w:color w:val="auto"/>
          <w:szCs w:val="24"/>
          <w:highlight w:val="none"/>
        </w:rPr>
        <w:t>投标人为招标人培训人员提供设备、场地、资料等培训条件，并提供食宿和交通、通信方便。</w:t>
      </w:r>
    </w:p>
    <w:p w14:paraId="367C3E32">
      <w:pPr>
        <w:pStyle w:val="8"/>
        <w:spacing w:line="360" w:lineRule="auto"/>
        <w:rPr>
          <w:rFonts w:ascii="宋体" w:hAnsi="宋体"/>
          <w:color w:val="auto"/>
          <w:szCs w:val="24"/>
          <w:highlight w:val="none"/>
        </w:rPr>
      </w:pPr>
      <w:r>
        <w:rPr>
          <w:rFonts w:hint="eastAsia" w:ascii="宋体" w:hAnsi="宋体"/>
          <w:color w:val="auto"/>
          <w:szCs w:val="24"/>
          <w:highlight w:val="none"/>
        </w:rPr>
        <w:t>现场、工厂，培训费用包含在合同总价中，如因工程实际的需要，</w:t>
      </w:r>
      <w:r>
        <w:rPr>
          <w:rFonts w:hint="eastAsia" w:ascii="宋体" w:hAnsi="宋体"/>
          <w:color w:val="auto"/>
          <w:szCs w:val="24"/>
          <w:highlight w:val="none"/>
          <w:lang w:eastAsia="zh-CN"/>
        </w:rPr>
        <w:t>招标人</w:t>
      </w:r>
      <w:r>
        <w:rPr>
          <w:rFonts w:hint="eastAsia" w:ascii="宋体" w:hAnsi="宋体"/>
          <w:color w:val="auto"/>
          <w:szCs w:val="24"/>
          <w:highlight w:val="none"/>
        </w:rPr>
        <w:t>需培训人数和次数的增加均不影响合同总价。</w:t>
      </w:r>
    </w:p>
    <w:p w14:paraId="44AE4515">
      <w:pPr>
        <w:pStyle w:val="8"/>
        <w:spacing w:line="360" w:lineRule="auto"/>
        <w:rPr>
          <w:rFonts w:ascii="宋体" w:hAnsi="宋体"/>
          <w:b/>
          <w:bCs/>
          <w:color w:val="auto"/>
          <w:szCs w:val="24"/>
          <w:highlight w:val="none"/>
        </w:rPr>
      </w:pPr>
      <w:r>
        <w:rPr>
          <w:rFonts w:ascii="宋体" w:hAnsi="宋体"/>
          <w:b/>
          <w:bCs/>
          <w:color w:val="auto"/>
          <w:szCs w:val="24"/>
          <w:highlight w:val="none"/>
        </w:rPr>
        <w:t xml:space="preserve">3  </w:t>
      </w:r>
      <w:r>
        <w:rPr>
          <w:rFonts w:hint="eastAsia" w:ascii="宋体" w:hAnsi="宋体"/>
          <w:b/>
          <w:bCs/>
          <w:color w:val="auto"/>
          <w:szCs w:val="24"/>
          <w:highlight w:val="none"/>
        </w:rPr>
        <w:t>设计联络</w:t>
      </w:r>
    </w:p>
    <w:p w14:paraId="279E938D">
      <w:pPr>
        <w:pStyle w:val="8"/>
        <w:spacing w:line="360" w:lineRule="auto"/>
        <w:rPr>
          <w:rFonts w:ascii="宋体" w:hAnsi="宋体"/>
          <w:color w:val="auto"/>
          <w:szCs w:val="24"/>
          <w:highlight w:val="none"/>
        </w:rPr>
      </w:pPr>
      <w:r>
        <w:rPr>
          <w:rFonts w:hint="eastAsia" w:ascii="宋体" w:hAnsi="宋体"/>
          <w:color w:val="auto"/>
          <w:szCs w:val="24"/>
          <w:highlight w:val="none"/>
        </w:rPr>
        <w:t>设计联络会原则上安排二次，第一次会务组织及会务费用由投标人负责，第二次会务组织及会务费用招标人负责，如因与调度方接口联调需要而增加联络会次数,但每次联络会差旅费均各自理。有关设计联络的计划、时间、地点和内容要求由招标投标双方商定。</w:t>
      </w:r>
    </w:p>
    <w:p w14:paraId="238A6AB0">
      <w:pPr>
        <w:pStyle w:val="8"/>
        <w:spacing w:line="360" w:lineRule="auto"/>
        <w:rPr>
          <w:rFonts w:ascii="宋体" w:hAnsi="宋体"/>
          <w:color w:val="auto"/>
          <w:szCs w:val="24"/>
          <w:highlight w:val="none"/>
        </w:rPr>
      </w:pPr>
      <w:r>
        <w:rPr>
          <w:rFonts w:hint="eastAsia" w:ascii="宋体" w:hAnsi="宋体"/>
          <w:color w:val="auto"/>
          <w:szCs w:val="24"/>
          <w:highlight w:val="none"/>
        </w:rPr>
        <w:t>设计联络计划表</w:t>
      </w:r>
    </w:p>
    <w:tbl>
      <w:tblPr>
        <w:tblStyle w:val="3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48"/>
        <w:gridCol w:w="737"/>
        <w:gridCol w:w="2023"/>
        <w:gridCol w:w="1560"/>
        <w:gridCol w:w="1560"/>
        <w:gridCol w:w="2040"/>
      </w:tblGrid>
      <w:tr w14:paraId="4AC0A0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3BA16555">
            <w:pPr>
              <w:pStyle w:val="8"/>
              <w:spacing w:line="360" w:lineRule="auto"/>
              <w:ind w:firstLine="0"/>
              <w:rPr>
                <w:rFonts w:ascii="宋体" w:hAnsi="宋体"/>
                <w:color w:val="auto"/>
                <w:szCs w:val="24"/>
                <w:highlight w:val="none"/>
              </w:rPr>
            </w:pPr>
            <w:r>
              <w:rPr>
                <w:rFonts w:hint="eastAsia" w:ascii="宋体" w:hAnsi="宋体"/>
                <w:color w:val="auto"/>
                <w:szCs w:val="24"/>
                <w:highlight w:val="none"/>
              </w:rPr>
              <w:t>序号</w:t>
            </w:r>
          </w:p>
        </w:tc>
        <w:tc>
          <w:tcPr>
            <w:tcW w:w="737" w:type="dxa"/>
          </w:tcPr>
          <w:p w14:paraId="1410670D">
            <w:pPr>
              <w:pStyle w:val="8"/>
              <w:spacing w:line="360" w:lineRule="auto"/>
              <w:ind w:firstLine="0"/>
              <w:rPr>
                <w:rFonts w:ascii="宋体" w:hAnsi="宋体"/>
                <w:color w:val="auto"/>
                <w:szCs w:val="24"/>
                <w:highlight w:val="none"/>
              </w:rPr>
            </w:pPr>
            <w:r>
              <w:rPr>
                <w:rFonts w:hint="eastAsia" w:ascii="宋体" w:hAnsi="宋体"/>
                <w:color w:val="auto"/>
                <w:szCs w:val="24"/>
                <w:highlight w:val="none"/>
              </w:rPr>
              <w:t>次数</w:t>
            </w:r>
          </w:p>
        </w:tc>
        <w:tc>
          <w:tcPr>
            <w:tcW w:w="2023" w:type="dxa"/>
          </w:tcPr>
          <w:p w14:paraId="7E06F3D8">
            <w:pPr>
              <w:pStyle w:val="8"/>
              <w:spacing w:line="360" w:lineRule="auto"/>
              <w:rPr>
                <w:rFonts w:ascii="宋体" w:hAnsi="宋体"/>
                <w:color w:val="auto"/>
                <w:szCs w:val="24"/>
                <w:highlight w:val="none"/>
              </w:rPr>
            </w:pPr>
            <w:r>
              <w:rPr>
                <w:rFonts w:hint="eastAsia" w:ascii="宋体" w:hAnsi="宋体"/>
                <w:color w:val="auto"/>
                <w:szCs w:val="24"/>
                <w:highlight w:val="none"/>
              </w:rPr>
              <w:t>内容</w:t>
            </w:r>
          </w:p>
        </w:tc>
        <w:tc>
          <w:tcPr>
            <w:tcW w:w="1560" w:type="dxa"/>
          </w:tcPr>
          <w:p w14:paraId="12A62A36">
            <w:pPr>
              <w:pStyle w:val="8"/>
              <w:spacing w:line="360" w:lineRule="auto"/>
              <w:rPr>
                <w:rFonts w:ascii="宋体" w:hAnsi="宋体"/>
                <w:color w:val="auto"/>
                <w:szCs w:val="24"/>
                <w:highlight w:val="none"/>
              </w:rPr>
            </w:pPr>
            <w:r>
              <w:rPr>
                <w:rFonts w:hint="eastAsia" w:ascii="宋体" w:hAnsi="宋体"/>
                <w:color w:val="auto"/>
                <w:szCs w:val="24"/>
                <w:highlight w:val="none"/>
              </w:rPr>
              <w:t>时间</w:t>
            </w:r>
          </w:p>
        </w:tc>
        <w:tc>
          <w:tcPr>
            <w:tcW w:w="1560" w:type="dxa"/>
          </w:tcPr>
          <w:p w14:paraId="744A711F">
            <w:pPr>
              <w:pStyle w:val="8"/>
              <w:spacing w:line="360" w:lineRule="auto"/>
              <w:rPr>
                <w:rFonts w:ascii="宋体" w:hAnsi="宋体"/>
                <w:color w:val="auto"/>
                <w:szCs w:val="24"/>
                <w:highlight w:val="none"/>
              </w:rPr>
            </w:pPr>
            <w:r>
              <w:rPr>
                <w:rFonts w:hint="eastAsia" w:ascii="宋体" w:hAnsi="宋体"/>
                <w:color w:val="auto"/>
                <w:szCs w:val="24"/>
                <w:highlight w:val="none"/>
              </w:rPr>
              <w:t>地点</w:t>
            </w:r>
          </w:p>
        </w:tc>
        <w:tc>
          <w:tcPr>
            <w:tcW w:w="2040" w:type="dxa"/>
          </w:tcPr>
          <w:p w14:paraId="0CAF865A">
            <w:pPr>
              <w:pStyle w:val="8"/>
              <w:spacing w:line="360" w:lineRule="auto"/>
              <w:rPr>
                <w:rFonts w:ascii="宋体" w:hAnsi="宋体"/>
                <w:color w:val="auto"/>
                <w:szCs w:val="24"/>
                <w:highlight w:val="none"/>
              </w:rPr>
            </w:pPr>
            <w:r>
              <w:rPr>
                <w:rFonts w:hint="eastAsia" w:ascii="宋体" w:hAnsi="宋体"/>
                <w:color w:val="auto"/>
                <w:szCs w:val="24"/>
                <w:highlight w:val="none"/>
              </w:rPr>
              <w:t>人数</w:t>
            </w:r>
          </w:p>
        </w:tc>
      </w:tr>
      <w:tr w14:paraId="2D1692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02629508">
            <w:pPr>
              <w:pStyle w:val="8"/>
              <w:spacing w:line="360" w:lineRule="auto"/>
              <w:rPr>
                <w:rFonts w:ascii="宋体" w:hAnsi="宋体"/>
                <w:color w:val="auto"/>
                <w:szCs w:val="24"/>
                <w:highlight w:val="none"/>
              </w:rPr>
            </w:pPr>
            <w:r>
              <w:rPr>
                <w:rFonts w:hint="eastAsia" w:ascii="宋体" w:hAnsi="宋体"/>
                <w:color w:val="auto"/>
                <w:szCs w:val="24"/>
                <w:highlight w:val="none"/>
              </w:rPr>
              <w:t>1</w:t>
            </w:r>
          </w:p>
        </w:tc>
        <w:tc>
          <w:tcPr>
            <w:tcW w:w="737" w:type="dxa"/>
          </w:tcPr>
          <w:p w14:paraId="2339792F">
            <w:pPr>
              <w:pStyle w:val="8"/>
              <w:spacing w:line="360" w:lineRule="auto"/>
              <w:rPr>
                <w:rFonts w:ascii="宋体" w:hAnsi="宋体"/>
                <w:color w:val="auto"/>
                <w:szCs w:val="24"/>
                <w:highlight w:val="none"/>
              </w:rPr>
            </w:pPr>
            <w:r>
              <w:rPr>
                <w:rFonts w:hint="eastAsia" w:ascii="宋体" w:hAnsi="宋体"/>
                <w:color w:val="auto"/>
                <w:szCs w:val="24"/>
                <w:highlight w:val="none"/>
              </w:rPr>
              <w:t>1</w:t>
            </w:r>
          </w:p>
        </w:tc>
        <w:tc>
          <w:tcPr>
            <w:tcW w:w="2023" w:type="dxa"/>
          </w:tcPr>
          <w:p w14:paraId="7EE948AE">
            <w:pPr>
              <w:pStyle w:val="8"/>
              <w:spacing w:line="360" w:lineRule="auto"/>
              <w:rPr>
                <w:rFonts w:ascii="宋体" w:hAnsi="宋体"/>
                <w:color w:val="auto"/>
                <w:szCs w:val="24"/>
                <w:highlight w:val="none"/>
              </w:rPr>
            </w:pPr>
          </w:p>
        </w:tc>
        <w:tc>
          <w:tcPr>
            <w:tcW w:w="1560" w:type="dxa"/>
          </w:tcPr>
          <w:p w14:paraId="4C009A9A">
            <w:pPr>
              <w:pStyle w:val="8"/>
              <w:spacing w:line="360" w:lineRule="auto"/>
              <w:rPr>
                <w:rFonts w:ascii="宋体" w:hAnsi="宋体"/>
                <w:color w:val="auto"/>
                <w:szCs w:val="24"/>
                <w:highlight w:val="none"/>
              </w:rPr>
            </w:pPr>
          </w:p>
        </w:tc>
        <w:tc>
          <w:tcPr>
            <w:tcW w:w="1560" w:type="dxa"/>
          </w:tcPr>
          <w:p w14:paraId="34A49A22">
            <w:pPr>
              <w:pStyle w:val="8"/>
              <w:spacing w:line="360" w:lineRule="auto"/>
              <w:ind w:firstLine="0"/>
              <w:rPr>
                <w:rFonts w:ascii="宋体" w:hAnsi="宋体"/>
                <w:color w:val="auto"/>
                <w:szCs w:val="24"/>
                <w:highlight w:val="none"/>
              </w:rPr>
            </w:pPr>
            <w:r>
              <w:rPr>
                <w:rFonts w:hint="eastAsia" w:ascii="宋体" w:hAnsi="宋体"/>
                <w:color w:val="auto"/>
                <w:szCs w:val="24"/>
                <w:highlight w:val="none"/>
              </w:rPr>
              <w:t>投标人所在地</w:t>
            </w:r>
          </w:p>
        </w:tc>
        <w:tc>
          <w:tcPr>
            <w:tcW w:w="2040" w:type="dxa"/>
          </w:tcPr>
          <w:p w14:paraId="7DBD5272">
            <w:pPr>
              <w:pStyle w:val="8"/>
              <w:spacing w:line="360" w:lineRule="auto"/>
              <w:rPr>
                <w:rFonts w:ascii="宋体" w:hAnsi="宋体"/>
                <w:color w:val="auto"/>
                <w:szCs w:val="24"/>
                <w:highlight w:val="none"/>
              </w:rPr>
            </w:pPr>
          </w:p>
        </w:tc>
      </w:tr>
      <w:tr w14:paraId="43F80E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25660228">
            <w:pPr>
              <w:pStyle w:val="8"/>
              <w:spacing w:line="360" w:lineRule="auto"/>
              <w:rPr>
                <w:rFonts w:ascii="宋体" w:hAnsi="宋体"/>
                <w:color w:val="auto"/>
                <w:szCs w:val="24"/>
                <w:highlight w:val="none"/>
              </w:rPr>
            </w:pPr>
            <w:r>
              <w:rPr>
                <w:rFonts w:hint="eastAsia" w:ascii="宋体" w:hAnsi="宋体"/>
                <w:color w:val="auto"/>
                <w:szCs w:val="24"/>
                <w:highlight w:val="none"/>
              </w:rPr>
              <w:t>2</w:t>
            </w:r>
          </w:p>
        </w:tc>
        <w:tc>
          <w:tcPr>
            <w:tcW w:w="737" w:type="dxa"/>
          </w:tcPr>
          <w:p w14:paraId="26AA20AD">
            <w:pPr>
              <w:pStyle w:val="8"/>
              <w:spacing w:line="360" w:lineRule="auto"/>
              <w:rPr>
                <w:rFonts w:ascii="宋体" w:hAnsi="宋体"/>
                <w:color w:val="auto"/>
                <w:szCs w:val="24"/>
                <w:highlight w:val="none"/>
              </w:rPr>
            </w:pPr>
            <w:r>
              <w:rPr>
                <w:rFonts w:hint="eastAsia" w:ascii="宋体" w:hAnsi="宋体"/>
                <w:color w:val="auto"/>
                <w:szCs w:val="24"/>
                <w:highlight w:val="none"/>
              </w:rPr>
              <w:t>1</w:t>
            </w:r>
          </w:p>
        </w:tc>
        <w:tc>
          <w:tcPr>
            <w:tcW w:w="2023" w:type="dxa"/>
          </w:tcPr>
          <w:p w14:paraId="4561A83C">
            <w:pPr>
              <w:pStyle w:val="8"/>
              <w:spacing w:line="360" w:lineRule="auto"/>
              <w:rPr>
                <w:rFonts w:ascii="宋体" w:hAnsi="宋体"/>
                <w:color w:val="auto"/>
                <w:szCs w:val="24"/>
                <w:highlight w:val="none"/>
              </w:rPr>
            </w:pPr>
          </w:p>
        </w:tc>
        <w:tc>
          <w:tcPr>
            <w:tcW w:w="1560" w:type="dxa"/>
          </w:tcPr>
          <w:p w14:paraId="70A11CCB">
            <w:pPr>
              <w:pStyle w:val="8"/>
              <w:spacing w:line="360" w:lineRule="auto"/>
              <w:rPr>
                <w:rFonts w:ascii="宋体" w:hAnsi="宋体"/>
                <w:color w:val="auto"/>
                <w:szCs w:val="24"/>
                <w:highlight w:val="none"/>
              </w:rPr>
            </w:pPr>
          </w:p>
        </w:tc>
        <w:tc>
          <w:tcPr>
            <w:tcW w:w="1560" w:type="dxa"/>
          </w:tcPr>
          <w:p w14:paraId="251A68A9">
            <w:pPr>
              <w:pStyle w:val="8"/>
              <w:spacing w:line="360" w:lineRule="auto"/>
              <w:ind w:firstLine="0"/>
              <w:rPr>
                <w:rFonts w:ascii="宋体" w:hAnsi="宋体"/>
                <w:color w:val="auto"/>
                <w:szCs w:val="24"/>
                <w:highlight w:val="none"/>
              </w:rPr>
            </w:pPr>
            <w:r>
              <w:rPr>
                <w:rFonts w:hint="eastAsia" w:ascii="宋体" w:hAnsi="宋体"/>
                <w:color w:val="auto"/>
                <w:szCs w:val="24"/>
                <w:highlight w:val="none"/>
              </w:rPr>
              <w:t>招标人所在地</w:t>
            </w:r>
          </w:p>
        </w:tc>
        <w:tc>
          <w:tcPr>
            <w:tcW w:w="2040" w:type="dxa"/>
          </w:tcPr>
          <w:p w14:paraId="7E691543">
            <w:pPr>
              <w:pStyle w:val="8"/>
              <w:spacing w:line="360" w:lineRule="auto"/>
              <w:rPr>
                <w:rFonts w:ascii="宋体" w:hAnsi="宋体"/>
                <w:color w:val="auto"/>
                <w:szCs w:val="24"/>
                <w:highlight w:val="none"/>
              </w:rPr>
            </w:pPr>
          </w:p>
        </w:tc>
      </w:tr>
    </w:tbl>
    <w:p w14:paraId="13B48820">
      <w:pPr>
        <w:pStyle w:val="8"/>
        <w:spacing w:line="360" w:lineRule="auto"/>
        <w:rPr>
          <w:rFonts w:ascii="宋体" w:hAnsi="宋体"/>
          <w:color w:val="auto"/>
          <w:szCs w:val="24"/>
          <w:highlight w:val="none"/>
        </w:rPr>
      </w:pPr>
    </w:p>
    <w:p w14:paraId="6CA00F4C">
      <w:pPr>
        <w:pStyle w:val="2"/>
        <w:rPr>
          <w:color w:val="auto"/>
          <w:sz w:val="30"/>
          <w:szCs w:val="30"/>
          <w:highlight w:val="none"/>
        </w:rPr>
      </w:pPr>
      <w:r>
        <w:rPr>
          <w:rFonts w:hAnsi="宋体"/>
          <w:color w:val="auto"/>
          <w:sz w:val="30"/>
          <w:szCs w:val="30"/>
          <w:highlight w:val="none"/>
        </w:rPr>
        <w:br w:type="page"/>
      </w:r>
      <w:bookmarkStart w:id="105" w:name="_Toc304277658"/>
      <w:bookmarkStart w:id="106" w:name="_Toc316370451"/>
      <w:bookmarkStart w:id="107" w:name="_Toc304277671"/>
      <w:bookmarkStart w:id="108" w:name="_Toc334015526"/>
      <w:r>
        <w:rPr>
          <w:rFonts w:hint="eastAsia"/>
          <w:color w:val="auto"/>
          <w:sz w:val="30"/>
          <w:szCs w:val="30"/>
          <w:highlight w:val="none"/>
        </w:rPr>
        <w:t>附件7分包与外购</w:t>
      </w:r>
      <w:bookmarkEnd w:id="105"/>
      <w:bookmarkEnd w:id="106"/>
      <w:bookmarkEnd w:id="107"/>
      <w:bookmarkEnd w:id="108"/>
    </w:p>
    <w:p w14:paraId="6F598035">
      <w:pPr>
        <w:spacing w:line="400" w:lineRule="atLeast"/>
        <w:ind w:firstLine="480" w:firstLineChars="200"/>
        <w:rPr>
          <w:rFonts w:ascii="宋体"/>
          <w:color w:val="auto"/>
          <w:sz w:val="24"/>
          <w:szCs w:val="24"/>
          <w:highlight w:val="none"/>
        </w:rPr>
      </w:pPr>
      <w:r>
        <w:rPr>
          <w:rFonts w:hint="eastAsia" w:ascii="宋体"/>
          <w:color w:val="auto"/>
          <w:sz w:val="24"/>
          <w:szCs w:val="24"/>
          <w:highlight w:val="none"/>
        </w:rPr>
        <w:t>投标人要按下列表格填写分包情况表，并报各分包厂家的简要资质情况（包括与本设备的配套业绩）。</w:t>
      </w:r>
    </w:p>
    <w:p w14:paraId="4F8698D7">
      <w:pPr>
        <w:spacing w:line="400" w:lineRule="atLeast"/>
        <w:rPr>
          <w:rFonts w:ascii="宋体"/>
          <w:color w:val="auto"/>
          <w:sz w:val="24"/>
          <w:szCs w:val="24"/>
          <w:highlight w:val="none"/>
        </w:rPr>
      </w:pPr>
      <w:r>
        <w:rPr>
          <w:rFonts w:hint="eastAsia" w:ascii="宋体"/>
          <w:color w:val="auto"/>
          <w:sz w:val="24"/>
          <w:szCs w:val="24"/>
          <w:highlight w:val="none"/>
        </w:rPr>
        <w:t>分包情况表</w:t>
      </w:r>
    </w:p>
    <w:p w14:paraId="1A3A6D53">
      <w:pPr>
        <w:spacing w:line="400" w:lineRule="atLeast"/>
        <w:rPr>
          <w:rFonts w:ascii="宋体"/>
          <w:color w:val="auto"/>
          <w:sz w:val="24"/>
          <w:szCs w:val="24"/>
          <w:highlight w:val="none"/>
        </w:rPr>
      </w:pPr>
      <w:r>
        <w:rPr>
          <w:rFonts w:hint="eastAsia" w:ascii="宋体"/>
          <w:color w:val="auto"/>
          <w:sz w:val="24"/>
          <w:szCs w:val="24"/>
          <w:highlight w:val="none"/>
        </w:rPr>
        <w:t>注：下表中的序号和内容应与附件</w:t>
      </w:r>
      <w:r>
        <w:rPr>
          <w:rFonts w:ascii="宋体"/>
          <w:color w:val="auto"/>
          <w:sz w:val="24"/>
          <w:szCs w:val="24"/>
          <w:highlight w:val="none"/>
        </w:rPr>
        <w:t>2</w:t>
      </w:r>
      <w:r>
        <w:rPr>
          <w:rFonts w:hint="eastAsia" w:ascii="宋体"/>
          <w:color w:val="auto"/>
          <w:sz w:val="24"/>
          <w:szCs w:val="24"/>
          <w:highlight w:val="none"/>
        </w:rPr>
        <w:t>的一致</w:t>
      </w:r>
    </w:p>
    <w:p w14:paraId="106137D2">
      <w:pPr>
        <w:rPr>
          <w:color w:val="auto"/>
          <w:highlight w:val="none"/>
        </w:rPr>
      </w:pPr>
    </w:p>
    <w:tbl>
      <w:tblPr>
        <w:tblStyle w:val="3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8"/>
        <w:gridCol w:w="1372"/>
        <w:gridCol w:w="1428"/>
        <w:gridCol w:w="980"/>
        <w:gridCol w:w="1120"/>
        <w:gridCol w:w="1260"/>
        <w:gridCol w:w="840"/>
        <w:gridCol w:w="912"/>
      </w:tblGrid>
      <w:tr w14:paraId="096455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08" w:type="dxa"/>
          </w:tcPr>
          <w:p w14:paraId="1E719BAE">
            <w:pPr>
              <w:rPr>
                <w:color w:val="auto"/>
                <w:sz w:val="24"/>
                <w:szCs w:val="24"/>
                <w:highlight w:val="none"/>
              </w:rPr>
            </w:pPr>
            <w:r>
              <w:rPr>
                <w:rFonts w:hint="eastAsia" w:ascii="宋体"/>
                <w:color w:val="auto"/>
                <w:sz w:val="24"/>
                <w:szCs w:val="24"/>
                <w:highlight w:val="none"/>
              </w:rPr>
              <w:t>序号</w:t>
            </w:r>
          </w:p>
        </w:tc>
        <w:tc>
          <w:tcPr>
            <w:tcW w:w="1372" w:type="dxa"/>
          </w:tcPr>
          <w:p w14:paraId="37C8331D">
            <w:pPr>
              <w:rPr>
                <w:color w:val="auto"/>
                <w:sz w:val="24"/>
                <w:szCs w:val="24"/>
                <w:highlight w:val="none"/>
              </w:rPr>
            </w:pPr>
            <w:r>
              <w:rPr>
                <w:rFonts w:hint="eastAsia" w:ascii="宋体"/>
                <w:color w:val="auto"/>
                <w:sz w:val="24"/>
                <w:szCs w:val="24"/>
                <w:highlight w:val="none"/>
              </w:rPr>
              <w:t>设备组件</w:t>
            </w:r>
          </w:p>
        </w:tc>
        <w:tc>
          <w:tcPr>
            <w:tcW w:w="1428" w:type="dxa"/>
          </w:tcPr>
          <w:p w14:paraId="13D3DEFE">
            <w:pPr>
              <w:rPr>
                <w:color w:val="auto"/>
                <w:sz w:val="24"/>
                <w:szCs w:val="24"/>
                <w:highlight w:val="none"/>
              </w:rPr>
            </w:pPr>
            <w:r>
              <w:rPr>
                <w:rFonts w:hint="eastAsia" w:ascii="宋体"/>
                <w:color w:val="auto"/>
                <w:sz w:val="24"/>
                <w:szCs w:val="24"/>
                <w:highlight w:val="none"/>
              </w:rPr>
              <w:t>厂家名称</w:t>
            </w:r>
          </w:p>
        </w:tc>
        <w:tc>
          <w:tcPr>
            <w:tcW w:w="980" w:type="dxa"/>
          </w:tcPr>
          <w:p w14:paraId="050210D7">
            <w:pPr>
              <w:rPr>
                <w:color w:val="auto"/>
                <w:sz w:val="24"/>
                <w:szCs w:val="24"/>
                <w:highlight w:val="none"/>
              </w:rPr>
            </w:pPr>
            <w:r>
              <w:rPr>
                <w:rFonts w:hint="eastAsia" w:ascii="宋体"/>
                <w:color w:val="auto"/>
                <w:sz w:val="24"/>
                <w:szCs w:val="24"/>
                <w:highlight w:val="none"/>
              </w:rPr>
              <w:t>型号</w:t>
            </w:r>
          </w:p>
        </w:tc>
        <w:tc>
          <w:tcPr>
            <w:tcW w:w="1120" w:type="dxa"/>
          </w:tcPr>
          <w:p w14:paraId="07E6B09E">
            <w:pPr>
              <w:rPr>
                <w:color w:val="auto"/>
                <w:sz w:val="24"/>
                <w:szCs w:val="24"/>
                <w:highlight w:val="none"/>
              </w:rPr>
            </w:pPr>
            <w:r>
              <w:rPr>
                <w:rFonts w:hint="eastAsia" w:ascii="宋体"/>
                <w:color w:val="auto"/>
                <w:sz w:val="24"/>
                <w:szCs w:val="24"/>
                <w:highlight w:val="none"/>
              </w:rPr>
              <w:t>单位</w:t>
            </w:r>
          </w:p>
        </w:tc>
        <w:tc>
          <w:tcPr>
            <w:tcW w:w="1260" w:type="dxa"/>
          </w:tcPr>
          <w:p w14:paraId="2CDF0305">
            <w:pPr>
              <w:rPr>
                <w:color w:val="auto"/>
                <w:sz w:val="24"/>
                <w:szCs w:val="24"/>
                <w:highlight w:val="none"/>
              </w:rPr>
            </w:pPr>
            <w:r>
              <w:rPr>
                <w:rFonts w:hint="eastAsia" w:ascii="宋体"/>
                <w:color w:val="auto"/>
                <w:sz w:val="24"/>
                <w:szCs w:val="24"/>
                <w:highlight w:val="none"/>
              </w:rPr>
              <w:t>数量</w:t>
            </w:r>
          </w:p>
        </w:tc>
        <w:tc>
          <w:tcPr>
            <w:tcW w:w="840" w:type="dxa"/>
          </w:tcPr>
          <w:p w14:paraId="4FEDAA11">
            <w:pPr>
              <w:rPr>
                <w:color w:val="auto"/>
                <w:sz w:val="24"/>
                <w:szCs w:val="24"/>
                <w:highlight w:val="none"/>
              </w:rPr>
            </w:pPr>
            <w:r>
              <w:rPr>
                <w:rFonts w:hint="eastAsia" w:ascii="宋体"/>
                <w:color w:val="auto"/>
                <w:sz w:val="24"/>
                <w:szCs w:val="24"/>
                <w:highlight w:val="none"/>
              </w:rPr>
              <w:t>产地</w:t>
            </w:r>
          </w:p>
        </w:tc>
        <w:tc>
          <w:tcPr>
            <w:tcW w:w="912" w:type="dxa"/>
          </w:tcPr>
          <w:p w14:paraId="58761162">
            <w:pPr>
              <w:rPr>
                <w:color w:val="auto"/>
                <w:sz w:val="24"/>
                <w:szCs w:val="24"/>
                <w:highlight w:val="none"/>
              </w:rPr>
            </w:pPr>
            <w:r>
              <w:rPr>
                <w:rFonts w:hint="eastAsia" w:ascii="宋体"/>
                <w:color w:val="auto"/>
                <w:sz w:val="24"/>
                <w:szCs w:val="24"/>
                <w:highlight w:val="none"/>
              </w:rPr>
              <w:t>备注</w:t>
            </w:r>
          </w:p>
        </w:tc>
      </w:tr>
      <w:tr w14:paraId="2901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10921209">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w:t>
            </w:r>
          </w:p>
        </w:tc>
        <w:tc>
          <w:tcPr>
            <w:tcW w:w="1372" w:type="dxa"/>
            <w:vMerge w:val="restart"/>
          </w:tcPr>
          <w:p w14:paraId="6ECD9D09">
            <w:pPr>
              <w:rPr>
                <w:color w:val="auto"/>
                <w:highlight w:val="none"/>
              </w:rPr>
            </w:pPr>
          </w:p>
        </w:tc>
        <w:tc>
          <w:tcPr>
            <w:tcW w:w="1428" w:type="dxa"/>
          </w:tcPr>
          <w:p w14:paraId="3F984A36">
            <w:pPr>
              <w:rPr>
                <w:color w:val="auto"/>
                <w:highlight w:val="none"/>
              </w:rPr>
            </w:pPr>
          </w:p>
        </w:tc>
        <w:tc>
          <w:tcPr>
            <w:tcW w:w="980" w:type="dxa"/>
          </w:tcPr>
          <w:p w14:paraId="0143F358">
            <w:pPr>
              <w:rPr>
                <w:color w:val="auto"/>
                <w:highlight w:val="none"/>
              </w:rPr>
            </w:pPr>
          </w:p>
        </w:tc>
        <w:tc>
          <w:tcPr>
            <w:tcW w:w="1120" w:type="dxa"/>
          </w:tcPr>
          <w:p w14:paraId="3829189E">
            <w:pPr>
              <w:rPr>
                <w:color w:val="auto"/>
                <w:highlight w:val="none"/>
              </w:rPr>
            </w:pPr>
          </w:p>
        </w:tc>
        <w:tc>
          <w:tcPr>
            <w:tcW w:w="1260" w:type="dxa"/>
          </w:tcPr>
          <w:p w14:paraId="7F5EEA9E">
            <w:pPr>
              <w:rPr>
                <w:color w:val="auto"/>
                <w:highlight w:val="none"/>
              </w:rPr>
            </w:pPr>
          </w:p>
        </w:tc>
        <w:tc>
          <w:tcPr>
            <w:tcW w:w="840" w:type="dxa"/>
          </w:tcPr>
          <w:p w14:paraId="24F89BEE">
            <w:pPr>
              <w:rPr>
                <w:color w:val="auto"/>
                <w:highlight w:val="none"/>
              </w:rPr>
            </w:pPr>
          </w:p>
        </w:tc>
        <w:tc>
          <w:tcPr>
            <w:tcW w:w="912" w:type="dxa"/>
          </w:tcPr>
          <w:p w14:paraId="1EC8AD93">
            <w:pPr>
              <w:rPr>
                <w:color w:val="auto"/>
                <w:highlight w:val="none"/>
              </w:rPr>
            </w:pPr>
          </w:p>
        </w:tc>
      </w:tr>
      <w:tr w14:paraId="4293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9DDD193">
            <w:pPr>
              <w:jc w:val="center"/>
              <w:rPr>
                <w:rFonts w:asciiTheme="minorEastAsia" w:hAnsiTheme="minorEastAsia" w:eastAsiaTheme="minorEastAsia"/>
                <w:color w:val="auto"/>
                <w:sz w:val="24"/>
                <w:szCs w:val="24"/>
                <w:highlight w:val="none"/>
              </w:rPr>
            </w:pPr>
          </w:p>
        </w:tc>
        <w:tc>
          <w:tcPr>
            <w:tcW w:w="1372" w:type="dxa"/>
            <w:vMerge w:val="continue"/>
          </w:tcPr>
          <w:p w14:paraId="7274D939">
            <w:pPr>
              <w:rPr>
                <w:color w:val="auto"/>
                <w:highlight w:val="none"/>
              </w:rPr>
            </w:pPr>
          </w:p>
        </w:tc>
        <w:tc>
          <w:tcPr>
            <w:tcW w:w="1428" w:type="dxa"/>
          </w:tcPr>
          <w:p w14:paraId="3BF74815">
            <w:pPr>
              <w:rPr>
                <w:color w:val="auto"/>
                <w:highlight w:val="none"/>
              </w:rPr>
            </w:pPr>
          </w:p>
        </w:tc>
        <w:tc>
          <w:tcPr>
            <w:tcW w:w="980" w:type="dxa"/>
          </w:tcPr>
          <w:p w14:paraId="7A2EAFA5">
            <w:pPr>
              <w:rPr>
                <w:color w:val="auto"/>
                <w:highlight w:val="none"/>
              </w:rPr>
            </w:pPr>
          </w:p>
        </w:tc>
        <w:tc>
          <w:tcPr>
            <w:tcW w:w="1120" w:type="dxa"/>
          </w:tcPr>
          <w:p w14:paraId="6241221F">
            <w:pPr>
              <w:rPr>
                <w:color w:val="auto"/>
                <w:highlight w:val="none"/>
              </w:rPr>
            </w:pPr>
          </w:p>
        </w:tc>
        <w:tc>
          <w:tcPr>
            <w:tcW w:w="1260" w:type="dxa"/>
          </w:tcPr>
          <w:p w14:paraId="6EB97373">
            <w:pPr>
              <w:rPr>
                <w:color w:val="auto"/>
                <w:highlight w:val="none"/>
              </w:rPr>
            </w:pPr>
          </w:p>
        </w:tc>
        <w:tc>
          <w:tcPr>
            <w:tcW w:w="840" w:type="dxa"/>
          </w:tcPr>
          <w:p w14:paraId="36FFEDAC">
            <w:pPr>
              <w:rPr>
                <w:color w:val="auto"/>
                <w:highlight w:val="none"/>
              </w:rPr>
            </w:pPr>
          </w:p>
        </w:tc>
        <w:tc>
          <w:tcPr>
            <w:tcW w:w="912" w:type="dxa"/>
          </w:tcPr>
          <w:p w14:paraId="4C4EFC07">
            <w:pPr>
              <w:rPr>
                <w:color w:val="auto"/>
                <w:highlight w:val="none"/>
              </w:rPr>
            </w:pPr>
          </w:p>
        </w:tc>
      </w:tr>
      <w:tr w14:paraId="5883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A414B9C">
            <w:pPr>
              <w:jc w:val="center"/>
              <w:rPr>
                <w:rFonts w:asciiTheme="minorEastAsia" w:hAnsiTheme="minorEastAsia" w:eastAsiaTheme="minorEastAsia"/>
                <w:color w:val="auto"/>
                <w:sz w:val="24"/>
                <w:szCs w:val="24"/>
                <w:highlight w:val="none"/>
              </w:rPr>
            </w:pPr>
          </w:p>
        </w:tc>
        <w:tc>
          <w:tcPr>
            <w:tcW w:w="1372" w:type="dxa"/>
            <w:vMerge w:val="continue"/>
          </w:tcPr>
          <w:p w14:paraId="1D13DB2D">
            <w:pPr>
              <w:rPr>
                <w:color w:val="auto"/>
                <w:highlight w:val="none"/>
              </w:rPr>
            </w:pPr>
          </w:p>
        </w:tc>
        <w:tc>
          <w:tcPr>
            <w:tcW w:w="1428" w:type="dxa"/>
          </w:tcPr>
          <w:p w14:paraId="31B7B8D8">
            <w:pPr>
              <w:rPr>
                <w:color w:val="auto"/>
                <w:highlight w:val="none"/>
              </w:rPr>
            </w:pPr>
          </w:p>
        </w:tc>
        <w:tc>
          <w:tcPr>
            <w:tcW w:w="980" w:type="dxa"/>
          </w:tcPr>
          <w:p w14:paraId="5F97BEDC">
            <w:pPr>
              <w:rPr>
                <w:color w:val="auto"/>
                <w:highlight w:val="none"/>
              </w:rPr>
            </w:pPr>
          </w:p>
        </w:tc>
        <w:tc>
          <w:tcPr>
            <w:tcW w:w="1120" w:type="dxa"/>
          </w:tcPr>
          <w:p w14:paraId="610C39EE">
            <w:pPr>
              <w:rPr>
                <w:color w:val="auto"/>
                <w:highlight w:val="none"/>
              </w:rPr>
            </w:pPr>
          </w:p>
        </w:tc>
        <w:tc>
          <w:tcPr>
            <w:tcW w:w="1260" w:type="dxa"/>
          </w:tcPr>
          <w:p w14:paraId="7B6E272C">
            <w:pPr>
              <w:rPr>
                <w:color w:val="auto"/>
                <w:highlight w:val="none"/>
              </w:rPr>
            </w:pPr>
          </w:p>
        </w:tc>
        <w:tc>
          <w:tcPr>
            <w:tcW w:w="840" w:type="dxa"/>
          </w:tcPr>
          <w:p w14:paraId="1F8AD741">
            <w:pPr>
              <w:rPr>
                <w:color w:val="auto"/>
                <w:highlight w:val="none"/>
              </w:rPr>
            </w:pPr>
          </w:p>
        </w:tc>
        <w:tc>
          <w:tcPr>
            <w:tcW w:w="912" w:type="dxa"/>
          </w:tcPr>
          <w:p w14:paraId="58E8B2C8">
            <w:pPr>
              <w:rPr>
                <w:color w:val="auto"/>
                <w:highlight w:val="none"/>
              </w:rPr>
            </w:pPr>
          </w:p>
        </w:tc>
      </w:tr>
      <w:tr w14:paraId="31C4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257D9EEE">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w:t>
            </w:r>
          </w:p>
        </w:tc>
        <w:tc>
          <w:tcPr>
            <w:tcW w:w="1372" w:type="dxa"/>
            <w:vMerge w:val="restart"/>
          </w:tcPr>
          <w:p w14:paraId="27D4F973">
            <w:pPr>
              <w:rPr>
                <w:color w:val="auto"/>
                <w:highlight w:val="none"/>
              </w:rPr>
            </w:pPr>
          </w:p>
        </w:tc>
        <w:tc>
          <w:tcPr>
            <w:tcW w:w="1428" w:type="dxa"/>
          </w:tcPr>
          <w:p w14:paraId="2241AD63">
            <w:pPr>
              <w:rPr>
                <w:color w:val="auto"/>
                <w:highlight w:val="none"/>
              </w:rPr>
            </w:pPr>
          </w:p>
        </w:tc>
        <w:tc>
          <w:tcPr>
            <w:tcW w:w="980" w:type="dxa"/>
          </w:tcPr>
          <w:p w14:paraId="145E7C7D">
            <w:pPr>
              <w:rPr>
                <w:color w:val="auto"/>
                <w:highlight w:val="none"/>
              </w:rPr>
            </w:pPr>
          </w:p>
        </w:tc>
        <w:tc>
          <w:tcPr>
            <w:tcW w:w="1120" w:type="dxa"/>
          </w:tcPr>
          <w:p w14:paraId="403306E3">
            <w:pPr>
              <w:rPr>
                <w:color w:val="auto"/>
                <w:highlight w:val="none"/>
              </w:rPr>
            </w:pPr>
          </w:p>
        </w:tc>
        <w:tc>
          <w:tcPr>
            <w:tcW w:w="1260" w:type="dxa"/>
          </w:tcPr>
          <w:p w14:paraId="51BE62E5">
            <w:pPr>
              <w:rPr>
                <w:color w:val="auto"/>
                <w:highlight w:val="none"/>
              </w:rPr>
            </w:pPr>
          </w:p>
        </w:tc>
        <w:tc>
          <w:tcPr>
            <w:tcW w:w="840" w:type="dxa"/>
          </w:tcPr>
          <w:p w14:paraId="730EC5BD">
            <w:pPr>
              <w:rPr>
                <w:color w:val="auto"/>
                <w:highlight w:val="none"/>
              </w:rPr>
            </w:pPr>
          </w:p>
        </w:tc>
        <w:tc>
          <w:tcPr>
            <w:tcW w:w="912" w:type="dxa"/>
          </w:tcPr>
          <w:p w14:paraId="5EEB2903">
            <w:pPr>
              <w:rPr>
                <w:color w:val="auto"/>
                <w:highlight w:val="none"/>
              </w:rPr>
            </w:pPr>
          </w:p>
        </w:tc>
      </w:tr>
      <w:tr w14:paraId="2D95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07EE21C">
            <w:pPr>
              <w:jc w:val="center"/>
              <w:rPr>
                <w:rFonts w:asciiTheme="minorEastAsia" w:hAnsiTheme="minorEastAsia" w:eastAsiaTheme="minorEastAsia"/>
                <w:color w:val="auto"/>
                <w:sz w:val="24"/>
                <w:szCs w:val="24"/>
                <w:highlight w:val="none"/>
              </w:rPr>
            </w:pPr>
          </w:p>
        </w:tc>
        <w:tc>
          <w:tcPr>
            <w:tcW w:w="1372" w:type="dxa"/>
            <w:vMerge w:val="continue"/>
          </w:tcPr>
          <w:p w14:paraId="0042B144">
            <w:pPr>
              <w:rPr>
                <w:color w:val="auto"/>
                <w:highlight w:val="none"/>
              </w:rPr>
            </w:pPr>
          </w:p>
        </w:tc>
        <w:tc>
          <w:tcPr>
            <w:tcW w:w="1428" w:type="dxa"/>
          </w:tcPr>
          <w:p w14:paraId="18974F2F">
            <w:pPr>
              <w:rPr>
                <w:color w:val="auto"/>
                <w:highlight w:val="none"/>
              </w:rPr>
            </w:pPr>
          </w:p>
        </w:tc>
        <w:tc>
          <w:tcPr>
            <w:tcW w:w="980" w:type="dxa"/>
          </w:tcPr>
          <w:p w14:paraId="750B3932">
            <w:pPr>
              <w:rPr>
                <w:color w:val="auto"/>
                <w:highlight w:val="none"/>
              </w:rPr>
            </w:pPr>
          </w:p>
        </w:tc>
        <w:tc>
          <w:tcPr>
            <w:tcW w:w="1120" w:type="dxa"/>
          </w:tcPr>
          <w:p w14:paraId="45206598">
            <w:pPr>
              <w:rPr>
                <w:color w:val="auto"/>
                <w:highlight w:val="none"/>
              </w:rPr>
            </w:pPr>
          </w:p>
        </w:tc>
        <w:tc>
          <w:tcPr>
            <w:tcW w:w="1260" w:type="dxa"/>
          </w:tcPr>
          <w:p w14:paraId="63D93BA7">
            <w:pPr>
              <w:rPr>
                <w:color w:val="auto"/>
                <w:highlight w:val="none"/>
              </w:rPr>
            </w:pPr>
          </w:p>
        </w:tc>
        <w:tc>
          <w:tcPr>
            <w:tcW w:w="840" w:type="dxa"/>
          </w:tcPr>
          <w:p w14:paraId="3FFBFA56">
            <w:pPr>
              <w:rPr>
                <w:color w:val="auto"/>
                <w:highlight w:val="none"/>
              </w:rPr>
            </w:pPr>
          </w:p>
        </w:tc>
        <w:tc>
          <w:tcPr>
            <w:tcW w:w="912" w:type="dxa"/>
          </w:tcPr>
          <w:p w14:paraId="57D36118">
            <w:pPr>
              <w:rPr>
                <w:color w:val="auto"/>
                <w:highlight w:val="none"/>
              </w:rPr>
            </w:pPr>
          </w:p>
        </w:tc>
      </w:tr>
      <w:tr w14:paraId="7DC5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14CADD9">
            <w:pPr>
              <w:jc w:val="center"/>
              <w:rPr>
                <w:rFonts w:asciiTheme="minorEastAsia" w:hAnsiTheme="minorEastAsia" w:eastAsiaTheme="minorEastAsia"/>
                <w:color w:val="auto"/>
                <w:sz w:val="24"/>
                <w:szCs w:val="24"/>
                <w:highlight w:val="none"/>
              </w:rPr>
            </w:pPr>
          </w:p>
        </w:tc>
        <w:tc>
          <w:tcPr>
            <w:tcW w:w="1372" w:type="dxa"/>
            <w:vMerge w:val="continue"/>
          </w:tcPr>
          <w:p w14:paraId="576C451D">
            <w:pPr>
              <w:rPr>
                <w:color w:val="auto"/>
                <w:highlight w:val="none"/>
              </w:rPr>
            </w:pPr>
          </w:p>
        </w:tc>
        <w:tc>
          <w:tcPr>
            <w:tcW w:w="1428" w:type="dxa"/>
          </w:tcPr>
          <w:p w14:paraId="631CFD30">
            <w:pPr>
              <w:rPr>
                <w:color w:val="auto"/>
                <w:highlight w:val="none"/>
              </w:rPr>
            </w:pPr>
          </w:p>
        </w:tc>
        <w:tc>
          <w:tcPr>
            <w:tcW w:w="980" w:type="dxa"/>
          </w:tcPr>
          <w:p w14:paraId="56FC5324">
            <w:pPr>
              <w:rPr>
                <w:color w:val="auto"/>
                <w:highlight w:val="none"/>
              </w:rPr>
            </w:pPr>
          </w:p>
        </w:tc>
        <w:tc>
          <w:tcPr>
            <w:tcW w:w="1120" w:type="dxa"/>
          </w:tcPr>
          <w:p w14:paraId="3A3DF304">
            <w:pPr>
              <w:rPr>
                <w:color w:val="auto"/>
                <w:highlight w:val="none"/>
              </w:rPr>
            </w:pPr>
          </w:p>
        </w:tc>
        <w:tc>
          <w:tcPr>
            <w:tcW w:w="1260" w:type="dxa"/>
          </w:tcPr>
          <w:p w14:paraId="73D10FB4">
            <w:pPr>
              <w:rPr>
                <w:color w:val="auto"/>
                <w:highlight w:val="none"/>
              </w:rPr>
            </w:pPr>
          </w:p>
        </w:tc>
        <w:tc>
          <w:tcPr>
            <w:tcW w:w="840" w:type="dxa"/>
          </w:tcPr>
          <w:p w14:paraId="71DB3539">
            <w:pPr>
              <w:rPr>
                <w:color w:val="auto"/>
                <w:highlight w:val="none"/>
              </w:rPr>
            </w:pPr>
          </w:p>
        </w:tc>
        <w:tc>
          <w:tcPr>
            <w:tcW w:w="912" w:type="dxa"/>
          </w:tcPr>
          <w:p w14:paraId="0B46B917">
            <w:pPr>
              <w:rPr>
                <w:color w:val="auto"/>
                <w:highlight w:val="none"/>
              </w:rPr>
            </w:pPr>
          </w:p>
        </w:tc>
      </w:tr>
      <w:tr w14:paraId="369C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68DD5E13">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w:t>
            </w:r>
          </w:p>
        </w:tc>
        <w:tc>
          <w:tcPr>
            <w:tcW w:w="1372" w:type="dxa"/>
            <w:vMerge w:val="restart"/>
          </w:tcPr>
          <w:p w14:paraId="056FA1B7">
            <w:pPr>
              <w:rPr>
                <w:color w:val="auto"/>
                <w:highlight w:val="none"/>
              </w:rPr>
            </w:pPr>
          </w:p>
        </w:tc>
        <w:tc>
          <w:tcPr>
            <w:tcW w:w="1428" w:type="dxa"/>
          </w:tcPr>
          <w:p w14:paraId="3365A8C1">
            <w:pPr>
              <w:rPr>
                <w:color w:val="auto"/>
                <w:highlight w:val="none"/>
              </w:rPr>
            </w:pPr>
          </w:p>
        </w:tc>
        <w:tc>
          <w:tcPr>
            <w:tcW w:w="980" w:type="dxa"/>
          </w:tcPr>
          <w:p w14:paraId="39BDC51A">
            <w:pPr>
              <w:rPr>
                <w:color w:val="auto"/>
                <w:highlight w:val="none"/>
              </w:rPr>
            </w:pPr>
          </w:p>
        </w:tc>
        <w:tc>
          <w:tcPr>
            <w:tcW w:w="1120" w:type="dxa"/>
          </w:tcPr>
          <w:p w14:paraId="38BDD6B0">
            <w:pPr>
              <w:rPr>
                <w:color w:val="auto"/>
                <w:highlight w:val="none"/>
              </w:rPr>
            </w:pPr>
          </w:p>
        </w:tc>
        <w:tc>
          <w:tcPr>
            <w:tcW w:w="1260" w:type="dxa"/>
          </w:tcPr>
          <w:p w14:paraId="2E36EABA">
            <w:pPr>
              <w:rPr>
                <w:color w:val="auto"/>
                <w:highlight w:val="none"/>
              </w:rPr>
            </w:pPr>
          </w:p>
        </w:tc>
        <w:tc>
          <w:tcPr>
            <w:tcW w:w="840" w:type="dxa"/>
          </w:tcPr>
          <w:p w14:paraId="49FB7815">
            <w:pPr>
              <w:rPr>
                <w:color w:val="auto"/>
                <w:highlight w:val="none"/>
              </w:rPr>
            </w:pPr>
          </w:p>
        </w:tc>
        <w:tc>
          <w:tcPr>
            <w:tcW w:w="912" w:type="dxa"/>
          </w:tcPr>
          <w:p w14:paraId="62593DCC">
            <w:pPr>
              <w:rPr>
                <w:color w:val="auto"/>
                <w:highlight w:val="none"/>
              </w:rPr>
            </w:pPr>
          </w:p>
        </w:tc>
      </w:tr>
      <w:tr w14:paraId="5A19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2F3162D">
            <w:pPr>
              <w:rPr>
                <w:color w:val="auto"/>
                <w:highlight w:val="none"/>
              </w:rPr>
            </w:pPr>
          </w:p>
        </w:tc>
        <w:tc>
          <w:tcPr>
            <w:tcW w:w="1372" w:type="dxa"/>
            <w:vMerge w:val="continue"/>
          </w:tcPr>
          <w:p w14:paraId="50A0F945">
            <w:pPr>
              <w:rPr>
                <w:color w:val="auto"/>
                <w:highlight w:val="none"/>
              </w:rPr>
            </w:pPr>
          </w:p>
        </w:tc>
        <w:tc>
          <w:tcPr>
            <w:tcW w:w="1428" w:type="dxa"/>
          </w:tcPr>
          <w:p w14:paraId="7F399A8E">
            <w:pPr>
              <w:rPr>
                <w:color w:val="auto"/>
                <w:highlight w:val="none"/>
              </w:rPr>
            </w:pPr>
          </w:p>
        </w:tc>
        <w:tc>
          <w:tcPr>
            <w:tcW w:w="980" w:type="dxa"/>
          </w:tcPr>
          <w:p w14:paraId="737DAC9B">
            <w:pPr>
              <w:rPr>
                <w:color w:val="auto"/>
                <w:highlight w:val="none"/>
              </w:rPr>
            </w:pPr>
          </w:p>
        </w:tc>
        <w:tc>
          <w:tcPr>
            <w:tcW w:w="1120" w:type="dxa"/>
          </w:tcPr>
          <w:p w14:paraId="7A10E1F6">
            <w:pPr>
              <w:rPr>
                <w:color w:val="auto"/>
                <w:highlight w:val="none"/>
              </w:rPr>
            </w:pPr>
          </w:p>
        </w:tc>
        <w:tc>
          <w:tcPr>
            <w:tcW w:w="1260" w:type="dxa"/>
          </w:tcPr>
          <w:p w14:paraId="14279BEA">
            <w:pPr>
              <w:rPr>
                <w:color w:val="auto"/>
                <w:highlight w:val="none"/>
              </w:rPr>
            </w:pPr>
          </w:p>
        </w:tc>
        <w:tc>
          <w:tcPr>
            <w:tcW w:w="840" w:type="dxa"/>
          </w:tcPr>
          <w:p w14:paraId="7766B379">
            <w:pPr>
              <w:rPr>
                <w:color w:val="auto"/>
                <w:highlight w:val="none"/>
              </w:rPr>
            </w:pPr>
          </w:p>
        </w:tc>
        <w:tc>
          <w:tcPr>
            <w:tcW w:w="912" w:type="dxa"/>
          </w:tcPr>
          <w:p w14:paraId="44F9BA38">
            <w:pPr>
              <w:rPr>
                <w:color w:val="auto"/>
                <w:highlight w:val="none"/>
              </w:rPr>
            </w:pPr>
          </w:p>
        </w:tc>
      </w:tr>
      <w:tr w14:paraId="7AFE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09765A8">
            <w:pPr>
              <w:rPr>
                <w:color w:val="auto"/>
                <w:highlight w:val="none"/>
              </w:rPr>
            </w:pPr>
          </w:p>
        </w:tc>
        <w:tc>
          <w:tcPr>
            <w:tcW w:w="1372" w:type="dxa"/>
            <w:vMerge w:val="continue"/>
          </w:tcPr>
          <w:p w14:paraId="64E6B589">
            <w:pPr>
              <w:rPr>
                <w:color w:val="auto"/>
                <w:highlight w:val="none"/>
              </w:rPr>
            </w:pPr>
          </w:p>
        </w:tc>
        <w:tc>
          <w:tcPr>
            <w:tcW w:w="1428" w:type="dxa"/>
          </w:tcPr>
          <w:p w14:paraId="5B6CA3FE">
            <w:pPr>
              <w:rPr>
                <w:color w:val="auto"/>
                <w:highlight w:val="none"/>
              </w:rPr>
            </w:pPr>
          </w:p>
        </w:tc>
        <w:tc>
          <w:tcPr>
            <w:tcW w:w="980" w:type="dxa"/>
          </w:tcPr>
          <w:p w14:paraId="606DB7C3">
            <w:pPr>
              <w:rPr>
                <w:color w:val="auto"/>
                <w:highlight w:val="none"/>
              </w:rPr>
            </w:pPr>
          </w:p>
        </w:tc>
        <w:tc>
          <w:tcPr>
            <w:tcW w:w="1120" w:type="dxa"/>
          </w:tcPr>
          <w:p w14:paraId="05E10377">
            <w:pPr>
              <w:rPr>
                <w:color w:val="auto"/>
                <w:highlight w:val="none"/>
              </w:rPr>
            </w:pPr>
          </w:p>
        </w:tc>
        <w:tc>
          <w:tcPr>
            <w:tcW w:w="1260" w:type="dxa"/>
          </w:tcPr>
          <w:p w14:paraId="6DC52923">
            <w:pPr>
              <w:rPr>
                <w:color w:val="auto"/>
                <w:highlight w:val="none"/>
              </w:rPr>
            </w:pPr>
          </w:p>
        </w:tc>
        <w:tc>
          <w:tcPr>
            <w:tcW w:w="840" w:type="dxa"/>
          </w:tcPr>
          <w:p w14:paraId="4713E1C9">
            <w:pPr>
              <w:rPr>
                <w:color w:val="auto"/>
                <w:highlight w:val="none"/>
              </w:rPr>
            </w:pPr>
          </w:p>
        </w:tc>
        <w:tc>
          <w:tcPr>
            <w:tcW w:w="912" w:type="dxa"/>
          </w:tcPr>
          <w:p w14:paraId="009556B6">
            <w:pPr>
              <w:rPr>
                <w:color w:val="auto"/>
                <w:highlight w:val="none"/>
              </w:rPr>
            </w:pPr>
          </w:p>
        </w:tc>
      </w:tr>
    </w:tbl>
    <w:p w14:paraId="4226417C">
      <w:pPr>
        <w:rPr>
          <w:color w:val="auto"/>
          <w:highlight w:val="none"/>
        </w:rPr>
        <w:sectPr>
          <w:pgSz w:w="11907" w:h="16840"/>
          <w:pgMar w:top="1470" w:right="1418" w:bottom="1418" w:left="1985" w:header="949" w:footer="1021" w:gutter="0"/>
          <w:cols w:space="425" w:num="1"/>
          <w:docGrid w:linePitch="381" w:charSpace="0"/>
        </w:sectPr>
      </w:pPr>
    </w:p>
    <w:p w14:paraId="0307E076">
      <w:pPr>
        <w:spacing w:line="360" w:lineRule="auto"/>
        <w:outlineLvl w:val="0"/>
        <w:rPr>
          <w:rFonts w:ascii="宋体" w:hAnsi="宋体"/>
          <w:b/>
          <w:color w:val="auto"/>
          <w:sz w:val="30"/>
          <w:szCs w:val="30"/>
          <w:highlight w:val="none"/>
        </w:rPr>
      </w:pPr>
      <w:bookmarkStart w:id="109" w:name="_Toc334015527"/>
      <w:bookmarkStart w:id="110" w:name="_Toc316370452"/>
      <w:bookmarkStart w:id="111" w:name="_Toc223320108"/>
      <w:bookmarkStart w:id="112" w:name="_Toc223835856"/>
      <w:bookmarkStart w:id="113" w:name="_Toc304277672"/>
      <w:bookmarkStart w:id="114" w:name="_Toc304277659"/>
      <w:r>
        <w:rPr>
          <w:rFonts w:hint="eastAsia" w:ascii="宋体" w:hAnsi="宋体"/>
          <w:b/>
          <w:color w:val="auto"/>
          <w:sz w:val="30"/>
          <w:szCs w:val="30"/>
          <w:highlight w:val="none"/>
        </w:rPr>
        <w:t>附件</w:t>
      </w:r>
      <w:bookmarkStart w:id="115" w:name="_Toc520193319"/>
      <w:r>
        <w:rPr>
          <w:rFonts w:ascii="宋体" w:hAnsi="宋体"/>
          <w:b/>
          <w:color w:val="auto"/>
          <w:sz w:val="30"/>
          <w:szCs w:val="30"/>
          <w:highlight w:val="none"/>
        </w:rPr>
        <w:t xml:space="preserve">8 </w:t>
      </w:r>
      <w:r>
        <w:rPr>
          <w:rFonts w:hint="eastAsia" w:ascii="宋体" w:hAnsi="宋体"/>
          <w:b/>
          <w:color w:val="auto"/>
          <w:sz w:val="30"/>
          <w:szCs w:val="30"/>
          <w:highlight w:val="none"/>
        </w:rPr>
        <w:t>运行维护手册编写格式</w:t>
      </w:r>
      <w:bookmarkEnd w:id="109"/>
      <w:bookmarkEnd w:id="110"/>
      <w:bookmarkEnd w:id="111"/>
      <w:bookmarkEnd w:id="112"/>
      <w:bookmarkEnd w:id="113"/>
      <w:bookmarkEnd w:id="114"/>
      <w:bookmarkEnd w:id="115"/>
    </w:p>
    <w:p w14:paraId="501495D0">
      <w:pPr>
        <w:spacing w:line="360" w:lineRule="auto"/>
        <w:rPr>
          <w:rFonts w:ascii="宋体" w:hAnsi="宋体"/>
          <w:color w:val="auto"/>
          <w:highlight w:val="none"/>
        </w:rPr>
      </w:pPr>
      <w:r>
        <w:rPr>
          <w:rFonts w:hint="eastAsia" w:ascii="宋体" w:hAnsi="宋体"/>
          <w:color w:val="auto"/>
          <w:highlight w:val="none"/>
        </w:rPr>
        <w:t>运行维护手册格式要求如下：</w:t>
      </w:r>
    </w:p>
    <w:p w14:paraId="52D184CA">
      <w:pPr>
        <w:spacing w:line="360" w:lineRule="auto"/>
        <w:rPr>
          <w:rFonts w:ascii="宋体" w:hAnsi="宋体"/>
          <w:color w:val="auto"/>
          <w:highlight w:val="none"/>
        </w:rPr>
      </w:pPr>
    </w:p>
    <w:p w14:paraId="212FF572">
      <w:pPr>
        <w:spacing w:line="360" w:lineRule="auto"/>
        <w:jc w:val="center"/>
        <w:rPr>
          <w:rFonts w:ascii="宋体" w:hAnsi="宋体"/>
          <w:b/>
          <w:color w:val="auto"/>
          <w:sz w:val="44"/>
          <w:szCs w:val="44"/>
          <w:highlight w:val="none"/>
        </w:rPr>
      </w:pPr>
      <w:r>
        <w:rPr>
          <w:rFonts w:hint="eastAsia" w:ascii="宋体" w:hAnsi="宋体" w:cs="宋体"/>
          <w:color w:val="auto"/>
          <w:sz w:val="44"/>
          <w:szCs w:val="44"/>
          <w:highlight w:val="none"/>
        </w:rPr>
        <w:t>浙能武威 2×1000 MW调峰火电机组工程</w:t>
      </w:r>
    </w:p>
    <w:p w14:paraId="75CCB3B1">
      <w:pPr>
        <w:spacing w:line="360" w:lineRule="auto"/>
        <w:rPr>
          <w:rFonts w:ascii="宋体" w:hAnsi="宋体"/>
          <w:b/>
          <w:color w:val="auto"/>
          <w:sz w:val="32"/>
          <w:highlight w:val="none"/>
        </w:rPr>
      </w:pPr>
    </w:p>
    <w:p w14:paraId="0CD210C9">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网络计算机监控系统（</w:t>
      </w:r>
      <w:r>
        <w:rPr>
          <w:rFonts w:ascii="宋体" w:hAnsi="宋体"/>
          <w:color w:val="auto"/>
          <w:sz w:val="36"/>
          <w:szCs w:val="36"/>
          <w:highlight w:val="none"/>
        </w:rPr>
        <w:t>NCS）</w:t>
      </w:r>
    </w:p>
    <w:p w14:paraId="3BAA76B2">
      <w:pPr>
        <w:spacing w:line="360" w:lineRule="auto"/>
        <w:jc w:val="center"/>
        <w:rPr>
          <w:rFonts w:ascii="宋体" w:hAnsi="宋体"/>
          <w:b/>
          <w:color w:val="auto"/>
          <w:sz w:val="36"/>
          <w:szCs w:val="36"/>
          <w:highlight w:val="none"/>
        </w:rPr>
      </w:pPr>
    </w:p>
    <w:p w14:paraId="7A321409">
      <w:pPr>
        <w:spacing w:line="360" w:lineRule="auto"/>
        <w:jc w:val="center"/>
        <w:rPr>
          <w:rFonts w:ascii="宋体" w:hAnsi="宋体"/>
          <w:b/>
          <w:color w:val="auto"/>
          <w:sz w:val="32"/>
          <w:highlight w:val="none"/>
        </w:rPr>
      </w:pPr>
      <w:r>
        <w:rPr>
          <w:rFonts w:hint="eastAsia" w:ascii="宋体" w:hAnsi="宋体"/>
          <w:b/>
          <w:color w:val="auto"/>
          <w:sz w:val="32"/>
          <w:highlight w:val="none"/>
        </w:rPr>
        <w:t>运</w:t>
      </w:r>
      <w:r>
        <w:rPr>
          <w:rFonts w:hint="eastAsia" w:ascii="宋体" w:hAnsi="宋体"/>
          <w:b/>
          <w:color w:val="auto"/>
          <w:sz w:val="32"/>
          <w:highlight w:val="none"/>
          <w:lang w:val="en-US" w:eastAsia="zh-CN"/>
        </w:rPr>
        <w:t xml:space="preserve"> </w:t>
      </w:r>
      <w:r>
        <w:rPr>
          <w:rFonts w:hint="eastAsia" w:ascii="宋体" w:hAnsi="宋体"/>
          <w:b/>
          <w:color w:val="auto"/>
          <w:sz w:val="32"/>
          <w:highlight w:val="none"/>
        </w:rPr>
        <w:t>行</w:t>
      </w:r>
      <w:r>
        <w:rPr>
          <w:rFonts w:hint="eastAsia" w:ascii="宋体" w:hAnsi="宋体"/>
          <w:b/>
          <w:color w:val="auto"/>
          <w:sz w:val="32"/>
          <w:highlight w:val="none"/>
          <w:lang w:val="en-US" w:eastAsia="zh-CN"/>
        </w:rPr>
        <w:t xml:space="preserve"> </w:t>
      </w:r>
      <w:r>
        <w:rPr>
          <w:rFonts w:hint="eastAsia" w:ascii="宋体" w:hAnsi="宋体"/>
          <w:b/>
          <w:color w:val="auto"/>
          <w:sz w:val="32"/>
          <w:highlight w:val="none"/>
        </w:rPr>
        <w:t>维</w:t>
      </w:r>
      <w:r>
        <w:rPr>
          <w:rFonts w:hint="eastAsia" w:ascii="宋体" w:hAnsi="宋体"/>
          <w:b/>
          <w:color w:val="auto"/>
          <w:sz w:val="32"/>
          <w:highlight w:val="none"/>
          <w:lang w:val="en-US" w:eastAsia="zh-CN"/>
        </w:rPr>
        <w:t xml:space="preserve"> </w:t>
      </w:r>
      <w:r>
        <w:rPr>
          <w:rFonts w:hint="eastAsia" w:ascii="宋体" w:hAnsi="宋体"/>
          <w:b/>
          <w:color w:val="auto"/>
          <w:sz w:val="32"/>
          <w:highlight w:val="none"/>
        </w:rPr>
        <w:t>护</w:t>
      </w:r>
    </w:p>
    <w:p w14:paraId="620FFC86">
      <w:pPr>
        <w:spacing w:line="360" w:lineRule="auto"/>
        <w:jc w:val="center"/>
        <w:rPr>
          <w:rFonts w:ascii="宋体" w:hAnsi="宋体"/>
          <w:b/>
          <w:color w:val="auto"/>
          <w:sz w:val="32"/>
          <w:highlight w:val="none"/>
        </w:rPr>
      </w:pPr>
    </w:p>
    <w:p w14:paraId="0CA41D20">
      <w:pPr>
        <w:spacing w:line="360" w:lineRule="auto"/>
        <w:jc w:val="center"/>
        <w:rPr>
          <w:rFonts w:ascii="宋体" w:hAnsi="宋体"/>
          <w:b/>
          <w:color w:val="auto"/>
          <w:sz w:val="32"/>
          <w:highlight w:val="none"/>
        </w:rPr>
      </w:pPr>
      <w:r>
        <w:rPr>
          <w:rFonts w:hint="eastAsia" w:ascii="宋体" w:hAnsi="宋体"/>
          <w:b/>
          <w:color w:val="auto"/>
          <w:sz w:val="32"/>
          <w:highlight w:val="none"/>
        </w:rPr>
        <w:t>手</w:t>
      </w:r>
    </w:p>
    <w:p w14:paraId="7FD311F1">
      <w:pPr>
        <w:spacing w:line="360" w:lineRule="auto"/>
        <w:jc w:val="center"/>
        <w:rPr>
          <w:rFonts w:ascii="宋体" w:hAnsi="宋体"/>
          <w:b/>
          <w:color w:val="auto"/>
          <w:sz w:val="32"/>
          <w:highlight w:val="none"/>
        </w:rPr>
      </w:pPr>
    </w:p>
    <w:p w14:paraId="6471DADE">
      <w:pPr>
        <w:spacing w:line="360" w:lineRule="auto"/>
        <w:jc w:val="center"/>
        <w:rPr>
          <w:rFonts w:ascii="宋体" w:hAnsi="宋体"/>
          <w:b/>
          <w:color w:val="auto"/>
          <w:sz w:val="32"/>
          <w:highlight w:val="none"/>
        </w:rPr>
      </w:pPr>
      <w:r>
        <w:rPr>
          <w:rFonts w:hint="eastAsia" w:ascii="宋体" w:hAnsi="宋体"/>
          <w:b/>
          <w:color w:val="auto"/>
          <w:sz w:val="32"/>
          <w:highlight w:val="none"/>
        </w:rPr>
        <w:t>册</w:t>
      </w:r>
    </w:p>
    <w:p w14:paraId="449BC775">
      <w:pPr>
        <w:spacing w:line="360" w:lineRule="auto"/>
        <w:jc w:val="center"/>
        <w:rPr>
          <w:rFonts w:ascii="宋体" w:hAnsi="宋体"/>
          <w:b/>
          <w:color w:val="auto"/>
          <w:sz w:val="32"/>
          <w:highlight w:val="none"/>
        </w:rPr>
      </w:pPr>
    </w:p>
    <w:p w14:paraId="5B7F21F4">
      <w:pPr>
        <w:spacing w:line="360" w:lineRule="auto"/>
        <w:rPr>
          <w:rFonts w:ascii="宋体" w:hAnsi="宋体"/>
          <w:color w:val="auto"/>
          <w:sz w:val="24"/>
          <w:szCs w:val="24"/>
          <w:highlight w:val="none"/>
        </w:rPr>
      </w:pPr>
      <w:r>
        <w:rPr>
          <w:rFonts w:hint="eastAsia" w:ascii="宋体" w:hAnsi="宋体"/>
          <w:color w:val="auto"/>
          <w:sz w:val="24"/>
          <w:szCs w:val="24"/>
          <w:highlight w:val="none"/>
        </w:rPr>
        <w:t>要求：一式10套</w:t>
      </w:r>
    </w:p>
    <w:p w14:paraId="35BB3FBD">
      <w:pPr>
        <w:spacing w:line="360" w:lineRule="auto"/>
        <w:rPr>
          <w:rFonts w:ascii="宋体" w:hAnsi="宋体"/>
          <w:color w:val="auto"/>
          <w:sz w:val="24"/>
          <w:szCs w:val="24"/>
          <w:highlight w:val="none"/>
        </w:rPr>
      </w:pPr>
      <w:r>
        <w:rPr>
          <w:rFonts w:hint="eastAsia" w:ascii="宋体" w:hAnsi="宋体"/>
          <w:color w:val="auto"/>
          <w:sz w:val="24"/>
          <w:szCs w:val="24"/>
          <w:highlight w:val="none"/>
        </w:rPr>
        <w:t>纸张：</w:t>
      </w:r>
      <w:r>
        <w:rPr>
          <w:rFonts w:ascii="宋体" w:hAnsi="宋体"/>
          <w:color w:val="auto"/>
          <w:sz w:val="24"/>
          <w:szCs w:val="24"/>
          <w:highlight w:val="none"/>
        </w:rPr>
        <w:t>A4</w:t>
      </w:r>
    </w:p>
    <w:p w14:paraId="021991AD">
      <w:pPr>
        <w:spacing w:line="360" w:lineRule="auto"/>
        <w:rPr>
          <w:rFonts w:ascii="宋体" w:hAnsi="宋体"/>
          <w:color w:val="auto"/>
          <w:sz w:val="24"/>
          <w:szCs w:val="24"/>
          <w:highlight w:val="none"/>
        </w:rPr>
      </w:pPr>
      <w:r>
        <w:rPr>
          <w:rFonts w:hint="eastAsia" w:ascii="宋体" w:hAnsi="宋体"/>
          <w:color w:val="auto"/>
          <w:sz w:val="24"/>
          <w:szCs w:val="24"/>
          <w:highlight w:val="none"/>
        </w:rPr>
        <w:t>字体：宋体，小四号</w:t>
      </w:r>
    </w:p>
    <w:p w14:paraId="2228CA22">
      <w:pPr>
        <w:spacing w:line="360" w:lineRule="auto"/>
        <w:rPr>
          <w:rFonts w:ascii="宋体" w:hAnsi="宋体"/>
          <w:color w:val="auto"/>
          <w:sz w:val="24"/>
          <w:szCs w:val="24"/>
          <w:highlight w:val="none"/>
        </w:rPr>
      </w:pPr>
      <w:r>
        <w:rPr>
          <w:rFonts w:hint="eastAsia" w:ascii="宋体" w:hAnsi="宋体"/>
          <w:color w:val="auto"/>
          <w:sz w:val="24"/>
          <w:szCs w:val="24"/>
          <w:highlight w:val="none"/>
        </w:rPr>
        <w:t>行间距：</w:t>
      </w:r>
      <w:r>
        <w:rPr>
          <w:rFonts w:ascii="宋体" w:hAnsi="宋体"/>
          <w:color w:val="auto"/>
          <w:sz w:val="24"/>
          <w:szCs w:val="24"/>
          <w:highlight w:val="none"/>
        </w:rPr>
        <w:t>1.5</w:t>
      </w:r>
      <w:r>
        <w:rPr>
          <w:rFonts w:hint="eastAsia" w:ascii="宋体" w:hAnsi="宋体"/>
          <w:color w:val="auto"/>
          <w:sz w:val="24"/>
          <w:szCs w:val="24"/>
          <w:highlight w:val="none"/>
        </w:rPr>
        <w:t>倍</w:t>
      </w:r>
    </w:p>
    <w:p w14:paraId="71E010B7">
      <w:pPr>
        <w:spacing w:line="360" w:lineRule="auto"/>
        <w:rPr>
          <w:rFonts w:ascii="宋体" w:hAnsi="宋体"/>
          <w:color w:val="auto"/>
          <w:sz w:val="24"/>
          <w:szCs w:val="24"/>
          <w:highlight w:val="none"/>
        </w:rPr>
      </w:pPr>
      <w:r>
        <w:rPr>
          <w:rFonts w:hint="eastAsia" w:ascii="宋体" w:hAnsi="宋体"/>
          <w:color w:val="auto"/>
          <w:sz w:val="24"/>
          <w:szCs w:val="24"/>
          <w:highlight w:val="none"/>
        </w:rPr>
        <w:t>页边距（</w:t>
      </w:r>
      <w:r>
        <w:rPr>
          <w:rFonts w:ascii="宋体" w:hAnsi="宋体"/>
          <w:color w:val="auto"/>
          <w:sz w:val="24"/>
          <w:szCs w:val="24"/>
          <w:highlight w:val="none"/>
        </w:rPr>
        <w:t>mm</w:t>
      </w:r>
      <w:r>
        <w:rPr>
          <w:rFonts w:hint="eastAsia" w:ascii="宋体" w:hAnsi="宋体"/>
          <w:color w:val="auto"/>
          <w:sz w:val="24"/>
          <w:szCs w:val="24"/>
          <w:highlight w:val="none"/>
        </w:rPr>
        <w:t>）：左</w:t>
      </w:r>
      <w:r>
        <w:rPr>
          <w:rFonts w:ascii="宋体" w:hAnsi="宋体"/>
          <w:color w:val="auto"/>
          <w:sz w:val="24"/>
          <w:szCs w:val="24"/>
          <w:highlight w:val="none"/>
        </w:rPr>
        <w:t xml:space="preserve">-30  </w:t>
      </w:r>
      <w:r>
        <w:rPr>
          <w:rFonts w:hint="eastAsia" w:ascii="宋体" w:hAnsi="宋体"/>
          <w:color w:val="auto"/>
          <w:sz w:val="24"/>
          <w:szCs w:val="24"/>
          <w:highlight w:val="none"/>
        </w:rPr>
        <w:t>右</w:t>
      </w:r>
      <w:r>
        <w:rPr>
          <w:rFonts w:ascii="宋体" w:hAnsi="宋体"/>
          <w:color w:val="auto"/>
          <w:sz w:val="24"/>
          <w:szCs w:val="24"/>
          <w:highlight w:val="none"/>
        </w:rPr>
        <w:t xml:space="preserve">-25  </w:t>
      </w:r>
      <w:r>
        <w:rPr>
          <w:rFonts w:hint="eastAsia" w:ascii="宋体" w:hAnsi="宋体"/>
          <w:color w:val="auto"/>
          <w:sz w:val="24"/>
          <w:szCs w:val="24"/>
          <w:highlight w:val="none"/>
        </w:rPr>
        <w:t>上</w:t>
      </w:r>
      <w:r>
        <w:rPr>
          <w:rFonts w:ascii="宋体" w:hAnsi="宋体"/>
          <w:color w:val="auto"/>
          <w:sz w:val="24"/>
          <w:szCs w:val="24"/>
          <w:highlight w:val="none"/>
        </w:rPr>
        <w:t xml:space="preserve">-30  </w:t>
      </w:r>
      <w:r>
        <w:rPr>
          <w:rFonts w:hint="eastAsia" w:ascii="宋体" w:hAnsi="宋体"/>
          <w:color w:val="auto"/>
          <w:sz w:val="24"/>
          <w:szCs w:val="24"/>
          <w:highlight w:val="none"/>
        </w:rPr>
        <w:t>下</w:t>
      </w:r>
      <w:r>
        <w:rPr>
          <w:rFonts w:ascii="宋体" w:hAnsi="宋体"/>
          <w:color w:val="auto"/>
          <w:sz w:val="24"/>
          <w:szCs w:val="24"/>
          <w:highlight w:val="none"/>
        </w:rPr>
        <w:t>-40</w:t>
      </w:r>
    </w:p>
    <w:p w14:paraId="127338B2">
      <w:pPr>
        <w:spacing w:line="360" w:lineRule="auto"/>
        <w:rPr>
          <w:rFonts w:ascii="宋体" w:hAnsi="宋体"/>
          <w:color w:val="auto"/>
          <w:sz w:val="24"/>
          <w:szCs w:val="24"/>
          <w:highlight w:val="none"/>
        </w:rPr>
      </w:pPr>
      <w:r>
        <w:rPr>
          <w:rFonts w:hint="eastAsia" w:ascii="宋体" w:hAnsi="宋体"/>
          <w:color w:val="auto"/>
          <w:sz w:val="24"/>
          <w:szCs w:val="24"/>
          <w:highlight w:val="none"/>
        </w:rPr>
        <w:t>页眉：网络计算机监控系统（NCS）设备运行维护手册</w:t>
      </w:r>
    </w:p>
    <w:p w14:paraId="336B432E">
      <w:pPr>
        <w:spacing w:line="360" w:lineRule="auto"/>
        <w:rPr>
          <w:rFonts w:ascii="宋体" w:hAnsi="宋体"/>
          <w:color w:val="auto"/>
          <w:sz w:val="24"/>
          <w:szCs w:val="24"/>
          <w:highlight w:val="none"/>
        </w:rPr>
      </w:pPr>
      <w:r>
        <w:rPr>
          <w:rFonts w:hint="eastAsia" w:ascii="宋体" w:hAnsi="宋体"/>
          <w:color w:val="auto"/>
          <w:sz w:val="24"/>
          <w:szCs w:val="24"/>
          <w:highlight w:val="none"/>
        </w:rPr>
        <w:t>注：在正式提交前，先由</w:t>
      </w:r>
      <w:r>
        <w:rPr>
          <w:rFonts w:hint="eastAsia" w:ascii="宋体" w:hAnsi="宋体" w:cs="宋体"/>
          <w:color w:val="auto"/>
          <w:sz w:val="24"/>
          <w:szCs w:val="24"/>
          <w:highlight w:val="none"/>
        </w:rPr>
        <w:t>招标人</w:t>
      </w:r>
      <w:r>
        <w:rPr>
          <w:rFonts w:hint="eastAsia" w:ascii="宋体" w:hAnsi="宋体"/>
          <w:color w:val="auto"/>
          <w:sz w:val="24"/>
          <w:szCs w:val="24"/>
          <w:highlight w:val="none"/>
        </w:rPr>
        <w:t>审定。</w:t>
      </w:r>
    </w:p>
    <w:p w14:paraId="3E0A91BE">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62F09271">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该手册应详细地叙述和说明设备构造，使新来的操作和维护人员能够研究和理解设备的功能的控制方法。</w:t>
      </w:r>
    </w:p>
    <w:p w14:paraId="74C56C23">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手册中应能够快速查阅运行参数、设备说明书、操作、维护和安全程度。</w:t>
      </w:r>
    </w:p>
    <w:p w14:paraId="7748F166">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运行和维护手册应包括，但不限于下述内容：</w:t>
      </w:r>
    </w:p>
    <w:p w14:paraId="6015BF1D">
      <w:pPr>
        <w:numPr>
          <w:ilvl w:val="0"/>
          <w:numId w:val="77"/>
        </w:numPr>
        <w:spacing w:line="360" w:lineRule="auto"/>
        <w:rPr>
          <w:rFonts w:ascii="宋体" w:hAnsi="宋体"/>
          <w:color w:val="auto"/>
          <w:sz w:val="24"/>
          <w:szCs w:val="24"/>
          <w:highlight w:val="none"/>
        </w:rPr>
      </w:pPr>
      <w:r>
        <w:rPr>
          <w:rFonts w:hint="eastAsia" w:ascii="宋体" w:hAnsi="宋体"/>
          <w:color w:val="auto"/>
          <w:sz w:val="24"/>
          <w:szCs w:val="24"/>
          <w:highlight w:val="none"/>
        </w:rPr>
        <w:t>设备概述，包括设备、系统说明、设备结构、功能说明、技术规范等。</w:t>
      </w:r>
    </w:p>
    <w:p w14:paraId="2BCCC4EE">
      <w:pPr>
        <w:numPr>
          <w:ilvl w:val="0"/>
          <w:numId w:val="77"/>
        </w:numPr>
        <w:spacing w:line="360" w:lineRule="auto"/>
        <w:rPr>
          <w:rFonts w:ascii="宋体" w:hAnsi="宋体"/>
          <w:color w:val="auto"/>
          <w:sz w:val="24"/>
          <w:szCs w:val="24"/>
          <w:highlight w:val="none"/>
        </w:rPr>
      </w:pPr>
      <w:r>
        <w:rPr>
          <w:rFonts w:hint="eastAsia" w:ascii="宋体" w:hAnsi="宋体"/>
          <w:color w:val="auto"/>
          <w:sz w:val="24"/>
          <w:szCs w:val="24"/>
          <w:highlight w:val="none"/>
        </w:rPr>
        <w:t>设备启动、运行和停运的操作程序及注意事项。</w:t>
      </w:r>
    </w:p>
    <w:p w14:paraId="4C64497E">
      <w:pPr>
        <w:numPr>
          <w:ilvl w:val="0"/>
          <w:numId w:val="77"/>
        </w:numPr>
        <w:spacing w:line="360" w:lineRule="auto"/>
        <w:rPr>
          <w:rFonts w:ascii="宋体" w:hAnsi="宋体"/>
          <w:color w:val="auto"/>
          <w:sz w:val="24"/>
          <w:szCs w:val="24"/>
          <w:highlight w:val="none"/>
        </w:rPr>
      </w:pPr>
      <w:r>
        <w:rPr>
          <w:rFonts w:hint="eastAsia" w:ascii="宋体" w:hAnsi="宋体"/>
          <w:color w:val="auto"/>
          <w:sz w:val="24"/>
          <w:szCs w:val="24"/>
          <w:highlight w:val="none"/>
        </w:rPr>
        <w:t>设备联锁和保护功能说明。</w:t>
      </w:r>
    </w:p>
    <w:p w14:paraId="4169CA55">
      <w:pPr>
        <w:numPr>
          <w:ilvl w:val="0"/>
          <w:numId w:val="77"/>
        </w:numPr>
        <w:spacing w:line="360" w:lineRule="auto"/>
        <w:rPr>
          <w:rFonts w:ascii="宋体" w:hAnsi="宋体"/>
          <w:color w:val="auto"/>
          <w:sz w:val="24"/>
          <w:szCs w:val="24"/>
          <w:highlight w:val="none"/>
        </w:rPr>
      </w:pPr>
      <w:r>
        <w:rPr>
          <w:rFonts w:hint="eastAsia" w:ascii="宋体" w:hAnsi="宋体"/>
          <w:color w:val="auto"/>
          <w:sz w:val="24"/>
          <w:szCs w:val="24"/>
          <w:highlight w:val="none"/>
        </w:rPr>
        <w:t>设备安装、拆卸、维护的程序及注意事项。</w:t>
      </w:r>
    </w:p>
    <w:p w14:paraId="48D85F5F">
      <w:pPr>
        <w:numPr>
          <w:ilvl w:val="0"/>
          <w:numId w:val="77"/>
        </w:numPr>
        <w:spacing w:line="360" w:lineRule="auto"/>
        <w:rPr>
          <w:rFonts w:ascii="宋体" w:hAnsi="宋体"/>
          <w:color w:val="auto"/>
          <w:sz w:val="24"/>
          <w:szCs w:val="24"/>
          <w:highlight w:val="none"/>
        </w:rPr>
      </w:pPr>
      <w:r>
        <w:rPr>
          <w:rFonts w:hint="eastAsia" w:ascii="宋体" w:hAnsi="宋体"/>
          <w:color w:val="auto"/>
          <w:sz w:val="24"/>
          <w:szCs w:val="24"/>
          <w:highlight w:val="none"/>
        </w:rPr>
        <w:t>设备零、部件清单，包括名称、图号、规格、材质、制造厂家全称等。</w:t>
      </w:r>
    </w:p>
    <w:p w14:paraId="58628DAD">
      <w:pPr>
        <w:numPr>
          <w:ilvl w:val="0"/>
          <w:numId w:val="77"/>
        </w:numPr>
        <w:spacing w:line="360" w:lineRule="auto"/>
        <w:rPr>
          <w:rFonts w:ascii="宋体" w:hAnsi="宋体"/>
          <w:color w:val="auto"/>
          <w:sz w:val="24"/>
          <w:szCs w:val="24"/>
          <w:highlight w:val="none"/>
        </w:rPr>
      </w:pPr>
      <w:r>
        <w:rPr>
          <w:rFonts w:hint="eastAsia" w:ascii="宋体" w:hAnsi="宋体"/>
          <w:color w:val="auto"/>
          <w:sz w:val="24"/>
          <w:szCs w:val="24"/>
          <w:highlight w:val="none"/>
        </w:rPr>
        <w:t>设备易损件、消耗性材料清单，包括名称、规格、制造厂家全称等。</w:t>
      </w:r>
    </w:p>
    <w:p w14:paraId="1992EAE0">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为便于使用和查阅，手册应分成卷，每一卷包括封面的最大厚度为</w:t>
      </w:r>
      <w:r>
        <w:rPr>
          <w:rFonts w:ascii="宋体" w:hAnsi="宋体"/>
          <w:color w:val="auto"/>
          <w:sz w:val="24"/>
          <w:szCs w:val="24"/>
          <w:highlight w:val="none"/>
        </w:rPr>
        <w:t>50mm</w:t>
      </w:r>
      <w:r>
        <w:rPr>
          <w:rFonts w:hint="eastAsia" w:ascii="宋体" w:hAnsi="宋体"/>
          <w:color w:val="auto"/>
          <w:sz w:val="24"/>
          <w:szCs w:val="24"/>
          <w:highlight w:val="none"/>
        </w:rPr>
        <w:t>。</w:t>
      </w:r>
    </w:p>
    <w:p w14:paraId="7E134437">
      <w:pPr>
        <w:pStyle w:val="13"/>
        <w:ind w:left="560"/>
        <w:rPr>
          <w:color w:val="auto"/>
          <w:sz w:val="24"/>
          <w:szCs w:val="24"/>
          <w:highlight w:val="none"/>
        </w:rPr>
      </w:pPr>
      <w:r>
        <w:rPr>
          <w:rFonts w:hint="eastAsia"/>
          <w:color w:val="auto"/>
          <w:sz w:val="24"/>
          <w:szCs w:val="24"/>
          <w:highlight w:val="none"/>
        </w:rPr>
        <w:t>每一卷的版式应尽可能地一致，每一部分的系统、设备等描述顺序也应一致。</w:t>
      </w:r>
    </w:p>
    <w:p w14:paraId="40303241">
      <w:pPr>
        <w:pStyle w:val="13"/>
        <w:ind w:left="560"/>
        <w:rPr>
          <w:color w:val="auto"/>
          <w:sz w:val="24"/>
          <w:szCs w:val="24"/>
          <w:highlight w:val="none"/>
        </w:rPr>
      </w:pPr>
    </w:p>
    <w:p w14:paraId="0445F279">
      <w:pPr>
        <w:pStyle w:val="13"/>
        <w:ind w:left="560"/>
        <w:rPr>
          <w:color w:val="auto"/>
          <w:highlight w:val="none"/>
        </w:rPr>
      </w:pPr>
    </w:p>
    <w:p w14:paraId="6723059D">
      <w:pPr>
        <w:pStyle w:val="13"/>
        <w:ind w:left="560"/>
        <w:rPr>
          <w:color w:val="auto"/>
          <w:highlight w:val="none"/>
        </w:rPr>
      </w:pPr>
    </w:p>
    <w:p w14:paraId="4EFCA300">
      <w:pPr>
        <w:pStyle w:val="13"/>
        <w:ind w:left="0" w:leftChars="0"/>
        <w:rPr>
          <w:color w:val="auto"/>
          <w:highlight w:val="none"/>
        </w:rPr>
      </w:pPr>
    </w:p>
    <w:p w14:paraId="502A9F20">
      <w:pPr>
        <w:pStyle w:val="2"/>
        <w:keepNext w:val="0"/>
        <w:keepLines w:val="0"/>
        <w:rPr>
          <w:color w:val="auto"/>
          <w:sz w:val="30"/>
          <w:szCs w:val="30"/>
          <w:highlight w:val="none"/>
        </w:rPr>
      </w:pPr>
      <w:r>
        <w:rPr>
          <w:color w:val="auto"/>
          <w:sz w:val="30"/>
          <w:szCs w:val="30"/>
          <w:highlight w:val="none"/>
        </w:rPr>
        <w:br w:type="page"/>
      </w:r>
      <w:bookmarkStart w:id="116" w:name="_Toc334015528"/>
      <w:bookmarkStart w:id="117" w:name="_Toc316370453"/>
      <w:bookmarkStart w:id="118" w:name="_Toc304277660"/>
      <w:bookmarkStart w:id="119" w:name="_Toc304277673"/>
      <w:r>
        <w:rPr>
          <w:rFonts w:hint="eastAsia"/>
          <w:color w:val="auto"/>
          <w:sz w:val="30"/>
          <w:szCs w:val="30"/>
          <w:highlight w:val="none"/>
        </w:rPr>
        <w:t>附件</w:t>
      </w:r>
      <w:r>
        <w:rPr>
          <w:color w:val="auto"/>
          <w:sz w:val="30"/>
          <w:szCs w:val="30"/>
          <w:highlight w:val="none"/>
        </w:rPr>
        <w:t xml:space="preserve">9 </w:t>
      </w:r>
      <w:r>
        <w:rPr>
          <w:rFonts w:hint="eastAsia"/>
          <w:color w:val="auto"/>
          <w:sz w:val="30"/>
          <w:szCs w:val="30"/>
          <w:highlight w:val="none"/>
        </w:rPr>
        <w:t>大（部）件情况</w:t>
      </w:r>
      <w:bookmarkEnd w:id="116"/>
      <w:bookmarkEnd w:id="117"/>
      <w:bookmarkEnd w:id="118"/>
      <w:bookmarkEnd w:id="119"/>
    </w:p>
    <w:p w14:paraId="366CAEF3">
      <w:pPr>
        <w:spacing w:line="360" w:lineRule="auto"/>
        <w:rPr>
          <w:rFonts w:ascii="宋体"/>
          <w:color w:val="auto"/>
          <w:sz w:val="24"/>
          <w:szCs w:val="24"/>
          <w:highlight w:val="none"/>
        </w:rPr>
      </w:pPr>
      <w:r>
        <w:rPr>
          <w:rFonts w:hint="eastAsia" w:ascii="宋体"/>
          <w:color w:val="auto"/>
          <w:sz w:val="24"/>
          <w:szCs w:val="24"/>
          <w:highlight w:val="none"/>
        </w:rPr>
        <w:t>投标人应把超级超限的情况详细予以说明</w:t>
      </w:r>
    </w:p>
    <w:tbl>
      <w:tblPr>
        <w:tblStyle w:val="31"/>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88"/>
        <w:gridCol w:w="740"/>
        <w:gridCol w:w="592"/>
        <w:gridCol w:w="1063"/>
        <w:gridCol w:w="1010"/>
        <w:gridCol w:w="705"/>
        <w:gridCol w:w="1072"/>
        <w:gridCol w:w="740"/>
        <w:gridCol w:w="1037"/>
        <w:gridCol w:w="740"/>
        <w:gridCol w:w="599"/>
      </w:tblGrid>
      <w:tr w14:paraId="48E66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restart"/>
            <w:tcBorders>
              <w:top w:val="single" w:color="auto" w:sz="6" w:space="0"/>
              <w:left w:val="single" w:color="auto" w:sz="6" w:space="0"/>
              <w:bottom w:val="nil"/>
              <w:right w:val="single" w:color="auto" w:sz="6" w:space="0"/>
            </w:tcBorders>
            <w:vAlign w:val="center"/>
          </w:tcPr>
          <w:p w14:paraId="26BA2D52">
            <w:pPr>
              <w:jc w:val="center"/>
              <w:rPr>
                <w:rFonts w:ascii="宋体" w:hAnsi="宋体"/>
                <w:color w:val="auto"/>
                <w:sz w:val="24"/>
                <w:szCs w:val="24"/>
                <w:highlight w:val="none"/>
              </w:rPr>
            </w:pPr>
            <w:r>
              <w:rPr>
                <w:rFonts w:hint="eastAsia" w:ascii="宋体" w:hAnsi="宋体"/>
                <w:color w:val="auto"/>
                <w:sz w:val="24"/>
                <w:szCs w:val="24"/>
                <w:highlight w:val="none"/>
              </w:rPr>
              <w:t>序号</w:t>
            </w:r>
          </w:p>
        </w:tc>
        <w:tc>
          <w:tcPr>
            <w:tcW w:w="421" w:type="pct"/>
            <w:vMerge w:val="restart"/>
            <w:tcBorders>
              <w:top w:val="single" w:color="auto" w:sz="6" w:space="0"/>
              <w:left w:val="nil"/>
              <w:bottom w:val="nil"/>
              <w:right w:val="single" w:color="auto" w:sz="6" w:space="0"/>
            </w:tcBorders>
            <w:vAlign w:val="center"/>
          </w:tcPr>
          <w:p w14:paraId="4BE09E1E">
            <w:pPr>
              <w:jc w:val="center"/>
              <w:rPr>
                <w:rFonts w:ascii="宋体" w:hAnsi="宋体"/>
                <w:color w:val="auto"/>
                <w:sz w:val="24"/>
                <w:szCs w:val="24"/>
                <w:highlight w:val="none"/>
              </w:rPr>
            </w:pPr>
            <w:r>
              <w:rPr>
                <w:rFonts w:hint="eastAsia" w:ascii="宋体" w:hAnsi="宋体"/>
                <w:color w:val="auto"/>
                <w:sz w:val="24"/>
                <w:szCs w:val="24"/>
                <w:highlight w:val="none"/>
              </w:rPr>
              <w:t>部件</w:t>
            </w:r>
          </w:p>
          <w:p w14:paraId="490BBF31">
            <w:pPr>
              <w:jc w:val="center"/>
              <w:rPr>
                <w:rFonts w:ascii="宋体" w:hAnsi="宋体"/>
                <w:color w:val="auto"/>
                <w:sz w:val="24"/>
                <w:szCs w:val="24"/>
                <w:highlight w:val="none"/>
              </w:rPr>
            </w:pPr>
            <w:r>
              <w:rPr>
                <w:rFonts w:hint="eastAsia" w:ascii="宋体" w:hAnsi="宋体"/>
                <w:color w:val="auto"/>
                <w:sz w:val="24"/>
                <w:szCs w:val="24"/>
                <w:highlight w:val="none"/>
              </w:rPr>
              <w:t>名称</w:t>
            </w:r>
          </w:p>
        </w:tc>
        <w:tc>
          <w:tcPr>
            <w:tcW w:w="337" w:type="pct"/>
            <w:vMerge w:val="restart"/>
            <w:tcBorders>
              <w:top w:val="single" w:color="auto" w:sz="6" w:space="0"/>
              <w:left w:val="nil"/>
              <w:bottom w:val="nil"/>
              <w:right w:val="single" w:color="auto" w:sz="6" w:space="0"/>
            </w:tcBorders>
            <w:vAlign w:val="center"/>
          </w:tcPr>
          <w:p w14:paraId="43F70685">
            <w:pPr>
              <w:jc w:val="center"/>
              <w:rPr>
                <w:rFonts w:ascii="宋体" w:hAnsi="宋体"/>
                <w:color w:val="auto"/>
                <w:sz w:val="24"/>
                <w:szCs w:val="24"/>
                <w:highlight w:val="none"/>
              </w:rPr>
            </w:pPr>
            <w:r>
              <w:rPr>
                <w:rFonts w:hint="eastAsia" w:ascii="宋体" w:hAnsi="宋体"/>
                <w:color w:val="auto"/>
                <w:sz w:val="24"/>
                <w:szCs w:val="24"/>
                <w:highlight w:val="none"/>
              </w:rPr>
              <w:t>数量</w:t>
            </w:r>
          </w:p>
        </w:tc>
        <w:tc>
          <w:tcPr>
            <w:tcW w:w="1180" w:type="pct"/>
            <w:gridSpan w:val="2"/>
            <w:tcBorders>
              <w:top w:val="single" w:color="auto" w:sz="6" w:space="0"/>
              <w:left w:val="nil"/>
              <w:bottom w:val="single" w:color="auto" w:sz="6" w:space="0"/>
              <w:right w:val="nil"/>
            </w:tcBorders>
            <w:vAlign w:val="center"/>
          </w:tcPr>
          <w:p w14:paraId="3697AE70">
            <w:pPr>
              <w:jc w:val="center"/>
              <w:rPr>
                <w:rFonts w:ascii="宋体" w:hAnsi="宋体"/>
                <w:color w:val="auto"/>
                <w:sz w:val="24"/>
                <w:szCs w:val="24"/>
                <w:highlight w:val="none"/>
              </w:rPr>
            </w:pPr>
            <w:r>
              <w:rPr>
                <w:rFonts w:hint="eastAsia" w:ascii="宋体" w:hAnsi="宋体"/>
                <w:color w:val="auto"/>
                <w:sz w:val="24"/>
                <w:szCs w:val="24"/>
                <w:highlight w:val="none"/>
              </w:rPr>
              <w:t>长×宽×高</w:t>
            </w:r>
          </w:p>
        </w:tc>
        <w:tc>
          <w:tcPr>
            <w:tcW w:w="1011" w:type="pct"/>
            <w:gridSpan w:val="2"/>
            <w:tcBorders>
              <w:top w:val="single" w:color="auto" w:sz="6" w:space="0"/>
              <w:left w:val="single" w:color="auto" w:sz="6" w:space="0"/>
              <w:bottom w:val="single" w:color="auto" w:sz="6" w:space="0"/>
              <w:right w:val="nil"/>
            </w:tcBorders>
            <w:vAlign w:val="center"/>
          </w:tcPr>
          <w:p w14:paraId="2699AA46">
            <w:pPr>
              <w:jc w:val="center"/>
              <w:rPr>
                <w:rFonts w:ascii="宋体" w:hAnsi="宋体"/>
                <w:color w:val="auto"/>
                <w:sz w:val="24"/>
                <w:szCs w:val="24"/>
                <w:highlight w:val="none"/>
              </w:rPr>
            </w:pPr>
            <w:r>
              <w:rPr>
                <w:rFonts w:hint="eastAsia" w:ascii="宋体" w:hAnsi="宋体"/>
                <w:color w:val="auto"/>
                <w:sz w:val="24"/>
                <w:szCs w:val="24"/>
                <w:highlight w:val="none"/>
              </w:rPr>
              <w:t>重量</w:t>
            </w:r>
          </w:p>
        </w:tc>
        <w:tc>
          <w:tcPr>
            <w:tcW w:w="421" w:type="pct"/>
            <w:vMerge w:val="restart"/>
            <w:tcBorders>
              <w:top w:val="single" w:color="auto" w:sz="6" w:space="0"/>
              <w:left w:val="single" w:color="auto" w:sz="6" w:space="0"/>
              <w:bottom w:val="nil"/>
              <w:right w:val="nil"/>
            </w:tcBorders>
            <w:vAlign w:val="center"/>
          </w:tcPr>
          <w:p w14:paraId="18062E58">
            <w:pPr>
              <w:jc w:val="center"/>
              <w:rPr>
                <w:rFonts w:ascii="宋体" w:hAnsi="宋体"/>
                <w:color w:val="auto"/>
                <w:sz w:val="24"/>
                <w:szCs w:val="24"/>
                <w:highlight w:val="none"/>
              </w:rPr>
            </w:pPr>
            <w:r>
              <w:rPr>
                <w:rFonts w:hint="eastAsia" w:ascii="宋体" w:hAnsi="宋体"/>
                <w:color w:val="auto"/>
                <w:sz w:val="24"/>
                <w:szCs w:val="24"/>
                <w:highlight w:val="none"/>
              </w:rPr>
              <w:t>厂家</w:t>
            </w:r>
          </w:p>
          <w:p w14:paraId="1DBABF9F">
            <w:pPr>
              <w:jc w:val="center"/>
              <w:rPr>
                <w:rFonts w:ascii="宋体" w:hAnsi="宋体"/>
                <w:color w:val="auto"/>
                <w:sz w:val="24"/>
                <w:szCs w:val="24"/>
                <w:highlight w:val="none"/>
              </w:rPr>
            </w:pPr>
            <w:r>
              <w:rPr>
                <w:rFonts w:hint="eastAsia" w:ascii="宋体" w:hAnsi="宋体"/>
                <w:color w:val="auto"/>
                <w:sz w:val="24"/>
                <w:szCs w:val="24"/>
                <w:highlight w:val="none"/>
              </w:rPr>
              <w:t>名称</w:t>
            </w:r>
          </w:p>
        </w:tc>
        <w:tc>
          <w:tcPr>
            <w:tcW w:w="590" w:type="pct"/>
            <w:vMerge w:val="restart"/>
            <w:tcBorders>
              <w:top w:val="single" w:color="auto" w:sz="6" w:space="0"/>
              <w:left w:val="single" w:color="auto" w:sz="6" w:space="0"/>
              <w:bottom w:val="nil"/>
              <w:right w:val="nil"/>
            </w:tcBorders>
            <w:vAlign w:val="center"/>
          </w:tcPr>
          <w:p w14:paraId="7523E238">
            <w:pPr>
              <w:jc w:val="center"/>
              <w:rPr>
                <w:rFonts w:ascii="宋体" w:hAnsi="宋体"/>
                <w:color w:val="auto"/>
                <w:sz w:val="24"/>
                <w:szCs w:val="24"/>
                <w:highlight w:val="none"/>
              </w:rPr>
            </w:pPr>
            <w:r>
              <w:rPr>
                <w:rFonts w:hint="eastAsia" w:ascii="宋体" w:hAnsi="宋体"/>
                <w:color w:val="auto"/>
                <w:sz w:val="24"/>
                <w:szCs w:val="24"/>
                <w:highlight w:val="none"/>
              </w:rPr>
              <w:t>货物发运地点</w:t>
            </w:r>
          </w:p>
        </w:tc>
        <w:tc>
          <w:tcPr>
            <w:tcW w:w="421" w:type="pct"/>
            <w:vMerge w:val="restart"/>
            <w:tcBorders>
              <w:top w:val="single" w:color="auto" w:sz="6" w:space="0"/>
              <w:left w:val="single" w:color="auto" w:sz="6" w:space="0"/>
              <w:bottom w:val="nil"/>
              <w:right w:val="single" w:color="auto" w:sz="6" w:space="0"/>
            </w:tcBorders>
            <w:vAlign w:val="center"/>
          </w:tcPr>
          <w:p w14:paraId="7B7C4D40">
            <w:pPr>
              <w:jc w:val="center"/>
              <w:rPr>
                <w:rFonts w:ascii="宋体" w:hAnsi="宋体"/>
                <w:color w:val="auto"/>
                <w:sz w:val="24"/>
                <w:szCs w:val="24"/>
                <w:highlight w:val="none"/>
              </w:rPr>
            </w:pPr>
            <w:r>
              <w:rPr>
                <w:rFonts w:hint="eastAsia" w:ascii="宋体" w:hAnsi="宋体"/>
                <w:color w:val="auto"/>
                <w:sz w:val="24"/>
                <w:szCs w:val="24"/>
                <w:highlight w:val="none"/>
              </w:rPr>
              <w:t>运输方式</w:t>
            </w:r>
          </w:p>
        </w:tc>
        <w:tc>
          <w:tcPr>
            <w:tcW w:w="341" w:type="pct"/>
            <w:vMerge w:val="restart"/>
            <w:tcBorders>
              <w:top w:val="single" w:color="auto" w:sz="6" w:space="0"/>
              <w:left w:val="single" w:color="auto" w:sz="6" w:space="0"/>
              <w:bottom w:val="nil"/>
              <w:right w:val="single" w:color="auto" w:sz="6" w:space="0"/>
            </w:tcBorders>
            <w:vAlign w:val="center"/>
          </w:tcPr>
          <w:p w14:paraId="3B2D8C47">
            <w:pPr>
              <w:jc w:val="center"/>
              <w:rPr>
                <w:rFonts w:ascii="宋体" w:hAnsi="宋体"/>
                <w:color w:val="auto"/>
                <w:sz w:val="24"/>
                <w:szCs w:val="24"/>
                <w:highlight w:val="none"/>
              </w:rPr>
            </w:pPr>
            <w:r>
              <w:rPr>
                <w:rFonts w:hint="eastAsia" w:ascii="宋体" w:hAnsi="宋体"/>
                <w:color w:val="auto"/>
                <w:sz w:val="24"/>
                <w:szCs w:val="24"/>
                <w:highlight w:val="none"/>
              </w:rPr>
              <w:t>备注</w:t>
            </w:r>
          </w:p>
        </w:tc>
      </w:tr>
      <w:tr w14:paraId="26F904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continue"/>
            <w:tcBorders>
              <w:top w:val="nil"/>
              <w:left w:val="single" w:color="auto" w:sz="6" w:space="0"/>
              <w:bottom w:val="single" w:color="auto" w:sz="6" w:space="0"/>
              <w:right w:val="single" w:color="auto" w:sz="6" w:space="0"/>
            </w:tcBorders>
            <w:vAlign w:val="center"/>
          </w:tcPr>
          <w:p w14:paraId="75FF29F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vMerge w:val="continue"/>
            <w:tcBorders>
              <w:top w:val="nil"/>
              <w:left w:val="nil"/>
              <w:bottom w:val="single" w:color="auto" w:sz="6" w:space="0"/>
              <w:right w:val="single" w:color="auto" w:sz="6" w:space="0"/>
            </w:tcBorders>
            <w:vAlign w:val="center"/>
          </w:tcPr>
          <w:p w14:paraId="66726E0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vMerge w:val="continue"/>
            <w:tcBorders>
              <w:top w:val="nil"/>
              <w:left w:val="nil"/>
              <w:bottom w:val="single" w:color="auto" w:sz="6" w:space="0"/>
              <w:right w:val="single" w:color="auto" w:sz="6" w:space="0"/>
            </w:tcBorders>
            <w:vAlign w:val="center"/>
          </w:tcPr>
          <w:p w14:paraId="0CB70FC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Borders>
              <w:top w:val="nil"/>
              <w:left w:val="nil"/>
            </w:tcBorders>
            <w:vAlign w:val="center"/>
          </w:tcPr>
          <w:p w14:paraId="38D81C11">
            <w:pPr>
              <w:jc w:val="center"/>
              <w:rPr>
                <w:rFonts w:ascii="宋体" w:hAnsi="宋体"/>
                <w:color w:val="auto"/>
                <w:sz w:val="24"/>
                <w:szCs w:val="24"/>
                <w:highlight w:val="none"/>
              </w:rPr>
            </w:pPr>
            <w:r>
              <w:rPr>
                <w:rFonts w:hint="eastAsia" w:ascii="宋体" w:hAnsi="宋体"/>
                <w:color w:val="auto"/>
                <w:sz w:val="24"/>
                <w:szCs w:val="24"/>
                <w:highlight w:val="none"/>
              </w:rPr>
              <w:t>包装</w:t>
            </w:r>
          </w:p>
        </w:tc>
        <w:tc>
          <w:tcPr>
            <w:tcW w:w="574" w:type="pct"/>
            <w:tcBorders>
              <w:top w:val="nil"/>
            </w:tcBorders>
            <w:vAlign w:val="center"/>
          </w:tcPr>
          <w:p w14:paraId="16953774">
            <w:pPr>
              <w:jc w:val="center"/>
              <w:rPr>
                <w:rFonts w:ascii="宋体" w:hAnsi="宋体"/>
                <w:color w:val="auto"/>
                <w:sz w:val="24"/>
                <w:szCs w:val="24"/>
                <w:highlight w:val="none"/>
              </w:rPr>
            </w:pPr>
            <w:r>
              <w:rPr>
                <w:rFonts w:hint="eastAsia" w:ascii="宋体" w:hAnsi="宋体"/>
                <w:color w:val="auto"/>
                <w:sz w:val="24"/>
                <w:szCs w:val="24"/>
                <w:highlight w:val="none"/>
              </w:rPr>
              <w:t>未包装</w:t>
            </w:r>
          </w:p>
        </w:tc>
        <w:tc>
          <w:tcPr>
            <w:tcW w:w="401" w:type="pct"/>
            <w:tcBorders>
              <w:top w:val="nil"/>
            </w:tcBorders>
            <w:vAlign w:val="center"/>
          </w:tcPr>
          <w:p w14:paraId="0B17881F">
            <w:pPr>
              <w:jc w:val="center"/>
              <w:rPr>
                <w:rFonts w:ascii="宋体" w:hAnsi="宋体"/>
                <w:color w:val="auto"/>
                <w:sz w:val="24"/>
                <w:szCs w:val="24"/>
                <w:highlight w:val="none"/>
              </w:rPr>
            </w:pPr>
            <w:r>
              <w:rPr>
                <w:rFonts w:hint="eastAsia" w:ascii="宋体" w:hAnsi="宋体"/>
                <w:color w:val="auto"/>
                <w:sz w:val="24"/>
                <w:szCs w:val="24"/>
                <w:highlight w:val="none"/>
              </w:rPr>
              <w:t>包装</w:t>
            </w:r>
          </w:p>
        </w:tc>
        <w:tc>
          <w:tcPr>
            <w:tcW w:w="610" w:type="pct"/>
            <w:tcBorders>
              <w:top w:val="nil"/>
              <w:right w:val="nil"/>
            </w:tcBorders>
            <w:vAlign w:val="center"/>
          </w:tcPr>
          <w:p w14:paraId="62648B16">
            <w:pPr>
              <w:jc w:val="center"/>
              <w:rPr>
                <w:rFonts w:ascii="宋体" w:hAnsi="宋体"/>
                <w:color w:val="auto"/>
                <w:sz w:val="24"/>
                <w:szCs w:val="24"/>
                <w:highlight w:val="none"/>
              </w:rPr>
            </w:pPr>
            <w:r>
              <w:rPr>
                <w:rFonts w:hint="eastAsia" w:ascii="宋体" w:hAnsi="宋体"/>
                <w:color w:val="auto"/>
                <w:sz w:val="24"/>
                <w:szCs w:val="24"/>
                <w:highlight w:val="none"/>
              </w:rPr>
              <w:t>未包装</w:t>
            </w:r>
          </w:p>
        </w:tc>
        <w:tc>
          <w:tcPr>
            <w:tcW w:w="421" w:type="pct"/>
            <w:vMerge w:val="continue"/>
            <w:tcBorders>
              <w:top w:val="nil"/>
              <w:left w:val="single" w:color="auto" w:sz="6" w:space="0"/>
              <w:bottom w:val="single" w:color="auto" w:sz="6" w:space="0"/>
              <w:right w:val="nil"/>
            </w:tcBorders>
            <w:vAlign w:val="center"/>
          </w:tcPr>
          <w:p w14:paraId="51F2FA9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vMerge w:val="continue"/>
            <w:tcBorders>
              <w:top w:val="nil"/>
              <w:left w:val="single" w:color="auto" w:sz="6" w:space="0"/>
              <w:bottom w:val="single" w:color="auto" w:sz="6" w:space="0"/>
              <w:right w:val="nil"/>
            </w:tcBorders>
            <w:vAlign w:val="center"/>
          </w:tcPr>
          <w:p w14:paraId="62B939F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vMerge w:val="continue"/>
            <w:tcBorders>
              <w:top w:val="nil"/>
              <w:left w:val="single" w:color="auto" w:sz="6" w:space="0"/>
              <w:bottom w:val="single" w:color="auto" w:sz="6" w:space="0"/>
              <w:right w:val="single" w:color="auto" w:sz="6" w:space="0"/>
            </w:tcBorders>
            <w:vAlign w:val="center"/>
          </w:tcPr>
          <w:p w14:paraId="044E4E3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vMerge w:val="continue"/>
            <w:tcBorders>
              <w:top w:val="nil"/>
              <w:left w:val="single" w:color="auto" w:sz="6" w:space="0"/>
              <w:bottom w:val="single" w:color="auto" w:sz="6" w:space="0"/>
              <w:right w:val="single" w:color="auto" w:sz="6" w:space="0"/>
            </w:tcBorders>
            <w:vAlign w:val="center"/>
          </w:tcPr>
          <w:p w14:paraId="7CD1269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088E5C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Borders>
              <w:top w:val="nil"/>
            </w:tcBorders>
          </w:tcPr>
          <w:p w14:paraId="01B92FC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5982FF8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Borders>
              <w:top w:val="nil"/>
            </w:tcBorders>
          </w:tcPr>
          <w:p w14:paraId="659E188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00B094E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1513DFF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2443877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3785FAF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00BB429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Borders>
              <w:top w:val="nil"/>
            </w:tcBorders>
          </w:tcPr>
          <w:p w14:paraId="3990B35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4C4BD1D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Borders>
              <w:top w:val="nil"/>
            </w:tcBorders>
          </w:tcPr>
          <w:p w14:paraId="1C534FE8">
            <w:pPr>
              <w:keepNext/>
              <w:keepLines/>
              <w:adjustRightInd w:val="0"/>
              <w:spacing w:before="240" w:after="240" w:line="360" w:lineRule="auto"/>
              <w:ind w:left="280"/>
              <w:jc w:val="center"/>
              <w:textAlignment w:val="baseline"/>
              <w:outlineLvl w:val="0"/>
              <w:rPr>
                <w:rFonts w:ascii="宋体" w:hAnsi="宋体"/>
                <w:color w:val="auto"/>
                <w:sz w:val="24"/>
                <w:szCs w:val="24"/>
                <w:highlight w:val="none"/>
              </w:rPr>
            </w:pPr>
          </w:p>
        </w:tc>
      </w:tr>
      <w:tr w14:paraId="2C8A57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47884DD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B3E057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63BDF0C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686AB17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72310CC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29B1CF0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3C5C4FD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7BE01B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2C01D41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93FF37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4016E56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4B9A8B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6E384B8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1318A1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400517E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1EAACB3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14EC080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0A4513F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0C8CB6E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900F90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6B6C052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CB3796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1FC51B2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48B984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7016C6C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279222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200C2FE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32E33BA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4EDBFE8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66AF50C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4EFB1CC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3E76BC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78429C8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EAC3DF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18DC501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1D2728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5409C71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AED010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0542EB6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24C88F9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05C071E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3E3803D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72C1BFB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EC5D75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5949BDA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35FB096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21C6C6D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1E12D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4BAEA23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0EBB09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7EDF97C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7CDE38A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60C6D94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3D9F231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6B513D0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D467F1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67172EA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DA55CA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5062A2E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2DECA9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4F9D44D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FF4061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39F122A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3DCB763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0C9A928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5608160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79DEDFD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8E65C4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401AA11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D0BEC8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695F9F1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57A143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1747356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3E7557B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3E8C60A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4D86399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5C87EF7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054CE2A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1C9B734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970886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115C387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158F45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70C2FC0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17D5C4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011C6D2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25ACCF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3B3A7EE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54E4D52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40081E5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1312382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71337F8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BC515E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75F2A79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31C14E3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3462BF0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bl>
    <w:p w14:paraId="48BE9A60">
      <w:pPr>
        <w:spacing w:line="400" w:lineRule="atLeast"/>
        <w:jc w:val="center"/>
        <w:rPr>
          <w:color w:val="auto"/>
          <w:sz w:val="24"/>
          <w:szCs w:val="24"/>
          <w:highlight w:val="none"/>
        </w:rPr>
      </w:pPr>
      <w:r>
        <w:rPr>
          <w:rFonts w:hint="eastAsia"/>
          <w:color w:val="auto"/>
          <w:sz w:val="24"/>
          <w:szCs w:val="24"/>
          <w:highlight w:val="none"/>
        </w:rPr>
        <w:t>注：上表中的序号和内容应与附件</w:t>
      </w:r>
      <w:r>
        <w:rPr>
          <w:color w:val="auto"/>
          <w:sz w:val="24"/>
          <w:szCs w:val="24"/>
          <w:highlight w:val="none"/>
        </w:rPr>
        <w:t>2</w:t>
      </w:r>
      <w:r>
        <w:rPr>
          <w:rFonts w:hint="eastAsia"/>
          <w:color w:val="auto"/>
          <w:sz w:val="24"/>
          <w:szCs w:val="24"/>
          <w:highlight w:val="none"/>
        </w:rPr>
        <w:t>的一致</w:t>
      </w:r>
    </w:p>
    <w:p w14:paraId="215332BA">
      <w:pPr>
        <w:spacing w:line="360" w:lineRule="auto"/>
        <w:ind w:left="420"/>
        <w:rPr>
          <w:color w:val="auto"/>
          <w:highlight w:val="none"/>
        </w:rPr>
      </w:pPr>
    </w:p>
    <w:p w14:paraId="2FB71B42">
      <w:pPr>
        <w:spacing w:line="360" w:lineRule="auto"/>
        <w:ind w:left="420"/>
        <w:rPr>
          <w:color w:val="auto"/>
          <w:highlight w:val="none"/>
        </w:rPr>
      </w:pPr>
    </w:p>
    <w:p w14:paraId="583E1F6B">
      <w:pPr>
        <w:spacing w:line="360" w:lineRule="auto"/>
        <w:rPr>
          <w:color w:val="auto"/>
          <w:highlight w:val="none"/>
        </w:rPr>
        <w:sectPr>
          <w:footerReference r:id="rId9" w:type="default"/>
          <w:pgSz w:w="11906" w:h="16838"/>
          <w:pgMar w:top="1418" w:right="1588" w:bottom="1418" w:left="1588" w:header="851" w:footer="992" w:gutter="0"/>
          <w:cols w:space="425" w:num="1"/>
          <w:docGrid w:linePitch="312" w:charSpace="0"/>
        </w:sectPr>
      </w:pPr>
    </w:p>
    <w:p w14:paraId="6CC7AC07">
      <w:pPr>
        <w:outlineLvl w:val="0"/>
        <w:rPr>
          <w:b/>
          <w:color w:val="auto"/>
          <w:sz w:val="30"/>
          <w:szCs w:val="30"/>
          <w:highlight w:val="none"/>
        </w:rPr>
      </w:pPr>
      <w:bookmarkStart w:id="120" w:name="_Toc334013946"/>
      <w:bookmarkStart w:id="121" w:name="_Toc334015529"/>
      <w:bookmarkStart w:id="122" w:name="_Toc304277661"/>
      <w:bookmarkStart w:id="123" w:name="_Toc509633022"/>
      <w:bookmarkStart w:id="124" w:name="_Toc509479855"/>
      <w:bookmarkStart w:id="125" w:name="_Toc49087001"/>
      <w:bookmarkStart w:id="126" w:name="_Toc292871823"/>
      <w:bookmarkStart w:id="127" w:name="_Toc509562817"/>
      <w:bookmarkStart w:id="128" w:name="_Toc509479396"/>
      <w:bookmarkStart w:id="129" w:name="_Toc58825815"/>
      <w:bookmarkStart w:id="130" w:name="_Toc509576610"/>
      <w:bookmarkStart w:id="131" w:name="_Toc509490626"/>
      <w:bookmarkStart w:id="132" w:name="_Toc509632910"/>
      <w:r>
        <w:rPr>
          <w:rFonts w:hint="eastAsia"/>
          <w:b/>
          <w:color w:val="auto"/>
          <w:sz w:val="30"/>
          <w:szCs w:val="30"/>
          <w:highlight w:val="none"/>
        </w:rPr>
        <w:t>附件</w:t>
      </w:r>
      <w:r>
        <w:rPr>
          <w:b/>
          <w:color w:val="auto"/>
          <w:sz w:val="30"/>
          <w:szCs w:val="30"/>
          <w:highlight w:val="none"/>
        </w:rPr>
        <w:t xml:space="preserve">10  </w:t>
      </w:r>
      <w:r>
        <w:rPr>
          <w:rFonts w:hint="eastAsia"/>
          <w:b/>
          <w:color w:val="auto"/>
          <w:sz w:val="30"/>
          <w:szCs w:val="30"/>
          <w:highlight w:val="none"/>
        </w:rPr>
        <w:t>技术差异表</w:t>
      </w:r>
      <w:bookmarkEnd w:id="120"/>
      <w:bookmarkEnd w:id="121"/>
      <w:bookmarkEnd w:id="122"/>
    </w:p>
    <w:p w14:paraId="05551545">
      <w:pPr>
        <w:spacing w:line="400" w:lineRule="atLeast"/>
        <w:rPr>
          <w:color w:val="auto"/>
          <w:sz w:val="24"/>
          <w:szCs w:val="24"/>
          <w:highlight w:val="none"/>
        </w:rPr>
      </w:pPr>
      <w:r>
        <w:rPr>
          <w:color w:val="auto"/>
          <w:sz w:val="24"/>
          <w:szCs w:val="24"/>
          <w:highlight w:val="none"/>
        </w:rPr>
        <w:t>投标人要将投标文件和招标文件的差异之处汇集成表。技术部分和商务部分要单独列表。</w:t>
      </w:r>
    </w:p>
    <w:p w14:paraId="20996581">
      <w:pPr>
        <w:spacing w:line="400" w:lineRule="atLeast"/>
        <w:rPr>
          <w:color w:val="auto"/>
          <w:sz w:val="24"/>
          <w:szCs w:val="24"/>
          <w:highlight w:val="none"/>
        </w:rPr>
      </w:pPr>
      <w:r>
        <w:rPr>
          <w:color w:val="auto"/>
          <w:sz w:val="24"/>
          <w:szCs w:val="24"/>
          <w:highlight w:val="none"/>
        </w:rPr>
        <w:t>差异表</w:t>
      </w:r>
    </w:p>
    <w:tbl>
      <w:tblPr>
        <w:tblStyle w:val="31"/>
        <w:tblW w:w="0" w:type="auto"/>
        <w:jc w:val="center"/>
        <w:tblLayout w:type="fixed"/>
        <w:tblCellMar>
          <w:top w:w="0" w:type="dxa"/>
          <w:left w:w="28" w:type="dxa"/>
          <w:bottom w:w="0" w:type="dxa"/>
          <w:right w:w="28" w:type="dxa"/>
        </w:tblCellMar>
      </w:tblPr>
      <w:tblGrid>
        <w:gridCol w:w="840"/>
        <w:gridCol w:w="1830"/>
        <w:gridCol w:w="1830"/>
        <w:gridCol w:w="1830"/>
        <w:gridCol w:w="1830"/>
      </w:tblGrid>
      <w:tr w14:paraId="68C6F800">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right w:val="single" w:color="auto" w:sz="6" w:space="0"/>
            </w:tcBorders>
            <w:vAlign w:val="center"/>
          </w:tcPr>
          <w:p w14:paraId="71B07FD1">
            <w:pPr>
              <w:spacing w:line="400" w:lineRule="atLeast"/>
              <w:rPr>
                <w:color w:val="auto"/>
                <w:sz w:val="24"/>
                <w:szCs w:val="24"/>
                <w:highlight w:val="none"/>
              </w:rPr>
            </w:pPr>
            <w:r>
              <w:rPr>
                <w:color w:val="auto"/>
                <w:sz w:val="24"/>
                <w:szCs w:val="24"/>
                <w:highlight w:val="none"/>
              </w:rPr>
              <w:t>序号</w:t>
            </w:r>
          </w:p>
        </w:tc>
        <w:tc>
          <w:tcPr>
            <w:tcW w:w="3660" w:type="dxa"/>
            <w:gridSpan w:val="2"/>
            <w:tcBorders>
              <w:top w:val="single" w:color="auto" w:sz="6" w:space="0"/>
              <w:left w:val="nil"/>
              <w:right w:val="single" w:color="auto" w:sz="6" w:space="0"/>
            </w:tcBorders>
            <w:vAlign w:val="center"/>
          </w:tcPr>
          <w:p w14:paraId="60F23F9D">
            <w:pPr>
              <w:spacing w:line="400" w:lineRule="atLeast"/>
              <w:rPr>
                <w:color w:val="auto"/>
                <w:sz w:val="24"/>
                <w:szCs w:val="24"/>
                <w:highlight w:val="none"/>
              </w:rPr>
            </w:pPr>
            <w:r>
              <w:rPr>
                <w:color w:val="auto"/>
                <w:sz w:val="24"/>
                <w:szCs w:val="24"/>
                <w:highlight w:val="none"/>
              </w:rPr>
              <w:t>招标文件</w:t>
            </w:r>
          </w:p>
        </w:tc>
        <w:tc>
          <w:tcPr>
            <w:tcW w:w="3660" w:type="dxa"/>
            <w:gridSpan w:val="2"/>
            <w:tcBorders>
              <w:top w:val="single" w:color="auto" w:sz="6" w:space="0"/>
              <w:left w:val="nil"/>
              <w:right w:val="single" w:color="auto" w:sz="6" w:space="0"/>
            </w:tcBorders>
            <w:vAlign w:val="center"/>
          </w:tcPr>
          <w:p w14:paraId="05FD3E4E">
            <w:pPr>
              <w:spacing w:line="400" w:lineRule="atLeast"/>
              <w:rPr>
                <w:color w:val="auto"/>
                <w:sz w:val="24"/>
                <w:szCs w:val="24"/>
                <w:highlight w:val="none"/>
              </w:rPr>
            </w:pPr>
            <w:r>
              <w:rPr>
                <w:color w:val="auto"/>
                <w:sz w:val="24"/>
                <w:szCs w:val="24"/>
                <w:highlight w:val="none"/>
              </w:rPr>
              <w:t>投标文件</w:t>
            </w:r>
          </w:p>
        </w:tc>
      </w:tr>
      <w:tr w14:paraId="02A88265">
        <w:tblPrEx>
          <w:tblCellMar>
            <w:top w:w="0" w:type="dxa"/>
            <w:left w:w="28" w:type="dxa"/>
            <w:bottom w:w="0" w:type="dxa"/>
            <w:right w:w="28" w:type="dxa"/>
          </w:tblCellMar>
        </w:tblPrEx>
        <w:trPr>
          <w:cantSplit/>
          <w:jc w:val="center"/>
        </w:trPr>
        <w:tc>
          <w:tcPr>
            <w:tcW w:w="840" w:type="dxa"/>
            <w:vMerge w:val="continue"/>
            <w:tcBorders>
              <w:left w:val="single" w:color="auto" w:sz="6" w:space="0"/>
              <w:right w:val="single" w:color="auto" w:sz="6" w:space="0"/>
            </w:tcBorders>
            <w:vAlign w:val="center"/>
          </w:tcPr>
          <w:p w14:paraId="4AF513B8">
            <w:pPr>
              <w:spacing w:line="400" w:lineRule="atLeast"/>
              <w:rPr>
                <w:color w:val="auto"/>
                <w:sz w:val="24"/>
                <w:szCs w:val="24"/>
                <w:highlight w:val="none"/>
              </w:rPr>
            </w:pPr>
          </w:p>
        </w:tc>
        <w:tc>
          <w:tcPr>
            <w:tcW w:w="1830" w:type="dxa"/>
            <w:tcBorders>
              <w:top w:val="single" w:color="auto" w:sz="6" w:space="0"/>
              <w:left w:val="nil"/>
              <w:right w:val="single" w:color="auto" w:sz="6" w:space="0"/>
            </w:tcBorders>
            <w:vAlign w:val="center"/>
          </w:tcPr>
          <w:p w14:paraId="49C8BEE6">
            <w:pPr>
              <w:spacing w:line="400" w:lineRule="atLeast"/>
              <w:rPr>
                <w:color w:val="auto"/>
                <w:sz w:val="24"/>
                <w:szCs w:val="24"/>
                <w:highlight w:val="none"/>
              </w:rPr>
            </w:pPr>
            <w:r>
              <w:rPr>
                <w:color w:val="auto"/>
                <w:sz w:val="24"/>
                <w:szCs w:val="24"/>
                <w:highlight w:val="none"/>
              </w:rPr>
              <w:t>条目</w:t>
            </w:r>
          </w:p>
        </w:tc>
        <w:tc>
          <w:tcPr>
            <w:tcW w:w="1830" w:type="dxa"/>
            <w:tcBorders>
              <w:top w:val="single" w:color="auto" w:sz="6" w:space="0"/>
              <w:left w:val="nil"/>
              <w:right w:val="single" w:color="auto" w:sz="6" w:space="0"/>
            </w:tcBorders>
            <w:vAlign w:val="center"/>
          </w:tcPr>
          <w:p w14:paraId="59BADE37">
            <w:pPr>
              <w:spacing w:line="400" w:lineRule="atLeast"/>
              <w:rPr>
                <w:color w:val="auto"/>
                <w:sz w:val="24"/>
                <w:szCs w:val="24"/>
                <w:highlight w:val="none"/>
              </w:rPr>
            </w:pPr>
            <w:r>
              <w:rPr>
                <w:color w:val="auto"/>
                <w:sz w:val="24"/>
                <w:szCs w:val="24"/>
                <w:highlight w:val="none"/>
              </w:rPr>
              <w:t>简要内容</w:t>
            </w:r>
          </w:p>
        </w:tc>
        <w:tc>
          <w:tcPr>
            <w:tcW w:w="1830" w:type="dxa"/>
            <w:tcBorders>
              <w:top w:val="single" w:color="auto" w:sz="6" w:space="0"/>
              <w:left w:val="nil"/>
              <w:right w:val="single" w:color="auto" w:sz="6" w:space="0"/>
            </w:tcBorders>
            <w:vAlign w:val="center"/>
          </w:tcPr>
          <w:p w14:paraId="4C5ED4DE">
            <w:pPr>
              <w:spacing w:line="400" w:lineRule="atLeast"/>
              <w:rPr>
                <w:color w:val="auto"/>
                <w:sz w:val="24"/>
                <w:szCs w:val="24"/>
                <w:highlight w:val="none"/>
              </w:rPr>
            </w:pPr>
            <w:r>
              <w:rPr>
                <w:color w:val="auto"/>
                <w:sz w:val="24"/>
                <w:szCs w:val="24"/>
                <w:highlight w:val="none"/>
              </w:rPr>
              <w:t>条目</w:t>
            </w:r>
          </w:p>
        </w:tc>
        <w:tc>
          <w:tcPr>
            <w:tcW w:w="1830" w:type="dxa"/>
            <w:tcBorders>
              <w:top w:val="single" w:color="auto" w:sz="6" w:space="0"/>
              <w:left w:val="nil"/>
              <w:right w:val="single" w:color="auto" w:sz="6" w:space="0"/>
            </w:tcBorders>
            <w:vAlign w:val="center"/>
          </w:tcPr>
          <w:p w14:paraId="1C4F7213">
            <w:pPr>
              <w:spacing w:line="400" w:lineRule="atLeast"/>
              <w:rPr>
                <w:color w:val="auto"/>
                <w:sz w:val="24"/>
                <w:szCs w:val="24"/>
                <w:highlight w:val="none"/>
              </w:rPr>
            </w:pPr>
            <w:r>
              <w:rPr>
                <w:color w:val="auto"/>
                <w:sz w:val="24"/>
                <w:szCs w:val="24"/>
                <w:highlight w:val="none"/>
              </w:rPr>
              <w:t>简要内容</w:t>
            </w:r>
          </w:p>
        </w:tc>
      </w:tr>
      <w:tr w14:paraId="5A9BADC6">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vAlign w:val="center"/>
          </w:tcPr>
          <w:p w14:paraId="1CBF1619">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vAlign w:val="center"/>
          </w:tcPr>
          <w:p w14:paraId="6CDE87CD">
            <w:pPr>
              <w:spacing w:line="400" w:lineRule="atLeast"/>
              <w:rPr>
                <w:color w:val="auto"/>
                <w:sz w:val="24"/>
                <w:szCs w:val="24"/>
                <w:highlight w:val="none"/>
              </w:rPr>
            </w:pPr>
          </w:p>
        </w:tc>
        <w:tc>
          <w:tcPr>
            <w:tcW w:w="1830" w:type="dxa"/>
            <w:tcBorders>
              <w:top w:val="single" w:color="auto" w:sz="6" w:space="0"/>
              <w:left w:val="nil"/>
              <w:bottom w:val="single" w:color="auto" w:sz="6" w:space="0"/>
            </w:tcBorders>
            <w:vAlign w:val="center"/>
          </w:tcPr>
          <w:p w14:paraId="4B403714">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vAlign w:val="center"/>
          </w:tcPr>
          <w:p w14:paraId="1BFBF4A8">
            <w:pPr>
              <w:pStyle w:val="18"/>
              <w:spacing w:line="400" w:lineRule="atLeast"/>
              <w:rPr>
                <w:rFonts w:ascii="Times New Roman"/>
                <w:color w:val="auto"/>
                <w:szCs w:val="24"/>
                <w:highlight w:val="none"/>
              </w:rPr>
            </w:pPr>
          </w:p>
        </w:tc>
        <w:tc>
          <w:tcPr>
            <w:tcW w:w="1830" w:type="dxa"/>
            <w:tcBorders>
              <w:top w:val="single" w:color="auto" w:sz="6" w:space="0"/>
              <w:left w:val="nil"/>
              <w:bottom w:val="single" w:color="auto" w:sz="6" w:space="0"/>
              <w:right w:val="single" w:color="auto" w:sz="6" w:space="0"/>
            </w:tcBorders>
            <w:vAlign w:val="center"/>
          </w:tcPr>
          <w:p w14:paraId="5D40DEE8">
            <w:pPr>
              <w:spacing w:line="400" w:lineRule="atLeast"/>
              <w:rPr>
                <w:color w:val="auto"/>
                <w:sz w:val="24"/>
                <w:szCs w:val="24"/>
                <w:highlight w:val="none"/>
              </w:rPr>
            </w:pPr>
          </w:p>
        </w:tc>
      </w:tr>
      <w:tr w14:paraId="267C5038">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AC5CEA7">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1433488F">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7C34841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1F6C492">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77449727">
            <w:pPr>
              <w:spacing w:line="400" w:lineRule="atLeast"/>
              <w:rPr>
                <w:color w:val="auto"/>
                <w:sz w:val="24"/>
                <w:szCs w:val="24"/>
                <w:highlight w:val="none"/>
              </w:rPr>
            </w:pPr>
          </w:p>
        </w:tc>
      </w:tr>
      <w:tr w14:paraId="23090F9E">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E9FC5B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5ADB1E14">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028AA33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78B393B5">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44955A79">
            <w:pPr>
              <w:spacing w:line="400" w:lineRule="atLeast"/>
              <w:rPr>
                <w:color w:val="auto"/>
                <w:sz w:val="24"/>
                <w:szCs w:val="24"/>
                <w:highlight w:val="none"/>
              </w:rPr>
            </w:pPr>
          </w:p>
        </w:tc>
      </w:tr>
      <w:tr w14:paraId="3F0FC9E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FB81B66">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48AA3BCF">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4CC2E29E">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DDD1E55">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691537FF">
            <w:pPr>
              <w:spacing w:line="400" w:lineRule="atLeast"/>
              <w:rPr>
                <w:color w:val="auto"/>
                <w:sz w:val="24"/>
                <w:szCs w:val="24"/>
                <w:highlight w:val="none"/>
              </w:rPr>
            </w:pPr>
          </w:p>
        </w:tc>
      </w:tr>
      <w:tr w14:paraId="5343538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D444CA7">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B6ECB08">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39545944">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0D314E31">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78C42922">
            <w:pPr>
              <w:spacing w:line="400" w:lineRule="atLeast"/>
              <w:rPr>
                <w:color w:val="auto"/>
                <w:sz w:val="24"/>
                <w:szCs w:val="24"/>
                <w:highlight w:val="none"/>
              </w:rPr>
            </w:pPr>
          </w:p>
        </w:tc>
      </w:tr>
      <w:tr w14:paraId="7080A190">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5865F26">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4716F4A5">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6FF34CE2">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11A5E5A6">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27EBCA44">
            <w:pPr>
              <w:spacing w:line="400" w:lineRule="atLeast"/>
              <w:rPr>
                <w:color w:val="auto"/>
                <w:sz w:val="24"/>
                <w:szCs w:val="24"/>
                <w:highlight w:val="none"/>
              </w:rPr>
            </w:pPr>
          </w:p>
        </w:tc>
      </w:tr>
      <w:tr w14:paraId="5EF7D50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D1B2717">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CC45E2C">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2DD393E5">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7976DE7">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63DDFCFB">
            <w:pPr>
              <w:spacing w:line="400" w:lineRule="atLeast"/>
              <w:rPr>
                <w:color w:val="auto"/>
                <w:sz w:val="24"/>
                <w:szCs w:val="24"/>
                <w:highlight w:val="none"/>
              </w:rPr>
            </w:pPr>
          </w:p>
        </w:tc>
      </w:tr>
      <w:tr w14:paraId="38F0E91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378301B1">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9C37323">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453E5C00">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FE135C1">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052D7DFB">
            <w:pPr>
              <w:spacing w:line="400" w:lineRule="atLeast"/>
              <w:rPr>
                <w:color w:val="auto"/>
                <w:sz w:val="24"/>
                <w:szCs w:val="24"/>
                <w:highlight w:val="none"/>
              </w:rPr>
            </w:pPr>
          </w:p>
        </w:tc>
      </w:tr>
      <w:tr w14:paraId="7B14BBED">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048CA1F">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1AD2834F">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5F7E4387">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1BE1F2D5">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51E12256">
            <w:pPr>
              <w:spacing w:line="400" w:lineRule="atLeast"/>
              <w:rPr>
                <w:color w:val="auto"/>
                <w:sz w:val="24"/>
                <w:szCs w:val="24"/>
                <w:highlight w:val="none"/>
              </w:rPr>
            </w:pPr>
          </w:p>
        </w:tc>
      </w:tr>
      <w:tr w14:paraId="6472928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4D5CA2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4A74109">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1E19CC82">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30F2655">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0A3AC942">
            <w:pPr>
              <w:spacing w:line="400" w:lineRule="atLeast"/>
              <w:rPr>
                <w:color w:val="auto"/>
                <w:sz w:val="24"/>
                <w:szCs w:val="24"/>
                <w:highlight w:val="none"/>
              </w:rPr>
            </w:pPr>
          </w:p>
        </w:tc>
      </w:tr>
      <w:tr w14:paraId="6576065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B8DA050">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437DD43E">
            <w:pPr>
              <w:spacing w:line="400" w:lineRule="atLeast"/>
              <w:rPr>
                <w:color w:val="auto"/>
                <w:highlight w:val="none"/>
              </w:rPr>
            </w:pPr>
          </w:p>
        </w:tc>
        <w:tc>
          <w:tcPr>
            <w:tcW w:w="1830" w:type="dxa"/>
            <w:tcBorders>
              <w:top w:val="single" w:color="auto" w:sz="6" w:space="0"/>
              <w:left w:val="nil"/>
              <w:bottom w:val="single" w:color="auto" w:sz="6" w:space="0"/>
            </w:tcBorders>
          </w:tcPr>
          <w:p w14:paraId="0592C631">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322DB544">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47079892">
            <w:pPr>
              <w:spacing w:line="400" w:lineRule="atLeast"/>
              <w:rPr>
                <w:color w:val="auto"/>
                <w:highlight w:val="none"/>
              </w:rPr>
            </w:pPr>
          </w:p>
        </w:tc>
      </w:tr>
      <w:tr w14:paraId="6CDBBDAE">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685BF91">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61D82C19">
            <w:pPr>
              <w:spacing w:line="400" w:lineRule="atLeast"/>
              <w:rPr>
                <w:color w:val="auto"/>
                <w:highlight w:val="none"/>
              </w:rPr>
            </w:pPr>
          </w:p>
        </w:tc>
        <w:tc>
          <w:tcPr>
            <w:tcW w:w="1830" w:type="dxa"/>
            <w:tcBorders>
              <w:top w:val="single" w:color="auto" w:sz="6" w:space="0"/>
              <w:left w:val="nil"/>
              <w:bottom w:val="single" w:color="auto" w:sz="6" w:space="0"/>
            </w:tcBorders>
          </w:tcPr>
          <w:p w14:paraId="3DAE3294">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35B1BB69">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32074E77">
            <w:pPr>
              <w:spacing w:line="400" w:lineRule="atLeast"/>
              <w:rPr>
                <w:color w:val="auto"/>
                <w:highlight w:val="none"/>
              </w:rPr>
            </w:pPr>
          </w:p>
        </w:tc>
      </w:tr>
      <w:tr w14:paraId="1911B2C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5EEC133">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2D90F495">
            <w:pPr>
              <w:spacing w:line="400" w:lineRule="atLeast"/>
              <w:rPr>
                <w:color w:val="auto"/>
                <w:highlight w:val="none"/>
              </w:rPr>
            </w:pPr>
          </w:p>
        </w:tc>
        <w:tc>
          <w:tcPr>
            <w:tcW w:w="1830" w:type="dxa"/>
            <w:tcBorders>
              <w:top w:val="single" w:color="auto" w:sz="6" w:space="0"/>
              <w:left w:val="nil"/>
              <w:bottom w:val="single" w:color="auto" w:sz="6" w:space="0"/>
            </w:tcBorders>
          </w:tcPr>
          <w:p w14:paraId="393AD0AB">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1BFF14E6">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08388821">
            <w:pPr>
              <w:spacing w:line="400" w:lineRule="atLeast"/>
              <w:rPr>
                <w:color w:val="auto"/>
                <w:highlight w:val="none"/>
              </w:rPr>
            </w:pPr>
          </w:p>
        </w:tc>
      </w:tr>
    </w:tbl>
    <w:p w14:paraId="408C9D10">
      <w:pPr>
        <w:spacing w:line="360" w:lineRule="auto"/>
        <w:rPr>
          <w:rFonts w:ascii="宋体"/>
          <w:b/>
          <w:color w:val="auto"/>
          <w:szCs w:val="28"/>
          <w:highlight w:val="none"/>
        </w:rPr>
      </w:pPr>
    </w:p>
    <w:p w14:paraId="0CE57453">
      <w:pPr>
        <w:spacing w:line="360" w:lineRule="auto"/>
        <w:outlineLvl w:val="0"/>
        <w:rPr>
          <w:rFonts w:ascii="宋体"/>
          <w:b/>
          <w:color w:val="auto"/>
          <w:sz w:val="30"/>
          <w:szCs w:val="30"/>
          <w:highlight w:val="none"/>
        </w:rPr>
      </w:pPr>
      <w:r>
        <w:rPr>
          <w:rFonts w:ascii="宋体"/>
          <w:b/>
          <w:color w:val="auto"/>
          <w:sz w:val="30"/>
          <w:szCs w:val="30"/>
          <w:highlight w:val="none"/>
        </w:rPr>
        <w:br w:type="page"/>
      </w:r>
      <w:bookmarkStart w:id="133" w:name="_Toc334015530"/>
      <w:r>
        <w:rPr>
          <w:rFonts w:hint="eastAsia" w:ascii="宋体"/>
          <w:b/>
          <w:color w:val="auto"/>
          <w:sz w:val="30"/>
          <w:szCs w:val="30"/>
          <w:highlight w:val="none"/>
        </w:rPr>
        <w:t>附件</w:t>
      </w:r>
      <w:r>
        <w:rPr>
          <w:rFonts w:ascii="宋体"/>
          <w:b/>
          <w:color w:val="auto"/>
          <w:sz w:val="30"/>
          <w:szCs w:val="30"/>
          <w:highlight w:val="none"/>
        </w:rPr>
        <w:t xml:space="preserve">11  </w:t>
      </w:r>
      <w:r>
        <w:rPr>
          <w:rFonts w:hint="eastAsia" w:ascii="宋体"/>
          <w:b/>
          <w:color w:val="auto"/>
          <w:sz w:val="30"/>
          <w:szCs w:val="30"/>
          <w:highlight w:val="none"/>
        </w:rPr>
        <w:t>附图</w:t>
      </w:r>
      <w:bookmarkEnd w:id="123"/>
      <w:bookmarkEnd w:id="124"/>
      <w:bookmarkEnd w:id="125"/>
      <w:bookmarkEnd w:id="126"/>
      <w:bookmarkEnd w:id="127"/>
      <w:bookmarkEnd w:id="128"/>
      <w:bookmarkEnd w:id="129"/>
      <w:bookmarkEnd w:id="130"/>
      <w:bookmarkEnd w:id="131"/>
      <w:bookmarkEnd w:id="132"/>
      <w:bookmarkEnd w:id="133"/>
    </w:p>
    <w:p w14:paraId="3B3EAF4C">
      <w:pPr>
        <w:spacing w:line="360" w:lineRule="auto"/>
        <w:ind w:firstLine="559" w:firstLineChars="233"/>
        <w:rPr>
          <w:rFonts w:ascii="宋体"/>
          <w:color w:val="auto"/>
          <w:sz w:val="24"/>
          <w:highlight w:val="none"/>
        </w:rPr>
      </w:pPr>
      <w:r>
        <w:rPr>
          <w:rFonts w:hint="eastAsia"/>
          <w:color w:val="auto"/>
          <w:sz w:val="24"/>
          <w:highlight w:val="none"/>
        </w:rPr>
        <w:t>附图1：</w:t>
      </w:r>
      <w:r>
        <w:rPr>
          <w:rFonts w:hint="eastAsia" w:ascii="宋体"/>
          <w:color w:val="auto"/>
          <w:sz w:val="24"/>
          <w:highlight w:val="none"/>
        </w:rPr>
        <w:t>电气主接线</w:t>
      </w:r>
      <w:r>
        <w:rPr>
          <w:rFonts w:hint="eastAsia" w:ascii="宋体"/>
          <w:color w:val="auto"/>
          <w:sz w:val="24"/>
          <w:highlight w:val="none"/>
          <w:lang w:val="en-US" w:eastAsia="zh-CN"/>
        </w:rPr>
        <w:t>原则性接线图</w:t>
      </w:r>
    </w:p>
    <w:p w14:paraId="667715C4">
      <w:pPr>
        <w:spacing w:line="360" w:lineRule="auto"/>
        <w:ind w:firstLine="559" w:firstLineChars="233"/>
        <w:rPr>
          <w:rFonts w:ascii="宋体" w:hAnsi="宋体"/>
          <w:color w:val="auto"/>
          <w:sz w:val="24"/>
          <w:highlight w:val="none"/>
        </w:rPr>
      </w:pPr>
      <w:r>
        <w:rPr>
          <w:rFonts w:hint="eastAsia"/>
          <w:color w:val="auto"/>
          <w:sz w:val="24"/>
          <w:highlight w:val="none"/>
        </w:rPr>
        <w:t>附图2</w:t>
      </w:r>
      <w:r>
        <w:rPr>
          <w:rFonts w:hint="eastAsia"/>
          <w:color w:val="auto"/>
          <w:sz w:val="24"/>
          <w:highlight w:val="none"/>
          <w:lang w:eastAsia="zh-CN"/>
        </w:rPr>
        <w:t>：</w:t>
      </w:r>
      <w:r>
        <w:rPr>
          <w:rFonts w:hint="eastAsia"/>
          <w:color w:val="auto"/>
          <w:sz w:val="24"/>
          <w:highlight w:val="none"/>
        </w:rPr>
        <w:t>升压站网络监控(NCS)系统图</w:t>
      </w:r>
    </w:p>
    <w:p w14:paraId="25AF99BC">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附图3</w:t>
      </w:r>
      <w:r>
        <w:rPr>
          <w:rFonts w:hint="eastAsia"/>
          <w:color w:val="auto"/>
          <w:highlight w:val="none"/>
          <w:lang w:val="en-US" w:eastAsia="zh-CN"/>
        </w:rPr>
        <w:t>：</w:t>
      </w:r>
      <w:r>
        <w:rPr>
          <w:rFonts w:hint="default" w:eastAsia="宋体"/>
          <w:color w:val="auto"/>
          <w:highlight w:val="none"/>
          <w:lang w:val="en-US" w:eastAsia="zh-CN"/>
        </w:rPr>
        <w:t>机组电度表屏屏面布置图</w:t>
      </w:r>
    </w:p>
    <w:p w14:paraId="477C759C">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附图4</w:t>
      </w:r>
      <w:r>
        <w:rPr>
          <w:rFonts w:hint="eastAsia"/>
          <w:color w:val="auto"/>
          <w:highlight w:val="none"/>
          <w:lang w:val="en-US" w:eastAsia="zh-CN"/>
        </w:rPr>
        <w:t>：</w:t>
      </w:r>
      <w:r>
        <w:rPr>
          <w:rFonts w:hint="default" w:eastAsia="宋体"/>
          <w:color w:val="auto"/>
          <w:highlight w:val="none"/>
          <w:lang w:val="en-US" w:eastAsia="zh-CN"/>
        </w:rPr>
        <w:t>机组电度表屏设备表</w:t>
      </w:r>
    </w:p>
    <w:p w14:paraId="7C1CCF65">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附图5</w:t>
      </w:r>
      <w:r>
        <w:rPr>
          <w:rFonts w:hint="eastAsia"/>
          <w:color w:val="auto"/>
          <w:highlight w:val="none"/>
          <w:lang w:val="en-US" w:eastAsia="zh-CN"/>
        </w:rPr>
        <w:t>：</w:t>
      </w:r>
      <w:r>
        <w:rPr>
          <w:rFonts w:hint="default" w:eastAsia="宋体"/>
          <w:color w:val="auto"/>
          <w:highlight w:val="none"/>
          <w:lang w:val="en-US" w:eastAsia="zh-CN"/>
        </w:rPr>
        <w:t>发电机、厂变、励磁变电度表单元图</w:t>
      </w:r>
    </w:p>
    <w:p w14:paraId="09FB0FC0">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附图6</w:t>
      </w:r>
      <w:r>
        <w:rPr>
          <w:rFonts w:hint="eastAsia"/>
          <w:color w:val="auto"/>
          <w:highlight w:val="none"/>
          <w:lang w:val="en-US" w:eastAsia="zh-CN"/>
        </w:rPr>
        <w:t>：</w:t>
      </w:r>
      <w:r>
        <w:rPr>
          <w:rFonts w:hint="default" w:eastAsia="宋体"/>
          <w:color w:val="auto"/>
          <w:highlight w:val="none"/>
          <w:lang w:val="en-US" w:eastAsia="zh-CN"/>
        </w:rPr>
        <w:t>关口电度表屏屏面布置图</w:t>
      </w:r>
    </w:p>
    <w:p w14:paraId="2EC56959">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附图7</w:t>
      </w:r>
      <w:r>
        <w:rPr>
          <w:rFonts w:hint="eastAsia"/>
          <w:color w:val="auto"/>
          <w:highlight w:val="none"/>
          <w:lang w:val="en-US" w:eastAsia="zh-CN"/>
        </w:rPr>
        <w:t>：</w:t>
      </w:r>
      <w:r>
        <w:rPr>
          <w:rFonts w:hint="default" w:eastAsia="宋体"/>
          <w:color w:val="auto"/>
          <w:highlight w:val="none"/>
          <w:lang w:val="en-US" w:eastAsia="zh-CN"/>
        </w:rPr>
        <w:t>关口电度表屏设备表</w:t>
      </w:r>
    </w:p>
    <w:p w14:paraId="606D1042">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附图8</w:t>
      </w:r>
      <w:r>
        <w:rPr>
          <w:rFonts w:hint="eastAsia"/>
          <w:color w:val="auto"/>
          <w:highlight w:val="none"/>
          <w:lang w:val="en-US" w:eastAsia="zh-CN"/>
        </w:rPr>
        <w:t>：</w:t>
      </w:r>
      <w:r>
        <w:rPr>
          <w:rFonts w:hint="default" w:eastAsia="宋体"/>
          <w:color w:val="auto"/>
          <w:highlight w:val="none"/>
          <w:lang w:val="en-US" w:eastAsia="zh-CN"/>
        </w:rPr>
        <w:t>关口电度表屏单元图</w:t>
      </w:r>
    </w:p>
    <w:p w14:paraId="0ED94DF1">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附图9</w:t>
      </w:r>
      <w:r>
        <w:rPr>
          <w:rFonts w:hint="eastAsia"/>
          <w:color w:val="auto"/>
          <w:highlight w:val="none"/>
          <w:lang w:val="en-US" w:eastAsia="zh-CN"/>
        </w:rPr>
        <w:t>：</w:t>
      </w:r>
      <w:r>
        <w:rPr>
          <w:rFonts w:hint="default" w:eastAsia="宋体"/>
          <w:color w:val="auto"/>
          <w:highlight w:val="none"/>
          <w:lang w:val="en-US" w:eastAsia="zh-CN"/>
        </w:rPr>
        <w:t>线路电度表屏屏面布置图</w:t>
      </w:r>
    </w:p>
    <w:p w14:paraId="14206A81">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附图10</w:t>
      </w:r>
      <w:r>
        <w:rPr>
          <w:rFonts w:hint="eastAsia"/>
          <w:color w:val="auto"/>
          <w:highlight w:val="none"/>
          <w:lang w:val="en-US" w:eastAsia="zh-CN"/>
        </w:rPr>
        <w:t>：</w:t>
      </w:r>
      <w:r>
        <w:rPr>
          <w:rFonts w:hint="default" w:eastAsia="宋体"/>
          <w:color w:val="auto"/>
          <w:highlight w:val="none"/>
          <w:lang w:val="en-US" w:eastAsia="zh-CN"/>
        </w:rPr>
        <w:t>线路电度表屏设备表</w:t>
      </w:r>
    </w:p>
    <w:p w14:paraId="39D022AD">
      <w:pPr>
        <w:pStyle w:val="12"/>
        <w:ind w:left="560" w:leftChars="200"/>
        <w:rPr>
          <w:rFonts w:hint="default" w:eastAsia="宋体"/>
          <w:color w:val="auto"/>
          <w:highlight w:val="none"/>
          <w:lang w:val="en-US" w:eastAsia="zh-CN"/>
        </w:rPr>
      </w:pPr>
      <w:r>
        <w:rPr>
          <w:rFonts w:hint="default" w:eastAsia="宋体"/>
          <w:color w:val="auto"/>
          <w:highlight w:val="none"/>
          <w:lang w:val="en-US" w:eastAsia="zh-CN"/>
        </w:rPr>
        <w:t>附图11</w:t>
      </w:r>
      <w:r>
        <w:rPr>
          <w:rFonts w:hint="eastAsia"/>
          <w:color w:val="auto"/>
          <w:highlight w:val="none"/>
          <w:lang w:val="en-US" w:eastAsia="zh-CN"/>
        </w:rPr>
        <w:t>：</w:t>
      </w:r>
      <w:r>
        <w:rPr>
          <w:rFonts w:hint="default" w:eastAsia="宋体"/>
          <w:color w:val="auto"/>
          <w:highlight w:val="none"/>
          <w:lang w:val="en-US" w:eastAsia="zh-CN"/>
        </w:rPr>
        <w:t>线路电度表屏单元图</w:t>
      </w:r>
    </w:p>
    <w:p w14:paraId="68C5A333">
      <w:pPr>
        <w:spacing w:line="360" w:lineRule="auto"/>
        <w:ind w:firstLine="559" w:firstLineChars="233"/>
        <w:rPr>
          <w:rFonts w:ascii="宋体" w:hAnsi="宋体"/>
          <w:color w:val="auto"/>
          <w:sz w:val="24"/>
          <w:highlight w:val="none"/>
        </w:rPr>
      </w:pPr>
    </w:p>
    <w:p w14:paraId="4DA7EB95">
      <w:pPr>
        <w:spacing w:line="360" w:lineRule="auto"/>
        <w:ind w:firstLine="559" w:firstLineChars="233"/>
        <w:rPr>
          <w:rFonts w:ascii="宋体" w:hAnsi="宋体"/>
          <w:color w:val="auto"/>
          <w:sz w:val="24"/>
          <w:highlight w:val="none"/>
        </w:rPr>
      </w:pPr>
    </w:p>
    <w:p w14:paraId="0F9C93D6">
      <w:pPr>
        <w:spacing w:line="360" w:lineRule="auto"/>
        <w:ind w:firstLine="559" w:firstLineChars="233"/>
        <w:rPr>
          <w:rFonts w:ascii="宋体" w:hAnsi="宋体"/>
          <w:color w:val="auto"/>
          <w:sz w:val="24"/>
          <w:highlight w:val="none"/>
        </w:rPr>
      </w:pPr>
    </w:p>
    <w:p w14:paraId="339A66C1">
      <w:pPr>
        <w:spacing w:line="360" w:lineRule="auto"/>
        <w:ind w:firstLine="559" w:firstLineChars="233"/>
        <w:rPr>
          <w:rFonts w:ascii="宋体" w:hAnsi="宋体"/>
          <w:color w:val="auto"/>
          <w:sz w:val="24"/>
          <w:highlight w:val="none"/>
        </w:rPr>
      </w:pPr>
    </w:p>
    <w:p w14:paraId="004B927E">
      <w:pPr>
        <w:spacing w:line="360" w:lineRule="auto"/>
        <w:ind w:firstLine="559" w:firstLineChars="233"/>
        <w:rPr>
          <w:rFonts w:ascii="宋体" w:hAnsi="宋体"/>
          <w:color w:val="auto"/>
          <w:sz w:val="24"/>
          <w:highlight w:val="none"/>
        </w:rPr>
      </w:pPr>
    </w:p>
    <w:p w14:paraId="520E1F2B">
      <w:pPr>
        <w:spacing w:line="360" w:lineRule="auto"/>
        <w:ind w:firstLine="559" w:firstLineChars="233"/>
        <w:rPr>
          <w:rFonts w:ascii="宋体" w:hAnsi="宋体"/>
          <w:color w:val="auto"/>
          <w:sz w:val="24"/>
          <w:highlight w:val="none"/>
        </w:rPr>
      </w:pPr>
    </w:p>
    <w:p w14:paraId="70FAFC2D">
      <w:pPr>
        <w:spacing w:line="360" w:lineRule="auto"/>
        <w:ind w:firstLine="559" w:firstLineChars="233"/>
        <w:rPr>
          <w:rFonts w:ascii="宋体" w:hAnsi="宋体"/>
          <w:color w:val="auto"/>
          <w:sz w:val="24"/>
          <w:highlight w:val="none"/>
        </w:rPr>
      </w:pPr>
    </w:p>
    <w:p w14:paraId="27573408">
      <w:pPr>
        <w:spacing w:line="360" w:lineRule="auto"/>
        <w:ind w:firstLine="559" w:firstLineChars="233"/>
        <w:rPr>
          <w:rFonts w:ascii="宋体" w:hAnsi="宋体"/>
          <w:color w:val="auto"/>
          <w:sz w:val="24"/>
          <w:highlight w:val="none"/>
        </w:rPr>
      </w:pPr>
    </w:p>
    <w:p w14:paraId="4CBC360F">
      <w:pPr>
        <w:spacing w:line="360" w:lineRule="auto"/>
        <w:ind w:firstLine="559" w:firstLineChars="233"/>
        <w:rPr>
          <w:rFonts w:ascii="宋体" w:hAnsi="宋体"/>
          <w:color w:val="auto"/>
          <w:sz w:val="24"/>
          <w:highlight w:val="none"/>
        </w:rPr>
      </w:pPr>
    </w:p>
    <w:p w14:paraId="4F929EE4">
      <w:pPr>
        <w:spacing w:line="360" w:lineRule="auto"/>
        <w:ind w:firstLine="559" w:firstLineChars="233"/>
        <w:rPr>
          <w:rFonts w:ascii="宋体" w:hAnsi="宋体"/>
          <w:color w:val="auto"/>
          <w:sz w:val="24"/>
          <w:highlight w:val="none"/>
        </w:rPr>
      </w:pPr>
    </w:p>
    <w:p w14:paraId="39DCFE3E">
      <w:pPr>
        <w:spacing w:line="360" w:lineRule="auto"/>
        <w:ind w:firstLine="559" w:firstLineChars="233"/>
        <w:rPr>
          <w:rFonts w:ascii="宋体" w:hAnsi="宋体"/>
          <w:color w:val="auto"/>
          <w:sz w:val="24"/>
          <w:highlight w:val="none"/>
        </w:rPr>
      </w:pPr>
    </w:p>
    <w:p w14:paraId="42E9C1A5">
      <w:pPr>
        <w:spacing w:line="360" w:lineRule="auto"/>
        <w:ind w:firstLine="559" w:firstLineChars="233"/>
        <w:rPr>
          <w:rFonts w:ascii="宋体" w:hAnsi="宋体"/>
          <w:color w:val="auto"/>
          <w:sz w:val="24"/>
          <w:highlight w:val="none"/>
        </w:rPr>
      </w:pPr>
    </w:p>
    <w:p w14:paraId="75FB93C9">
      <w:pPr>
        <w:spacing w:line="360" w:lineRule="auto"/>
        <w:ind w:firstLine="559" w:firstLineChars="233"/>
        <w:rPr>
          <w:rFonts w:ascii="宋体" w:hAnsi="宋体"/>
          <w:color w:val="auto"/>
          <w:sz w:val="24"/>
          <w:highlight w:val="none"/>
        </w:rPr>
      </w:pPr>
    </w:p>
    <w:p w14:paraId="16B81FA6">
      <w:pPr>
        <w:spacing w:line="360" w:lineRule="auto"/>
        <w:ind w:firstLine="559" w:firstLineChars="233"/>
        <w:rPr>
          <w:rFonts w:ascii="宋体" w:hAnsi="宋体"/>
          <w:color w:val="auto"/>
          <w:sz w:val="24"/>
          <w:highlight w:val="none"/>
        </w:rPr>
      </w:pPr>
    </w:p>
    <w:p w14:paraId="5F0D6119">
      <w:pPr>
        <w:spacing w:line="360" w:lineRule="auto"/>
        <w:ind w:firstLine="559" w:firstLineChars="233"/>
        <w:rPr>
          <w:rFonts w:ascii="宋体" w:hAnsi="宋体"/>
          <w:color w:val="auto"/>
          <w:sz w:val="24"/>
          <w:highlight w:val="none"/>
        </w:rPr>
      </w:pPr>
    </w:p>
    <w:p w14:paraId="6E14462B">
      <w:pPr>
        <w:spacing w:line="360" w:lineRule="auto"/>
        <w:ind w:firstLine="559" w:firstLineChars="233"/>
        <w:rPr>
          <w:rFonts w:ascii="宋体" w:hAnsi="宋体"/>
          <w:color w:val="auto"/>
          <w:sz w:val="24"/>
          <w:highlight w:val="none"/>
        </w:rPr>
      </w:pPr>
    </w:p>
    <w:p w14:paraId="5F20FBCC">
      <w:pPr>
        <w:spacing w:line="360" w:lineRule="auto"/>
        <w:ind w:firstLine="559" w:firstLineChars="233"/>
        <w:rPr>
          <w:rFonts w:ascii="宋体" w:hAnsi="宋体"/>
          <w:color w:val="auto"/>
          <w:sz w:val="24"/>
          <w:highlight w:val="none"/>
        </w:rPr>
      </w:pPr>
    </w:p>
    <w:p w14:paraId="61984A8F">
      <w:pPr>
        <w:spacing w:line="360" w:lineRule="auto"/>
        <w:ind w:firstLine="559" w:firstLineChars="233"/>
        <w:rPr>
          <w:rFonts w:ascii="宋体" w:hAnsi="宋体"/>
          <w:color w:val="auto"/>
          <w:sz w:val="24"/>
          <w:highlight w:val="none"/>
        </w:rPr>
      </w:pPr>
    </w:p>
    <w:p w14:paraId="0E5556C8">
      <w:pPr>
        <w:spacing w:line="360" w:lineRule="auto"/>
        <w:outlineLvl w:val="0"/>
        <w:rPr>
          <w:b/>
          <w:color w:val="auto"/>
          <w:sz w:val="30"/>
          <w:szCs w:val="30"/>
          <w:highlight w:val="none"/>
        </w:rPr>
      </w:pPr>
      <w:bookmarkStart w:id="134" w:name="_Toc334015531"/>
      <w:r>
        <w:rPr>
          <w:rFonts w:hint="eastAsia"/>
          <w:b/>
          <w:color w:val="auto"/>
          <w:sz w:val="30"/>
          <w:szCs w:val="30"/>
          <w:highlight w:val="none"/>
        </w:rPr>
        <w:t>附件</w:t>
      </w:r>
      <w:r>
        <w:rPr>
          <w:b/>
          <w:color w:val="auto"/>
          <w:sz w:val="30"/>
          <w:szCs w:val="30"/>
          <w:highlight w:val="none"/>
        </w:rPr>
        <w:t xml:space="preserve">12 </w:t>
      </w:r>
      <w:r>
        <w:rPr>
          <w:rFonts w:hint="eastAsia"/>
          <w:b/>
          <w:color w:val="auto"/>
          <w:sz w:val="30"/>
          <w:szCs w:val="30"/>
          <w:highlight w:val="none"/>
        </w:rPr>
        <w:t>性能考核</w:t>
      </w:r>
      <w:bookmarkEnd w:id="134"/>
    </w:p>
    <w:p w14:paraId="47FFED71">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1、主机（服务器、工作站）稳定性：发生死机，投标人免费整改至技术规范书的要求，并支付10万元/台次的违约金。</w:t>
      </w:r>
    </w:p>
    <w:p w14:paraId="38E6DCD7">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2、网络/总线中断：发生全中断，投标人免费整改至技术规范书的要求，并支付5万元/次的违约金。</w:t>
      </w:r>
    </w:p>
    <w:p w14:paraId="4A6A12AF">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3、测量精度：测量精度不符合要求，投标人免费整改至技术规范书的要求，并支付0.05万元/台次的违约金。</w:t>
      </w:r>
    </w:p>
    <w:p w14:paraId="00BD46C0">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4、动作正确性：发生拒动、误动，投标人免费整改至技术规范书的要求，并支付5万元/次的违约金。</w:t>
      </w:r>
    </w:p>
    <w:p w14:paraId="1C3AFDCD">
      <w:pPr>
        <w:spacing w:line="360" w:lineRule="auto"/>
        <w:ind w:firstLine="559" w:firstLineChars="233"/>
        <w:rPr>
          <w:rFonts w:ascii="宋体" w:hAnsi="宋体"/>
          <w:color w:val="auto"/>
          <w:sz w:val="24"/>
          <w:highlight w:val="none"/>
        </w:rPr>
      </w:pPr>
    </w:p>
    <w:p w14:paraId="5995ADCC">
      <w:pPr>
        <w:pStyle w:val="2"/>
        <w:spacing w:line="360" w:lineRule="auto"/>
        <w:ind w:firstLine="420"/>
        <w:rPr>
          <w:rFonts w:hAnsi="宋体"/>
          <w:color w:val="auto"/>
          <w:sz w:val="24"/>
          <w:highlight w:val="none"/>
        </w:rPr>
      </w:pPr>
      <w:r>
        <w:rPr>
          <w:color w:val="auto"/>
          <w:sz w:val="30"/>
          <w:szCs w:val="30"/>
          <w:highlight w:val="none"/>
        </w:rPr>
        <w:br w:type="page"/>
      </w:r>
      <w:bookmarkStart w:id="135" w:name="_Toc28940970"/>
      <w:bookmarkStart w:id="136" w:name="_Toc197658021"/>
      <w:bookmarkStart w:id="137" w:name="_Toc27813181"/>
      <w:bookmarkStart w:id="138" w:name="_Toc28348699"/>
      <w:bookmarkStart w:id="139" w:name="_Toc203236148"/>
      <w:bookmarkStart w:id="140" w:name="_Toc334015532"/>
      <w:r>
        <w:rPr>
          <w:rFonts w:hint="eastAsia"/>
          <w:color w:val="auto"/>
          <w:sz w:val="30"/>
          <w:szCs w:val="30"/>
          <w:highlight w:val="none"/>
        </w:rPr>
        <w:t xml:space="preserve">附件13 </w:t>
      </w:r>
      <w:bookmarkEnd w:id="135"/>
      <w:bookmarkEnd w:id="136"/>
      <w:bookmarkEnd w:id="137"/>
      <w:bookmarkEnd w:id="138"/>
      <w:bookmarkEnd w:id="139"/>
      <w:r>
        <w:rPr>
          <w:rFonts w:hint="eastAsia"/>
          <w:color w:val="auto"/>
          <w:kern w:val="2"/>
          <w:sz w:val="30"/>
          <w:szCs w:val="30"/>
          <w:highlight w:val="none"/>
        </w:rPr>
        <w:t>投标人需要说明的其他问题（质量承诺及售后服务承诺等）</w:t>
      </w:r>
      <w:bookmarkEnd w:id="140"/>
    </w:p>
    <w:p w14:paraId="2FEBF71B">
      <w:pPr>
        <w:spacing w:line="360" w:lineRule="auto"/>
        <w:ind w:firstLine="420"/>
        <w:rPr>
          <w:color w:val="auto"/>
          <w:sz w:val="24"/>
          <w:highlight w:val="none"/>
        </w:rPr>
      </w:pPr>
      <w:r>
        <w:rPr>
          <w:rFonts w:hAnsi="宋体"/>
          <w:color w:val="auto"/>
          <w:sz w:val="24"/>
          <w:highlight w:val="none"/>
        </w:rPr>
        <w:t>投标人提供在专业技术、设备设施、人员组织、业绩经验等方面具有设计、制造、质量控制、经营管理的相应的资格和能力的资料。</w:t>
      </w:r>
    </w:p>
    <w:p w14:paraId="638174C3">
      <w:pPr>
        <w:spacing w:line="360" w:lineRule="auto"/>
        <w:ind w:firstLine="559" w:firstLineChars="233"/>
        <w:rPr>
          <w:rFonts w:ascii="宋体"/>
          <w:color w:val="auto"/>
          <w:sz w:val="24"/>
          <w:highlight w:val="none"/>
        </w:rPr>
      </w:pPr>
    </w:p>
    <w:sectPr>
      <w:headerReference r:id="rId10" w:type="first"/>
      <w:pgSz w:w="11907" w:h="16840"/>
      <w:pgMar w:top="1418" w:right="1418" w:bottom="1418" w:left="1985" w:header="851" w:footer="1021" w:gutter="0"/>
      <w:cols w:space="425"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4B2FC">
    <w:pPr>
      <w:pStyle w:val="21"/>
      <w:jc w:val="center"/>
    </w:pPr>
    <w:r>
      <w:rPr>
        <w:szCs w:val="21"/>
      </w:rPr>
      <w:t xml:space="preserve">- </w:t>
    </w:r>
    <w:r>
      <w:rPr>
        <w:szCs w:val="21"/>
      </w:rPr>
      <w:fldChar w:fldCharType="begin"/>
    </w:r>
    <w:r>
      <w:rPr>
        <w:szCs w:val="21"/>
      </w:rPr>
      <w:instrText xml:space="preserve"> PAGE </w:instrText>
    </w:r>
    <w:r>
      <w:rPr>
        <w:szCs w:val="21"/>
      </w:rPr>
      <w:fldChar w:fldCharType="separate"/>
    </w:r>
    <w:r>
      <w:rPr>
        <w:szCs w:val="21"/>
      </w:rPr>
      <w:t>48</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934CF">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366F0">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9559A">
    <w:pPr>
      <w:pStyle w:val="21"/>
      <w:jc w:val="center"/>
      <w:rPr>
        <w:rFonts w:ascii="宋体"/>
      </w:rPr>
    </w:pPr>
    <w:r>
      <w:rPr>
        <w:rStyle w:val="35"/>
      </w:rPr>
      <w:fldChar w:fldCharType="begin"/>
    </w:r>
    <w:r>
      <w:rPr>
        <w:rStyle w:val="35"/>
      </w:rPr>
      <w:instrText xml:space="preserve"> PAGE </w:instrText>
    </w:r>
    <w:r>
      <w:rPr>
        <w:rStyle w:val="35"/>
      </w:rPr>
      <w:fldChar w:fldCharType="separate"/>
    </w:r>
    <w:r>
      <w:rPr>
        <w:rStyle w:val="35"/>
      </w:rPr>
      <w:t>23</w:t>
    </w:r>
    <w:r>
      <w:rPr>
        <w:rStyle w:val="3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50C68">
    <w:pPr>
      <w:pStyle w:val="22"/>
    </w:pPr>
    <w:r>
      <w:rPr>
        <w:rFonts w:hint="eastAsia"/>
      </w:rPr>
      <w:t>浙能武威 2×1000 MW调峰火电机组工程</w:t>
    </w:r>
    <w:r>
      <w:rPr>
        <w:rFonts w:hint="eastAsia"/>
        <w:lang w:val="en-US" w:eastAsia="zh-CN"/>
      </w:rPr>
      <w:t xml:space="preserve">              </w:t>
    </w:r>
    <w:r>
      <w:rPr>
        <w:rFonts w:hint="eastAsia"/>
      </w:rPr>
      <w:t>网络监控系统（NCS）设备招标文件技术规范书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3396C">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BEABF">
    <w:pPr>
      <w:pStyle w:val="22"/>
      <w:pBdr>
        <w:top w:val="none" w:color="auto" w:sz="0" w:space="0"/>
        <w:left w:val="none" w:color="auto" w:sz="0" w:space="0"/>
        <w:bottom w:val="none" w:color="auto" w:sz="0" w:space="0"/>
        <w:right w:val="none" w:color="auto" w:sz="0" w:space="0"/>
        <w:between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27957">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881EE3"/>
    <w:multiLevelType w:val="singleLevel"/>
    <w:tmpl w:val="BD881EE3"/>
    <w:lvl w:ilvl="0" w:tentative="0">
      <w:start w:val="1"/>
      <w:numFmt w:val="decimal"/>
      <w:suff w:val="space"/>
      <w:lvlText w:val="(%1)"/>
      <w:lvlJc w:val="left"/>
      <w:pPr>
        <w:ind w:left="480" w:leftChars="0" w:firstLine="0" w:firstLineChars="0"/>
      </w:pPr>
    </w:lvl>
  </w:abstractNum>
  <w:abstractNum w:abstractNumId="1">
    <w:nsid w:val="C656DD34"/>
    <w:multiLevelType w:val="singleLevel"/>
    <w:tmpl w:val="C656DD34"/>
    <w:lvl w:ilvl="0" w:tentative="0">
      <w:start w:val="1"/>
      <w:numFmt w:val="decimal"/>
      <w:suff w:val="space"/>
      <w:lvlText w:val="(%1)"/>
      <w:lvlJc w:val="left"/>
      <w:pPr>
        <w:ind w:left="480" w:leftChars="0" w:firstLine="0" w:firstLineChars="0"/>
      </w:pPr>
    </w:lvl>
  </w:abstractNum>
  <w:abstractNum w:abstractNumId="2">
    <w:nsid w:val="C79238A7"/>
    <w:multiLevelType w:val="singleLevel"/>
    <w:tmpl w:val="C79238A7"/>
    <w:lvl w:ilvl="0" w:tentative="0">
      <w:start w:val="1"/>
      <w:numFmt w:val="decimal"/>
      <w:suff w:val="space"/>
      <w:lvlText w:val="(%1)"/>
      <w:lvlJc w:val="left"/>
      <w:pPr>
        <w:ind w:left="480" w:leftChars="0" w:firstLine="0" w:firstLineChars="0"/>
      </w:pPr>
    </w:lvl>
  </w:abstractNum>
  <w:abstractNum w:abstractNumId="3">
    <w:nsid w:val="D931F2AC"/>
    <w:multiLevelType w:val="singleLevel"/>
    <w:tmpl w:val="D931F2AC"/>
    <w:lvl w:ilvl="0" w:tentative="0">
      <w:start w:val="1"/>
      <w:numFmt w:val="decimal"/>
      <w:suff w:val="space"/>
      <w:lvlText w:val="(%1)"/>
      <w:lvlJc w:val="left"/>
      <w:pPr>
        <w:ind w:left="480" w:leftChars="0" w:firstLine="0" w:firstLineChars="0"/>
      </w:pPr>
    </w:lvl>
  </w:abstractNum>
  <w:abstractNum w:abstractNumId="4">
    <w:nsid w:val="E97CB305"/>
    <w:multiLevelType w:val="singleLevel"/>
    <w:tmpl w:val="E97CB305"/>
    <w:lvl w:ilvl="0" w:tentative="0">
      <w:start w:val="1"/>
      <w:numFmt w:val="decimal"/>
      <w:suff w:val="space"/>
      <w:lvlText w:val="(%1)"/>
      <w:lvlJc w:val="left"/>
      <w:pPr>
        <w:ind w:left="480" w:leftChars="0" w:firstLine="0" w:firstLineChars="0"/>
      </w:pPr>
    </w:lvl>
  </w:abstractNum>
  <w:abstractNum w:abstractNumId="5">
    <w:nsid w:val="FFFFFF89"/>
    <w:multiLevelType w:val="singleLevel"/>
    <w:tmpl w:val="FFFFFF89"/>
    <w:lvl w:ilvl="0" w:tentative="0">
      <w:start w:val="1"/>
      <w:numFmt w:val="bullet"/>
      <w:pStyle w:val="9"/>
      <w:lvlText w:val=""/>
      <w:lvlJc w:val="left"/>
      <w:pPr>
        <w:tabs>
          <w:tab w:val="left" w:pos="360"/>
        </w:tabs>
        <w:ind w:left="360" w:hanging="360"/>
      </w:pPr>
      <w:rPr>
        <w:rFonts w:hint="default" w:ascii="Wingdings" w:hAnsi="Wingdings"/>
      </w:rPr>
    </w:lvl>
  </w:abstractNum>
  <w:abstractNum w:abstractNumId="6">
    <w:nsid w:val="00000002"/>
    <w:multiLevelType w:val="multilevel"/>
    <w:tmpl w:val="00000002"/>
    <w:lvl w:ilvl="0" w:tentative="0">
      <w:start w:val="1"/>
      <w:numFmt w:val="decimal"/>
      <w:lvlText w:val="%1)"/>
      <w:lvlJc w:val="left"/>
      <w:pPr>
        <w:ind w:left="840" w:hanging="420"/>
      </w:pPr>
      <w:rPr>
        <w:rFonts w:hint="default" w:ascii="宋体" w:hAnsi="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23D1CFB"/>
    <w:multiLevelType w:val="singleLevel"/>
    <w:tmpl w:val="023D1CFB"/>
    <w:lvl w:ilvl="0" w:tentative="0">
      <w:start w:val="1"/>
      <w:numFmt w:val="decimal"/>
      <w:lvlText w:val="%1)"/>
      <w:lvlJc w:val="left"/>
      <w:pPr>
        <w:tabs>
          <w:tab w:val="left" w:pos="927"/>
        </w:tabs>
        <w:ind w:left="567" w:firstLine="0"/>
      </w:pPr>
      <w:rPr>
        <w:rFonts w:hint="default" w:ascii="宋体" w:hAnsi="宋体"/>
      </w:rPr>
    </w:lvl>
  </w:abstractNum>
  <w:abstractNum w:abstractNumId="8">
    <w:nsid w:val="027457BE"/>
    <w:multiLevelType w:val="singleLevel"/>
    <w:tmpl w:val="027457BE"/>
    <w:lvl w:ilvl="0" w:tentative="0">
      <w:start w:val="1"/>
      <w:numFmt w:val="decimal"/>
      <w:lvlText w:val="%1)"/>
      <w:lvlJc w:val="left"/>
      <w:pPr>
        <w:tabs>
          <w:tab w:val="left" w:pos="927"/>
        </w:tabs>
        <w:ind w:left="567" w:firstLine="0"/>
      </w:pPr>
      <w:rPr>
        <w:rFonts w:hint="default" w:ascii="宋体" w:hAnsi="宋体"/>
      </w:rPr>
    </w:lvl>
  </w:abstractNum>
  <w:abstractNum w:abstractNumId="9">
    <w:nsid w:val="027732EB"/>
    <w:multiLevelType w:val="multilevel"/>
    <w:tmpl w:val="027732EB"/>
    <w:lvl w:ilvl="0" w:tentative="0">
      <w:start w:val="1"/>
      <w:numFmt w:val="bullet"/>
      <w:lvlText w:val=""/>
      <w:lvlJc w:val="left"/>
      <w:pPr>
        <w:ind w:left="1271" w:hanging="420"/>
      </w:pPr>
      <w:rPr>
        <w:rFonts w:hint="default" w:ascii="Wingdings" w:hAnsi="Wingdings"/>
        <w:sz w:val="18"/>
        <w:szCs w:val="18"/>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10">
    <w:nsid w:val="03E34C42"/>
    <w:multiLevelType w:val="singleLevel"/>
    <w:tmpl w:val="03E34C42"/>
    <w:lvl w:ilvl="0" w:tentative="0">
      <w:start w:val="1"/>
      <w:numFmt w:val="bullet"/>
      <w:lvlText w:val=""/>
      <w:lvlJc w:val="left"/>
      <w:pPr>
        <w:tabs>
          <w:tab w:val="left" w:pos="644"/>
        </w:tabs>
        <w:ind w:left="624" w:hanging="340"/>
      </w:pPr>
      <w:rPr>
        <w:rFonts w:hint="default" w:ascii="Wingdings" w:hAnsi="Wingdings"/>
        <w:sz w:val="15"/>
      </w:rPr>
    </w:lvl>
  </w:abstractNum>
  <w:abstractNum w:abstractNumId="11">
    <w:nsid w:val="05540951"/>
    <w:multiLevelType w:val="singleLevel"/>
    <w:tmpl w:val="05540951"/>
    <w:lvl w:ilvl="0" w:tentative="0">
      <w:start w:val="1"/>
      <w:numFmt w:val="bullet"/>
      <w:lvlText w:val=""/>
      <w:lvlJc w:val="left"/>
      <w:pPr>
        <w:tabs>
          <w:tab w:val="left" w:pos="1494"/>
        </w:tabs>
        <w:ind w:left="425" w:firstLine="709"/>
      </w:pPr>
      <w:rPr>
        <w:rFonts w:hint="default" w:ascii="Wingdings" w:hAnsi="Wingdings"/>
        <w:sz w:val="15"/>
      </w:rPr>
    </w:lvl>
  </w:abstractNum>
  <w:abstractNum w:abstractNumId="12">
    <w:nsid w:val="068A05C6"/>
    <w:multiLevelType w:val="singleLevel"/>
    <w:tmpl w:val="068A05C6"/>
    <w:lvl w:ilvl="0" w:tentative="0">
      <w:start w:val="1"/>
      <w:numFmt w:val="decimal"/>
      <w:lvlText w:val="%1)"/>
      <w:lvlJc w:val="left"/>
      <w:pPr>
        <w:tabs>
          <w:tab w:val="left" w:pos="927"/>
        </w:tabs>
        <w:ind w:left="567" w:firstLine="0"/>
      </w:pPr>
      <w:rPr>
        <w:rFonts w:hint="default" w:ascii="宋体" w:hAnsi="宋体"/>
      </w:rPr>
    </w:lvl>
  </w:abstractNum>
  <w:abstractNum w:abstractNumId="13">
    <w:nsid w:val="0D51062B"/>
    <w:multiLevelType w:val="singleLevel"/>
    <w:tmpl w:val="0D51062B"/>
    <w:lvl w:ilvl="0" w:tentative="0">
      <w:start w:val="1"/>
      <w:numFmt w:val="decimal"/>
      <w:lvlText w:val="%1)"/>
      <w:lvlJc w:val="left"/>
      <w:pPr>
        <w:tabs>
          <w:tab w:val="left" w:pos="927"/>
        </w:tabs>
        <w:ind w:left="567" w:firstLine="0"/>
      </w:pPr>
      <w:rPr>
        <w:rFonts w:hint="default" w:ascii="宋体" w:hAnsi="宋体"/>
      </w:rPr>
    </w:lvl>
  </w:abstractNum>
  <w:abstractNum w:abstractNumId="14">
    <w:nsid w:val="0D6E6BBA"/>
    <w:multiLevelType w:val="singleLevel"/>
    <w:tmpl w:val="0D6E6BBA"/>
    <w:lvl w:ilvl="0" w:tentative="0">
      <w:start w:val="1"/>
      <w:numFmt w:val="bullet"/>
      <w:lvlText w:val=""/>
      <w:lvlJc w:val="left"/>
      <w:pPr>
        <w:tabs>
          <w:tab w:val="left" w:pos="1040"/>
        </w:tabs>
        <w:ind w:left="425" w:firstLine="255"/>
      </w:pPr>
      <w:rPr>
        <w:rFonts w:hint="default" w:ascii="Wingdings" w:hAnsi="Wingdings"/>
        <w:sz w:val="15"/>
      </w:rPr>
    </w:lvl>
  </w:abstractNum>
  <w:abstractNum w:abstractNumId="15">
    <w:nsid w:val="0F1D0873"/>
    <w:multiLevelType w:val="singleLevel"/>
    <w:tmpl w:val="0F1D0873"/>
    <w:lvl w:ilvl="0" w:tentative="0">
      <w:start w:val="4"/>
      <w:numFmt w:val="bullet"/>
      <w:lvlText w:val="—"/>
      <w:lvlJc w:val="left"/>
      <w:pPr>
        <w:tabs>
          <w:tab w:val="left" w:pos="900"/>
        </w:tabs>
        <w:ind w:left="900" w:hanging="480"/>
      </w:pPr>
      <w:rPr>
        <w:rFonts w:hint="default" w:ascii="Times New Roman" w:hAnsi="Times New Roman"/>
      </w:rPr>
    </w:lvl>
  </w:abstractNum>
  <w:abstractNum w:abstractNumId="16">
    <w:nsid w:val="11D00320"/>
    <w:multiLevelType w:val="singleLevel"/>
    <w:tmpl w:val="11D00320"/>
    <w:lvl w:ilvl="0" w:tentative="0">
      <w:start w:val="1"/>
      <w:numFmt w:val="decimal"/>
      <w:lvlText w:val="%1)"/>
      <w:lvlJc w:val="left"/>
      <w:pPr>
        <w:tabs>
          <w:tab w:val="left" w:pos="927"/>
        </w:tabs>
        <w:ind w:left="567" w:firstLine="0"/>
      </w:pPr>
      <w:rPr>
        <w:rFonts w:hint="default" w:ascii="宋体" w:hAnsi="宋体"/>
      </w:rPr>
    </w:lvl>
  </w:abstractNum>
  <w:abstractNum w:abstractNumId="17">
    <w:nsid w:val="13694F29"/>
    <w:multiLevelType w:val="singleLevel"/>
    <w:tmpl w:val="13694F29"/>
    <w:lvl w:ilvl="0" w:tentative="0">
      <w:start w:val="1"/>
      <w:numFmt w:val="decimal"/>
      <w:lvlText w:val="%1)"/>
      <w:lvlJc w:val="left"/>
      <w:pPr>
        <w:tabs>
          <w:tab w:val="left" w:pos="927"/>
        </w:tabs>
        <w:ind w:left="567" w:firstLine="0"/>
      </w:pPr>
      <w:rPr>
        <w:rFonts w:hint="default" w:ascii="宋体" w:hAnsi="宋体"/>
      </w:rPr>
    </w:lvl>
  </w:abstractNum>
  <w:abstractNum w:abstractNumId="18">
    <w:nsid w:val="146479C2"/>
    <w:multiLevelType w:val="multilevel"/>
    <w:tmpl w:val="146479C2"/>
    <w:lvl w:ilvl="0" w:tentative="0">
      <w:start w:val="3"/>
      <w:numFmt w:val="decimal"/>
      <w:lvlText w:val="%1"/>
      <w:lvlJc w:val="left"/>
      <w:pPr>
        <w:tabs>
          <w:tab w:val="left" w:pos="720"/>
        </w:tabs>
        <w:ind w:left="720" w:hanging="720"/>
      </w:pPr>
      <w:rPr>
        <w:rFonts w:hint="default" w:ascii="Times New Roman"/>
      </w:rPr>
    </w:lvl>
    <w:lvl w:ilvl="1" w:tentative="0">
      <w:start w:val="3"/>
      <w:numFmt w:val="decimal"/>
      <w:lvlText w:val="%1.%2"/>
      <w:lvlJc w:val="left"/>
      <w:pPr>
        <w:tabs>
          <w:tab w:val="left" w:pos="720"/>
        </w:tabs>
        <w:ind w:left="720" w:hanging="720"/>
      </w:pPr>
      <w:rPr>
        <w:rFonts w:hint="default" w:ascii="Times New Roman"/>
      </w:rPr>
    </w:lvl>
    <w:lvl w:ilvl="2" w:tentative="0">
      <w:start w:val="3"/>
      <w:numFmt w:val="decimal"/>
      <w:lvlText w:val="%1.%2.%3"/>
      <w:lvlJc w:val="left"/>
      <w:pPr>
        <w:tabs>
          <w:tab w:val="left" w:pos="720"/>
        </w:tabs>
        <w:ind w:left="720" w:hanging="720"/>
      </w:pPr>
      <w:rPr>
        <w:rFonts w:hint="default" w:ascii="Times New Roman"/>
      </w:rPr>
    </w:lvl>
    <w:lvl w:ilvl="3" w:tentative="0">
      <w:start w:val="1"/>
      <w:numFmt w:val="decimal"/>
      <w:lvlText w:val="%1.%2.%3.%4"/>
      <w:lvlJc w:val="left"/>
      <w:pPr>
        <w:tabs>
          <w:tab w:val="left" w:pos="1080"/>
        </w:tabs>
        <w:ind w:left="1080" w:hanging="1080"/>
      </w:pPr>
      <w:rPr>
        <w:rFonts w:hint="default" w:ascii="Times New Roman"/>
      </w:rPr>
    </w:lvl>
    <w:lvl w:ilvl="4" w:tentative="0">
      <w:start w:val="1"/>
      <w:numFmt w:val="decimal"/>
      <w:lvlText w:val="%1.%2.%3.%4.%5"/>
      <w:lvlJc w:val="left"/>
      <w:pPr>
        <w:tabs>
          <w:tab w:val="left" w:pos="1080"/>
        </w:tabs>
        <w:ind w:left="1080" w:hanging="1080"/>
      </w:pPr>
      <w:rPr>
        <w:rFonts w:hint="default" w:ascii="Times New Roman"/>
      </w:rPr>
    </w:lvl>
    <w:lvl w:ilvl="5" w:tentative="0">
      <w:start w:val="1"/>
      <w:numFmt w:val="decimal"/>
      <w:lvlText w:val="%1.%2.%3.%4.%5.%6"/>
      <w:lvlJc w:val="left"/>
      <w:pPr>
        <w:tabs>
          <w:tab w:val="left" w:pos="1440"/>
        </w:tabs>
        <w:ind w:left="1440" w:hanging="1440"/>
      </w:pPr>
      <w:rPr>
        <w:rFonts w:hint="default" w:ascii="Times New Roman"/>
      </w:rPr>
    </w:lvl>
    <w:lvl w:ilvl="6" w:tentative="0">
      <w:start w:val="1"/>
      <w:numFmt w:val="decimal"/>
      <w:lvlText w:val="%1.%2.%3.%4.%5.%6.%7"/>
      <w:lvlJc w:val="left"/>
      <w:pPr>
        <w:tabs>
          <w:tab w:val="left" w:pos="1440"/>
        </w:tabs>
        <w:ind w:left="1440" w:hanging="1440"/>
      </w:pPr>
      <w:rPr>
        <w:rFonts w:hint="default" w:ascii="Times New Roman"/>
      </w:rPr>
    </w:lvl>
    <w:lvl w:ilvl="7" w:tentative="0">
      <w:start w:val="1"/>
      <w:numFmt w:val="decimal"/>
      <w:lvlText w:val="%1.%2.%3.%4.%5.%6.%7.%8"/>
      <w:lvlJc w:val="left"/>
      <w:pPr>
        <w:tabs>
          <w:tab w:val="left" w:pos="1800"/>
        </w:tabs>
        <w:ind w:left="1800" w:hanging="1800"/>
      </w:pPr>
      <w:rPr>
        <w:rFonts w:hint="default" w:ascii="Times New Roman"/>
      </w:rPr>
    </w:lvl>
    <w:lvl w:ilvl="8" w:tentative="0">
      <w:start w:val="1"/>
      <w:numFmt w:val="decimal"/>
      <w:lvlText w:val="%1.%2.%3.%4.%5.%6.%7.%8.%9"/>
      <w:lvlJc w:val="left"/>
      <w:pPr>
        <w:tabs>
          <w:tab w:val="left" w:pos="1800"/>
        </w:tabs>
        <w:ind w:left="1800" w:hanging="1800"/>
      </w:pPr>
      <w:rPr>
        <w:rFonts w:hint="default" w:ascii="Times New Roman"/>
      </w:rPr>
    </w:lvl>
  </w:abstractNum>
  <w:abstractNum w:abstractNumId="19">
    <w:nsid w:val="1ADB7AAC"/>
    <w:multiLevelType w:val="singleLevel"/>
    <w:tmpl w:val="1ADB7AAC"/>
    <w:lvl w:ilvl="0" w:tentative="0">
      <w:start w:val="1"/>
      <w:numFmt w:val="decimal"/>
      <w:lvlText w:val="%1)"/>
      <w:lvlJc w:val="left"/>
      <w:pPr>
        <w:tabs>
          <w:tab w:val="left" w:pos="927"/>
        </w:tabs>
        <w:ind w:left="567" w:firstLine="0"/>
      </w:pPr>
      <w:rPr>
        <w:rFonts w:hint="default" w:ascii="宋体" w:hAnsi="宋体" w:eastAsia="宋体" w:cs="宋体"/>
      </w:rPr>
    </w:lvl>
  </w:abstractNum>
  <w:abstractNum w:abstractNumId="20">
    <w:nsid w:val="1BB51C94"/>
    <w:multiLevelType w:val="multilevel"/>
    <w:tmpl w:val="1BB51C94"/>
    <w:lvl w:ilvl="0" w:tentative="0">
      <w:start w:val="1"/>
      <w:numFmt w:val="bullet"/>
      <w:lvlText w:val=""/>
      <w:lvlJc w:val="left"/>
      <w:pPr>
        <w:ind w:left="1129" w:hanging="420"/>
      </w:pPr>
      <w:rPr>
        <w:rFonts w:hint="default" w:ascii="Wingdings" w:hAnsi="Wingdings"/>
        <w:sz w:val="15"/>
        <w:szCs w:val="15"/>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21">
    <w:nsid w:val="1BE30585"/>
    <w:multiLevelType w:val="singleLevel"/>
    <w:tmpl w:val="1BE30585"/>
    <w:lvl w:ilvl="0" w:tentative="0">
      <w:start w:val="1"/>
      <w:numFmt w:val="decimal"/>
      <w:lvlText w:val="%1)"/>
      <w:lvlJc w:val="left"/>
      <w:pPr>
        <w:tabs>
          <w:tab w:val="left" w:pos="927"/>
        </w:tabs>
        <w:ind w:left="567" w:firstLine="0"/>
      </w:pPr>
      <w:rPr>
        <w:rFonts w:hint="default" w:ascii="宋体" w:hAnsi="宋体" w:eastAsia="宋体" w:cs="宋体"/>
      </w:rPr>
    </w:lvl>
  </w:abstractNum>
  <w:abstractNum w:abstractNumId="22">
    <w:nsid w:val="1CCB5ADB"/>
    <w:multiLevelType w:val="multilevel"/>
    <w:tmpl w:val="1CCB5ADB"/>
    <w:lvl w:ilvl="0" w:tentative="0">
      <w:start w:val="1"/>
      <w:numFmt w:val="bullet"/>
      <w:lvlText w:val=""/>
      <w:lvlJc w:val="left"/>
      <w:pPr>
        <w:ind w:left="1129" w:hanging="420"/>
      </w:pPr>
      <w:rPr>
        <w:rFonts w:hint="default" w:ascii="Wingdings" w:hAnsi="Wingdings"/>
        <w:sz w:val="18"/>
        <w:szCs w:val="18"/>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23">
    <w:nsid w:val="1DBB4591"/>
    <w:multiLevelType w:val="singleLevel"/>
    <w:tmpl w:val="1DBB4591"/>
    <w:lvl w:ilvl="0" w:tentative="0">
      <w:start w:val="1"/>
      <w:numFmt w:val="decimal"/>
      <w:lvlText w:val="%1)"/>
      <w:lvlJc w:val="left"/>
      <w:pPr>
        <w:tabs>
          <w:tab w:val="left" w:pos="927"/>
        </w:tabs>
        <w:ind w:left="567" w:firstLine="0"/>
      </w:pPr>
      <w:rPr>
        <w:rFonts w:hint="default" w:ascii="宋体" w:hAnsi="宋体"/>
      </w:rPr>
    </w:lvl>
  </w:abstractNum>
  <w:abstractNum w:abstractNumId="24">
    <w:nsid w:val="1F360F43"/>
    <w:multiLevelType w:val="singleLevel"/>
    <w:tmpl w:val="1F360F43"/>
    <w:lvl w:ilvl="0" w:tentative="0">
      <w:start w:val="1"/>
      <w:numFmt w:val="decimal"/>
      <w:lvlText w:val="%1)"/>
      <w:lvlJc w:val="left"/>
      <w:pPr>
        <w:tabs>
          <w:tab w:val="left" w:pos="927"/>
        </w:tabs>
        <w:ind w:left="567" w:firstLine="0"/>
      </w:pPr>
      <w:rPr>
        <w:rFonts w:hint="default" w:ascii="宋体" w:hAnsi="宋体"/>
      </w:rPr>
    </w:lvl>
  </w:abstractNum>
  <w:abstractNum w:abstractNumId="25">
    <w:nsid w:val="205D3DFE"/>
    <w:multiLevelType w:val="multilevel"/>
    <w:tmpl w:val="205D3DFE"/>
    <w:lvl w:ilvl="0" w:tentative="0">
      <w:start w:val="3"/>
      <w:numFmt w:val="decimal"/>
      <w:lvlText w:val="%1"/>
      <w:lvlJc w:val="left"/>
      <w:pPr>
        <w:tabs>
          <w:tab w:val="left" w:pos="540"/>
        </w:tabs>
        <w:ind w:left="540" w:hanging="540"/>
      </w:pPr>
      <w:rPr>
        <w:rFonts w:hint="default"/>
      </w:rPr>
    </w:lvl>
    <w:lvl w:ilvl="1" w:tentative="0">
      <w:start w:val="4"/>
      <w:numFmt w:val="decimal"/>
      <w:lvlText w:val="%1.%2"/>
      <w:lvlJc w:val="left"/>
      <w:pPr>
        <w:tabs>
          <w:tab w:val="left" w:pos="540"/>
        </w:tabs>
        <w:ind w:left="540" w:hanging="54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6">
    <w:nsid w:val="20D13CD6"/>
    <w:multiLevelType w:val="singleLevel"/>
    <w:tmpl w:val="20D13CD6"/>
    <w:lvl w:ilvl="0" w:tentative="0">
      <w:start w:val="1"/>
      <w:numFmt w:val="decimal"/>
      <w:lvlText w:val="%1)"/>
      <w:lvlJc w:val="left"/>
      <w:pPr>
        <w:tabs>
          <w:tab w:val="left" w:pos="927"/>
        </w:tabs>
        <w:ind w:left="567" w:firstLine="0"/>
      </w:pPr>
      <w:rPr>
        <w:rFonts w:hint="default" w:ascii="宋体" w:hAnsi="宋体"/>
      </w:rPr>
    </w:lvl>
  </w:abstractNum>
  <w:abstractNum w:abstractNumId="27">
    <w:nsid w:val="21CC3832"/>
    <w:multiLevelType w:val="singleLevel"/>
    <w:tmpl w:val="21CC3832"/>
    <w:lvl w:ilvl="0" w:tentative="0">
      <w:start w:val="1"/>
      <w:numFmt w:val="decimal"/>
      <w:lvlText w:val="%1)"/>
      <w:lvlJc w:val="left"/>
      <w:pPr>
        <w:tabs>
          <w:tab w:val="left" w:pos="927"/>
        </w:tabs>
        <w:ind w:left="567" w:firstLine="0"/>
      </w:pPr>
      <w:rPr>
        <w:rFonts w:hint="default" w:ascii="宋体" w:hAnsi="宋体"/>
      </w:rPr>
    </w:lvl>
  </w:abstractNum>
  <w:abstractNum w:abstractNumId="28">
    <w:nsid w:val="23967AA8"/>
    <w:multiLevelType w:val="singleLevel"/>
    <w:tmpl w:val="23967AA8"/>
    <w:lvl w:ilvl="0" w:tentative="0">
      <w:start w:val="1"/>
      <w:numFmt w:val="bullet"/>
      <w:lvlText w:val=""/>
      <w:lvlJc w:val="left"/>
      <w:pPr>
        <w:tabs>
          <w:tab w:val="left" w:pos="927"/>
        </w:tabs>
        <w:ind w:left="-142" w:firstLine="709"/>
      </w:pPr>
      <w:rPr>
        <w:rFonts w:hint="default" w:ascii="Wingdings" w:hAnsi="Wingdings"/>
        <w:sz w:val="15"/>
      </w:rPr>
    </w:lvl>
  </w:abstractNum>
  <w:abstractNum w:abstractNumId="29">
    <w:nsid w:val="23BD44F4"/>
    <w:multiLevelType w:val="multilevel"/>
    <w:tmpl w:val="23BD44F4"/>
    <w:lvl w:ilvl="0" w:tentative="0">
      <w:start w:val="1"/>
      <w:numFmt w:val="bullet"/>
      <w:lvlText w:val=""/>
      <w:lvlJc w:val="left"/>
      <w:pPr>
        <w:ind w:left="1271" w:hanging="420"/>
      </w:pPr>
      <w:rPr>
        <w:rFonts w:hint="default" w:ascii="Wingdings" w:hAnsi="Wingdings"/>
        <w:sz w:val="18"/>
        <w:szCs w:val="18"/>
      </w:rPr>
    </w:lvl>
    <w:lvl w:ilvl="1" w:tentative="0">
      <w:start w:val="0"/>
      <w:numFmt w:val="bullet"/>
      <w:lvlText w:val=""/>
      <w:lvlJc w:val="left"/>
      <w:pPr>
        <w:ind w:left="1211" w:hanging="360"/>
      </w:pPr>
      <w:rPr>
        <w:rFonts w:hint="default" w:ascii="Symbol" w:hAnsi="Symbol" w:eastAsia="宋体" w:cs="Times New Roman"/>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30">
    <w:nsid w:val="23C20D0C"/>
    <w:multiLevelType w:val="multilevel"/>
    <w:tmpl w:val="23C20D0C"/>
    <w:lvl w:ilvl="0" w:tentative="0">
      <w:start w:val="1"/>
      <w:numFmt w:val="bullet"/>
      <w:lvlText w:val=""/>
      <w:lvlJc w:val="left"/>
      <w:pPr>
        <w:ind w:left="1129" w:hanging="420"/>
      </w:pPr>
      <w:rPr>
        <w:rFonts w:hint="default" w:ascii="Wingdings" w:hAnsi="Wingdings"/>
        <w:sz w:val="15"/>
        <w:szCs w:val="15"/>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26B63EF0"/>
    <w:multiLevelType w:val="singleLevel"/>
    <w:tmpl w:val="26B63EF0"/>
    <w:lvl w:ilvl="0" w:tentative="0">
      <w:start w:val="1"/>
      <w:numFmt w:val="decimal"/>
      <w:lvlText w:val="%1)"/>
      <w:lvlJc w:val="left"/>
      <w:pPr>
        <w:tabs>
          <w:tab w:val="left" w:pos="927"/>
        </w:tabs>
        <w:ind w:left="567" w:firstLine="0"/>
      </w:pPr>
      <w:rPr>
        <w:rFonts w:hint="default" w:ascii="宋体" w:hAnsi="宋体"/>
      </w:rPr>
    </w:lvl>
  </w:abstractNum>
  <w:abstractNum w:abstractNumId="32">
    <w:nsid w:val="290E4706"/>
    <w:multiLevelType w:val="multilevel"/>
    <w:tmpl w:val="290E4706"/>
    <w:lvl w:ilvl="0" w:tentative="0">
      <w:start w:val="5"/>
      <w:numFmt w:val="decimal"/>
      <w:lvlText w:val="%1）"/>
      <w:lvlJc w:val="left"/>
      <w:pPr>
        <w:tabs>
          <w:tab w:val="left" w:pos="1080"/>
        </w:tabs>
        <w:ind w:left="1080" w:hanging="60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3">
    <w:nsid w:val="2D85135D"/>
    <w:multiLevelType w:val="multilevel"/>
    <w:tmpl w:val="2D85135D"/>
    <w:lvl w:ilvl="0" w:tentative="0">
      <w:start w:val="1"/>
      <w:numFmt w:val="bullet"/>
      <w:lvlText w:val=""/>
      <w:lvlJc w:val="left"/>
      <w:pPr>
        <w:ind w:left="1129" w:hanging="420"/>
      </w:pPr>
      <w:rPr>
        <w:rFonts w:hint="default" w:ascii="Wingdings" w:hAnsi="Wingdings"/>
        <w:sz w:val="18"/>
        <w:szCs w:val="18"/>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34">
    <w:nsid w:val="2DBE1CB7"/>
    <w:multiLevelType w:val="multilevel"/>
    <w:tmpl w:val="2DBE1CB7"/>
    <w:lvl w:ilvl="0" w:tentative="0">
      <w:start w:val="1"/>
      <w:numFmt w:val="bullet"/>
      <w:lvlText w:val=""/>
      <w:lvlJc w:val="left"/>
      <w:pPr>
        <w:ind w:left="1271" w:hanging="420"/>
      </w:pPr>
      <w:rPr>
        <w:rFonts w:hint="default" w:ascii="Wingdings" w:hAnsi="Wingdings"/>
        <w:sz w:val="18"/>
        <w:szCs w:val="18"/>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35">
    <w:nsid w:val="2E036F76"/>
    <w:multiLevelType w:val="multilevel"/>
    <w:tmpl w:val="2E036F76"/>
    <w:lvl w:ilvl="0" w:tentative="0">
      <w:start w:val="1"/>
      <w:numFmt w:val="bullet"/>
      <w:lvlText w:val=""/>
      <w:lvlJc w:val="left"/>
      <w:pPr>
        <w:ind w:left="1271" w:hanging="420"/>
      </w:pPr>
      <w:rPr>
        <w:rFonts w:hint="default" w:ascii="Wingdings" w:hAnsi="Wingdings"/>
        <w:sz w:val="18"/>
        <w:szCs w:val="18"/>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36">
    <w:nsid w:val="2E5411E8"/>
    <w:multiLevelType w:val="singleLevel"/>
    <w:tmpl w:val="2E5411E8"/>
    <w:lvl w:ilvl="0" w:tentative="0">
      <w:start w:val="1"/>
      <w:numFmt w:val="decimal"/>
      <w:lvlText w:val="%1)"/>
      <w:lvlJc w:val="left"/>
      <w:pPr>
        <w:tabs>
          <w:tab w:val="left" w:pos="927"/>
        </w:tabs>
        <w:ind w:left="567" w:firstLine="0"/>
      </w:pPr>
      <w:rPr>
        <w:rFonts w:hint="default" w:ascii="宋体" w:hAnsi="宋体" w:eastAsia="宋体" w:cs="宋体"/>
      </w:rPr>
    </w:lvl>
  </w:abstractNum>
  <w:abstractNum w:abstractNumId="37">
    <w:nsid w:val="30091274"/>
    <w:multiLevelType w:val="singleLevel"/>
    <w:tmpl w:val="30091274"/>
    <w:lvl w:ilvl="0" w:tentative="0">
      <w:start w:val="1"/>
      <w:numFmt w:val="decimal"/>
      <w:lvlText w:val="%1)"/>
      <w:lvlJc w:val="left"/>
      <w:pPr>
        <w:tabs>
          <w:tab w:val="left" w:pos="927"/>
        </w:tabs>
        <w:ind w:left="567" w:firstLine="0"/>
      </w:pPr>
      <w:rPr>
        <w:rFonts w:hint="default" w:ascii="宋体" w:hAnsi="宋体"/>
      </w:rPr>
    </w:lvl>
  </w:abstractNum>
  <w:abstractNum w:abstractNumId="38">
    <w:nsid w:val="301D72E1"/>
    <w:multiLevelType w:val="singleLevel"/>
    <w:tmpl w:val="301D72E1"/>
    <w:lvl w:ilvl="0" w:tentative="0">
      <w:start w:val="1"/>
      <w:numFmt w:val="decimal"/>
      <w:lvlText w:val="%1)"/>
      <w:lvlJc w:val="left"/>
      <w:pPr>
        <w:tabs>
          <w:tab w:val="left" w:pos="1270"/>
        </w:tabs>
        <w:ind w:left="1270" w:hanging="420"/>
      </w:pPr>
      <w:rPr>
        <w:rFonts w:hint="default"/>
      </w:rPr>
    </w:lvl>
  </w:abstractNum>
  <w:abstractNum w:abstractNumId="39">
    <w:nsid w:val="335D468A"/>
    <w:multiLevelType w:val="singleLevel"/>
    <w:tmpl w:val="335D468A"/>
    <w:lvl w:ilvl="0" w:tentative="0">
      <w:start w:val="1"/>
      <w:numFmt w:val="bullet"/>
      <w:lvlText w:val=""/>
      <w:lvlJc w:val="left"/>
      <w:pPr>
        <w:tabs>
          <w:tab w:val="left" w:pos="927"/>
        </w:tabs>
        <w:ind w:left="-142" w:firstLine="709"/>
      </w:pPr>
      <w:rPr>
        <w:rFonts w:hint="default" w:ascii="Wingdings" w:hAnsi="Wingdings"/>
        <w:sz w:val="15"/>
      </w:rPr>
    </w:lvl>
  </w:abstractNum>
  <w:abstractNum w:abstractNumId="40">
    <w:nsid w:val="338E1196"/>
    <w:multiLevelType w:val="multilevel"/>
    <w:tmpl w:val="338E1196"/>
    <w:lvl w:ilvl="0" w:tentative="0">
      <w:start w:val="1"/>
      <w:numFmt w:val="bullet"/>
      <w:lvlText w:val=""/>
      <w:lvlJc w:val="left"/>
      <w:pPr>
        <w:ind w:left="1129" w:hanging="420"/>
      </w:pPr>
      <w:rPr>
        <w:rFonts w:hint="default" w:ascii="Wingdings" w:hAnsi="Wingdings"/>
        <w:sz w:val="15"/>
        <w:szCs w:val="15"/>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368F3A97"/>
    <w:multiLevelType w:val="multilevel"/>
    <w:tmpl w:val="368F3A97"/>
    <w:lvl w:ilvl="0" w:tentative="0">
      <w:start w:val="0"/>
      <w:numFmt w:val="bullet"/>
      <w:lvlText w:val=""/>
      <w:lvlJc w:val="left"/>
      <w:pPr>
        <w:ind w:left="1271" w:hanging="420"/>
      </w:pPr>
      <w:rPr>
        <w:rFonts w:hint="default" w:ascii="Symbol" w:hAnsi="Symbol" w:eastAsia="宋体" w:cs="Times New Roman"/>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42">
    <w:nsid w:val="3DA808EC"/>
    <w:multiLevelType w:val="singleLevel"/>
    <w:tmpl w:val="3DA808EC"/>
    <w:lvl w:ilvl="0" w:tentative="0">
      <w:start w:val="1"/>
      <w:numFmt w:val="decimal"/>
      <w:lvlText w:val="%1)"/>
      <w:lvlJc w:val="left"/>
      <w:pPr>
        <w:tabs>
          <w:tab w:val="left" w:pos="927"/>
        </w:tabs>
        <w:ind w:left="567" w:firstLine="0"/>
      </w:pPr>
      <w:rPr>
        <w:rFonts w:hint="default" w:ascii="宋体" w:hAnsi="宋体"/>
      </w:rPr>
    </w:lvl>
  </w:abstractNum>
  <w:abstractNum w:abstractNumId="43">
    <w:nsid w:val="415F1946"/>
    <w:multiLevelType w:val="singleLevel"/>
    <w:tmpl w:val="415F1946"/>
    <w:lvl w:ilvl="0" w:tentative="0">
      <w:start w:val="1"/>
      <w:numFmt w:val="decimal"/>
      <w:lvlText w:val="%1)"/>
      <w:lvlJc w:val="left"/>
      <w:pPr>
        <w:tabs>
          <w:tab w:val="left" w:pos="927"/>
        </w:tabs>
        <w:ind w:left="567" w:firstLine="0"/>
      </w:pPr>
      <w:rPr>
        <w:rFonts w:hint="default" w:ascii="宋体" w:hAnsi="宋体"/>
      </w:rPr>
    </w:lvl>
  </w:abstractNum>
  <w:abstractNum w:abstractNumId="44">
    <w:nsid w:val="43A60426"/>
    <w:multiLevelType w:val="multilevel"/>
    <w:tmpl w:val="43A60426"/>
    <w:lvl w:ilvl="0" w:tentative="0">
      <w:start w:val="0"/>
      <w:numFmt w:val="bullet"/>
      <w:lvlText w:val=""/>
      <w:lvlJc w:val="left"/>
      <w:pPr>
        <w:ind w:left="1271" w:hanging="420"/>
      </w:pPr>
      <w:rPr>
        <w:rFonts w:hint="default" w:ascii="Symbol" w:hAnsi="Symbol" w:eastAsia="宋体" w:cs="Times New Roman"/>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45">
    <w:nsid w:val="45562D71"/>
    <w:multiLevelType w:val="singleLevel"/>
    <w:tmpl w:val="45562D71"/>
    <w:lvl w:ilvl="0" w:tentative="0">
      <w:start w:val="1"/>
      <w:numFmt w:val="decimal"/>
      <w:lvlText w:val="%1)"/>
      <w:lvlJc w:val="left"/>
      <w:pPr>
        <w:tabs>
          <w:tab w:val="left" w:pos="927"/>
        </w:tabs>
        <w:ind w:left="567" w:firstLine="0"/>
      </w:pPr>
      <w:rPr>
        <w:rFonts w:hint="default" w:ascii="宋体" w:hAnsi="宋体"/>
      </w:rPr>
    </w:lvl>
  </w:abstractNum>
  <w:abstractNum w:abstractNumId="46">
    <w:nsid w:val="48B227E4"/>
    <w:multiLevelType w:val="singleLevel"/>
    <w:tmpl w:val="48B227E4"/>
    <w:lvl w:ilvl="0" w:tentative="0">
      <w:start w:val="1"/>
      <w:numFmt w:val="decimal"/>
      <w:lvlText w:val="%1)"/>
      <w:lvlJc w:val="left"/>
      <w:pPr>
        <w:tabs>
          <w:tab w:val="left" w:pos="927"/>
        </w:tabs>
        <w:ind w:left="567" w:firstLine="0"/>
      </w:pPr>
      <w:rPr>
        <w:rFonts w:hint="default" w:ascii="宋体" w:hAnsi="宋体"/>
      </w:rPr>
    </w:lvl>
  </w:abstractNum>
  <w:abstractNum w:abstractNumId="47">
    <w:nsid w:val="4C227C07"/>
    <w:multiLevelType w:val="multilevel"/>
    <w:tmpl w:val="4C227C07"/>
    <w:lvl w:ilvl="0" w:tentative="0">
      <w:start w:val="1"/>
      <w:numFmt w:val="bullet"/>
      <w:lvlText w:val=""/>
      <w:lvlJc w:val="left"/>
      <w:pPr>
        <w:ind w:left="987" w:hanging="420"/>
      </w:pPr>
      <w:rPr>
        <w:rFonts w:hint="default" w:ascii="Wingdings" w:hAnsi="Wingdings"/>
        <w:sz w:val="18"/>
        <w:szCs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4CB8057A"/>
    <w:multiLevelType w:val="singleLevel"/>
    <w:tmpl w:val="4CB8057A"/>
    <w:lvl w:ilvl="0" w:tentative="0">
      <w:start w:val="1"/>
      <w:numFmt w:val="decimal"/>
      <w:lvlText w:val="%1)"/>
      <w:lvlJc w:val="left"/>
      <w:pPr>
        <w:tabs>
          <w:tab w:val="left" w:pos="927"/>
        </w:tabs>
        <w:ind w:left="567" w:firstLine="0"/>
      </w:pPr>
      <w:rPr>
        <w:rFonts w:hint="default" w:ascii="宋体" w:hAnsi="宋体"/>
      </w:rPr>
    </w:lvl>
  </w:abstractNum>
  <w:abstractNum w:abstractNumId="49">
    <w:nsid w:val="4EE327B3"/>
    <w:multiLevelType w:val="singleLevel"/>
    <w:tmpl w:val="4EE327B3"/>
    <w:lvl w:ilvl="0" w:tentative="0">
      <w:start w:val="1"/>
      <w:numFmt w:val="decimal"/>
      <w:lvlText w:val="%1)"/>
      <w:lvlJc w:val="left"/>
      <w:pPr>
        <w:tabs>
          <w:tab w:val="left" w:pos="927"/>
        </w:tabs>
        <w:ind w:left="567" w:firstLine="0"/>
      </w:pPr>
      <w:rPr>
        <w:rFonts w:hint="default" w:ascii="宋体" w:hAnsi="宋体"/>
      </w:rPr>
    </w:lvl>
  </w:abstractNum>
  <w:abstractNum w:abstractNumId="50">
    <w:nsid w:val="4EFD115C"/>
    <w:multiLevelType w:val="singleLevel"/>
    <w:tmpl w:val="4EFD115C"/>
    <w:lvl w:ilvl="0" w:tentative="0">
      <w:start w:val="1"/>
      <w:numFmt w:val="decimal"/>
      <w:lvlText w:val="%1)"/>
      <w:lvlJc w:val="left"/>
      <w:pPr>
        <w:tabs>
          <w:tab w:val="left" w:pos="927"/>
        </w:tabs>
        <w:ind w:left="567" w:firstLine="0"/>
      </w:pPr>
      <w:rPr>
        <w:rFonts w:hint="default" w:ascii="宋体" w:hAnsi="宋体" w:eastAsia="宋体" w:cs="宋体"/>
      </w:rPr>
    </w:lvl>
  </w:abstractNum>
  <w:abstractNum w:abstractNumId="51">
    <w:nsid w:val="515F5E6E"/>
    <w:multiLevelType w:val="multilevel"/>
    <w:tmpl w:val="515F5E6E"/>
    <w:lvl w:ilvl="0" w:tentative="0">
      <w:start w:val="1"/>
      <w:numFmt w:val="bullet"/>
      <w:lvlText w:val=""/>
      <w:lvlJc w:val="left"/>
      <w:pPr>
        <w:ind w:left="1129" w:hanging="420"/>
      </w:pPr>
      <w:rPr>
        <w:rFonts w:hint="default" w:ascii="Wingdings" w:hAnsi="Wingdings"/>
        <w:sz w:val="15"/>
        <w:szCs w:val="15"/>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516E3E06"/>
    <w:multiLevelType w:val="multilevel"/>
    <w:tmpl w:val="516E3E06"/>
    <w:lvl w:ilvl="0" w:tentative="0">
      <w:start w:val="1"/>
      <w:numFmt w:val="bullet"/>
      <w:lvlText w:val=""/>
      <w:lvlJc w:val="left"/>
      <w:pPr>
        <w:ind w:left="1129" w:hanging="420"/>
      </w:pPr>
      <w:rPr>
        <w:rFonts w:hint="default" w:ascii="Wingdings" w:hAnsi="Wingdings"/>
        <w:sz w:val="18"/>
        <w:szCs w:val="18"/>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53">
    <w:nsid w:val="52303C8A"/>
    <w:multiLevelType w:val="singleLevel"/>
    <w:tmpl w:val="52303C8A"/>
    <w:lvl w:ilvl="0" w:tentative="0">
      <w:start w:val="1"/>
      <w:numFmt w:val="decimal"/>
      <w:lvlText w:val="%1)"/>
      <w:lvlJc w:val="left"/>
      <w:pPr>
        <w:tabs>
          <w:tab w:val="left" w:pos="927"/>
        </w:tabs>
        <w:ind w:left="567" w:firstLine="0"/>
      </w:pPr>
      <w:rPr>
        <w:rFonts w:hint="default" w:ascii="宋体" w:hAnsi="宋体"/>
      </w:rPr>
    </w:lvl>
  </w:abstractNum>
  <w:abstractNum w:abstractNumId="54">
    <w:nsid w:val="52597719"/>
    <w:multiLevelType w:val="singleLevel"/>
    <w:tmpl w:val="52597719"/>
    <w:lvl w:ilvl="0" w:tentative="0">
      <w:start w:val="1"/>
      <w:numFmt w:val="decimal"/>
      <w:lvlText w:val="%1)"/>
      <w:lvlJc w:val="left"/>
      <w:pPr>
        <w:tabs>
          <w:tab w:val="left" w:pos="927"/>
        </w:tabs>
        <w:ind w:left="567" w:firstLine="0"/>
      </w:pPr>
      <w:rPr>
        <w:rFonts w:hint="default" w:ascii="宋体" w:hAnsi="宋体"/>
      </w:rPr>
    </w:lvl>
  </w:abstractNum>
  <w:abstractNum w:abstractNumId="55">
    <w:nsid w:val="53065872"/>
    <w:multiLevelType w:val="singleLevel"/>
    <w:tmpl w:val="53065872"/>
    <w:lvl w:ilvl="0" w:tentative="0">
      <w:start w:val="1"/>
      <w:numFmt w:val="decimal"/>
      <w:lvlText w:val="%1)"/>
      <w:lvlJc w:val="left"/>
      <w:pPr>
        <w:tabs>
          <w:tab w:val="left" w:pos="927"/>
        </w:tabs>
        <w:ind w:left="567" w:firstLine="0"/>
      </w:pPr>
      <w:rPr>
        <w:rFonts w:hint="default" w:ascii="宋体" w:hAnsi="宋体"/>
      </w:rPr>
    </w:lvl>
  </w:abstractNum>
  <w:abstractNum w:abstractNumId="56">
    <w:nsid w:val="574C3809"/>
    <w:multiLevelType w:val="multilevel"/>
    <w:tmpl w:val="574C3809"/>
    <w:lvl w:ilvl="0" w:tentative="0">
      <w:start w:val="0"/>
      <w:numFmt w:val="bullet"/>
      <w:lvlText w:val=""/>
      <w:lvlJc w:val="left"/>
      <w:pPr>
        <w:ind w:left="1271" w:hanging="420"/>
      </w:pPr>
      <w:rPr>
        <w:rFonts w:hint="default" w:ascii="Symbol" w:hAnsi="Symbol" w:eastAsia="宋体" w:cs="Times New Roman"/>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57">
    <w:nsid w:val="579D5CEB"/>
    <w:multiLevelType w:val="singleLevel"/>
    <w:tmpl w:val="579D5CEB"/>
    <w:lvl w:ilvl="0" w:tentative="0">
      <w:start w:val="1"/>
      <w:numFmt w:val="decimal"/>
      <w:lvlText w:val="%1)"/>
      <w:lvlJc w:val="left"/>
      <w:pPr>
        <w:tabs>
          <w:tab w:val="left" w:pos="927"/>
        </w:tabs>
        <w:ind w:left="567" w:firstLine="0"/>
      </w:pPr>
      <w:rPr>
        <w:rFonts w:hint="default" w:ascii="宋体" w:hAnsi="宋体"/>
      </w:rPr>
    </w:lvl>
  </w:abstractNum>
  <w:abstractNum w:abstractNumId="58">
    <w:nsid w:val="594C74D1"/>
    <w:multiLevelType w:val="multilevel"/>
    <w:tmpl w:val="594C74D1"/>
    <w:lvl w:ilvl="0" w:tentative="0">
      <w:start w:val="1"/>
      <w:numFmt w:val="bullet"/>
      <w:lvlText w:val=""/>
      <w:lvlJc w:val="left"/>
      <w:pPr>
        <w:ind w:left="1129" w:hanging="420"/>
      </w:pPr>
      <w:rPr>
        <w:rFonts w:hint="default" w:ascii="Wingdings" w:hAnsi="Wingdings"/>
        <w:sz w:val="18"/>
        <w:szCs w:val="18"/>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59">
    <w:nsid w:val="5ABE74A5"/>
    <w:multiLevelType w:val="multilevel"/>
    <w:tmpl w:val="5ABE74A5"/>
    <w:lvl w:ilvl="0" w:tentative="0">
      <w:start w:val="1"/>
      <w:numFmt w:val="bullet"/>
      <w:lvlText w:val=""/>
      <w:lvlJc w:val="left"/>
      <w:pPr>
        <w:ind w:left="1271" w:hanging="420"/>
      </w:pPr>
      <w:rPr>
        <w:rFonts w:hint="default" w:ascii="Wingdings" w:hAnsi="Wingdings"/>
        <w:sz w:val="18"/>
        <w:szCs w:val="18"/>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60">
    <w:nsid w:val="5DC50B59"/>
    <w:multiLevelType w:val="singleLevel"/>
    <w:tmpl w:val="5DC50B59"/>
    <w:lvl w:ilvl="0" w:tentative="0">
      <w:start w:val="1"/>
      <w:numFmt w:val="decimal"/>
      <w:lvlText w:val="%1)"/>
      <w:lvlJc w:val="left"/>
      <w:pPr>
        <w:tabs>
          <w:tab w:val="left" w:pos="927"/>
        </w:tabs>
        <w:ind w:left="567" w:firstLine="0"/>
      </w:pPr>
      <w:rPr>
        <w:rFonts w:hint="default" w:ascii="宋体" w:hAnsi="宋体"/>
      </w:rPr>
    </w:lvl>
  </w:abstractNum>
  <w:abstractNum w:abstractNumId="61">
    <w:nsid w:val="657E7161"/>
    <w:multiLevelType w:val="singleLevel"/>
    <w:tmpl w:val="657E7161"/>
    <w:lvl w:ilvl="0" w:tentative="0">
      <w:start w:val="1"/>
      <w:numFmt w:val="decimal"/>
      <w:lvlText w:val="%1、"/>
      <w:lvlJc w:val="left"/>
      <w:pPr>
        <w:tabs>
          <w:tab w:val="left" w:pos="1005"/>
        </w:tabs>
        <w:ind w:left="1005" w:hanging="435"/>
      </w:pPr>
    </w:lvl>
  </w:abstractNum>
  <w:abstractNum w:abstractNumId="62">
    <w:nsid w:val="65F826A1"/>
    <w:multiLevelType w:val="multilevel"/>
    <w:tmpl w:val="65F826A1"/>
    <w:lvl w:ilvl="0" w:tentative="0">
      <w:start w:val="1"/>
      <w:numFmt w:val="bullet"/>
      <w:lvlText w:val=""/>
      <w:lvlJc w:val="left"/>
      <w:pPr>
        <w:ind w:left="1129" w:hanging="420"/>
      </w:pPr>
      <w:rPr>
        <w:rFonts w:hint="default" w:ascii="Wingdings" w:hAnsi="Wingdings"/>
        <w:sz w:val="15"/>
        <w:szCs w:val="15"/>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3">
    <w:nsid w:val="69C4519E"/>
    <w:multiLevelType w:val="singleLevel"/>
    <w:tmpl w:val="69C4519E"/>
    <w:lvl w:ilvl="0" w:tentative="0">
      <w:start w:val="1"/>
      <w:numFmt w:val="decimal"/>
      <w:lvlText w:val="%1)"/>
      <w:lvlJc w:val="left"/>
      <w:pPr>
        <w:tabs>
          <w:tab w:val="left" w:pos="927"/>
        </w:tabs>
        <w:ind w:left="561" w:firstLine="0"/>
      </w:pPr>
      <w:rPr>
        <w:rFonts w:hint="default" w:ascii="宋体" w:hAnsi="宋体" w:eastAsia="宋体" w:cs="宋体"/>
      </w:rPr>
    </w:lvl>
  </w:abstractNum>
  <w:abstractNum w:abstractNumId="64">
    <w:nsid w:val="6F933490"/>
    <w:multiLevelType w:val="singleLevel"/>
    <w:tmpl w:val="6F933490"/>
    <w:lvl w:ilvl="0" w:tentative="0">
      <w:start w:val="1"/>
      <w:numFmt w:val="bullet"/>
      <w:lvlText w:val=""/>
      <w:lvlJc w:val="left"/>
      <w:pPr>
        <w:tabs>
          <w:tab w:val="left" w:pos="1381"/>
        </w:tabs>
        <w:ind w:left="425" w:firstLine="596"/>
      </w:pPr>
      <w:rPr>
        <w:rFonts w:hint="default" w:ascii="Wingdings" w:hAnsi="Wingdings"/>
        <w:sz w:val="15"/>
      </w:rPr>
    </w:lvl>
  </w:abstractNum>
  <w:abstractNum w:abstractNumId="65">
    <w:nsid w:val="70A23655"/>
    <w:multiLevelType w:val="multilevel"/>
    <w:tmpl w:val="70A23655"/>
    <w:lvl w:ilvl="0" w:tentative="0">
      <w:start w:val="0"/>
      <w:numFmt w:val="bullet"/>
      <w:lvlText w:val=""/>
      <w:lvlJc w:val="left"/>
      <w:pPr>
        <w:ind w:left="1271" w:hanging="420"/>
      </w:pPr>
      <w:rPr>
        <w:rFonts w:hint="default" w:ascii="Symbol" w:hAnsi="Symbol" w:eastAsia="宋体" w:cs="Times New Roman"/>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66">
    <w:nsid w:val="7259BD3F"/>
    <w:multiLevelType w:val="singleLevel"/>
    <w:tmpl w:val="7259BD3F"/>
    <w:lvl w:ilvl="0" w:tentative="0">
      <w:start w:val="4"/>
      <w:numFmt w:val="decimal"/>
      <w:suff w:val="space"/>
      <w:lvlText w:val="%1."/>
      <w:lvlJc w:val="left"/>
    </w:lvl>
  </w:abstractNum>
  <w:abstractNum w:abstractNumId="67">
    <w:nsid w:val="72852454"/>
    <w:multiLevelType w:val="singleLevel"/>
    <w:tmpl w:val="72852454"/>
    <w:lvl w:ilvl="0" w:tentative="0">
      <w:start w:val="1"/>
      <w:numFmt w:val="decimal"/>
      <w:lvlText w:val="%1)"/>
      <w:lvlJc w:val="left"/>
      <w:pPr>
        <w:tabs>
          <w:tab w:val="left" w:pos="927"/>
        </w:tabs>
        <w:ind w:left="567" w:firstLine="0"/>
      </w:pPr>
      <w:rPr>
        <w:rFonts w:hint="default" w:ascii="宋体" w:hAnsi="宋体"/>
      </w:rPr>
    </w:lvl>
  </w:abstractNum>
  <w:abstractNum w:abstractNumId="68">
    <w:nsid w:val="746062AE"/>
    <w:multiLevelType w:val="singleLevel"/>
    <w:tmpl w:val="746062AE"/>
    <w:lvl w:ilvl="0" w:tentative="0">
      <w:start w:val="1"/>
      <w:numFmt w:val="bullet"/>
      <w:lvlText w:val=""/>
      <w:lvlJc w:val="left"/>
      <w:pPr>
        <w:tabs>
          <w:tab w:val="left" w:pos="1381"/>
        </w:tabs>
        <w:ind w:left="425" w:firstLine="596"/>
      </w:pPr>
      <w:rPr>
        <w:rFonts w:hint="default" w:ascii="Wingdings" w:hAnsi="Wingdings"/>
        <w:sz w:val="15"/>
      </w:rPr>
    </w:lvl>
  </w:abstractNum>
  <w:abstractNum w:abstractNumId="69">
    <w:nsid w:val="74D02B1C"/>
    <w:multiLevelType w:val="singleLevel"/>
    <w:tmpl w:val="74D02B1C"/>
    <w:lvl w:ilvl="0" w:tentative="0">
      <w:start w:val="1"/>
      <w:numFmt w:val="decimal"/>
      <w:lvlText w:val="%1)"/>
      <w:lvlJc w:val="left"/>
      <w:pPr>
        <w:tabs>
          <w:tab w:val="left" w:pos="927"/>
        </w:tabs>
        <w:ind w:left="567" w:firstLine="0"/>
      </w:pPr>
      <w:rPr>
        <w:rFonts w:hint="default" w:ascii="宋体" w:hAnsi="宋体" w:eastAsia="宋体" w:cs="宋体"/>
      </w:rPr>
    </w:lvl>
  </w:abstractNum>
  <w:abstractNum w:abstractNumId="70">
    <w:nsid w:val="74F53DD4"/>
    <w:multiLevelType w:val="multilevel"/>
    <w:tmpl w:val="74F53DD4"/>
    <w:lvl w:ilvl="0" w:tentative="0">
      <w:start w:val="0"/>
      <w:numFmt w:val="decimal"/>
      <w:pStyle w:val="5"/>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1">
    <w:nsid w:val="79ED52FE"/>
    <w:multiLevelType w:val="multilevel"/>
    <w:tmpl w:val="79ED52F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7B2D4B11"/>
    <w:multiLevelType w:val="singleLevel"/>
    <w:tmpl w:val="7B2D4B11"/>
    <w:lvl w:ilvl="0" w:tentative="0">
      <w:start w:val="1"/>
      <w:numFmt w:val="bullet"/>
      <w:lvlText w:val=""/>
      <w:lvlJc w:val="left"/>
      <w:pPr>
        <w:tabs>
          <w:tab w:val="left" w:pos="1211"/>
        </w:tabs>
        <w:ind w:left="-142" w:firstLine="993"/>
      </w:pPr>
      <w:rPr>
        <w:rFonts w:hint="default" w:ascii="Wingdings" w:hAnsi="Wingdings"/>
        <w:sz w:val="15"/>
      </w:rPr>
    </w:lvl>
  </w:abstractNum>
  <w:abstractNum w:abstractNumId="73">
    <w:nsid w:val="7C8B3258"/>
    <w:multiLevelType w:val="singleLevel"/>
    <w:tmpl w:val="7C8B3258"/>
    <w:lvl w:ilvl="0" w:tentative="0">
      <w:start w:val="1"/>
      <w:numFmt w:val="decimal"/>
      <w:lvlText w:val="%1)"/>
      <w:lvlJc w:val="left"/>
      <w:pPr>
        <w:tabs>
          <w:tab w:val="left" w:pos="927"/>
        </w:tabs>
        <w:ind w:left="567" w:firstLine="0"/>
      </w:pPr>
      <w:rPr>
        <w:rFonts w:hint="default" w:ascii="宋体" w:hAnsi="宋体"/>
      </w:rPr>
    </w:lvl>
  </w:abstractNum>
  <w:abstractNum w:abstractNumId="74">
    <w:nsid w:val="7DB732F0"/>
    <w:multiLevelType w:val="multilevel"/>
    <w:tmpl w:val="7DB732F0"/>
    <w:lvl w:ilvl="0" w:tentative="0">
      <w:start w:val="1"/>
      <w:numFmt w:val="bullet"/>
      <w:lvlText w:val=""/>
      <w:lvlJc w:val="left"/>
      <w:pPr>
        <w:ind w:left="1129" w:hanging="420"/>
      </w:pPr>
      <w:rPr>
        <w:rFonts w:hint="default" w:ascii="Wingdings" w:hAnsi="Wingdings"/>
        <w:sz w:val="18"/>
        <w:szCs w:val="18"/>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75">
    <w:nsid w:val="7DE51874"/>
    <w:multiLevelType w:val="singleLevel"/>
    <w:tmpl w:val="7DE51874"/>
    <w:lvl w:ilvl="0" w:tentative="0">
      <w:start w:val="1"/>
      <w:numFmt w:val="decimal"/>
      <w:lvlText w:val="%1)"/>
      <w:lvlJc w:val="left"/>
      <w:pPr>
        <w:tabs>
          <w:tab w:val="left" w:pos="927"/>
        </w:tabs>
        <w:ind w:left="567" w:firstLine="0"/>
      </w:pPr>
      <w:rPr>
        <w:rFonts w:hint="default" w:ascii="宋体" w:hAnsi="宋体"/>
      </w:rPr>
    </w:lvl>
  </w:abstractNum>
  <w:abstractNum w:abstractNumId="76">
    <w:nsid w:val="7ED911FB"/>
    <w:multiLevelType w:val="singleLevel"/>
    <w:tmpl w:val="7ED911FB"/>
    <w:lvl w:ilvl="0" w:tentative="0">
      <w:start w:val="1"/>
      <w:numFmt w:val="decimal"/>
      <w:lvlText w:val="%1)"/>
      <w:lvlJc w:val="left"/>
      <w:pPr>
        <w:tabs>
          <w:tab w:val="left" w:pos="927"/>
        </w:tabs>
        <w:ind w:left="567" w:firstLine="0"/>
      </w:pPr>
      <w:rPr>
        <w:rFonts w:hint="default" w:ascii="宋体" w:hAnsi="宋体"/>
      </w:rPr>
    </w:lvl>
  </w:abstractNum>
  <w:num w:numId="1">
    <w:abstractNumId w:val="70"/>
  </w:num>
  <w:num w:numId="2">
    <w:abstractNumId w:val="5"/>
  </w:num>
  <w:num w:numId="3">
    <w:abstractNumId w:val="38"/>
  </w:num>
  <w:num w:numId="4">
    <w:abstractNumId w:val="63"/>
  </w:num>
  <w:num w:numId="5">
    <w:abstractNumId w:val="69"/>
  </w:num>
  <w:num w:numId="6">
    <w:abstractNumId w:val="19"/>
  </w:num>
  <w:num w:numId="7">
    <w:abstractNumId w:val="72"/>
  </w:num>
  <w:num w:numId="8">
    <w:abstractNumId w:val="28"/>
  </w:num>
  <w:num w:numId="9">
    <w:abstractNumId w:val="18"/>
  </w:num>
  <w:num w:numId="10">
    <w:abstractNumId w:val="50"/>
  </w:num>
  <w:num w:numId="11">
    <w:abstractNumId w:val="11"/>
  </w:num>
  <w:num w:numId="12">
    <w:abstractNumId w:val="39"/>
  </w:num>
  <w:num w:numId="13">
    <w:abstractNumId w:val="25"/>
  </w:num>
  <w:num w:numId="14">
    <w:abstractNumId w:val="36"/>
  </w:num>
  <w:num w:numId="15">
    <w:abstractNumId w:val="21"/>
  </w:num>
  <w:num w:numId="16">
    <w:abstractNumId w:val="7"/>
  </w:num>
  <w:num w:numId="17">
    <w:abstractNumId w:val="12"/>
  </w:num>
  <w:num w:numId="18">
    <w:abstractNumId w:val="20"/>
  </w:num>
  <w:num w:numId="19">
    <w:abstractNumId w:val="26"/>
  </w:num>
  <w:num w:numId="20">
    <w:abstractNumId w:val="40"/>
  </w:num>
  <w:num w:numId="21">
    <w:abstractNumId w:val="30"/>
  </w:num>
  <w:num w:numId="22">
    <w:abstractNumId w:val="62"/>
  </w:num>
  <w:num w:numId="23">
    <w:abstractNumId w:val="51"/>
  </w:num>
  <w:num w:numId="24">
    <w:abstractNumId w:val="52"/>
  </w:num>
  <w:num w:numId="25">
    <w:abstractNumId w:val="33"/>
  </w:num>
  <w:num w:numId="26">
    <w:abstractNumId w:val="67"/>
  </w:num>
  <w:num w:numId="27">
    <w:abstractNumId w:val="55"/>
  </w:num>
  <w:num w:numId="28">
    <w:abstractNumId w:val="60"/>
  </w:num>
  <w:num w:numId="29">
    <w:abstractNumId w:val="17"/>
  </w:num>
  <w:num w:numId="30">
    <w:abstractNumId w:val="31"/>
  </w:num>
  <w:num w:numId="31">
    <w:abstractNumId w:val="9"/>
  </w:num>
  <w:num w:numId="32">
    <w:abstractNumId w:val="47"/>
  </w:num>
  <w:num w:numId="33">
    <w:abstractNumId w:val="46"/>
  </w:num>
  <w:num w:numId="34">
    <w:abstractNumId w:val="22"/>
  </w:num>
  <w:num w:numId="35">
    <w:abstractNumId w:val="15"/>
  </w:num>
  <w:num w:numId="36">
    <w:abstractNumId w:val="74"/>
  </w:num>
  <w:num w:numId="37">
    <w:abstractNumId w:val="58"/>
  </w:num>
  <w:num w:numId="38">
    <w:abstractNumId w:val="49"/>
  </w:num>
  <w:num w:numId="39">
    <w:abstractNumId w:val="75"/>
  </w:num>
  <w:num w:numId="40">
    <w:abstractNumId w:val="6"/>
  </w:num>
  <w:num w:numId="41">
    <w:abstractNumId w:val="10"/>
  </w:num>
  <w:num w:numId="42">
    <w:abstractNumId w:val="45"/>
  </w:num>
  <w:num w:numId="43">
    <w:abstractNumId w:val="59"/>
  </w:num>
  <w:num w:numId="44">
    <w:abstractNumId w:val="34"/>
  </w:num>
  <w:num w:numId="45">
    <w:abstractNumId w:val="35"/>
  </w:num>
  <w:num w:numId="46">
    <w:abstractNumId w:val="29"/>
  </w:num>
  <w:num w:numId="47">
    <w:abstractNumId w:val="65"/>
  </w:num>
  <w:num w:numId="48">
    <w:abstractNumId w:val="32"/>
  </w:num>
  <w:num w:numId="49">
    <w:abstractNumId w:val="41"/>
  </w:num>
  <w:num w:numId="50">
    <w:abstractNumId w:val="44"/>
  </w:num>
  <w:num w:numId="51">
    <w:abstractNumId w:val="56"/>
  </w:num>
  <w:num w:numId="52">
    <w:abstractNumId w:val="16"/>
  </w:num>
  <w:num w:numId="53">
    <w:abstractNumId w:val="57"/>
  </w:num>
  <w:num w:numId="54">
    <w:abstractNumId w:val="68"/>
  </w:num>
  <w:num w:numId="55">
    <w:abstractNumId w:val="64"/>
  </w:num>
  <w:num w:numId="56">
    <w:abstractNumId w:val="27"/>
  </w:num>
  <w:num w:numId="57">
    <w:abstractNumId w:val="24"/>
  </w:num>
  <w:num w:numId="58">
    <w:abstractNumId w:val="37"/>
  </w:num>
  <w:num w:numId="59">
    <w:abstractNumId w:val="23"/>
  </w:num>
  <w:num w:numId="60">
    <w:abstractNumId w:val="76"/>
  </w:num>
  <w:num w:numId="61">
    <w:abstractNumId w:val="73"/>
  </w:num>
  <w:num w:numId="62">
    <w:abstractNumId w:val="13"/>
  </w:num>
  <w:num w:numId="63">
    <w:abstractNumId w:val="14"/>
  </w:num>
  <w:num w:numId="64">
    <w:abstractNumId w:val="53"/>
  </w:num>
  <w:num w:numId="65">
    <w:abstractNumId w:val="66"/>
  </w:num>
  <w:num w:numId="66">
    <w:abstractNumId w:val="71"/>
  </w:num>
  <w:num w:numId="67">
    <w:abstractNumId w:val="42"/>
  </w:num>
  <w:num w:numId="68">
    <w:abstractNumId w:val="8"/>
  </w:num>
  <w:num w:numId="69">
    <w:abstractNumId w:val="54"/>
  </w:num>
  <w:num w:numId="70">
    <w:abstractNumId w:val="43"/>
  </w:num>
  <w:num w:numId="71">
    <w:abstractNumId w:val="48"/>
  </w:num>
  <w:num w:numId="72">
    <w:abstractNumId w:val="0"/>
  </w:num>
  <w:num w:numId="73">
    <w:abstractNumId w:val="4"/>
  </w:num>
  <w:num w:numId="74">
    <w:abstractNumId w:val="1"/>
  </w:num>
  <w:num w:numId="75">
    <w:abstractNumId w:val="2"/>
  </w:num>
  <w:num w:numId="76">
    <w:abstractNumId w:val="3"/>
  </w:num>
  <w:num w:numId="77">
    <w:abstractNumId w:val="6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revisionView w:markup="0"/>
  <w:documentProtection w:enforcement="0"/>
  <w:defaultTabStop w:val="425"/>
  <w:drawingGridHorizontalSpacing w:val="140"/>
  <w:drawingGridVerticalSpacing w:val="190"/>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307"/>
    <w:rsid w:val="00000ECB"/>
    <w:rsid w:val="0000192A"/>
    <w:rsid w:val="00005710"/>
    <w:rsid w:val="0000595C"/>
    <w:rsid w:val="000076CE"/>
    <w:rsid w:val="000113DF"/>
    <w:rsid w:val="00011798"/>
    <w:rsid w:val="000123F8"/>
    <w:rsid w:val="00013E47"/>
    <w:rsid w:val="000149BF"/>
    <w:rsid w:val="0001677E"/>
    <w:rsid w:val="00020C97"/>
    <w:rsid w:val="00021A07"/>
    <w:rsid w:val="000235EB"/>
    <w:rsid w:val="000248C9"/>
    <w:rsid w:val="000327B0"/>
    <w:rsid w:val="00042CA2"/>
    <w:rsid w:val="0004639E"/>
    <w:rsid w:val="00050839"/>
    <w:rsid w:val="00055985"/>
    <w:rsid w:val="00062B41"/>
    <w:rsid w:val="00063CA7"/>
    <w:rsid w:val="0006571F"/>
    <w:rsid w:val="00070A47"/>
    <w:rsid w:val="00071101"/>
    <w:rsid w:val="00071756"/>
    <w:rsid w:val="00072B4C"/>
    <w:rsid w:val="000736A6"/>
    <w:rsid w:val="00074149"/>
    <w:rsid w:val="00076FC0"/>
    <w:rsid w:val="00080C2D"/>
    <w:rsid w:val="00080DDF"/>
    <w:rsid w:val="00081DAE"/>
    <w:rsid w:val="00083723"/>
    <w:rsid w:val="0008637B"/>
    <w:rsid w:val="000931DC"/>
    <w:rsid w:val="0009535D"/>
    <w:rsid w:val="00095E29"/>
    <w:rsid w:val="000967B0"/>
    <w:rsid w:val="0009692D"/>
    <w:rsid w:val="0009790D"/>
    <w:rsid w:val="000A0343"/>
    <w:rsid w:val="000A30D1"/>
    <w:rsid w:val="000A5CE8"/>
    <w:rsid w:val="000B2400"/>
    <w:rsid w:val="000B4887"/>
    <w:rsid w:val="000B4DD8"/>
    <w:rsid w:val="000B691F"/>
    <w:rsid w:val="000C1689"/>
    <w:rsid w:val="000C579D"/>
    <w:rsid w:val="000C5FFF"/>
    <w:rsid w:val="000C6450"/>
    <w:rsid w:val="000C7228"/>
    <w:rsid w:val="000D2A28"/>
    <w:rsid w:val="000D31C8"/>
    <w:rsid w:val="000D32DE"/>
    <w:rsid w:val="000D6F37"/>
    <w:rsid w:val="000E0DDA"/>
    <w:rsid w:val="000E277C"/>
    <w:rsid w:val="000E360D"/>
    <w:rsid w:val="000E6504"/>
    <w:rsid w:val="000E6A04"/>
    <w:rsid w:val="000F02F8"/>
    <w:rsid w:val="000F0B91"/>
    <w:rsid w:val="000F1C50"/>
    <w:rsid w:val="000F48D3"/>
    <w:rsid w:val="000F5031"/>
    <w:rsid w:val="000F60F6"/>
    <w:rsid w:val="0010287B"/>
    <w:rsid w:val="001034F0"/>
    <w:rsid w:val="00104EFB"/>
    <w:rsid w:val="00112364"/>
    <w:rsid w:val="00112C27"/>
    <w:rsid w:val="00115F08"/>
    <w:rsid w:val="00116D1A"/>
    <w:rsid w:val="0012165C"/>
    <w:rsid w:val="00124566"/>
    <w:rsid w:val="00125809"/>
    <w:rsid w:val="00125D63"/>
    <w:rsid w:val="001279EA"/>
    <w:rsid w:val="0013033E"/>
    <w:rsid w:val="00130E68"/>
    <w:rsid w:val="00131E92"/>
    <w:rsid w:val="00133D45"/>
    <w:rsid w:val="00134C08"/>
    <w:rsid w:val="0014210B"/>
    <w:rsid w:val="00142C34"/>
    <w:rsid w:val="00142EFC"/>
    <w:rsid w:val="001526E3"/>
    <w:rsid w:val="00154E2D"/>
    <w:rsid w:val="00155A83"/>
    <w:rsid w:val="0015706D"/>
    <w:rsid w:val="001572AB"/>
    <w:rsid w:val="001576C4"/>
    <w:rsid w:val="001578B1"/>
    <w:rsid w:val="0016052C"/>
    <w:rsid w:val="0016397B"/>
    <w:rsid w:val="00163A58"/>
    <w:rsid w:val="0016695A"/>
    <w:rsid w:val="00171AA4"/>
    <w:rsid w:val="00171F8D"/>
    <w:rsid w:val="00172B14"/>
    <w:rsid w:val="0017562B"/>
    <w:rsid w:val="001760EB"/>
    <w:rsid w:val="00181232"/>
    <w:rsid w:val="00190008"/>
    <w:rsid w:val="001905AC"/>
    <w:rsid w:val="0019467D"/>
    <w:rsid w:val="00194833"/>
    <w:rsid w:val="00197EE9"/>
    <w:rsid w:val="001A0439"/>
    <w:rsid w:val="001A5AFC"/>
    <w:rsid w:val="001B2CEC"/>
    <w:rsid w:val="001C64CB"/>
    <w:rsid w:val="001D06BE"/>
    <w:rsid w:val="001D1307"/>
    <w:rsid w:val="001E066D"/>
    <w:rsid w:val="001E286C"/>
    <w:rsid w:val="001E28B8"/>
    <w:rsid w:val="001E3808"/>
    <w:rsid w:val="001F04C9"/>
    <w:rsid w:val="001F12F8"/>
    <w:rsid w:val="001F132E"/>
    <w:rsid w:val="001F1796"/>
    <w:rsid w:val="0020009A"/>
    <w:rsid w:val="002006A9"/>
    <w:rsid w:val="00200C46"/>
    <w:rsid w:val="00200CF1"/>
    <w:rsid w:val="00206700"/>
    <w:rsid w:val="00206BC3"/>
    <w:rsid w:val="002074C5"/>
    <w:rsid w:val="00207921"/>
    <w:rsid w:val="00210B8F"/>
    <w:rsid w:val="00211DAA"/>
    <w:rsid w:val="0021249B"/>
    <w:rsid w:val="0021503C"/>
    <w:rsid w:val="00224E0B"/>
    <w:rsid w:val="00231BEA"/>
    <w:rsid w:val="00232AF0"/>
    <w:rsid w:val="00233371"/>
    <w:rsid w:val="00235782"/>
    <w:rsid w:val="0023663B"/>
    <w:rsid w:val="002367EA"/>
    <w:rsid w:val="00241CC2"/>
    <w:rsid w:val="00245153"/>
    <w:rsid w:val="00247ABE"/>
    <w:rsid w:val="00250222"/>
    <w:rsid w:val="00251807"/>
    <w:rsid w:val="002529B3"/>
    <w:rsid w:val="00253557"/>
    <w:rsid w:val="0025391A"/>
    <w:rsid w:val="0026568B"/>
    <w:rsid w:val="00267893"/>
    <w:rsid w:val="00272E5C"/>
    <w:rsid w:val="00275BBE"/>
    <w:rsid w:val="002765A1"/>
    <w:rsid w:val="00281684"/>
    <w:rsid w:val="00283667"/>
    <w:rsid w:val="0028606A"/>
    <w:rsid w:val="00294D9E"/>
    <w:rsid w:val="00295549"/>
    <w:rsid w:val="0029588D"/>
    <w:rsid w:val="00295DA7"/>
    <w:rsid w:val="00295DAB"/>
    <w:rsid w:val="00296064"/>
    <w:rsid w:val="002A19F4"/>
    <w:rsid w:val="002A4184"/>
    <w:rsid w:val="002A4647"/>
    <w:rsid w:val="002A54F1"/>
    <w:rsid w:val="002A5BC2"/>
    <w:rsid w:val="002B0440"/>
    <w:rsid w:val="002B135C"/>
    <w:rsid w:val="002B3CA2"/>
    <w:rsid w:val="002B4782"/>
    <w:rsid w:val="002C18B7"/>
    <w:rsid w:val="002C204A"/>
    <w:rsid w:val="002C334A"/>
    <w:rsid w:val="002C4014"/>
    <w:rsid w:val="002C490F"/>
    <w:rsid w:val="002C54DC"/>
    <w:rsid w:val="002C61D4"/>
    <w:rsid w:val="002C6C9E"/>
    <w:rsid w:val="002D2190"/>
    <w:rsid w:val="002D527B"/>
    <w:rsid w:val="002E02F8"/>
    <w:rsid w:val="002E0657"/>
    <w:rsid w:val="002E4724"/>
    <w:rsid w:val="002E5AF0"/>
    <w:rsid w:val="002E614A"/>
    <w:rsid w:val="002F099F"/>
    <w:rsid w:val="002F0E37"/>
    <w:rsid w:val="002F4557"/>
    <w:rsid w:val="002F49F5"/>
    <w:rsid w:val="002F62A6"/>
    <w:rsid w:val="002F754B"/>
    <w:rsid w:val="00301909"/>
    <w:rsid w:val="003049AF"/>
    <w:rsid w:val="00306DE8"/>
    <w:rsid w:val="00310474"/>
    <w:rsid w:val="003113D1"/>
    <w:rsid w:val="003142FB"/>
    <w:rsid w:val="00321841"/>
    <w:rsid w:val="0032632C"/>
    <w:rsid w:val="00327685"/>
    <w:rsid w:val="00327B19"/>
    <w:rsid w:val="00333735"/>
    <w:rsid w:val="00334498"/>
    <w:rsid w:val="003344F9"/>
    <w:rsid w:val="003356BF"/>
    <w:rsid w:val="00336E65"/>
    <w:rsid w:val="003462E8"/>
    <w:rsid w:val="00347630"/>
    <w:rsid w:val="00347E61"/>
    <w:rsid w:val="003554D8"/>
    <w:rsid w:val="00356561"/>
    <w:rsid w:val="00362C78"/>
    <w:rsid w:val="00365C45"/>
    <w:rsid w:val="00376D85"/>
    <w:rsid w:val="00380188"/>
    <w:rsid w:val="00381C31"/>
    <w:rsid w:val="003842B8"/>
    <w:rsid w:val="003853FD"/>
    <w:rsid w:val="00385AAF"/>
    <w:rsid w:val="00386A8A"/>
    <w:rsid w:val="00387F4D"/>
    <w:rsid w:val="00390448"/>
    <w:rsid w:val="003909F8"/>
    <w:rsid w:val="00394873"/>
    <w:rsid w:val="0039547F"/>
    <w:rsid w:val="003A00F7"/>
    <w:rsid w:val="003A1138"/>
    <w:rsid w:val="003A52DF"/>
    <w:rsid w:val="003A5BF0"/>
    <w:rsid w:val="003A783C"/>
    <w:rsid w:val="003B1164"/>
    <w:rsid w:val="003B50A1"/>
    <w:rsid w:val="003B5FE4"/>
    <w:rsid w:val="003C185D"/>
    <w:rsid w:val="003C3E8B"/>
    <w:rsid w:val="003C7709"/>
    <w:rsid w:val="003D1357"/>
    <w:rsid w:val="003D1ECF"/>
    <w:rsid w:val="003D38D9"/>
    <w:rsid w:val="003D525C"/>
    <w:rsid w:val="003D5BFD"/>
    <w:rsid w:val="003E1962"/>
    <w:rsid w:val="003E3FFD"/>
    <w:rsid w:val="003E4AC1"/>
    <w:rsid w:val="003E662D"/>
    <w:rsid w:val="003F0BAE"/>
    <w:rsid w:val="003F0D76"/>
    <w:rsid w:val="003F1E6C"/>
    <w:rsid w:val="003F3A07"/>
    <w:rsid w:val="003F3EEE"/>
    <w:rsid w:val="004015AB"/>
    <w:rsid w:val="00402703"/>
    <w:rsid w:val="00403589"/>
    <w:rsid w:val="00410BFC"/>
    <w:rsid w:val="0041105D"/>
    <w:rsid w:val="004111F5"/>
    <w:rsid w:val="00413263"/>
    <w:rsid w:val="00413ED3"/>
    <w:rsid w:val="0041661A"/>
    <w:rsid w:val="0042161D"/>
    <w:rsid w:val="004227E1"/>
    <w:rsid w:val="00426372"/>
    <w:rsid w:val="00427376"/>
    <w:rsid w:val="004277E2"/>
    <w:rsid w:val="00430633"/>
    <w:rsid w:val="004313F6"/>
    <w:rsid w:val="00431D9F"/>
    <w:rsid w:val="004349C2"/>
    <w:rsid w:val="004404E6"/>
    <w:rsid w:val="00442557"/>
    <w:rsid w:val="004458AE"/>
    <w:rsid w:val="00447E30"/>
    <w:rsid w:val="004513EE"/>
    <w:rsid w:val="00452CEF"/>
    <w:rsid w:val="00452FA9"/>
    <w:rsid w:val="00455092"/>
    <w:rsid w:val="0045567A"/>
    <w:rsid w:val="00456E3E"/>
    <w:rsid w:val="00457252"/>
    <w:rsid w:val="00457493"/>
    <w:rsid w:val="004618F2"/>
    <w:rsid w:val="00461C31"/>
    <w:rsid w:val="00462991"/>
    <w:rsid w:val="004632AB"/>
    <w:rsid w:val="0046538E"/>
    <w:rsid w:val="00465454"/>
    <w:rsid w:val="004664CC"/>
    <w:rsid w:val="0046790B"/>
    <w:rsid w:val="00473C19"/>
    <w:rsid w:val="00474DF1"/>
    <w:rsid w:val="00476127"/>
    <w:rsid w:val="00477A91"/>
    <w:rsid w:val="00481007"/>
    <w:rsid w:val="00482276"/>
    <w:rsid w:val="0048570A"/>
    <w:rsid w:val="00485D25"/>
    <w:rsid w:val="004941C0"/>
    <w:rsid w:val="004945B4"/>
    <w:rsid w:val="00496588"/>
    <w:rsid w:val="004A033B"/>
    <w:rsid w:val="004A1F9A"/>
    <w:rsid w:val="004A238D"/>
    <w:rsid w:val="004A3904"/>
    <w:rsid w:val="004A3BB3"/>
    <w:rsid w:val="004A6568"/>
    <w:rsid w:val="004B0D00"/>
    <w:rsid w:val="004B43CC"/>
    <w:rsid w:val="004B4442"/>
    <w:rsid w:val="004B5E02"/>
    <w:rsid w:val="004C022E"/>
    <w:rsid w:val="004C119D"/>
    <w:rsid w:val="004C18A5"/>
    <w:rsid w:val="004C1E77"/>
    <w:rsid w:val="004C784E"/>
    <w:rsid w:val="004D1AD0"/>
    <w:rsid w:val="004D3A55"/>
    <w:rsid w:val="004D3F64"/>
    <w:rsid w:val="004D6329"/>
    <w:rsid w:val="004D69DA"/>
    <w:rsid w:val="004D7C8E"/>
    <w:rsid w:val="004E3008"/>
    <w:rsid w:val="004F0304"/>
    <w:rsid w:val="00500C06"/>
    <w:rsid w:val="005023E2"/>
    <w:rsid w:val="0050311C"/>
    <w:rsid w:val="00503605"/>
    <w:rsid w:val="005063F6"/>
    <w:rsid w:val="0051123D"/>
    <w:rsid w:val="00511F2A"/>
    <w:rsid w:val="00513681"/>
    <w:rsid w:val="005146CD"/>
    <w:rsid w:val="0051658C"/>
    <w:rsid w:val="00517AC6"/>
    <w:rsid w:val="00523AD6"/>
    <w:rsid w:val="00524A96"/>
    <w:rsid w:val="00524EC9"/>
    <w:rsid w:val="005252AA"/>
    <w:rsid w:val="00526800"/>
    <w:rsid w:val="00532D20"/>
    <w:rsid w:val="00532D4C"/>
    <w:rsid w:val="00533A9A"/>
    <w:rsid w:val="0053437A"/>
    <w:rsid w:val="00541BC5"/>
    <w:rsid w:val="005437C0"/>
    <w:rsid w:val="0054598A"/>
    <w:rsid w:val="0054666A"/>
    <w:rsid w:val="00551705"/>
    <w:rsid w:val="00551744"/>
    <w:rsid w:val="00553296"/>
    <w:rsid w:val="00556678"/>
    <w:rsid w:val="005605DD"/>
    <w:rsid w:val="00560B89"/>
    <w:rsid w:val="0056442D"/>
    <w:rsid w:val="00565F38"/>
    <w:rsid w:val="005668FC"/>
    <w:rsid w:val="00567166"/>
    <w:rsid w:val="00567219"/>
    <w:rsid w:val="005707FD"/>
    <w:rsid w:val="00572809"/>
    <w:rsid w:val="005738AA"/>
    <w:rsid w:val="00577426"/>
    <w:rsid w:val="00580A14"/>
    <w:rsid w:val="00581660"/>
    <w:rsid w:val="00583D77"/>
    <w:rsid w:val="00587142"/>
    <w:rsid w:val="00587E04"/>
    <w:rsid w:val="00591268"/>
    <w:rsid w:val="0059273D"/>
    <w:rsid w:val="005931EE"/>
    <w:rsid w:val="00597D25"/>
    <w:rsid w:val="005A55D4"/>
    <w:rsid w:val="005A6203"/>
    <w:rsid w:val="005B2248"/>
    <w:rsid w:val="005B31F1"/>
    <w:rsid w:val="005B4F6B"/>
    <w:rsid w:val="005B60CC"/>
    <w:rsid w:val="005B6DD9"/>
    <w:rsid w:val="005B7C0A"/>
    <w:rsid w:val="005C4F1A"/>
    <w:rsid w:val="005C5DE4"/>
    <w:rsid w:val="005C637A"/>
    <w:rsid w:val="005C7B11"/>
    <w:rsid w:val="005D1CEF"/>
    <w:rsid w:val="005D21AC"/>
    <w:rsid w:val="005D4337"/>
    <w:rsid w:val="005D537C"/>
    <w:rsid w:val="005D6AEE"/>
    <w:rsid w:val="005D747E"/>
    <w:rsid w:val="005E2188"/>
    <w:rsid w:val="005E2675"/>
    <w:rsid w:val="005E4091"/>
    <w:rsid w:val="005E4EF1"/>
    <w:rsid w:val="005E6027"/>
    <w:rsid w:val="005E641E"/>
    <w:rsid w:val="005E76CB"/>
    <w:rsid w:val="005F3AF6"/>
    <w:rsid w:val="005F42AD"/>
    <w:rsid w:val="005F4A62"/>
    <w:rsid w:val="005F5161"/>
    <w:rsid w:val="0060095E"/>
    <w:rsid w:val="00600DAD"/>
    <w:rsid w:val="0060150C"/>
    <w:rsid w:val="00602911"/>
    <w:rsid w:val="00614375"/>
    <w:rsid w:val="00614BF3"/>
    <w:rsid w:val="0061674E"/>
    <w:rsid w:val="0061755E"/>
    <w:rsid w:val="00620DB4"/>
    <w:rsid w:val="006214BF"/>
    <w:rsid w:val="00621A6B"/>
    <w:rsid w:val="00621ED6"/>
    <w:rsid w:val="00624A4F"/>
    <w:rsid w:val="006251C6"/>
    <w:rsid w:val="00627C53"/>
    <w:rsid w:val="00630251"/>
    <w:rsid w:val="00630EC8"/>
    <w:rsid w:val="00632FCC"/>
    <w:rsid w:val="006350C2"/>
    <w:rsid w:val="00635D21"/>
    <w:rsid w:val="00636FDF"/>
    <w:rsid w:val="00637B00"/>
    <w:rsid w:val="0064029C"/>
    <w:rsid w:val="006402FE"/>
    <w:rsid w:val="006431D8"/>
    <w:rsid w:val="00644FD7"/>
    <w:rsid w:val="0064526D"/>
    <w:rsid w:val="0064590C"/>
    <w:rsid w:val="006475EB"/>
    <w:rsid w:val="00651FC6"/>
    <w:rsid w:val="00653CF6"/>
    <w:rsid w:val="00657985"/>
    <w:rsid w:val="00663495"/>
    <w:rsid w:val="00666119"/>
    <w:rsid w:val="00671309"/>
    <w:rsid w:val="00671D19"/>
    <w:rsid w:val="006728C0"/>
    <w:rsid w:val="006844DA"/>
    <w:rsid w:val="006877FA"/>
    <w:rsid w:val="00690DF7"/>
    <w:rsid w:val="00692449"/>
    <w:rsid w:val="00696106"/>
    <w:rsid w:val="0069620D"/>
    <w:rsid w:val="006A1344"/>
    <w:rsid w:val="006A2C9D"/>
    <w:rsid w:val="006A47EA"/>
    <w:rsid w:val="006B0CA1"/>
    <w:rsid w:val="006B2715"/>
    <w:rsid w:val="006B4430"/>
    <w:rsid w:val="006B7782"/>
    <w:rsid w:val="006B7969"/>
    <w:rsid w:val="006C1CC0"/>
    <w:rsid w:val="006C3B65"/>
    <w:rsid w:val="006C552C"/>
    <w:rsid w:val="006D290E"/>
    <w:rsid w:val="006D3F65"/>
    <w:rsid w:val="006D5877"/>
    <w:rsid w:val="006D5FDD"/>
    <w:rsid w:val="006E560D"/>
    <w:rsid w:val="006E6B21"/>
    <w:rsid w:val="0070098C"/>
    <w:rsid w:val="007022B4"/>
    <w:rsid w:val="007026D1"/>
    <w:rsid w:val="0070480C"/>
    <w:rsid w:val="00704901"/>
    <w:rsid w:val="007074E3"/>
    <w:rsid w:val="00711466"/>
    <w:rsid w:val="00712314"/>
    <w:rsid w:val="00713A16"/>
    <w:rsid w:val="00715B3C"/>
    <w:rsid w:val="007209FC"/>
    <w:rsid w:val="00723137"/>
    <w:rsid w:val="00725645"/>
    <w:rsid w:val="00726640"/>
    <w:rsid w:val="007270A7"/>
    <w:rsid w:val="0073403D"/>
    <w:rsid w:val="00740879"/>
    <w:rsid w:val="00740F9B"/>
    <w:rsid w:val="00742442"/>
    <w:rsid w:val="00743422"/>
    <w:rsid w:val="007439A8"/>
    <w:rsid w:val="007447A2"/>
    <w:rsid w:val="00745223"/>
    <w:rsid w:val="00745C8E"/>
    <w:rsid w:val="007461D6"/>
    <w:rsid w:val="00746AC6"/>
    <w:rsid w:val="00750B53"/>
    <w:rsid w:val="00756E53"/>
    <w:rsid w:val="0075701B"/>
    <w:rsid w:val="00762D84"/>
    <w:rsid w:val="0076302E"/>
    <w:rsid w:val="007637C2"/>
    <w:rsid w:val="007644FB"/>
    <w:rsid w:val="00766340"/>
    <w:rsid w:val="007673A6"/>
    <w:rsid w:val="007714BD"/>
    <w:rsid w:val="00781721"/>
    <w:rsid w:val="007828F2"/>
    <w:rsid w:val="0078394E"/>
    <w:rsid w:val="00784834"/>
    <w:rsid w:val="00786300"/>
    <w:rsid w:val="007864FA"/>
    <w:rsid w:val="00786F43"/>
    <w:rsid w:val="007915DE"/>
    <w:rsid w:val="0079272B"/>
    <w:rsid w:val="00795716"/>
    <w:rsid w:val="007A328A"/>
    <w:rsid w:val="007A43F7"/>
    <w:rsid w:val="007B0205"/>
    <w:rsid w:val="007B1E99"/>
    <w:rsid w:val="007B292A"/>
    <w:rsid w:val="007B4661"/>
    <w:rsid w:val="007B5A41"/>
    <w:rsid w:val="007C3C1D"/>
    <w:rsid w:val="007C41EE"/>
    <w:rsid w:val="007C6172"/>
    <w:rsid w:val="007C66D0"/>
    <w:rsid w:val="007C6723"/>
    <w:rsid w:val="007D13E8"/>
    <w:rsid w:val="007D1AF4"/>
    <w:rsid w:val="007D2BEE"/>
    <w:rsid w:val="007D5BE6"/>
    <w:rsid w:val="007E09E2"/>
    <w:rsid w:val="007E2881"/>
    <w:rsid w:val="007E32D8"/>
    <w:rsid w:val="007E5FD1"/>
    <w:rsid w:val="008005DC"/>
    <w:rsid w:val="00801B3B"/>
    <w:rsid w:val="008079CB"/>
    <w:rsid w:val="00815531"/>
    <w:rsid w:val="00832A80"/>
    <w:rsid w:val="00833F01"/>
    <w:rsid w:val="008366C1"/>
    <w:rsid w:val="00836A87"/>
    <w:rsid w:val="00836BA2"/>
    <w:rsid w:val="00837C3C"/>
    <w:rsid w:val="00837E20"/>
    <w:rsid w:val="0084506A"/>
    <w:rsid w:val="00850573"/>
    <w:rsid w:val="00853E3F"/>
    <w:rsid w:val="008556D3"/>
    <w:rsid w:val="00864C42"/>
    <w:rsid w:val="008664E9"/>
    <w:rsid w:val="00873005"/>
    <w:rsid w:val="00873AED"/>
    <w:rsid w:val="008744DA"/>
    <w:rsid w:val="00874BBE"/>
    <w:rsid w:val="0087617F"/>
    <w:rsid w:val="00880263"/>
    <w:rsid w:val="008811EA"/>
    <w:rsid w:val="00881835"/>
    <w:rsid w:val="00885D3F"/>
    <w:rsid w:val="00887E5E"/>
    <w:rsid w:val="00893828"/>
    <w:rsid w:val="008A016B"/>
    <w:rsid w:val="008A04ED"/>
    <w:rsid w:val="008A0625"/>
    <w:rsid w:val="008A2074"/>
    <w:rsid w:val="008A3A5E"/>
    <w:rsid w:val="008A4781"/>
    <w:rsid w:val="008A4FE9"/>
    <w:rsid w:val="008A7F00"/>
    <w:rsid w:val="008B1342"/>
    <w:rsid w:val="008C0B2C"/>
    <w:rsid w:val="008C400F"/>
    <w:rsid w:val="008C49E5"/>
    <w:rsid w:val="008C7207"/>
    <w:rsid w:val="008C72CC"/>
    <w:rsid w:val="008D00CC"/>
    <w:rsid w:val="008D0596"/>
    <w:rsid w:val="008D072B"/>
    <w:rsid w:val="008D23E0"/>
    <w:rsid w:val="008D28ED"/>
    <w:rsid w:val="008D3EAB"/>
    <w:rsid w:val="008D7282"/>
    <w:rsid w:val="008E443B"/>
    <w:rsid w:val="008E4FC3"/>
    <w:rsid w:val="008E7B0D"/>
    <w:rsid w:val="008F3D69"/>
    <w:rsid w:val="008F4849"/>
    <w:rsid w:val="008F63A1"/>
    <w:rsid w:val="008F7C52"/>
    <w:rsid w:val="0090128A"/>
    <w:rsid w:val="00902648"/>
    <w:rsid w:val="009039D3"/>
    <w:rsid w:val="00911FB8"/>
    <w:rsid w:val="009126A7"/>
    <w:rsid w:val="00914B32"/>
    <w:rsid w:val="00915C31"/>
    <w:rsid w:val="00925833"/>
    <w:rsid w:val="0093089B"/>
    <w:rsid w:val="00933381"/>
    <w:rsid w:val="009336B3"/>
    <w:rsid w:val="00933E53"/>
    <w:rsid w:val="00935D0B"/>
    <w:rsid w:val="00937D8F"/>
    <w:rsid w:val="00941D03"/>
    <w:rsid w:val="009424EF"/>
    <w:rsid w:val="009461DC"/>
    <w:rsid w:val="00953BC4"/>
    <w:rsid w:val="00954ABE"/>
    <w:rsid w:val="00957FBE"/>
    <w:rsid w:val="00963A44"/>
    <w:rsid w:val="00963A50"/>
    <w:rsid w:val="009650E0"/>
    <w:rsid w:val="00965481"/>
    <w:rsid w:val="00967430"/>
    <w:rsid w:val="00967790"/>
    <w:rsid w:val="0097337F"/>
    <w:rsid w:val="00974DF6"/>
    <w:rsid w:val="009768CB"/>
    <w:rsid w:val="00977CE6"/>
    <w:rsid w:val="0098285D"/>
    <w:rsid w:val="009833DA"/>
    <w:rsid w:val="0098367C"/>
    <w:rsid w:val="00984249"/>
    <w:rsid w:val="009914A3"/>
    <w:rsid w:val="00992C30"/>
    <w:rsid w:val="009957FC"/>
    <w:rsid w:val="00997C06"/>
    <w:rsid w:val="009A297C"/>
    <w:rsid w:val="009B10B1"/>
    <w:rsid w:val="009B1AC5"/>
    <w:rsid w:val="009B39D2"/>
    <w:rsid w:val="009B4463"/>
    <w:rsid w:val="009B4BB5"/>
    <w:rsid w:val="009B5FEF"/>
    <w:rsid w:val="009B69D9"/>
    <w:rsid w:val="009B6E11"/>
    <w:rsid w:val="009B7BC2"/>
    <w:rsid w:val="009C1813"/>
    <w:rsid w:val="009C48CF"/>
    <w:rsid w:val="009C4D1C"/>
    <w:rsid w:val="009C76D1"/>
    <w:rsid w:val="009D0555"/>
    <w:rsid w:val="009D1415"/>
    <w:rsid w:val="009D18BE"/>
    <w:rsid w:val="009D44DC"/>
    <w:rsid w:val="009E2A91"/>
    <w:rsid w:val="009E569D"/>
    <w:rsid w:val="009F1790"/>
    <w:rsid w:val="009F3892"/>
    <w:rsid w:val="009F541D"/>
    <w:rsid w:val="009F6911"/>
    <w:rsid w:val="009F704A"/>
    <w:rsid w:val="00A016BA"/>
    <w:rsid w:val="00A02481"/>
    <w:rsid w:val="00A04E88"/>
    <w:rsid w:val="00A1210B"/>
    <w:rsid w:val="00A1221E"/>
    <w:rsid w:val="00A12E38"/>
    <w:rsid w:val="00A13BED"/>
    <w:rsid w:val="00A15E2B"/>
    <w:rsid w:val="00A16C1D"/>
    <w:rsid w:val="00A20566"/>
    <w:rsid w:val="00A23372"/>
    <w:rsid w:val="00A27EDE"/>
    <w:rsid w:val="00A301C4"/>
    <w:rsid w:val="00A33D14"/>
    <w:rsid w:val="00A3480E"/>
    <w:rsid w:val="00A352D3"/>
    <w:rsid w:val="00A35B3B"/>
    <w:rsid w:val="00A40EFE"/>
    <w:rsid w:val="00A46750"/>
    <w:rsid w:val="00A5554F"/>
    <w:rsid w:val="00A55665"/>
    <w:rsid w:val="00A62DF5"/>
    <w:rsid w:val="00A663EF"/>
    <w:rsid w:val="00A70823"/>
    <w:rsid w:val="00A7116A"/>
    <w:rsid w:val="00A71F8A"/>
    <w:rsid w:val="00A76F59"/>
    <w:rsid w:val="00A77318"/>
    <w:rsid w:val="00A80273"/>
    <w:rsid w:val="00A825FB"/>
    <w:rsid w:val="00A826EA"/>
    <w:rsid w:val="00A828D5"/>
    <w:rsid w:val="00A83316"/>
    <w:rsid w:val="00A90466"/>
    <w:rsid w:val="00A905A6"/>
    <w:rsid w:val="00A934F2"/>
    <w:rsid w:val="00A94391"/>
    <w:rsid w:val="00A96AAF"/>
    <w:rsid w:val="00A97D6E"/>
    <w:rsid w:val="00AA12A4"/>
    <w:rsid w:val="00AA14B9"/>
    <w:rsid w:val="00AB1019"/>
    <w:rsid w:val="00AB19BF"/>
    <w:rsid w:val="00AB4701"/>
    <w:rsid w:val="00AB5958"/>
    <w:rsid w:val="00AC47A2"/>
    <w:rsid w:val="00AD141E"/>
    <w:rsid w:val="00AD21C5"/>
    <w:rsid w:val="00AD3498"/>
    <w:rsid w:val="00AD3B55"/>
    <w:rsid w:val="00AD6575"/>
    <w:rsid w:val="00AE0E96"/>
    <w:rsid w:val="00AE1CB2"/>
    <w:rsid w:val="00AE2FFC"/>
    <w:rsid w:val="00AE6B6D"/>
    <w:rsid w:val="00AE7978"/>
    <w:rsid w:val="00AF3137"/>
    <w:rsid w:val="00AF3FB6"/>
    <w:rsid w:val="00AF65A3"/>
    <w:rsid w:val="00AF69CA"/>
    <w:rsid w:val="00AF6FDD"/>
    <w:rsid w:val="00B113F1"/>
    <w:rsid w:val="00B11EB2"/>
    <w:rsid w:val="00B20217"/>
    <w:rsid w:val="00B206C2"/>
    <w:rsid w:val="00B21538"/>
    <w:rsid w:val="00B25954"/>
    <w:rsid w:val="00B3011C"/>
    <w:rsid w:val="00B303FE"/>
    <w:rsid w:val="00B31617"/>
    <w:rsid w:val="00B34E63"/>
    <w:rsid w:val="00B414BF"/>
    <w:rsid w:val="00B44950"/>
    <w:rsid w:val="00B52829"/>
    <w:rsid w:val="00B57383"/>
    <w:rsid w:val="00B5740C"/>
    <w:rsid w:val="00B62B76"/>
    <w:rsid w:val="00B62CF6"/>
    <w:rsid w:val="00B64837"/>
    <w:rsid w:val="00B654A9"/>
    <w:rsid w:val="00B664E7"/>
    <w:rsid w:val="00B67CCC"/>
    <w:rsid w:val="00B70843"/>
    <w:rsid w:val="00B71E3B"/>
    <w:rsid w:val="00B7219A"/>
    <w:rsid w:val="00B72557"/>
    <w:rsid w:val="00B72A42"/>
    <w:rsid w:val="00B75880"/>
    <w:rsid w:val="00B76D33"/>
    <w:rsid w:val="00B82F47"/>
    <w:rsid w:val="00B84047"/>
    <w:rsid w:val="00B84116"/>
    <w:rsid w:val="00B859F1"/>
    <w:rsid w:val="00B8672A"/>
    <w:rsid w:val="00B91709"/>
    <w:rsid w:val="00B9228D"/>
    <w:rsid w:val="00B931CC"/>
    <w:rsid w:val="00BA749B"/>
    <w:rsid w:val="00BA756F"/>
    <w:rsid w:val="00BA7D6B"/>
    <w:rsid w:val="00BB0433"/>
    <w:rsid w:val="00BB29BF"/>
    <w:rsid w:val="00BB3306"/>
    <w:rsid w:val="00BB3D38"/>
    <w:rsid w:val="00BB4719"/>
    <w:rsid w:val="00BB54A1"/>
    <w:rsid w:val="00BB6AE8"/>
    <w:rsid w:val="00BC17FB"/>
    <w:rsid w:val="00BC595D"/>
    <w:rsid w:val="00BC7808"/>
    <w:rsid w:val="00BD500B"/>
    <w:rsid w:val="00BD5A67"/>
    <w:rsid w:val="00BD722F"/>
    <w:rsid w:val="00BD7BBD"/>
    <w:rsid w:val="00BE178D"/>
    <w:rsid w:val="00BE1AC5"/>
    <w:rsid w:val="00BE2511"/>
    <w:rsid w:val="00BE3560"/>
    <w:rsid w:val="00BE7F2D"/>
    <w:rsid w:val="00BF037C"/>
    <w:rsid w:val="00BF26AB"/>
    <w:rsid w:val="00BF3635"/>
    <w:rsid w:val="00BF6527"/>
    <w:rsid w:val="00C00F25"/>
    <w:rsid w:val="00C03884"/>
    <w:rsid w:val="00C03AE5"/>
    <w:rsid w:val="00C105DB"/>
    <w:rsid w:val="00C12220"/>
    <w:rsid w:val="00C14DD0"/>
    <w:rsid w:val="00C154DE"/>
    <w:rsid w:val="00C15768"/>
    <w:rsid w:val="00C15D4C"/>
    <w:rsid w:val="00C17D5B"/>
    <w:rsid w:val="00C2036B"/>
    <w:rsid w:val="00C204B3"/>
    <w:rsid w:val="00C21CF8"/>
    <w:rsid w:val="00C21FD2"/>
    <w:rsid w:val="00C27374"/>
    <w:rsid w:val="00C36400"/>
    <w:rsid w:val="00C379B9"/>
    <w:rsid w:val="00C4063C"/>
    <w:rsid w:val="00C416B0"/>
    <w:rsid w:val="00C44D7C"/>
    <w:rsid w:val="00C46A13"/>
    <w:rsid w:val="00C47970"/>
    <w:rsid w:val="00C514DA"/>
    <w:rsid w:val="00C5425C"/>
    <w:rsid w:val="00C55296"/>
    <w:rsid w:val="00C56572"/>
    <w:rsid w:val="00C56F50"/>
    <w:rsid w:val="00C579D6"/>
    <w:rsid w:val="00C66EBC"/>
    <w:rsid w:val="00C719A2"/>
    <w:rsid w:val="00C72AEC"/>
    <w:rsid w:val="00C8051F"/>
    <w:rsid w:val="00C81955"/>
    <w:rsid w:val="00C85798"/>
    <w:rsid w:val="00C903C7"/>
    <w:rsid w:val="00C937EA"/>
    <w:rsid w:val="00C95784"/>
    <w:rsid w:val="00C95A9F"/>
    <w:rsid w:val="00C95AEB"/>
    <w:rsid w:val="00CA0B4B"/>
    <w:rsid w:val="00CA3011"/>
    <w:rsid w:val="00CB014D"/>
    <w:rsid w:val="00CB4750"/>
    <w:rsid w:val="00CB5AC3"/>
    <w:rsid w:val="00CB7E61"/>
    <w:rsid w:val="00CC00AA"/>
    <w:rsid w:val="00CC00B4"/>
    <w:rsid w:val="00CC0BD1"/>
    <w:rsid w:val="00CC130C"/>
    <w:rsid w:val="00CC4724"/>
    <w:rsid w:val="00CC7B44"/>
    <w:rsid w:val="00CD273A"/>
    <w:rsid w:val="00CD4E4D"/>
    <w:rsid w:val="00CE06EF"/>
    <w:rsid w:val="00CE0C8C"/>
    <w:rsid w:val="00CE1D38"/>
    <w:rsid w:val="00CE4B67"/>
    <w:rsid w:val="00CF1062"/>
    <w:rsid w:val="00CF20ED"/>
    <w:rsid w:val="00CF39C0"/>
    <w:rsid w:val="00CF5AF3"/>
    <w:rsid w:val="00CF6C0F"/>
    <w:rsid w:val="00D01792"/>
    <w:rsid w:val="00D0457C"/>
    <w:rsid w:val="00D070D0"/>
    <w:rsid w:val="00D129CF"/>
    <w:rsid w:val="00D163E0"/>
    <w:rsid w:val="00D21CBB"/>
    <w:rsid w:val="00D2285A"/>
    <w:rsid w:val="00D25B20"/>
    <w:rsid w:val="00D2799C"/>
    <w:rsid w:val="00D32F3C"/>
    <w:rsid w:val="00D3310F"/>
    <w:rsid w:val="00D342E2"/>
    <w:rsid w:val="00D3483A"/>
    <w:rsid w:val="00D36638"/>
    <w:rsid w:val="00D37CC5"/>
    <w:rsid w:val="00D37F5A"/>
    <w:rsid w:val="00D448EB"/>
    <w:rsid w:val="00D462B5"/>
    <w:rsid w:val="00D46AC0"/>
    <w:rsid w:val="00D500DE"/>
    <w:rsid w:val="00D519CF"/>
    <w:rsid w:val="00D51EDC"/>
    <w:rsid w:val="00D52FFA"/>
    <w:rsid w:val="00D53FA7"/>
    <w:rsid w:val="00D6058D"/>
    <w:rsid w:val="00D6658F"/>
    <w:rsid w:val="00D6695A"/>
    <w:rsid w:val="00D72AAC"/>
    <w:rsid w:val="00D7318F"/>
    <w:rsid w:val="00D807BA"/>
    <w:rsid w:val="00D84228"/>
    <w:rsid w:val="00D91433"/>
    <w:rsid w:val="00D9207C"/>
    <w:rsid w:val="00D96091"/>
    <w:rsid w:val="00D9713F"/>
    <w:rsid w:val="00DA28DA"/>
    <w:rsid w:val="00DA39CE"/>
    <w:rsid w:val="00DA3BE3"/>
    <w:rsid w:val="00DA5F68"/>
    <w:rsid w:val="00DB6B42"/>
    <w:rsid w:val="00DB7BA1"/>
    <w:rsid w:val="00DC0B51"/>
    <w:rsid w:val="00DC59D4"/>
    <w:rsid w:val="00DC659F"/>
    <w:rsid w:val="00DD02B8"/>
    <w:rsid w:val="00DD139E"/>
    <w:rsid w:val="00DD18D1"/>
    <w:rsid w:val="00DD1C8F"/>
    <w:rsid w:val="00DD605C"/>
    <w:rsid w:val="00DD67E6"/>
    <w:rsid w:val="00DE0313"/>
    <w:rsid w:val="00DE0917"/>
    <w:rsid w:val="00DE1267"/>
    <w:rsid w:val="00DE2B6F"/>
    <w:rsid w:val="00DE3B1E"/>
    <w:rsid w:val="00DE70AB"/>
    <w:rsid w:val="00DF2447"/>
    <w:rsid w:val="00DF28D4"/>
    <w:rsid w:val="00DF4155"/>
    <w:rsid w:val="00DF607B"/>
    <w:rsid w:val="00E01583"/>
    <w:rsid w:val="00E017DB"/>
    <w:rsid w:val="00E022E1"/>
    <w:rsid w:val="00E02399"/>
    <w:rsid w:val="00E0271D"/>
    <w:rsid w:val="00E029B7"/>
    <w:rsid w:val="00E032F1"/>
    <w:rsid w:val="00E039D5"/>
    <w:rsid w:val="00E0459F"/>
    <w:rsid w:val="00E05AE8"/>
    <w:rsid w:val="00E05EDF"/>
    <w:rsid w:val="00E17048"/>
    <w:rsid w:val="00E17F09"/>
    <w:rsid w:val="00E20ABB"/>
    <w:rsid w:val="00E2213D"/>
    <w:rsid w:val="00E22400"/>
    <w:rsid w:val="00E22A52"/>
    <w:rsid w:val="00E22E15"/>
    <w:rsid w:val="00E24FD7"/>
    <w:rsid w:val="00E25B0C"/>
    <w:rsid w:val="00E276CD"/>
    <w:rsid w:val="00E30426"/>
    <w:rsid w:val="00E32401"/>
    <w:rsid w:val="00E343BF"/>
    <w:rsid w:val="00E50758"/>
    <w:rsid w:val="00E50D6B"/>
    <w:rsid w:val="00E51EAE"/>
    <w:rsid w:val="00E52BF3"/>
    <w:rsid w:val="00E54933"/>
    <w:rsid w:val="00E55F18"/>
    <w:rsid w:val="00E5692B"/>
    <w:rsid w:val="00E61D77"/>
    <w:rsid w:val="00E66F00"/>
    <w:rsid w:val="00E73523"/>
    <w:rsid w:val="00E7409E"/>
    <w:rsid w:val="00E755DB"/>
    <w:rsid w:val="00E75A59"/>
    <w:rsid w:val="00E76BD2"/>
    <w:rsid w:val="00E77A5A"/>
    <w:rsid w:val="00E80D82"/>
    <w:rsid w:val="00E83FFC"/>
    <w:rsid w:val="00E852DE"/>
    <w:rsid w:val="00E864A0"/>
    <w:rsid w:val="00E86C29"/>
    <w:rsid w:val="00E874B3"/>
    <w:rsid w:val="00E91310"/>
    <w:rsid w:val="00E92891"/>
    <w:rsid w:val="00E93942"/>
    <w:rsid w:val="00E95145"/>
    <w:rsid w:val="00EA1131"/>
    <w:rsid w:val="00EA254D"/>
    <w:rsid w:val="00EA3F26"/>
    <w:rsid w:val="00EA6100"/>
    <w:rsid w:val="00EA67BC"/>
    <w:rsid w:val="00EB5620"/>
    <w:rsid w:val="00EB5AEC"/>
    <w:rsid w:val="00EB7FE8"/>
    <w:rsid w:val="00EC0CBA"/>
    <w:rsid w:val="00EC5251"/>
    <w:rsid w:val="00EC574B"/>
    <w:rsid w:val="00ED1707"/>
    <w:rsid w:val="00ED3727"/>
    <w:rsid w:val="00ED42B3"/>
    <w:rsid w:val="00ED500F"/>
    <w:rsid w:val="00ED6299"/>
    <w:rsid w:val="00ED741E"/>
    <w:rsid w:val="00EE32F2"/>
    <w:rsid w:val="00EE4AFD"/>
    <w:rsid w:val="00EE4D6B"/>
    <w:rsid w:val="00EF0882"/>
    <w:rsid w:val="00EF0FA7"/>
    <w:rsid w:val="00EF20B3"/>
    <w:rsid w:val="00EF2856"/>
    <w:rsid w:val="00EF6408"/>
    <w:rsid w:val="00EF79DB"/>
    <w:rsid w:val="00F02701"/>
    <w:rsid w:val="00F054F2"/>
    <w:rsid w:val="00F061A8"/>
    <w:rsid w:val="00F147F7"/>
    <w:rsid w:val="00F2253A"/>
    <w:rsid w:val="00F24E79"/>
    <w:rsid w:val="00F25366"/>
    <w:rsid w:val="00F26639"/>
    <w:rsid w:val="00F26B53"/>
    <w:rsid w:val="00F30F25"/>
    <w:rsid w:val="00F31948"/>
    <w:rsid w:val="00F379FA"/>
    <w:rsid w:val="00F37C20"/>
    <w:rsid w:val="00F4192E"/>
    <w:rsid w:val="00F47748"/>
    <w:rsid w:val="00F50B36"/>
    <w:rsid w:val="00F53E72"/>
    <w:rsid w:val="00F54546"/>
    <w:rsid w:val="00F55B1F"/>
    <w:rsid w:val="00F6250B"/>
    <w:rsid w:val="00F65144"/>
    <w:rsid w:val="00F664D7"/>
    <w:rsid w:val="00F6672E"/>
    <w:rsid w:val="00F7120F"/>
    <w:rsid w:val="00F72931"/>
    <w:rsid w:val="00F73394"/>
    <w:rsid w:val="00F73E42"/>
    <w:rsid w:val="00F7576E"/>
    <w:rsid w:val="00F75B3F"/>
    <w:rsid w:val="00F77FFD"/>
    <w:rsid w:val="00F80281"/>
    <w:rsid w:val="00F80A54"/>
    <w:rsid w:val="00F84D22"/>
    <w:rsid w:val="00F9240F"/>
    <w:rsid w:val="00F95972"/>
    <w:rsid w:val="00F968E5"/>
    <w:rsid w:val="00F96EF5"/>
    <w:rsid w:val="00F972C2"/>
    <w:rsid w:val="00FA6D39"/>
    <w:rsid w:val="00FA7B43"/>
    <w:rsid w:val="00FB1F0F"/>
    <w:rsid w:val="00FB215C"/>
    <w:rsid w:val="00FB3305"/>
    <w:rsid w:val="00FB3A79"/>
    <w:rsid w:val="00FB62DD"/>
    <w:rsid w:val="00FB75B5"/>
    <w:rsid w:val="00FC1D28"/>
    <w:rsid w:val="00FC2DFE"/>
    <w:rsid w:val="00FC4ACA"/>
    <w:rsid w:val="00FC4E22"/>
    <w:rsid w:val="00FD0068"/>
    <w:rsid w:val="00FD3CB5"/>
    <w:rsid w:val="00FD454D"/>
    <w:rsid w:val="00FD47DE"/>
    <w:rsid w:val="00FD6C3A"/>
    <w:rsid w:val="00FE083B"/>
    <w:rsid w:val="00FE28A4"/>
    <w:rsid w:val="00FE4923"/>
    <w:rsid w:val="00FF18A1"/>
    <w:rsid w:val="00FF205C"/>
    <w:rsid w:val="00FF2AC9"/>
    <w:rsid w:val="01031090"/>
    <w:rsid w:val="014C4B40"/>
    <w:rsid w:val="0152654B"/>
    <w:rsid w:val="0158550C"/>
    <w:rsid w:val="017716F4"/>
    <w:rsid w:val="01816A09"/>
    <w:rsid w:val="01F0403A"/>
    <w:rsid w:val="02564D4E"/>
    <w:rsid w:val="028B2BD8"/>
    <w:rsid w:val="03123B6B"/>
    <w:rsid w:val="032E055C"/>
    <w:rsid w:val="03373241"/>
    <w:rsid w:val="03C85DF2"/>
    <w:rsid w:val="03E06247"/>
    <w:rsid w:val="03FF680E"/>
    <w:rsid w:val="045F0398"/>
    <w:rsid w:val="046B2C4A"/>
    <w:rsid w:val="049525BD"/>
    <w:rsid w:val="04A361D6"/>
    <w:rsid w:val="0503277D"/>
    <w:rsid w:val="050D7898"/>
    <w:rsid w:val="05665D07"/>
    <w:rsid w:val="059E2947"/>
    <w:rsid w:val="05A14F91"/>
    <w:rsid w:val="05C838AF"/>
    <w:rsid w:val="072B1628"/>
    <w:rsid w:val="078E18E4"/>
    <w:rsid w:val="07AB012E"/>
    <w:rsid w:val="07C53A45"/>
    <w:rsid w:val="08087743"/>
    <w:rsid w:val="08402B15"/>
    <w:rsid w:val="08646E76"/>
    <w:rsid w:val="08874D4A"/>
    <w:rsid w:val="095369D3"/>
    <w:rsid w:val="095F756B"/>
    <w:rsid w:val="09A958E9"/>
    <w:rsid w:val="09AD03A9"/>
    <w:rsid w:val="0A224ADD"/>
    <w:rsid w:val="0A2E68A9"/>
    <w:rsid w:val="0A9556FB"/>
    <w:rsid w:val="0AEA24C1"/>
    <w:rsid w:val="0B2834C0"/>
    <w:rsid w:val="0B2E4F85"/>
    <w:rsid w:val="0B74387D"/>
    <w:rsid w:val="0BC056F1"/>
    <w:rsid w:val="0BF74F2F"/>
    <w:rsid w:val="0C036A44"/>
    <w:rsid w:val="0C566943"/>
    <w:rsid w:val="0C971C2D"/>
    <w:rsid w:val="0CB3217A"/>
    <w:rsid w:val="0D15073F"/>
    <w:rsid w:val="0D441024"/>
    <w:rsid w:val="0DC43F13"/>
    <w:rsid w:val="0E27695B"/>
    <w:rsid w:val="0E8B3F21"/>
    <w:rsid w:val="0ECA7307"/>
    <w:rsid w:val="0ED14B39"/>
    <w:rsid w:val="0F892C0E"/>
    <w:rsid w:val="0FE2417C"/>
    <w:rsid w:val="10AA59CE"/>
    <w:rsid w:val="10D40911"/>
    <w:rsid w:val="114B154F"/>
    <w:rsid w:val="11551A52"/>
    <w:rsid w:val="115D2F84"/>
    <w:rsid w:val="117B0D8C"/>
    <w:rsid w:val="11A26319"/>
    <w:rsid w:val="12E84200"/>
    <w:rsid w:val="131A770B"/>
    <w:rsid w:val="13A15FCB"/>
    <w:rsid w:val="13BF032D"/>
    <w:rsid w:val="14B051F1"/>
    <w:rsid w:val="14D66F56"/>
    <w:rsid w:val="15014821"/>
    <w:rsid w:val="150971DE"/>
    <w:rsid w:val="15720F84"/>
    <w:rsid w:val="15B91E83"/>
    <w:rsid w:val="16421625"/>
    <w:rsid w:val="16612C47"/>
    <w:rsid w:val="176A5B2B"/>
    <w:rsid w:val="178E7A6B"/>
    <w:rsid w:val="18137F71"/>
    <w:rsid w:val="19E3131B"/>
    <w:rsid w:val="19E41BC5"/>
    <w:rsid w:val="1A1D389D"/>
    <w:rsid w:val="1A6D064C"/>
    <w:rsid w:val="1B04724A"/>
    <w:rsid w:val="1B235307"/>
    <w:rsid w:val="1B2B3823"/>
    <w:rsid w:val="1B99253B"/>
    <w:rsid w:val="1BF75F5C"/>
    <w:rsid w:val="1C2F5F4F"/>
    <w:rsid w:val="1C370E14"/>
    <w:rsid w:val="1CB80F99"/>
    <w:rsid w:val="1D0600A4"/>
    <w:rsid w:val="1D427C15"/>
    <w:rsid w:val="1DC4712F"/>
    <w:rsid w:val="1E1D4EEC"/>
    <w:rsid w:val="1E7F747D"/>
    <w:rsid w:val="1E84457D"/>
    <w:rsid w:val="1EF503D0"/>
    <w:rsid w:val="1F063B8F"/>
    <w:rsid w:val="1FB3144E"/>
    <w:rsid w:val="20123B1B"/>
    <w:rsid w:val="20B76443"/>
    <w:rsid w:val="211014F1"/>
    <w:rsid w:val="211A39B5"/>
    <w:rsid w:val="21CA2E0B"/>
    <w:rsid w:val="22943D53"/>
    <w:rsid w:val="229F2D2C"/>
    <w:rsid w:val="22E436C2"/>
    <w:rsid w:val="23122C5F"/>
    <w:rsid w:val="23123443"/>
    <w:rsid w:val="23454050"/>
    <w:rsid w:val="234E3D1E"/>
    <w:rsid w:val="23C44815"/>
    <w:rsid w:val="23CD53E3"/>
    <w:rsid w:val="23DD44C1"/>
    <w:rsid w:val="23F91212"/>
    <w:rsid w:val="24443934"/>
    <w:rsid w:val="24A24B56"/>
    <w:rsid w:val="251B0769"/>
    <w:rsid w:val="25202371"/>
    <w:rsid w:val="25E35426"/>
    <w:rsid w:val="26117096"/>
    <w:rsid w:val="262F5760"/>
    <w:rsid w:val="266F6CBA"/>
    <w:rsid w:val="267C1D16"/>
    <w:rsid w:val="2749750B"/>
    <w:rsid w:val="27541A0C"/>
    <w:rsid w:val="27BC70A4"/>
    <w:rsid w:val="2849353B"/>
    <w:rsid w:val="28A94821"/>
    <w:rsid w:val="28C8445F"/>
    <w:rsid w:val="28D9041B"/>
    <w:rsid w:val="29A52E8A"/>
    <w:rsid w:val="29A65153"/>
    <w:rsid w:val="2A2E243D"/>
    <w:rsid w:val="2A41271B"/>
    <w:rsid w:val="2A426A83"/>
    <w:rsid w:val="2A8A270E"/>
    <w:rsid w:val="2AE5579D"/>
    <w:rsid w:val="2B8B3C89"/>
    <w:rsid w:val="2C1C4C6C"/>
    <w:rsid w:val="2C4437D6"/>
    <w:rsid w:val="2C6734EA"/>
    <w:rsid w:val="2CC87124"/>
    <w:rsid w:val="2CE66AC7"/>
    <w:rsid w:val="2D1B1F41"/>
    <w:rsid w:val="2DD67570"/>
    <w:rsid w:val="2DF301D1"/>
    <w:rsid w:val="2E9E7614"/>
    <w:rsid w:val="2ED753FC"/>
    <w:rsid w:val="2EF10A6E"/>
    <w:rsid w:val="2F2C4963"/>
    <w:rsid w:val="2F450B6E"/>
    <w:rsid w:val="2FF74DFF"/>
    <w:rsid w:val="30DF7F2E"/>
    <w:rsid w:val="32261D83"/>
    <w:rsid w:val="32385EF0"/>
    <w:rsid w:val="324A4137"/>
    <w:rsid w:val="32E46A1D"/>
    <w:rsid w:val="32E74C08"/>
    <w:rsid w:val="32EB3B6C"/>
    <w:rsid w:val="330273CE"/>
    <w:rsid w:val="33030509"/>
    <w:rsid w:val="335E7B64"/>
    <w:rsid w:val="33C21ED0"/>
    <w:rsid w:val="33E248A1"/>
    <w:rsid w:val="34037ADA"/>
    <w:rsid w:val="34607C42"/>
    <w:rsid w:val="346C2A8B"/>
    <w:rsid w:val="34CE54F3"/>
    <w:rsid w:val="34E13C1C"/>
    <w:rsid w:val="34E66604"/>
    <w:rsid w:val="34FD2F2F"/>
    <w:rsid w:val="359E4759"/>
    <w:rsid w:val="35C00719"/>
    <w:rsid w:val="365C268B"/>
    <w:rsid w:val="36D41FD9"/>
    <w:rsid w:val="37607F59"/>
    <w:rsid w:val="37A530AA"/>
    <w:rsid w:val="37A64509"/>
    <w:rsid w:val="37B47BD7"/>
    <w:rsid w:val="37B71152"/>
    <w:rsid w:val="37E17F3E"/>
    <w:rsid w:val="3815770B"/>
    <w:rsid w:val="3914724D"/>
    <w:rsid w:val="39C42A21"/>
    <w:rsid w:val="3A6C5593"/>
    <w:rsid w:val="3ACB4F85"/>
    <w:rsid w:val="3B293484"/>
    <w:rsid w:val="3B374FEA"/>
    <w:rsid w:val="3B6C3489"/>
    <w:rsid w:val="3B7362D3"/>
    <w:rsid w:val="3BB439D4"/>
    <w:rsid w:val="3BD258C9"/>
    <w:rsid w:val="3CA96714"/>
    <w:rsid w:val="3CD55B6A"/>
    <w:rsid w:val="3D4B10DD"/>
    <w:rsid w:val="3D563EB0"/>
    <w:rsid w:val="3D731800"/>
    <w:rsid w:val="3DC03636"/>
    <w:rsid w:val="3E000F9E"/>
    <w:rsid w:val="3E407084"/>
    <w:rsid w:val="3E592DCC"/>
    <w:rsid w:val="3E9743DD"/>
    <w:rsid w:val="3E974BA8"/>
    <w:rsid w:val="3F097B3E"/>
    <w:rsid w:val="3F1261A8"/>
    <w:rsid w:val="3F185CE9"/>
    <w:rsid w:val="3FC714BD"/>
    <w:rsid w:val="40295C01"/>
    <w:rsid w:val="408C1C2E"/>
    <w:rsid w:val="40CB67E9"/>
    <w:rsid w:val="40CB6D8B"/>
    <w:rsid w:val="411C75E7"/>
    <w:rsid w:val="41A05EB7"/>
    <w:rsid w:val="42B87D36"/>
    <w:rsid w:val="436771C2"/>
    <w:rsid w:val="43CB6C9E"/>
    <w:rsid w:val="44647CC4"/>
    <w:rsid w:val="44B422EC"/>
    <w:rsid w:val="44B53FC2"/>
    <w:rsid w:val="44D87A79"/>
    <w:rsid w:val="4501677C"/>
    <w:rsid w:val="45537A2D"/>
    <w:rsid w:val="456A4DC4"/>
    <w:rsid w:val="45800144"/>
    <w:rsid w:val="467553B3"/>
    <w:rsid w:val="467F21AA"/>
    <w:rsid w:val="46F012F9"/>
    <w:rsid w:val="473A23E5"/>
    <w:rsid w:val="47A32BD3"/>
    <w:rsid w:val="47E36768"/>
    <w:rsid w:val="48050DD4"/>
    <w:rsid w:val="481564CD"/>
    <w:rsid w:val="4825359C"/>
    <w:rsid w:val="48763A80"/>
    <w:rsid w:val="48992462"/>
    <w:rsid w:val="48C01715"/>
    <w:rsid w:val="48C12F4D"/>
    <w:rsid w:val="493D3BB7"/>
    <w:rsid w:val="49B95ED0"/>
    <w:rsid w:val="4A586086"/>
    <w:rsid w:val="4A662850"/>
    <w:rsid w:val="4B1D447E"/>
    <w:rsid w:val="4B4007B8"/>
    <w:rsid w:val="4B932515"/>
    <w:rsid w:val="4B985ABC"/>
    <w:rsid w:val="4BC928D0"/>
    <w:rsid w:val="4C1C53BF"/>
    <w:rsid w:val="4CD6689C"/>
    <w:rsid w:val="4CD67B97"/>
    <w:rsid w:val="4D330192"/>
    <w:rsid w:val="4D517292"/>
    <w:rsid w:val="4D7B0DA5"/>
    <w:rsid w:val="4D9710B9"/>
    <w:rsid w:val="4DCD120F"/>
    <w:rsid w:val="4DEB2042"/>
    <w:rsid w:val="4E240286"/>
    <w:rsid w:val="4E6E0696"/>
    <w:rsid w:val="4E7E368F"/>
    <w:rsid w:val="4E9E172F"/>
    <w:rsid w:val="4ED43961"/>
    <w:rsid w:val="4F132029"/>
    <w:rsid w:val="4FAD6032"/>
    <w:rsid w:val="4FD317B8"/>
    <w:rsid w:val="50597F0F"/>
    <w:rsid w:val="506809D5"/>
    <w:rsid w:val="5176689F"/>
    <w:rsid w:val="519D5BDA"/>
    <w:rsid w:val="52665C96"/>
    <w:rsid w:val="52DC6BD6"/>
    <w:rsid w:val="53054F5C"/>
    <w:rsid w:val="53361C36"/>
    <w:rsid w:val="53514ECE"/>
    <w:rsid w:val="540463E4"/>
    <w:rsid w:val="54322F51"/>
    <w:rsid w:val="54760E99"/>
    <w:rsid w:val="549A4529"/>
    <w:rsid w:val="54D97871"/>
    <w:rsid w:val="554A3730"/>
    <w:rsid w:val="55CE6CAA"/>
    <w:rsid w:val="563805C7"/>
    <w:rsid w:val="56A90ED1"/>
    <w:rsid w:val="56C56BB2"/>
    <w:rsid w:val="56E6209D"/>
    <w:rsid w:val="570D5CAC"/>
    <w:rsid w:val="57527384"/>
    <w:rsid w:val="57F7202D"/>
    <w:rsid w:val="58005114"/>
    <w:rsid w:val="58537688"/>
    <w:rsid w:val="58B53805"/>
    <w:rsid w:val="58F05189"/>
    <w:rsid w:val="59123903"/>
    <w:rsid w:val="591660A6"/>
    <w:rsid w:val="596D4A2C"/>
    <w:rsid w:val="5A2A4A69"/>
    <w:rsid w:val="5A55307F"/>
    <w:rsid w:val="5A5E7555"/>
    <w:rsid w:val="5AC57918"/>
    <w:rsid w:val="5AE02ADF"/>
    <w:rsid w:val="5AF2343A"/>
    <w:rsid w:val="5B900736"/>
    <w:rsid w:val="5B9071F6"/>
    <w:rsid w:val="5C2A7553"/>
    <w:rsid w:val="5C45759A"/>
    <w:rsid w:val="5C7659A5"/>
    <w:rsid w:val="5D11008D"/>
    <w:rsid w:val="5D3F2F24"/>
    <w:rsid w:val="5D4B4B60"/>
    <w:rsid w:val="5D4E2A5B"/>
    <w:rsid w:val="5D787537"/>
    <w:rsid w:val="5D806951"/>
    <w:rsid w:val="5DA30A1C"/>
    <w:rsid w:val="5E39312E"/>
    <w:rsid w:val="5E5E3794"/>
    <w:rsid w:val="5E6737F7"/>
    <w:rsid w:val="5E83487D"/>
    <w:rsid w:val="5EC51ACE"/>
    <w:rsid w:val="5F1C6DB6"/>
    <w:rsid w:val="5F1E77BA"/>
    <w:rsid w:val="5F7C32D2"/>
    <w:rsid w:val="5F7E529D"/>
    <w:rsid w:val="5F8A1E93"/>
    <w:rsid w:val="5FBC4C67"/>
    <w:rsid w:val="600879E5"/>
    <w:rsid w:val="600A2140"/>
    <w:rsid w:val="607E5563"/>
    <w:rsid w:val="60853662"/>
    <w:rsid w:val="609C68FB"/>
    <w:rsid w:val="60AF1486"/>
    <w:rsid w:val="60E779E6"/>
    <w:rsid w:val="612C30F8"/>
    <w:rsid w:val="614B11AE"/>
    <w:rsid w:val="614B38A4"/>
    <w:rsid w:val="6189617B"/>
    <w:rsid w:val="619422C5"/>
    <w:rsid w:val="61D95A2E"/>
    <w:rsid w:val="624D4109"/>
    <w:rsid w:val="62636276"/>
    <w:rsid w:val="62870A35"/>
    <w:rsid w:val="62D8753A"/>
    <w:rsid w:val="62F974EC"/>
    <w:rsid w:val="631303F2"/>
    <w:rsid w:val="631A52DC"/>
    <w:rsid w:val="63B33C96"/>
    <w:rsid w:val="63C90AB0"/>
    <w:rsid w:val="63DE70F7"/>
    <w:rsid w:val="649A719B"/>
    <w:rsid w:val="64B95A70"/>
    <w:rsid w:val="64B96D77"/>
    <w:rsid w:val="64ED0E90"/>
    <w:rsid w:val="656E7B61"/>
    <w:rsid w:val="65B83815"/>
    <w:rsid w:val="65D200F0"/>
    <w:rsid w:val="660569B1"/>
    <w:rsid w:val="660A0E3D"/>
    <w:rsid w:val="66E3004D"/>
    <w:rsid w:val="679A3FA0"/>
    <w:rsid w:val="67D9368D"/>
    <w:rsid w:val="68983B76"/>
    <w:rsid w:val="689B630D"/>
    <w:rsid w:val="68BB3D81"/>
    <w:rsid w:val="69214CF0"/>
    <w:rsid w:val="69504D8F"/>
    <w:rsid w:val="6A052BBA"/>
    <w:rsid w:val="6A6D70B4"/>
    <w:rsid w:val="6AC678F4"/>
    <w:rsid w:val="6ACB44D5"/>
    <w:rsid w:val="6AF01018"/>
    <w:rsid w:val="6AF04EE5"/>
    <w:rsid w:val="6B19139A"/>
    <w:rsid w:val="6BFB7C75"/>
    <w:rsid w:val="6C2E004A"/>
    <w:rsid w:val="6C8D2EF0"/>
    <w:rsid w:val="6C9B0A11"/>
    <w:rsid w:val="6CD72490"/>
    <w:rsid w:val="6D6C0D58"/>
    <w:rsid w:val="6DEF5552"/>
    <w:rsid w:val="6DF12B1E"/>
    <w:rsid w:val="6E311481"/>
    <w:rsid w:val="6E4A620A"/>
    <w:rsid w:val="6E814D71"/>
    <w:rsid w:val="6F542498"/>
    <w:rsid w:val="6FC71D84"/>
    <w:rsid w:val="6FD35191"/>
    <w:rsid w:val="6FF95259"/>
    <w:rsid w:val="70545464"/>
    <w:rsid w:val="70A42689"/>
    <w:rsid w:val="70C421FD"/>
    <w:rsid w:val="70E7124C"/>
    <w:rsid w:val="71083279"/>
    <w:rsid w:val="71241A1C"/>
    <w:rsid w:val="72B835D4"/>
    <w:rsid w:val="72BA2638"/>
    <w:rsid w:val="732C24AD"/>
    <w:rsid w:val="736B1B84"/>
    <w:rsid w:val="73751E5F"/>
    <w:rsid w:val="7386076C"/>
    <w:rsid w:val="73A66928"/>
    <w:rsid w:val="74BD6654"/>
    <w:rsid w:val="75501031"/>
    <w:rsid w:val="75556648"/>
    <w:rsid w:val="756D1BE3"/>
    <w:rsid w:val="758C5EBE"/>
    <w:rsid w:val="75F14B72"/>
    <w:rsid w:val="75F44147"/>
    <w:rsid w:val="763C58FC"/>
    <w:rsid w:val="777C7EBC"/>
    <w:rsid w:val="7815298A"/>
    <w:rsid w:val="78D635FC"/>
    <w:rsid w:val="79F00F06"/>
    <w:rsid w:val="7A0643B5"/>
    <w:rsid w:val="7A2301AE"/>
    <w:rsid w:val="7A923E9A"/>
    <w:rsid w:val="7B613118"/>
    <w:rsid w:val="7B6F2E5E"/>
    <w:rsid w:val="7B922BFE"/>
    <w:rsid w:val="7BA34384"/>
    <w:rsid w:val="7BDA5AE2"/>
    <w:rsid w:val="7CBB1486"/>
    <w:rsid w:val="7CCF6CE0"/>
    <w:rsid w:val="7CF327B5"/>
    <w:rsid w:val="7D1832BB"/>
    <w:rsid w:val="7D376B9E"/>
    <w:rsid w:val="7D885B73"/>
    <w:rsid w:val="7DC35B5E"/>
    <w:rsid w:val="7DDA0710"/>
    <w:rsid w:val="7E2C3CBE"/>
    <w:rsid w:val="7E330B37"/>
    <w:rsid w:val="7E3314F0"/>
    <w:rsid w:val="7E525E1A"/>
    <w:rsid w:val="7E917BFC"/>
    <w:rsid w:val="7F0B7E56"/>
    <w:rsid w:val="7F3B7D2E"/>
    <w:rsid w:val="7F5E0F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1"/>
    <w:basedOn w:val="1"/>
    <w:next w:val="1"/>
    <w:link w:val="39"/>
    <w:qFormat/>
    <w:uiPriority w:val="0"/>
    <w:pPr>
      <w:keepNext/>
      <w:keepLines/>
      <w:adjustRightInd w:val="0"/>
      <w:spacing w:before="240" w:after="240" w:line="360" w:lineRule="auto"/>
      <w:textAlignment w:val="baseline"/>
      <w:outlineLvl w:val="0"/>
    </w:pPr>
    <w:rPr>
      <w:rFonts w:ascii="宋体"/>
      <w:b/>
      <w:kern w:val="44"/>
      <w:sz w:val="32"/>
    </w:rPr>
  </w:style>
  <w:style w:type="paragraph" w:styleId="3">
    <w:name w:val="heading 2"/>
    <w:basedOn w:val="1"/>
    <w:next w:val="1"/>
    <w:qFormat/>
    <w:uiPriority w:val="0"/>
    <w:pPr>
      <w:keepNext/>
      <w:keepLines/>
      <w:adjustRightInd w:val="0"/>
      <w:spacing w:before="120" w:after="120" w:line="360" w:lineRule="auto"/>
      <w:textAlignment w:val="baseline"/>
      <w:outlineLvl w:val="1"/>
    </w:pPr>
    <w:rPr>
      <w:rFonts w:ascii="宋体"/>
      <w:b/>
      <w:kern w:val="44"/>
      <w:sz w:val="30"/>
    </w:rPr>
  </w:style>
  <w:style w:type="paragraph" w:styleId="4">
    <w:name w:val="heading 3"/>
    <w:basedOn w:val="1"/>
    <w:next w:val="1"/>
    <w:qFormat/>
    <w:uiPriority w:val="0"/>
    <w:pPr>
      <w:keepNext/>
      <w:keepLines/>
      <w:adjustRightInd w:val="0"/>
      <w:spacing w:before="120" w:after="120" w:line="360" w:lineRule="auto"/>
      <w:textAlignment w:val="baseline"/>
      <w:outlineLvl w:val="2"/>
    </w:pPr>
    <w:rPr>
      <w:rFonts w:ascii="宋体"/>
      <w:b/>
      <w:kern w:val="0"/>
    </w:rPr>
  </w:style>
  <w:style w:type="paragraph" w:styleId="5">
    <w:name w:val="heading 4"/>
    <w:basedOn w:val="1"/>
    <w:next w:val="1"/>
    <w:qFormat/>
    <w:uiPriority w:val="0"/>
    <w:pPr>
      <w:keepNext/>
      <w:numPr>
        <w:ilvl w:val="0"/>
        <w:numId w:val="1"/>
      </w:numPr>
      <w:adjustRightInd w:val="0"/>
      <w:spacing w:line="360" w:lineRule="auto"/>
      <w:ind w:left="454"/>
      <w:jc w:val="left"/>
      <w:textAlignment w:val="baseline"/>
      <w:outlineLvl w:val="3"/>
    </w:pPr>
    <w:rPr>
      <w:rFonts w:ascii="宋体"/>
      <w:i/>
      <w:kern w:val="0"/>
      <w:sz w:val="24"/>
    </w:rPr>
  </w:style>
  <w:style w:type="paragraph" w:styleId="6">
    <w:name w:val="heading 5"/>
    <w:basedOn w:val="1"/>
    <w:next w:val="1"/>
    <w:qFormat/>
    <w:uiPriority w:val="0"/>
    <w:pPr>
      <w:keepNext/>
      <w:keepLines/>
      <w:spacing w:before="280" w:after="290" w:line="376" w:lineRule="auto"/>
      <w:outlineLvl w:val="4"/>
    </w:pPr>
    <w:rPr>
      <w:b/>
      <w:bCs/>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1680"/>
      <w:jc w:val="left"/>
    </w:pPr>
    <w:rPr>
      <w:sz w:val="18"/>
    </w:rPr>
  </w:style>
  <w:style w:type="paragraph" w:styleId="8">
    <w:name w:val="Normal Indent"/>
    <w:basedOn w:val="1"/>
    <w:link w:val="51"/>
    <w:qFormat/>
    <w:uiPriority w:val="0"/>
    <w:pPr>
      <w:adjustRightInd w:val="0"/>
      <w:spacing w:line="360" w:lineRule="atLeast"/>
      <w:ind w:firstLine="420"/>
      <w:jc w:val="left"/>
      <w:textAlignment w:val="baseline"/>
    </w:pPr>
    <w:rPr>
      <w:kern w:val="0"/>
      <w:sz w:val="24"/>
    </w:rPr>
  </w:style>
  <w:style w:type="paragraph" w:styleId="9">
    <w:name w:val="List Bullet"/>
    <w:basedOn w:val="1"/>
    <w:qFormat/>
    <w:uiPriority w:val="0"/>
    <w:pPr>
      <w:numPr>
        <w:ilvl w:val="0"/>
        <w:numId w:val="2"/>
      </w:numPr>
      <w:adjustRightInd w:val="0"/>
      <w:spacing w:line="360" w:lineRule="atLeast"/>
      <w:jc w:val="left"/>
      <w:textAlignment w:val="baseline"/>
    </w:pPr>
    <w:rPr>
      <w:kern w:val="0"/>
      <w:sz w:val="24"/>
    </w:rPr>
  </w:style>
  <w:style w:type="paragraph" w:styleId="10">
    <w:name w:val="Document Map"/>
    <w:basedOn w:val="1"/>
    <w:semiHidden/>
    <w:qFormat/>
    <w:uiPriority w:val="0"/>
    <w:pPr>
      <w:shd w:val="clear" w:color="auto" w:fill="000080"/>
    </w:pPr>
    <w:rPr>
      <w:sz w:val="21"/>
    </w:rPr>
  </w:style>
  <w:style w:type="paragraph" w:styleId="11">
    <w:name w:val="annotation text"/>
    <w:basedOn w:val="1"/>
    <w:semiHidden/>
    <w:qFormat/>
    <w:uiPriority w:val="0"/>
    <w:pPr>
      <w:adjustRightInd w:val="0"/>
      <w:jc w:val="left"/>
      <w:textAlignment w:val="baseline"/>
    </w:pPr>
    <w:rPr>
      <w:sz w:val="24"/>
    </w:rPr>
  </w:style>
  <w:style w:type="paragraph" w:styleId="12">
    <w:name w:val="Body Text"/>
    <w:basedOn w:val="1"/>
    <w:next w:val="1"/>
    <w:qFormat/>
    <w:uiPriority w:val="0"/>
    <w:pPr>
      <w:spacing w:line="360" w:lineRule="auto"/>
    </w:pPr>
    <w:rPr>
      <w:rFonts w:ascii="宋体"/>
      <w:sz w:val="24"/>
    </w:rPr>
  </w:style>
  <w:style w:type="paragraph" w:styleId="13">
    <w:name w:val="Body Text Indent"/>
    <w:basedOn w:val="1"/>
    <w:qFormat/>
    <w:uiPriority w:val="0"/>
    <w:pPr>
      <w:spacing w:after="120"/>
      <w:ind w:left="420" w:leftChars="200"/>
    </w:pPr>
  </w:style>
  <w:style w:type="paragraph" w:styleId="14">
    <w:name w:val="toc 5"/>
    <w:basedOn w:val="1"/>
    <w:next w:val="1"/>
    <w:semiHidden/>
    <w:qFormat/>
    <w:uiPriority w:val="0"/>
    <w:pPr>
      <w:ind w:left="1120"/>
      <w:jc w:val="left"/>
    </w:pPr>
    <w:rPr>
      <w:sz w:val="18"/>
    </w:rPr>
  </w:style>
  <w:style w:type="paragraph" w:styleId="15">
    <w:name w:val="toc 3"/>
    <w:basedOn w:val="1"/>
    <w:next w:val="1"/>
    <w:semiHidden/>
    <w:qFormat/>
    <w:uiPriority w:val="0"/>
    <w:pPr>
      <w:ind w:left="560"/>
      <w:jc w:val="left"/>
    </w:pPr>
    <w:rPr>
      <w:i/>
      <w:sz w:val="20"/>
    </w:rPr>
  </w:style>
  <w:style w:type="paragraph" w:styleId="16">
    <w:name w:val="Plain Text"/>
    <w:basedOn w:val="1"/>
    <w:qFormat/>
    <w:uiPriority w:val="0"/>
    <w:rPr>
      <w:rFonts w:ascii="宋体" w:hAnsi="Courier New"/>
      <w:sz w:val="21"/>
    </w:rPr>
  </w:style>
  <w:style w:type="paragraph" w:styleId="17">
    <w:name w:val="toc 8"/>
    <w:basedOn w:val="1"/>
    <w:next w:val="1"/>
    <w:semiHidden/>
    <w:qFormat/>
    <w:uiPriority w:val="0"/>
    <w:pPr>
      <w:ind w:left="1960"/>
      <w:jc w:val="left"/>
    </w:pPr>
    <w:rPr>
      <w:sz w:val="18"/>
    </w:rPr>
  </w:style>
  <w:style w:type="paragraph" w:styleId="18">
    <w:name w:val="Date"/>
    <w:basedOn w:val="1"/>
    <w:next w:val="1"/>
    <w:link w:val="41"/>
    <w:qFormat/>
    <w:uiPriority w:val="0"/>
    <w:pPr>
      <w:adjustRightInd w:val="0"/>
      <w:spacing w:line="360" w:lineRule="atLeast"/>
      <w:textAlignment w:val="baseline"/>
    </w:pPr>
    <w:rPr>
      <w:rFonts w:ascii="宋体"/>
      <w:kern w:val="0"/>
      <w:sz w:val="24"/>
    </w:rPr>
  </w:style>
  <w:style w:type="paragraph" w:styleId="19">
    <w:name w:val="Body Text Indent 2"/>
    <w:basedOn w:val="1"/>
    <w:qFormat/>
    <w:uiPriority w:val="0"/>
    <w:pPr>
      <w:spacing w:after="120" w:line="480" w:lineRule="auto"/>
      <w:ind w:left="420" w:leftChars="200"/>
    </w:pPr>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22">
    <w:name w:val="header"/>
    <w:basedOn w:val="1"/>
    <w:link w:val="40"/>
    <w:qFormat/>
    <w:uiPriority w:val="0"/>
    <w:pPr>
      <w:pBdr>
        <w:bottom w:val="single" w:color="auto" w:sz="6" w:space="1"/>
      </w:pBdr>
      <w:tabs>
        <w:tab w:val="center" w:pos="4153"/>
        <w:tab w:val="right" w:pos="8306"/>
      </w:tabs>
      <w:adjustRightInd w:val="0"/>
      <w:spacing w:line="240" w:lineRule="atLeast"/>
      <w:jc w:val="center"/>
      <w:textAlignment w:val="baseline"/>
    </w:pPr>
    <w:rPr>
      <w:kern w:val="0"/>
      <w:sz w:val="18"/>
    </w:rPr>
  </w:style>
  <w:style w:type="paragraph" w:styleId="23">
    <w:name w:val="toc 1"/>
    <w:basedOn w:val="1"/>
    <w:next w:val="1"/>
    <w:semiHidden/>
    <w:qFormat/>
    <w:uiPriority w:val="0"/>
    <w:pPr>
      <w:spacing w:before="120" w:after="120"/>
      <w:jc w:val="left"/>
    </w:pPr>
    <w:rPr>
      <w:b/>
      <w:caps/>
      <w:sz w:val="20"/>
    </w:rPr>
  </w:style>
  <w:style w:type="paragraph" w:styleId="24">
    <w:name w:val="toc 4"/>
    <w:basedOn w:val="1"/>
    <w:next w:val="1"/>
    <w:semiHidden/>
    <w:qFormat/>
    <w:uiPriority w:val="0"/>
    <w:pPr>
      <w:ind w:left="840"/>
      <w:jc w:val="left"/>
    </w:pPr>
    <w:rPr>
      <w:sz w:val="18"/>
    </w:rPr>
  </w:style>
  <w:style w:type="paragraph" w:styleId="25">
    <w:name w:val="toc 6"/>
    <w:basedOn w:val="1"/>
    <w:next w:val="1"/>
    <w:semiHidden/>
    <w:qFormat/>
    <w:uiPriority w:val="0"/>
    <w:pPr>
      <w:ind w:left="1400"/>
      <w:jc w:val="left"/>
    </w:pPr>
    <w:rPr>
      <w:sz w:val="18"/>
    </w:rPr>
  </w:style>
  <w:style w:type="paragraph" w:styleId="26">
    <w:name w:val="Body Text Indent 3"/>
    <w:basedOn w:val="1"/>
    <w:qFormat/>
    <w:uiPriority w:val="0"/>
    <w:pPr>
      <w:spacing w:after="120"/>
      <w:ind w:left="420" w:leftChars="200"/>
    </w:pPr>
    <w:rPr>
      <w:sz w:val="16"/>
      <w:szCs w:val="16"/>
    </w:rPr>
  </w:style>
  <w:style w:type="paragraph" w:styleId="27">
    <w:name w:val="toc 2"/>
    <w:basedOn w:val="1"/>
    <w:next w:val="1"/>
    <w:semiHidden/>
    <w:qFormat/>
    <w:uiPriority w:val="0"/>
    <w:pPr>
      <w:ind w:left="280"/>
      <w:jc w:val="left"/>
    </w:pPr>
    <w:rPr>
      <w:smallCaps/>
      <w:sz w:val="20"/>
    </w:rPr>
  </w:style>
  <w:style w:type="paragraph" w:styleId="28">
    <w:name w:val="toc 9"/>
    <w:basedOn w:val="1"/>
    <w:next w:val="1"/>
    <w:semiHidden/>
    <w:qFormat/>
    <w:uiPriority w:val="0"/>
    <w:pPr>
      <w:ind w:left="2240"/>
      <w:jc w:val="left"/>
    </w:pPr>
    <w:rPr>
      <w:sz w:val="18"/>
    </w:rPr>
  </w:style>
  <w:style w:type="paragraph" w:styleId="29">
    <w:name w:val="index 1"/>
    <w:basedOn w:val="1"/>
    <w:next w:val="1"/>
    <w:semiHidden/>
    <w:qFormat/>
    <w:uiPriority w:val="0"/>
    <w:pPr>
      <w:adjustRightInd w:val="0"/>
      <w:spacing w:line="360" w:lineRule="atLeast"/>
      <w:jc w:val="left"/>
      <w:textAlignment w:val="baseline"/>
    </w:pPr>
    <w:rPr>
      <w:kern w:val="0"/>
      <w:sz w:val="24"/>
    </w:rPr>
  </w:style>
  <w:style w:type="paragraph" w:styleId="30">
    <w:name w:val="annotation subject"/>
    <w:basedOn w:val="11"/>
    <w:next w:val="11"/>
    <w:semiHidden/>
    <w:qFormat/>
    <w:uiPriority w:val="0"/>
    <w:pPr>
      <w:adjustRightInd/>
      <w:textAlignment w:val="auto"/>
    </w:pPr>
    <w:rPr>
      <w:b/>
      <w:bCs/>
      <w:sz w:val="28"/>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basedOn w:val="33"/>
    <w:qFormat/>
    <w:uiPriority w:val="0"/>
    <w:rPr>
      <w:b/>
    </w:rPr>
  </w:style>
  <w:style w:type="character" w:styleId="35">
    <w:name w:val="page number"/>
    <w:basedOn w:val="33"/>
    <w:qFormat/>
    <w:uiPriority w:val="0"/>
  </w:style>
  <w:style w:type="character" w:styleId="36">
    <w:name w:val="Hyperlink"/>
    <w:basedOn w:val="33"/>
    <w:qFormat/>
    <w:uiPriority w:val="0"/>
    <w:rPr>
      <w:color w:val="0000FF"/>
      <w:u w:val="single"/>
    </w:rPr>
  </w:style>
  <w:style w:type="character" w:styleId="37">
    <w:name w:val="annotation reference"/>
    <w:basedOn w:val="33"/>
    <w:semiHidden/>
    <w:qFormat/>
    <w:uiPriority w:val="0"/>
    <w:rPr>
      <w:sz w:val="21"/>
    </w:rPr>
  </w:style>
  <w:style w:type="paragraph" w:customStyle="1" w:styleId="38">
    <w:name w:val="A"/>
    <w:basedOn w:val="1"/>
    <w:qFormat/>
    <w:uiPriority w:val="0"/>
    <w:pPr>
      <w:adjustRightInd w:val="0"/>
      <w:spacing w:line="480" w:lineRule="atLeast"/>
      <w:jc w:val="center"/>
      <w:textAlignment w:val="baseline"/>
    </w:pPr>
    <w:rPr>
      <w:rFonts w:ascii="宋体"/>
      <w:kern w:val="0"/>
      <w:sz w:val="32"/>
    </w:rPr>
  </w:style>
  <w:style w:type="character" w:customStyle="1" w:styleId="39">
    <w:name w:val="标题 1 Char"/>
    <w:basedOn w:val="33"/>
    <w:link w:val="2"/>
    <w:qFormat/>
    <w:uiPriority w:val="0"/>
    <w:rPr>
      <w:rFonts w:ascii="宋体" w:eastAsia="宋体"/>
      <w:b/>
      <w:kern w:val="44"/>
      <w:sz w:val="32"/>
      <w:lang w:val="en-US" w:eastAsia="zh-CN" w:bidi="ar-SA"/>
    </w:rPr>
  </w:style>
  <w:style w:type="character" w:customStyle="1" w:styleId="40">
    <w:name w:val="页眉 Char1"/>
    <w:basedOn w:val="33"/>
    <w:link w:val="22"/>
    <w:qFormat/>
    <w:uiPriority w:val="0"/>
    <w:rPr>
      <w:rFonts w:eastAsia="宋体"/>
      <w:sz w:val="18"/>
      <w:lang w:val="en-US" w:eastAsia="zh-CN" w:bidi="ar-SA"/>
    </w:rPr>
  </w:style>
  <w:style w:type="character" w:customStyle="1" w:styleId="41">
    <w:name w:val="日期 Char"/>
    <w:basedOn w:val="33"/>
    <w:link w:val="18"/>
    <w:qFormat/>
    <w:uiPriority w:val="0"/>
    <w:rPr>
      <w:rFonts w:ascii="宋体" w:eastAsia="宋体"/>
      <w:sz w:val="24"/>
      <w:lang w:val="en-US" w:eastAsia="zh-CN" w:bidi="ar-SA"/>
    </w:rPr>
  </w:style>
  <w:style w:type="paragraph" w:customStyle="1" w:styleId="42">
    <w:name w:val="样式1"/>
    <w:basedOn w:val="1"/>
    <w:qFormat/>
    <w:uiPriority w:val="0"/>
    <w:pPr>
      <w:adjustRightInd w:val="0"/>
      <w:spacing w:line="420" w:lineRule="auto"/>
      <w:jc w:val="center"/>
      <w:textAlignment w:val="baseline"/>
    </w:pPr>
    <w:rPr>
      <w:rFonts w:ascii="宋体"/>
      <w:kern w:val="0"/>
      <w:sz w:val="24"/>
    </w:rPr>
  </w:style>
  <w:style w:type="character" w:customStyle="1" w:styleId="43">
    <w:name w:val="Char Char2"/>
    <w:basedOn w:val="33"/>
    <w:qFormat/>
    <w:uiPriority w:val="0"/>
    <w:rPr>
      <w:rFonts w:ascii="宋体"/>
      <w:sz w:val="28"/>
    </w:rPr>
  </w:style>
  <w:style w:type="paragraph" w:customStyle="1" w:styleId="44">
    <w:name w:val="(1)"/>
    <w:basedOn w:val="1"/>
    <w:qFormat/>
    <w:uiPriority w:val="0"/>
    <w:pPr>
      <w:tabs>
        <w:tab w:val="left" w:pos="573"/>
      </w:tabs>
      <w:adjustRightInd w:val="0"/>
      <w:snapToGrid w:val="0"/>
      <w:spacing w:before="80" w:after="100" w:line="240" w:lineRule="atLeast"/>
      <w:textAlignment w:val="baseline"/>
    </w:pPr>
    <w:rPr>
      <w:rFonts w:ascii="Arial" w:hAnsi="Arial"/>
      <w:kern w:val="44"/>
      <w:sz w:val="24"/>
      <w:szCs w:val="24"/>
    </w:rPr>
  </w:style>
  <w:style w:type="paragraph" w:customStyle="1" w:styleId="45">
    <w:name w:val="样式2"/>
    <w:basedOn w:val="16"/>
    <w:qFormat/>
    <w:uiPriority w:val="0"/>
    <w:pPr>
      <w:snapToGrid w:val="0"/>
      <w:spacing w:line="460" w:lineRule="atLeast"/>
      <w:ind w:left="426" w:hanging="426"/>
    </w:pPr>
    <w:rPr>
      <w:rFonts w:ascii="Times New Roman" w:hAnsi="Times New Roman"/>
      <w:spacing w:val="10"/>
      <w:sz w:val="24"/>
    </w:rPr>
  </w:style>
  <w:style w:type="paragraph" w:customStyle="1" w:styleId="46">
    <w:name w:val="Char1"/>
    <w:basedOn w:val="1"/>
    <w:qFormat/>
    <w:uiPriority w:val="0"/>
    <w:rPr>
      <w:sz w:val="21"/>
      <w:szCs w:val="24"/>
    </w:rPr>
  </w:style>
  <w:style w:type="paragraph" w:customStyle="1" w:styleId="47">
    <w:name w:val="Char Char Char Char"/>
    <w:basedOn w:val="1"/>
    <w:qFormat/>
    <w:uiPriority w:val="0"/>
    <w:rPr>
      <w:sz w:val="21"/>
      <w:szCs w:val="24"/>
    </w:rPr>
  </w:style>
  <w:style w:type="paragraph" w:customStyle="1" w:styleId="48">
    <w:name w:val="正文1"/>
    <w:basedOn w:val="1"/>
    <w:qFormat/>
    <w:uiPriority w:val="0"/>
    <w:pPr>
      <w:adjustRightInd w:val="0"/>
      <w:spacing w:line="360" w:lineRule="atLeast"/>
      <w:jc w:val="left"/>
      <w:textAlignment w:val="baseline"/>
    </w:pPr>
    <w:rPr>
      <w:rFonts w:ascii="宋体"/>
      <w:kern w:val="0"/>
      <w:sz w:val="24"/>
    </w:rPr>
  </w:style>
  <w:style w:type="paragraph" w:customStyle="1" w:styleId="49">
    <w:name w:val="样式3"/>
    <w:basedOn w:val="1"/>
    <w:qFormat/>
    <w:uiPriority w:val="0"/>
    <w:pPr>
      <w:snapToGrid w:val="0"/>
      <w:spacing w:line="460" w:lineRule="atLeast"/>
      <w:ind w:left="851" w:hanging="851"/>
    </w:pPr>
    <w:rPr>
      <w:spacing w:val="10"/>
      <w:sz w:val="24"/>
    </w:rPr>
  </w:style>
  <w:style w:type="paragraph" w:customStyle="1" w:styleId="50">
    <w:name w:val="Char"/>
    <w:basedOn w:val="1"/>
    <w:qFormat/>
    <w:uiPriority w:val="0"/>
    <w:pPr>
      <w:keepNext/>
      <w:keepLines/>
    </w:pPr>
  </w:style>
  <w:style w:type="character" w:customStyle="1" w:styleId="51">
    <w:name w:val="正文缩进 Char1"/>
    <w:basedOn w:val="33"/>
    <w:link w:val="8"/>
    <w:qFormat/>
    <w:uiPriority w:val="0"/>
    <w:rPr>
      <w:rFonts w:eastAsia="宋体"/>
      <w:sz w:val="24"/>
      <w:lang w:val="en-US" w:eastAsia="zh-CN" w:bidi="ar-SA"/>
    </w:rPr>
  </w:style>
  <w:style w:type="paragraph" w:customStyle="1" w:styleId="52">
    <w:name w:val="Char2"/>
    <w:basedOn w:val="1"/>
    <w:qFormat/>
    <w:uiPriority w:val="0"/>
    <w:pPr>
      <w:spacing w:line="360" w:lineRule="auto"/>
      <w:ind w:firstLine="200" w:firstLineChars="200"/>
    </w:pPr>
    <w:rPr>
      <w:sz w:val="21"/>
      <w:szCs w:val="24"/>
    </w:rPr>
  </w:style>
  <w:style w:type="character" w:customStyle="1" w:styleId="53">
    <w:name w:val="Char Char1"/>
    <w:basedOn w:val="33"/>
    <w:qFormat/>
    <w:uiPriority w:val="0"/>
    <w:rPr>
      <w:rFonts w:ascii="宋体" w:eastAsia="宋体"/>
      <w:sz w:val="24"/>
      <w:lang w:val="en-US" w:eastAsia="zh-CN" w:bidi="ar-SA"/>
    </w:rPr>
  </w:style>
  <w:style w:type="paragraph" w:customStyle="1" w:styleId="54">
    <w:name w:val="Revision"/>
    <w:hidden/>
    <w:semiHidden/>
    <w:qFormat/>
    <w:uiPriority w:val="99"/>
    <w:rPr>
      <w:rFonts w:ascii="Times New Roman" w:hAnsi="Times New Roman" w:eastAsia="宋体" w:cs="Times New Roman"/>
      <w:kern w:val="2"/>
      <w:sz w:val="28"/>
      <w:lang w:val="en-US" w:eastAsia="zh-CN" w:bidi="ar-SA"/>
    </w:rPr>
  </w:style>
  <w:style w:type="paragraph" w:styleId="55">
    <w:name w:val="List Paragraph"/>
    <w:basedOn w:val="1"/>
    <w:qFormat/>
    <w:uiPriority w:val="34"/>
    <w:pPr>
      <w:ind w:firstLine="420" w:firstLineChars="200"/>
    </w:pPr>
    <w:rPr>
      <w:rFonts w:asciiTheme="minorHAnsi" w:hAnsiTheme="minorHAnsi" w:eastAsiaTheme="minorEastAsia" w:cstheme="minorBidi"/>
      <w:sz w:val="21"/>
      <w:szCs w:val="22"/>
    </w:rPr>
  </w:style>
  <w:style w:type="paragraph" w:customStyle="1" w:styleId="56">
    <w:name w:val="Normal_3"/>
    <w:qFormat/>
    <w:uiPriority w:val="0"/>
    <w:pPr>
      <w:widowControl w:val="0"/>
      <w:jc w:val="both"/>
    </w:pPr>
    <w:rPr>
      <w:rFonts w:ascii="Calibri" w:hAnsi="Calibri" w:eastAsia="宋体" w:cs="Times New Roman"/>
      <w:kern w:val="2"/>
      <w:sz w:val="21"/>
      <w:szCs w:val="21"/>
      <w:lang w:val="en-US" w:eastAsia="zh-CN" w:bidi="ar-SA"/>
    </w:rPr>
  </w:style>
  <w:style w:type="paragraph" w:customStyle="1" w:styleId="57">
    <w:name w:val="Normal_2"/>
    <w:qFormat/>
    <w:uiPriority w:val="0"/>
    <w:pPr>
      <w:widowControl w:val="0"/>
      <w:jc w:val="both"/>
    </w:pPr>
    <w:rPr>
      <w:rFonts w:ascii="Calibri" w:hAnsi="Calibri" w:eastAsia="宋体" w:cs="Times New Roman"/>
      <w:kern w:val="2"/>
      <w:sz w:val="21"/>
      <w:szCs w:val="21"/>
      <w:lang w:val="en-US" w:eastAsia="zh-CN" w:bidi="ar-SA"/>
    </w:rPr>
  </w:style>
  <w:style w:type="paragraph" w:customStyle="1" w:styleId="5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9">
    <w:name w:val="表格内字体字号"/>
    <w:basedOn w:val="1"/>
    <w:qFormat/>
    <w:uiPriority w:val="0"/>
    <w:pPr>
      <w:topLinePunct/>
      <w:snapToGrid w:val="0"/>
      <w:spacing w:beforeLines="20" w:afterLines="20"/>
      <w:ind w:left="30" w:leftChars="30" w:right="30" w:rightChars="30"/>
      <w:jc w:val="center"/>
    </w:pPr>
    <w:rPr>
      <w:sz w:val="18"/>
      <w:szCs w:val="18"/>
    </w:rPr>
  </w:style>
  <w:style w:type="paragraph" w:customStyle="1" w:styleId="60">
    <w:name w:val="表文"/>
    <w:basedOn w:val="1"/>
    <w:qFormat/>
    <w:uiPriority w:val="0"/>
    <w:pPr>
      <w:topLinePunct/>
      <w:spacing w:before="40" w:after="40"/>
    </w:pPr>
    <w:rPr>
      <w:rFonts w:ascii="Times New Roman" w:hAnsi="Times New Roman"/>
      <w:sz w:val="18"/>
      <w:szCs w:val="18"/>
    </w:rPr>
  </w:style>
  <w:style w:type="paragraph" w:customStyle="1" w:styleId="61">
    <w:name w:val="r"/>
    <w:basedOn w:val="1"/>
    <w:qFormat/>
    <w:uiPriority w:val="0"/>
    <w:pPr>
      <w:widowControl/>
      <w:topLinePunct/>
      <w:snapToGrid w:val="0"/>
      <w:spacing w:before="60" w:after="6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4.wmf"/><Relationship Id="rId16" Type="http://schemas.openxmlformats.org/officeDocument/2006/relationships/oleObject" Target="embeddings/oleObject2.bin"/><Relationship Id="rId15" Type="http://schemas.openxmlformats.org/officeDocument/2006/relationships/image" Target="media/image3.emf"/><Relationship Id="rId14" Type="http://schemas.openxmlformats.org/officeDocument/2006/relationships/oleObject" Target="embeddings/oleObject1.bin"/><Relationship Id="rId13" Type="http://schemas.openxmlformats.org/officeDocument/2006/relationships/image" Target="media/image2.png"/><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97</Pages>
  <Words>16487</Words>
  <Characters>18686</Characters>
  <Lines>72</Lines>
  <Paragraphs>95</Paragraphs>
  <TotalTime>0</TotalTime>
  <ScaleCrop>false</ScaleCrop>
  <LinksUpToDate>false</LinksUpToDate>
  <CharactersWithSpaces>19480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2018-09-28T06:35:00Z</dcterms:created>
  <dc:creator>LSK</dc:creator>
  <dc:description>Shankar's Birthday falls on 25th July.  Don't Forget to wish him</dc:description>
  <cp:keywords>Birthday</cp:keywords>
  <cp:lastModifiedBy>王飞琛</cp:lastModifiedBy>
  <cp:lastPrinted>2012-03-06T02:39:00Z</cp:lastPrinted>
  <dcterms:modified xsi:type="dcterms:W3CDTF">2025-04-29T12:42:24Z</dcterms:modified>
  <dc:subject>Birthday</dc:subject>
  <dc:title>Are You suprised ?</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CF71369DC9764C8EA0EE7DE9218D812D_13</vt:lpwstr>
  </property>
  <property fmtid="{D5CDD505-2E9C-101B-9397-08002B2CF9AE}" pid="4" name="KSOTemplateDocerSaveRecord">
    <vt:lpwstr>eyJoZGlkIjoiODAzNzFmNmVkMzZjNTliNzZlMzVlZDVhOWM2MWI5ZDQiLCJ1c2VySWQiOiIxNTcwMjg4MTAxIn0=</vt:lpwstr>
  </property>
</Properties>
</file>