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B1CC7">
      <w:pPr>
        <w:spacing w:line="360" w:lineRule="auto"/>
        <w:jc w:val="center"/>
        <w:rPr>
          <w:rFonts w:hint="eastAsia" w:ascii="宋体" w:hAnsi="宋体"/>
          <w:b/>
          <w:color w:val="auto"/>
          <w:sz w:val="52"/>
          <w:szCs w:val="52"/>
          <w:highlight w:val="none"/>
        </w:rPr>
      </w:pPr>
      <w:bookmarkStart w:id="0" w:name="_Toc336503547"/>
      <w:bookmarkStart w:id="1" w:name="_Toc410052066"/>
      <w:bookmarkStart w:id="2" w:name="_Toc392362327"/>
      <w:bookmarkStart w:id="3" w:name="_Toc336511754"/>
      <w:bookmarkStart w:id="341" w:name="_GoBack"/>
    </w:p>
    <w:p w14:paraId="6B414965">
      <w:pPr>
        <w:spacing w:line="360" w:lineRule="auto"/>
        <w:jc w:val="center"/>
        <w:rPr>
          <w:rFonts w:hint="eastAsia" w:ascii="宋体" w:hAnsi="宋体"/>
          <w:b/>
          <w:color w:val="auto"/>
          <w:sz w:val="52"/>
          <w:szCs w:val="52"/>
          <w:highlight w:val="none"/>
        </w:rPr>
      </w:pPr>
    </w:p>
    <w:p w14:paraId="62F6A03E">
      <w:pPr>
        <w:spacing w:line="360" w:lineRule="auto"/>
        <w:jc w:val="center"/>
        <w:rPr>
          <w:rFonts w:ascii="宋体" w:hAnsi="宋体"/>
          <w:b/>
          <w:color w:val="auto"/>
          <w:sz w:val="52"/>
          <w:szCs w:val="52"/>
          <w:highlight w:val="none"/>
        </w:rPr>
      </w:pPr>
      <w:r>
        <w:rPr>
          <w:rFonts w:hint="eastAsia" w:ascii="宋体" w:hAnsi="宋体"/>
          <w:b/>
          <w:color w:val="auto"/>
          <w:sz w:val="52"/>
          <w:szCs w:val="52"/>
          <w:highlight w:val="none"/>
        </w:rPr>
        <w:t>浙能武威2×1000MW调峰火电机组工程</w:t>
      </w:r>
    </w:p>
    <w:p w14:paraId="49231AC0">
      <w:pPr>
        <w:spacing w:line="360" w:lineRule="auto"/>
        <w:jc w:val="center"/>
        <w:rPr>
          <w:rFonts w:hint="eastAsia" w:ascii="宋体" w:hAnsi="宋体" w:eastAsia="宋体" w:cs="Times New Roman"/>
          <w:b/>
          <w:color w:val="auto"/>
          <w:sz w:val="48"/>
          <w:szCs w:val="48"/>
          <w:highlight w:val="none"/>
        </w:rPr>
      </w:pPr>
    </w:p>
    <w:p w14:paraId="7F3B6E86">
      <w:pPr>
        <w:spacing w:line="360" w:lineRule="auto"/>
        <w:jc w:val="center"/>
        <w:rPr>
          <w:rFonts w:hint="eastAsia" w:ascii="宋体" w:hAnsi="宋体"/>
          <w:b/>
          <w:color w:val="auto"/>
          <w:sz w:val="48"/>
          <w:szCs w:val="48"/>
          <w:highlight w:val="none"/>
        </w:rPr>
      </w:pPr>
    </w:p>
    <w:p w14:paraId="47F266A1">
      <w:pPr>
        <w:spacing w:line="360" w:lineRule="auto"/>
        <w:jc w:val="center"/>
        <w:rPr>
          <w:rFonts w:ascii="宋体" w:hAnsi="宋体"/>
          <w:b/>
          <w:color w:val="auto"/>
          <w:sz w:val="48"/>
          <w:szCs w:val="48"/>
          <w:highlight w:val="none"/>
        </w:rPr>
      </w:pPr>
      <w:r>
        <w:rPr>
          <w:rFonts w:hint="eastAsia" w:ascii="宋体" w:hAnsi="宋体"/>
          <w:b/>
          <w:color w:val="auto"/>
          <w:sz w:val="48"/>
          <w:szCs w:val="48"/>
          <w:highlight w:val="none"/>
        </w:rPr>
        <w:t>电能量采集终端设备</w:t>
      </w:r>
      <w:r>
        <w:rPr>
          <w:rFonts w:ascii="宋体" w:hAnsi="宋体"/>
          <w:b/>
          <w:color w:val="auto"/>
          <w:sz w:val="48"/>
          <w:szCs w:val="48"/>
          <w:highlight w:val="none"/>
        </w:rPr>
        <w:t>招标文件</w:t>
      </w:r>
    </w:p>
    <w:p w14:paraId="549A6372">
      <w:pPr>
        <w:spacing w:line="360" w:lineRule="auto"/>
        <w:rPr>
          <w:rFonts w:ascii="宋体" w:hAnsi="宋体"/>
          <w:color w:val="auto"/>
          <w:highlight w:val="none"/>
        </w:rPr>
      </w:pPr>
    </w:p>
    <w:p w14:paraId="428454FA">
      <w:pPr>
        <w:spacing w:line="360" w:lineRule="auto"/>
        <w:rPr>
          <w:rFonts w:ascii="宋体" w:hAnsi="宋体"/>
          <w:color w:val="auto"/>
          <w:highlight w:val="none"/>
        </w:rPr>
      </w:pPr>
    </w:p>
    <w:p w14:paraId="76F737E8">
      <w:pPr>
        <w:spacing w:line="360" w:lineRule="auto"/>
        <w:jc w:val="center"/>
        <w:rPr>
          <w:rFonts w:ascii="宋体" w:hAnsi="宋体"/>
          <w:b/>
          <w:color w:val="auto"/>
          <w:sz w:val="48"/>
          <w:szCs w:val="48"/>
          <w:highlight w:val="none"/>
        </w:rPr>
        <w:sectPr>
          <w:headerReference r:id="rId4" w:type="first"/>
          <w:footerReference r:id="rId6" w:type="first"/>
          <w:headerReference r:id="rId3" w:type="default"/>
          <w:footerReference r:id="rId5" w:type="default"/>
          <w:pgSz w:w="11906" w:h="16838"/>
          <w:pgMar w:top="1758" w:right="1418" w:bottom="1077" w:left="1418" w:header="1588" w:footer="1077" w:gutter="0"/>
          <w:pgNumType w:start="1"/>
          <w:cols w:space="425" w:num="1"/>
          <w:titlePg/>
          <w:docGrid w:type="linesAndChars" w:linePitch="312" w:charSpace="0"/>
        </w:sectPr>
      </w:pPr>
      <w:bookmarkStart w:id="4" w:name="_Toc215298661"/>
      <w:bookmarkStart w:id="5" w:name="_Toc215298563"/>
      <w:bookmarkStart w:id="6" w:name="_Toc215298515"/>
      <w:bookmarkStart w:id="7" w:name="_Toc286153212"/>
      <w:r>
        <w:rPr>
          <w:rFonts w:hint="eastAsia" w:ascii="宋体" w:hAnsi="宋体"/>
          <w:b/>
          <w:color w:val="auto"/>
          <w:sz w:val="48"/>
          <w:szCs w:val="48"/>
          <w:highlight w:val="none"/>
        </w:rPr>
        <w:t>技术规范</w:t>
      </w:r>
      <w:bookmarkEnd w:id="4"/>
      <w:bookmarkEnd w:id="5"/>
      <w:bookmarkEnd w:id="6"/>
      <w:bookmarkEnd w:id="7"/>
      <w:r>
        <w:rPr>
          <w:rFonts w:hint="eastAsia" w:ascii="宋体" w:hAnsi="宋体"/>
          <w:b/>
          <w:color w:val="auto"/>
          <w:sz w:val="48"/>
          <w:szCs w:val="48"/>
          <w:highlight w:val="none"/>
        </w:rPr>
        <w:t>书</w:t>
      </w:r>
    </w:p>
    <w:p w14:paraId="34B275D2">
      <w:pPr>
        <w:spacing w:line="360" w:lineRule="auto"/>
        <w:jc w:val="center"/>
        <w:rPr>
          <w:rFonts w:ascii="宋体" w:hAnsi="宋体"/>
          <w:b/>
          <w:bCs/>
          <w:color w:val="auto"/>
          <w:sz w:val="48"/>
          <w:szCs w:val="48"/>
          <w:highlight w:val="none"/>
        </w:rPr>
      </w:pPr>
    </w:p>
    <w:p w14:paraId="642B26FD">
      <w:pPr>
        <w:spacing w:line="360" w:lineRule="auto"/>
        <w:jc w:val="center"/>
        <w:rPr>
          <w:rFonts w:ascii="宋体"/>
          <w:b/>
          <w:color w:val="auto"/>
          <w:sz w:val="44"/>
          <w:szCs w:val="44"/>
          <w:highlight w:val="none"/>
        </w:rPr>
      </w:pPr>
      <w:r>
        <w:rPr>
          <w:rFonts w:hint="eastAsia" w:ascii="宋体"/>
          <w:b/>
          <w:color w:val="auto"/>
          <w:sz w:val="44"/>
          <w:szCs w:val="44"/>
          <w:highlight w:val="none"/>
        </w:rPr>
        <w:t>目    录</w:t>
      </w:r>
    </w:p>
    <w:p w14:paraId="741FF659">
      <w:pPr>
        <w:pStyle w:val="17"/>
        <w:tabs>
          <w:tab w:val="right" w:leader="dot" w:pos="8494"/>
        </w:tabs>
        <w:rPr>
          <w:b w:val="0"/>
          <w:caps w:val="0"/>
          <w:color w:val="auto"/>
          <w:sz w:val="24"/>
          <w:szCs w:val="24"/>
          <w:highlight w:val="none"/>
        </w:rPr>
      </w:pPr>
      <w:r>
        <w:rPr>
          <w:rFonts w:ascii="宋体" w:hAnsi="宋体"/>
          <w:b w:val="0"/>
          <w:caps w:val="0"/>
          <w:color w:val="auto"/>
          <w:sz w:val="24"/>
          <w:szCs w:val="24"/>
          <w:highlight w:val="none"/>
        </w:rPr>
        <w:fldChar w:fldCharType="begin"/>
      </w:r>
      <w:r>
        <w:rPr>
          <w:rFonts w:ascii="宋体" w:hAnsi="宋体"/>
          <w:b w:val="0"/>
          <w:caps w:val="0"/>
          <w:color w:val="auto"/>
          <w:sz w:val="24"/>
          <w:szCs w:val="24"/>
          <w:highlight w:val="none"/>
        </w:rPr>
        <w:instrText xml:space="preserve"> TOC \o "1-3" \h \z \u </w:instrText>
      </w:r>
      <w:r>
        <w:rPr>
          <w:rFonts w:ascii="宋体" w:hAnsi="宋体"/>
          <w:b w:val="0"/>
          <w:caps w:val="0"/>
          <w:color w:val="auto"/>
          <w:sz w:val="24"/>
          <w:szCs w:val="24"/>
          <w:highlight w:val="none"/>
        </w:rPr>
        <w:fldChar w:fldCharType="separate"/>
      </w:r>
      <w:r>
        <w:rPr>
          <w:color w:val="auto"/>
          <w:highlight w:val="none"/>
        </w:rPr>
        <w:fldChar w:fldCharType="begin"/>
      </w:r>
      <w:r>
        <w:rPr>
          <w:color w:val="auto"/>
          <w:highlight w:val="none"/>
        </w:rPr>
        <w:instrText xml:space="preserve"> HYPERLINK \l "_Toc334015520" </w:instrText>
      </w:r>
      <w:r>
        <w:rPr>
          <w:color w:val="auto"/>
          <w:highlight w:val="none"/>
        </w:rPr>
        <w:fldChar w:fldCharType="separate"/>
      </w:r>
      <w:r>
        <w:rPr>
          <w:rStyle w:val="21"/>
          <w:rFonts w:hint="eastAsia" w:ascii="宋体"/>
          <w:b w:val="0"/>
          <w:color w:val="auto"/>
          <w:sz w:val="24"/>
          <w:szCs w:val="24"/>
          <w:highlight w:val="none"/>
        </w:rPr>
        <w:t>附件</w:t>
      </w:r>
      <w:r>
        <w:rPr>
          <w:rStyle w:val="21"/>
          <w:rFonts w:ascii="宋体"/>
          <w:b w:val="0"/>
          <w:color w:val="auto"/>
          <w:sz w:val="24"/>
          <w:szCs w:val="24"/>
          <w:highlight w:val="none"/>
        </w:rPr>
        <w:t>1</w:t>
      </w:r>
      <w:r>
        <w:rPr>
          <w:rStyle w:val="21"/>
          <w:rFonts w:hint="eastAsia" w:ascii="宋体"/>
          <w:b w:val="0"/>
          <w:color w:val="auto"/>
          <w:sz w:val="24"/>
          <w:szCs w:val="24"/>
          <w:highlight w:val="none"/>
        </w:rPr>
        <w:t>技术规范</w:t>
      </w:r>
      <w:r>
        <w:rPr>
          <w:b w:val="0"/>
          <w:color w:val="auto"/>
          <w:sz w:val="24"/>
          <w:szCs w:val="24"/>
          <w:highlight w:val="none"/>
        </w:rPr>
        <w:tab/>
      </w:r>
      <w:r>
        <w:rPr>
          <w:b w:val="0"/>
          <w:color w:val="auto"/>
          <w:sz w:val="24"/>
          <w:szCs w:val="24"/>
          <w:highlight w:val="none"/>
        </w:rPr>
        <w:fldChar w:fldCharType="begin"/>
      </w:r>
      <w:r>
        <w:rPr>
          <w:b w:val="0"/>
          <w:color w:val="auto"/>
          <w:sz w:val="24"/>
          <w:szCs w:val="24"/>
          <w:highlight w:val="none"/>
        </w:rPr>
        <w:instrText xml:space="preserve"> PAGEREF _Toc334015520 \h </w:instrText>
      </w:r>
      <w:r>
        <w:rPr>
          <w:b w:val="0"/>
          <w:color w:val="auto"/>
          <w:sz w:val="24"/>
          <w:szCs w:val="24"/>
          <w:highlight w:val="none"/>
        </w:rPr>
        <w:fldChar w:fldCharType="separate"/>
      </w:r>
      <w:r>
        <w:rPr>
          <w:b w:val="0"/>
          <w:color w:val="auto"/>
          <w:sz w:val="24"/>
          <w:szCs w:val="24"/>
          <w:highlight w:val="none"/>
        </w:rPr>
        <w:t>1</w:t>
      </w:r>
      <w:r>
        <w:rPr>
          <w:b w:val="0"/>
          <w:color w:val="auto"/>
          <w:sz w:val="24"/>
          <w:szCs w:val="24"/>
          <w:highlight w:val="none"/>
        </w:rPr>
        <w:fldChar w:fldCharType="end"/>
      </w:r>
      <w:r>
        <w:rPr>
          <w:b w:val="0"/>
          <w:color w:val="auto"/>
          <w:sz w:val="24"/>
          <w:szCs w:val="24"/>
          <w:highlight w:val="none"/>
        </w:rPr>
        <w:fldChar w:fldCharType="end"/>
      </w:r>
    </w:p>
    <w:p w14:paraId="66907719">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"_Toc334015521" </w:instrText>
      </w:r>
      <w:r>
        <w:rPr>
          <w:color w:val="auto"/>
          <w:highlight w:val="none"/>
        </w:rPr>
        <w:fldChar w:fldCharType="separate"/>
      </w:r>
      <w:r>
        <w:rPr>
          <w:rStyle w:val="21"/>
          <w:rFonts w:hint="eastAsia" w:ascii="宋体"/>
          <w:b w:val="0"/>
          <w:color w:val="auto"/>
          <w:sz w:val="24"/>
          <w:szCs w:val="24"/>
          <w:highlight w:val="none"/>
        </w:rPr>
        <w:t>附件</w:t>
      </w:r>
      <w:r>
        <w:rPr>
          <w:rStyle w:val="21"/>
          <w:rFonts w:ascii="宋体"/>
          <w:b w:val="0"/>
          <w:color w:val="auto"/>
          <w:sz w:val="24"/>
          <w:szCs w:val="24"/>
          <w:highlight w:val="none"/>
        </w:rPr>
        <w:t>2</w:t>
      </w:r>
      <w:r>
        <w:rPr>
          <w:rStyle w:val="21"/>
          <w:rFonts w:hint="eastAsia" w:ascii="宋体"/>
          <w:b w:val="0"/>
          <w:color w:val="auto"/>
          <w:sz w:val="24"/>
          <w:szCs w:val="24"/>
          <w:highlight w:val="none"/>
        </w:rPr>
        <w:t>供货范围</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23</w:t>
      </w:r>
    </w:p>
    <w:p w14:paraId="7F9B2574">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"_Toc334015522" </w:instrText>
      </w:r>
      <w:r>
        <w:rPr>
          <w:color w:val="auto"/>
          <w:highlight w:val="none"/>
        </w:rPr>
        <w:fldChar w:fldCharType="separate"/>
      </w:r>
      <w:r>
        <w:rPr>
          <w:rStyle w:val="21"/>
          <w:rFonts w:hint="eastAsia" w:ascii="宋体"/>
          <w:b w:val="0"/>
          <w:color w:val="auto"/>
          <w:sz w:val="24"/>
          <w:szCs w:val="24"/>
          <w:highlight w:val="none"/>
        </w:rPr>
        <w:t>附件</w:t>
      </w:r>
      <w:r>
        <w:rPr>
          <w:rStyle w:val="21"/>
          <w:rFonts w:ascii="宋体"/>
          <w:b w:val="0"/>
          <w:color w:val="auto"/>
          <w:sz w:val="24"/>
          <w:szCs w:val="24"/>
          <w:highlight w:val="none"/>
        </w:rPr>
        <w:t>3</w:t>
      </w:r>
      <w:r>
        <w:rPr>
          <w:rStyle w:val="21"/>
          <w:rFonts w:hint="eastAsia" w:ascii="宋体"/>
          <w:b w:val="0"/>
          <w:color w:val="auto"/>
          <w:sz w:val="24"/>
          <w:szCs w:val="24"/>
          <w:highlight w:val="none"/>
        </w:rPr>
        <w:t>技术资料和交付进度</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27</w:t>
      </w:r>
    </w:p>
    <w:p w14:paraId="2A168EF0">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"_Toc334015523" </w:instrText>
      </w:r>
      <w:r>
        <w:rPr>
          <w:color w:val="auto"/>
          <w:highlight w:val="none"/>
        </w:rPr>
        <w:fldChar w:fldCharType="separate"/>
      </w:r>
      <w:r>
        <w:rPr>
          <w:rStyle w:val="21"/>
          <w:rFonts w:hint="eastAsia" w:ascii="宋体"/>
          <w:b w:val="0"/>
          <w:color w:val="auto"/>
          <w:sz w:val="24"/>
          <w:szCs w:val="24"/>
          <w:highlight w:val="none"/>
        </w:rPr>
        <w:t>附件</w:t>
      </w:r>
      <w:r>
        <w:rPr>
          <w:rStyle w:val="21"/>
          <w:rFonts w:ascii="宋体"/>
          <w:b w:val="0"/>
          <w:color w:val="auto"/>
          <w:sz w:val="24"/>
          <w:szCs w:val="24"/>
          <w:highlight w:val="none"/>
        </w:rPr>
        <w:t>4</w:t>
      </w:r>
      <w:r>
        <w:rPr>
          <w:rStyle w:val="21"/>
          <w:rFonts w:hint="eastAsia" w:ascii="宋体"/>
          <w:b w:val="0"/>
          <w:color w:val="auto"/>
          <w:sz w:val="24"/>
          <w:szCs w:val="24"/>
          <w:highlight w:val="none"/>
        </w:rPr>
        <w:t>交货进度</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30</w:t>
      </w:r>
    </w:p>
    <w:p w14:paraId="15971E6D">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"_Toc334015524" </w:instrText>
      </w:r>
      <w:r>
        <w:rPr>
          <w:color w:val="auto"/>
          <w:highlight w:val="none"/>
        </w:rPr>
        <w:fldChar w:fldCharType="separate"/>
      </w:r>
      <w:r>
        <w:rPr>
          <w:rStyle w:val="21"/>
          <w:rFonts w:hint="eastAsia"/>
          <w:b w:val="0"/>
          <w:color w:val="auto"/>
          <w:sz w:val="24"/>
          <w:szCs w:val="24"/>
          <w:highlight w:val="none"/>
        </w:rPr>
        <w:t>附件</w:t>
      </w:r>
      <w:r>
        <w:rPr>
          <w:rStyle w:val="21"/>
          <w:b w:val="0"/>
          <w:color w:val="auto"/>
          <w:sz w:val="24"/>
          <w:szCs w:val="24"/>
          <w:highlight w:val="none"/>
        </w:rPr>
        <w:t>5</w:t>
      </w:r>
      <w:r>
        <w:rPr>
          <w:rStyle w:val="21"/>
          <w:rFonts w:hint="eastAsia"/>
          <w:b w:val="0"/>
          <w:color w:val="auto"/>
          <w:sz w:val="24"/>
          <w:szCs w:val="24"/>
          <w:highlight w:val="none"/>
        </w:rPr>
        <w:t>设备监造、检查和性能验收试验</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31</w:t>
      </w:r>
    </w:p>
    <w:p w14:paraId="4DECC602">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"_Toc334015525" </w:instrText>
      </w:r>
      <w:r>
        <w:rPr>
          <w:color w:val="auto"/>
          <w:highlight w:val="none"/>
        </w:rPr>
        <w:fldChar w:fldCharType="separate"/>
      </w:r>
      <w:r>
        <w:rPr>
          <w:rStyle w:val="21"/>
          <w:rFonts w:hint="eastAsia"/>
          <w:b w:val="0"/>
          <w:color w:val="auto"/>
          <w:sz w:val="24"/>
          <w:szCs w:val="24"/>
          <w:highlight w:val="none"/>
        </w:rPr>
        <w:t>附件</w:t>
      </w:r>
      <w:r>
        <w:rPr>
          <w:rStyle w:val="21"/>
          <w:b w:val="0"/>
          <w:color w:val="auto"/>
          <w:sz w:val="24"/>
          <w:szCs w:val="24"/>
          <w:highlight w:val="none"/>
        </w:rPr>
        <w:t>6</w:t>
      </w:r>
      <w:r>
        <w:rPr>
          <w:rStyle w:val="21"/>
          <w:rFonts w:hint="eastAsia"/>
          <w:b w:val="0"/>
          <w:color w:val="auto"/>
          <w:sz w:val="24"/>
          <w:szCs w:val="24"/>
          <w:highlight w:val="none"/>
        </w:rPr>
        <w:t>技术服务和联络</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35</w:t>
      </w:r>
    </w:p>
    <w:p w14:paraId="1EFCE2D7">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"_Toc334015526" </w:instrText>
      </w:r>
      <w:r>
        <w:rPr>
          <w:color w:val="auto"/>
          <w:highlight w:val="none"/>
        </w:rPr>
        <w:fldChar w:fldCharType="separate"/>
      </w:r>
      <w:r>
        <w:rPr>
          <w:rStyle w:val="21"/>
          <w:rFonts w:hint="eastAsia"/>
          <w:b w:val="0"/>
          <w:color w:val="auto"/>
          <w:sz w:val="24"/>
          <w:szCs w:val="24"/>
          <w:highlight w:val="none"/>
        </w:rPr>
        <w:t>附件</w:t>
      </w:r>
      <w:r>
        <w:rPr>
          <w:rStyle w:val="21"/>
          <w:b w:val="0"/>
          <w:color w:val="auto"/>
          <w:sz w:val="24"/>
          <w:szCs w:val="24"/>
          <w:highlight w:val="none"/>
        </w:rPr>
        <w:t>7</w:t>
      </w:r>
      <w:r>
        <w:rPr>
          <w:rStyle w:val="21"/>
          <w:rFonts w:hint="eastAsia"/>
          <w:b w:val="0"/>
          <w:color w:val="auto"/>
          <w:sz w:val="24"/>
          <w:szCs w:val="24"/>
          <w:highlight w:val="none"/>
        </w:rPr>
        <w:t>分包与外购</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39</w:t>
      </w:r>
    </w:p>
    <w:p w14:paraId="5EC33C90">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"_Toc334015527" </w:instrText>
      </w:r>
      <w:r>
        <w:rPr>
          <w:color w:val="auto"/>
          <w:highlight w:val="none"/>
        </w:rPr>
        <w:fldChar w:fldCharType="separate"/>
      </w:r>
      <w:r>
        <w:rPr>
          <w:rStyle w:val="21"/>
          <w:rFonts w:hint="eastAsia" w:ascii="宋体" w:hAnsi="宋体"/>
          <w:b w:val="0"/>
          <w:color w:val="auto"/>
          <w:sz w:val="24"/>
          <w:szCs w:val="24"/>
          <w:highlight w:val="none"/>
        </w:rPr>
        <w:t>附件</w:t>
      </w:r>
      <w:r>
        <w:rPr>
          <w:rStyle w:val="21"/>
          <w:rFonts w:ascii="宋体" w:hAnsi="宋体"/>
          <w:b w:val="0"/>
          <w:color w:val="auto"/>
          <w:sz w:val="24"/>
          <w:szCs w:val="24"/>
          <w:highlight w:val="none"/>
        </w:rPr>
        <w:t xml:space="preserve">8 </w:t>
      </w:r>
      <w:r>
        <w:rPr>
          <w:rStyle w:val="21"/>
          <w:rFonts w:hint="eastAsia" w:ascii="宋体" w:hAnsi="宋体"/>
          <w:b w:val="0"/>
          <w:color w:val="auto"/>
          <w:sz w:val="24"/>
          <w:szCs w:val="24"/>
          <w:highlight w:val="none"/>
        </w:rPr>
        <w:t>运行维护手册编写格式</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40</w:t>
      </w:r>
    </w:p>
    <w:p w14:paraId="130E64E1">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"_Toc334015528" </w:instrText>
      </w:r>
      <w:r>
        <w:rPr>
          <w:color w:val="auto"/>
          <w:highlight w:val="none"/>
        </w:rPr>
        <w:fldChar w:fldCharType="separate"/>
      </w:r>
      <w:r>
        <w:rPr>
          <w:rStyle w:val="21"/>
          <w:rFonts w:hint="eastAsia"/>
          <w:b w:val="0"/>
          <w:color w:val="auto"/>
          <w:sz w:val="24"/>
          <w:szCs w:val="24"/>
          <w:highlight w:val="none"/>
        </w:rPr>
        <w:t>附件</w:t>
      </w:r>
      <w:r>
        <w:rPr>
          <w:rStyle w:val="21"/>
          <w:b w:val="0"/>
          <w:color w:val="auto"/>
          <w:sz w:val="24"/>
          <w:szCs w:val="24"/>
          <w:highlight w:val="none"/>
        </w:rPr>
        <w:t xml:space="preserve">9 </w:t>
      </w:r>
      <w:r>
        <w:rPr>
          <w:rStyle w:val="21"/>
          <w:rFonts w:hint="eastAsia"/>
          <w:b w:val="0"/>
          <w:color w:val="auto"/>
          <w:sz w:val="24"/>
          <w:szCs w:val="24"/>
          <w:highlight w:val="none"/>
        </w:rPr>
        <w:t>大（部）件情况</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42</w:t>
      </w:r>
    </w:p>
    <w:p w14:paraId="4B09CD6B">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"_Toc334015529" </w:instrText>
      </w:r>
      <w:r>
        <w:rPr>
          <w:color w:val="auto"/>
          <w:highlight w:val="none"/>
        </w:rPr>
        <w:fldChar w:fldCharType="separate"/>
      </w:r>
      <w:r>
        <w:rPr>
          <w:rStyle w:val="21"/>
          <w:rFonts w:hint="eastAsia"/>
          <w:b w:val="0"/>
          <w:color w:val="auto"/>
          <w:sz w:val="24"/>
          <w:szCs w:val="24"/>
          <w:highlight w:val="none"/>
        </w:rPr>
        <w:t>附件</w:t>
      </w:r>
      <w:r>
        <w:rPr>
          <w:rStyle w:val="21"/>
          <w:b w:val="0"/>
          <w:color w:val="auto"/>
          <w:sz w:val="24"/>
          <w:szCs w:val="24"/>
          <w:highlight w:val="none"/>
        </w:rPr>
        <w:t xml:space="preserve">10  </w:t>
      </w:r>
      <w:r>
        <w:rPr>
          <w:rStyle w:val="21"/>
          <w:rFonts w:hint="eastAsia"/>
          <w:b w:val="0"/>
          <w:color w:val="auto"/>
          <w:sz w:val="24"/>
          <w:szCs w:val="24"/>
          <w:highlight w:val="none"/>
        </w:rPr>
        <w:t>技术差异表</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43</w:t>
      </w:r>
    </w:p>
    <w:p w14:paraId="6A42737C">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"_Toc334015530" </w:instrText>
      </w:r>
      <w:r>
        <w:rPr>
          <w:color w:val="auto"/>
          <w:highlight w:val="none"/>
        </w:rPr>
        <w:fldChar w:fldCharType="separate"/>
      </w:r>
      <w:r>
        <w:rPr>
          <w:rStyle w:val="21"/>
          <w:rFonts w:hint="eastAsia" w:ascii="宋体"/>
          <w:b w:val="0"/>
          <w:color w:val="auto"/>
          <w:sz w:val="24"/>
          <w:szCs w:val="24"/>
          <w:highlight w:val="none"/>
        </w:rPr>
        <w:t>附件</w:t>
      </w:r>
      <w:r>
        <w:rPr>
          <w:rStyle w:val="21"/>
          <w:rFonts w:ascii="宋体"/>
          <w:b w:val="0"/>
          <w:color w:val="auto"/>
          <w:sz w:val="24"/>
          <w:szCs w:val="24"/>
          <w:highlight w:val="none"/>
        </w:rPr>
        <w:t xml:space="preserve">11  </w:t>
      </w:r>
      <w:r>
        <w:rPr>
          <w:rStyle w:val="21"/>
          <w:rFonts w:hint="eastAsia" w:ascii="宋体"/>
          <w:b w:val="0"/>
          <w:color w:val="auto"/>
          <w:sz w:val="24"/>
          <w:szCs w:val="24"/>
          <w:highlight w:val="none"/>
        </w:rPr>
        <w:t>附图</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44</w:t>
      </w:r>
    </w:p>
    <w:p w14:paraId="040849B7">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"_Toc334015531" </w:instrText>
      </w:r>
      <w:r>
        <w:rPr>
          <w:color w:val="auto"/>
          <w:highlight w:val="none"/>
        </w:rPr>
        <w:fldChar w:fldCharType="separate"/>
      </w:r>
      <w:r>
        <w:rPr>
          <w:rStyle w:val="21"/>
          <w:rFonts w:hint="eastAsia"/>
          <w:b w:val="0"/>
          <w:color w:val="auto"/>
          <w:sz w:val="24"/>
          <w:szCs w:val="24"/>
          <w:highlight w:val="none"/>
        </w:rPr>
        <w:t>附件</w:t>
      </w:r>
      <w:r>
        <w:rPr>
          <w:rStyle w:val="21"/>
          <w:b w:val="0"/>
          <w:color w:val="auto"/>
          <w:sz w:val="24"/>
          <w:szCs w:val="24"/>
          <w:highlight w:val="none"/>
        </w:rPr>
        <w:t xml:space="preserve">12 </w:t>
      </w:r>
      <w:r>
        <w:rPr>
          <w:rStyle w:val="21"/>
          <w:rFonts w:hint="eastAsia"/>
          <w:b w:val="0"/>
          <w:color w:val="auto"/>
          <w:sz w:val="24"/>
          <w:szCs w:val="24"/>
          <w:highlight w:val="none"/>
        </w:rPr>
        <w:t>性能考核</w:t>
      </w:r>
      <w:r>
        <w:rPr>
          <w:rStyle w:val="21"/>
          <w:rFonts w:hint="eastAsia" w:eastAsia="等线"/>
          <w:b w:val="0"/>
          <w:color w:val="auto"/>
          <w:sz w:val="24"/>
          <w:szCs w:val="24"/>
          <w:highlight w:val="none"/>
          <w:lang w:val="en-US" w:eastAsia="zh-CN"/>
        </w:rPr>
        <w:t>条款</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45</w:t>
      </w:r>
    </w:p>
    <w:p w14:paraId="4A0143EA">
      <w:pPr>
        <w:pStyle w:val="17"/>
        <w:tabs>
          <w:tab w:val="right" w:leader="dot" w:pos="8494"/>
        </w:tabs>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"_Toc334015532" </w:instrText>
      </w:r>
      <w:r>
        <w:rPr>
          <w:color w:val="auto"/>
          <w:highlight w:val="none"/>
        </w:rPr>
        <w:fldChar w:fldCharType="separate"/>
      </w:r>
      <w:r>
        <w:rPr>
          <w:rStyle w:val="21"/>
          <w:rFonts w:hint="eastAsia"/>
          <w:b w:val="0"/>
          <w:color w:val="auto"/>
          <w:sz w:val="24"/>
          <w:szCs w:val="24"/>
          <w:highlight w:val="none"/>
        </w:rPr>
        <w:t>附件</w:t>
      </w:r>
      <w:r>
        <w:rPr>
          <w:rStyle w:val="21"/>
          <w:b w:val="0"/>
          <w:color w:val="auto"/>
          <w:sz w:val="24"/>
          <w:szCs w:val="24"/>
          <w:highlight w:val="none"/>
        </w:rPr>
        <w:t xml:space="preserve">13 </w:t>
      </w:r>
      <w:r>
        <w:rPr>
          <w:rStyle w:val="21"/>
          <w:rFonts w:hint="eastAsia"/>
          <w:b w:val="0"/>
          <w:color w:val="auto"/>
          <w:sz w:val="24"/>
          <w:szCs w:val="24"/>
          <w:highlight w:val="none"/>
        </w:rPr>
        <w:t>投标人需要说明的其他问题（质量承诺及售后服务承诺等）</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46</w:t>
      </w:r>
    </w:p>
    <w:p w14:paraId="2B62111B">
      <w:pPr>
        <w:pStyle w:val="37"/>
        <w:rPr>
          <w:rStyle w:val="20"/>
          <w:rFonts w:ascii="等线" w:hAnsi="等线" w:eastAsia="等线" w:cs="Times New Roman"/>
          <w:color w:val="auto"/>
          <w:highlight w:val="none"/>
        </w:rPr>
        <w:sectPr>
          <w:pgSz w:w="11906" w:h="16838"/>
          <w:pgMar w:top="1440" w:right="1800" w:bottom="1440" w:left="1800" w:header="851" w:footer="992" w:gutter="0"/>
          <w:cols w:space="720" w:num="1"/>
          <w:docGrid w:type="lines" w:linePitch="312" w:charSpace="0"/>
        </w:sectPr>
      </w:pPr>
      <w:r>
        <w:rPr>
          <w:rFonts w:ascii="宋体" w:hAnsi="宋体"/>
          <w:caps/>
          <w:color w:val="auto"/>
          <w:sz w:val="24"/>
          <w:szCs w:val="24"/>
          <w:highlight w:val="none"/>
        </w:rPr>
        <w:fldChar w:fldCharType="end"/>
      </w:r>
      <w:bookmarkEnd w:id="0"/>
      <w:bookmarkEnd w:id="1"/>
      <w:bookmarkEnd w:id="2"/>
      <w:bookmarkEnd w:id="3"/>
    </w:p>
    <w:p w14:paraId="53ECB487">
      <w:pPr>
        <w:pStyle w:val="38"/>
        <w:spacing w:before="0" w:after="0" w:line="360" w:lineRule="auto"/>
        <w:rPr>
          <w:rStyle w:val="20"/>
          <w:b/>
          <w:bCs/>
          <w:color w:val="auto"/>
          <w:sz w:val="30"/>
          <w:szCs w:val="30"/>
          <w:highlight w:val="none"/>
        </w:rPr>
      </w:pPr>
      <w:bookmarkStart w:id="8" w:name="_Toc96238071"/>
      <w:bookmarkStart w:id="9" w:name="_Toc26401"/>
      <w:bookmarkStart w:id="10" w:name="_Toc4771"/>
      <w:bookmarkStart w:id="11" w:name="_Toc4521"/>
      <w:bookmarkStart w:id="12" w:name="_Toc4431"/>
      <w:bookmarkStart w:id="13" w:name="_Toc57640860"/>
      <w:bookmarkStart w:id="14" w:name="_Toc20618"/>
      <w:bookmarkStart w:id="15" w:name="_Toc30801"/>
      <w:bookmarkStart w:id="16" w:name="_Toc18813690"/>
      <w:bookmarkStart w:id="17" w:name="_Toc60567001"/>
      <w:r>
        <w:rPr>
          <w:rStyle w:val="20"/>
          <w:rFonts w:hint="eastAsia"/>
          <w:b/>
          <w:bCs/>
          <w:color w:val="auto"/>
          <w:sz w:val="30"/>
          <w:szCs w:val="30"/>
          <w:highlight w:val="none"/>
        </w:rPr>
        <w:t>附件1 技术规范</w:t>
      </w:r>
      <w:bookmarkEnd w:id="8"/>
      <w:bookmarkEnd w:id="9"/>
      <w:bookmarkEnd w:id="10"/>
      <w:bookmarkEnd w:id="11"/>
      <w:bookmarkEnd w:id="12"/>
      <w:bookmarkEnd w:id="13"/>
      <w:bookmarkEnd w:id="14"/>
      <w:bookmarkEnd w:id="15"/>
      <w:bookmarkEnd w:id="16"/>
      <w:bookmarkEnd w:id="17"/>
    </w:p>
    <w:p w14:paraId="2CAEDC95">
      <w:pPr>
        <w:pStyle w:val="8"/>
        <w:tabs>
          <w:tab w:val="left" w:pos="720"/>
        </w:tabs>
        <w:spacing w:before="72" w:beforeLines="30" w:after="72" w:afterLines="30" w:line="360" w:lineRule="auto"/>
        <w:rPr>
          <w:rStyle w:val="20"/>
          <w:rFonts w:hint="eastAsia" w:ascii="宋体" w:hAnsi="宋体" w:cs="宋体"/>
          <w:b/>
          <w:color w:val="auto"/>
          <w:sz w:val="28"/>
          <w:szCs w:val="28"/>
          <w:highlight w:val="none"/>
        </w:rPr>
      </w:pPr>
      <w:bookmarkStart w:id="18" w:name="_Toc170462597"/>
      <w:bookmarkStart w:id="19" w:name="_Toc96238072"/>
      <w:bookmarkStart w:id="20" w:name="_Toc170270571"/>
      <w:r>
        <w:rPr>
          <w:rStyle w:val="20"/>
          <w:rFonts w:hint="eastAsia" w:ascii="宋体" w:hAnsi="宋体" w:cs="宋体"/>
          <w:b/>
          <w:color w:val="auto"/>
          <w:sz w:val="28"/>
          <w:szCs w:val="28"/>
          <w:highlight w:val="none"/>
        </w:rPr>
        <w:t>1 总则</w:t>
      </w:r>
      <w:bookmarkEnd w:id="18"/>
      <w:bookmarkEnd w:id="19"/>
      <w:bookmarkEnd w:id="20"/>
    </w:p>
    <w:p w14:paraId="3BCCC9DE">
      <w:pPr>
        <w:pStyle w:val="8"/>
        <w:spacing w:line="360" w:lineRule="auto"/>
        <w:rPr>
          <w:rStyle w:val="20"/>
          <w:rFonts w:ascii="宋体" w:hAnsi="宋体"/>
          <w:color w:val="auto"/>
          <w:sz w:val="24"/>
          <w:szCs w:val="24"/>
          <w:highlight w:val="none"/>
        </w:rPr>
      </w:pPr>
      <w:r>
        <w:rPr>
          <w:rStyle w:val="20"/>
          <w:rFonts w:hint="eastAsia" w:ascii="宋体" w:hAnsi="宋体"/>
          <w:color w:val="auto"/>
          <w:sz w:val="24"/>
          <w:szCs w:val="24"/>
          <w:highlight w:val="none"/>
        </w:rPr>
        <w:t xml:space="preserve">1.1  </w:t>
      </w:r>
      <w:r>
        <w:rPr>
          <w:rStyle w:val="20"/>
          <w:rFonts w:hint="eastAsia" w:ascii="宋体" w:hAnsi="宋体"/>
          <w:color w:val="auto"/>
          <w:kern w:val="0"/>
          <w:sz w:val="24"/>
          <w:szCs w:val="24"/>
          <w:highlight w:val="none"/>
        </w:rPr>
        <w:t>本技术规范书适用于</w:t>
      </w:r>
      <w:r>
        <w:rPr>
          <w:rStyle w:val="20"/>
          <w:rFonts w:hint="eastAsia" w:ascii="宋体" w:hAnsi="宋体"/>
          <w:color w:val="auto"/>
          <w:kern w:val="0"/>
          <w:sz w:val="24"/>
          <w:szCs w:val="24"/>
          <w:highlight w:val="none"/>
          <w:lang w:val="en-US" w:eastAsia="zh-CN"/>
        </w:rPr>
        <w:t>浙能</w:t>
      </w:r>
      <w:r>
        <w:rPr>
          <w:rFonts w:hint="eastAsia" w:ascii="宋体" w:hAnsi="宋体" w:eastAsia="宋体" w:cs="Times New Roman"/>
          <w:color w:val="auto"/>
          <w:kern w:val="2"/>
          <w:sz w:val="24"/>
          <w:szCs w:val="24"/>
          <w:highlight w:val="none"/>
          <w:lang w:eastAsia="zh-CN"/>
        </w:rPr>
        <w:t>武威2×1000MW调峰火电机组工程</w:t>
      </w:r>
      <w:r>
        <w:rPr>
          <w:rStyle w:val="20"/>
          <w:rFonts w:hint="eastAsia" w:ascii="宋体" w:hAnsi="宋体"/>
          <w:color w:val="auto"/>
          <w:kern w:val="0"/>
          <w:sz w:val="24"/>
          <w:szCs w:val="24"/>
          <w:highlight w:val="none"/>
        </w:rPr>
        <w:t>的电能量采集装置，以及本次工程设备的设计、供货、安装、接线、调试。</w:t>
      </w:r>
      <w:r>
        <w:rPr>
          <w:rStyle w:val="20"/>
          <w:rFonts w:hint="eastAsia"/>
          <w:color w:val="auto"/>
          <w:sz w:val="24"/>
          <w:szCs w:val="24"/>
          <w:highlight w:val="none"/>
        </w:rPr>
        <w:t>它提出了</w:t>
      </w:r>
      <w:r>
        <w:rPr>
          <w:rStyle w:val="20"/>
          <w:rFonts w:hint="eastAsia" w:ascii="宋体" w:hAnsi="宋体"/>
          <w:color w:val="auto"/>
          <w:kern w:val="0"/>
          <w:sz w:val="24"/>
          <w:szCs w:val="24"/>
          <w:highlight w:val="none"/>
        </w:rPr>
        <w:t>电能量采集系统设备及相关配件</w:t>
      </w:r>
      <w:r>
        <w:rPr>
          <w:rStyle w:val="20"/>
          <w:rFonts w:hint="eastAsia"/>
          <w:color w:val="auto"/>
          <w:sz w:val="24"/>
          <w:szCs w:val="24"/>
          <w:highlight w:val="none"/>
        </w:rPr>
        <w:t>的功能设计、结构、性能、安装和试验等方面的技术要求，</w:t>
      </w:r>
      <w:r>
        <w:rPr>
          <w:rStyle w:val="20"/>
          <w:rFonts w:hint="eastAsia" w:ascii="宋体" w:hAnsi="宋体"/>
          <w:color w:val="auto"/>
          <w:kern w:val="0"/>
          <w:sz w:val="24"/>
          <w:szCs w:val="24"/>
          <w:highlight w:val="none"/>
        </w:rPr>
        <w:t>以及供货现场技术服务。</w:t>
      </w:r>
      <w:r>
        <w:rPr>
          <w:rStyle w:val="20"/>
          <w:rFonts w:hint="eastAsia"/>
          <w:color w:val="auto"/>
          <w:sz w:val="24"/>
          <w:szCs w:val="24"/>
          <w:highlight w:val="none"/>
        </w:rPr>
        <w:t>投标人应在不增加费用的前提下提供本标书未提及但为设备运行所必需的材料或元件。投标人投标时，应按项目分别详细说明技术方案并分别列出全部技术数据。</w:t>
      </w:r>
    </w:p>
    <w:p w14:paraId="379BBA79">
      <w:pPr>
        <w:pStyle w:val="8"/>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1.2  本设备技术规范书提出的是最低限度的技术要求，并未对一切技术细节做出规定，也未充分引述有关标准和规范的条文。投标人应提供符合国家和电力行业相关标准的优质产品，所附的业绩报告内容应包括设备型号、电压等级、投运年限和安装地点等详细信息。</w:t>
      </w:r>
    </w:p>
    <w:p w14:paraId="4EB15B54">
      <w:pPr>
        <w:pStyle w:val="8"/>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1.3  投标人应在投标文件中，对于招标文件进行逐段应答，表明是否接受和同意本技术规范书的要求，如：接受和同意招标文件某条款的要求，则在该条款后注明：“理解并承诺完全响应上述条款的要求”；若针对某条款，投标人有特别的建议、方案、技术特点或差异，请在该条款下加以描述和说明，并在“技术差异表”中列出。</w:t>
      </w:r>
    </w:p>
    <w:p w14:paraId="16429D0C">
      <w:pPr>
        <w:pStyle w:val="8"/>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1.4  投标人如对本技术规范书有偏差(无论多少或微小)，都必须清楚地表示在本技术规范书的“差异表”中，否则招标人将认为投标人完全接受和同意本技术规范书的要求。投标人如有优于本技术规范书基本要求的条款，也应在投标文件中特殊说明。</w:t>
      </w:r>
    </w:p>
    <w:p w14:paraId="05A3DE6A">
      <w:pPr>
        <w:pStyle w:val="8"/>
        <w:spacing w:line="360" w:lineRule="auto"/>
        <w:rPr>
          <w:rStyle w:val="20"/>
          <w:rFonts w:hint="eastAsia" w:ascii="Times New Roman" w:hAnsi="宋体"/>
          <w:color w:val="auto"/>
          <w:spacing w:val="5"/>
          <w:sz w:val="24"/>
          <w:szCs w:val="24"/>
          <w:highlight w:val="none"/>
        </w:rPr>
      </w:pPr>
      <w:r>
        <w:rPr>
          <w:rStyle w:val="20"/>
          <w:rFonts w:hint="eastAsia" w:ascii="宋体" w:hAnsi="宋体"/>
          <w:color w:val="auto"/>
          <w:sz w:val="24"/>
          <w:szCs w:val="24"/>
          <w:highlight w:val="none"/>
        </w:rPr>
        <w:t xml:space="preserve">1.5 </w:t>
      </w:r>
      <w:r>
        <w:rPr>
          <w:rStyle w:val="20"/>
          <w:rFonts w:hint="eastAsia" w:ascii="宋体" w:hAnsi="宋体" w:cs="Arial"/>
          <w:color w:val="auto"/>
          <w:sz w:val="24"/>
          <w:szCs w:val="24"/>
          <w:highlight w:val="none"/>
        </w:rPr>
        <w:t xml:space="preserve"> </w:t>
      </w:r>
      <w:r>
        <w:rPr>
          <w:rStyle w:val="20"/>
          <w:rFonts w:hint="eastAsia" w:hAnsi="宋体"/>
          <w:color w:val="auto"/>
          <w:spacing w:val="5"/>
          <w:sz w:val="24"/>
          <w:szCs w:val="24"/>
          <w:highlight w:val="none"/>
        </w:rPr>
        <w:t>投标人应执行本技术规范书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bookmarkStart w:id="21" w:name="_Hlt37418005"/>
      <w:bookmarkEnd w:id="21"/>
    </w:p>
    <w:p w14:paraId="573448F0">
      <w:pPr>
        <w:pStyle w:val="8"/>
        <w:spacing w:line="360" w:lineRule="auto"/>
        <w:rPr>
          <w:rStyle w:val="20"/>
          <w:rFonts w:ascii="宋体" w:hAnsi="宋体" w:cs="Arial"/>
          <w:color w:val="auto"/>
          <w:sz w:val="24"/>
          <w:szCs w:val="24"/>
          <w:highlight w:val="none"/>
        </w:rPr>
      </w:pPr>
      <w:r>
        <w:rPr>
          <w:rStyle w:val="20"/>
          <w:rFonts w:hint="eastAsia" w:ascii="宋体" w:hAnsi="宋体"/>
          <w:color w:val="auto"/>
          <w:sz w:val="24"/>
          <w:szCs w:val="24"/>
          <w:highlight w:val="none"/>
        </w:rPr>
        <w:t>1.6</w:t>
      </w:r>
      <w:r>
        <w:rPr>
          <w:rStyle w:val="20"/>
          <w:rFonts w:hint="eastAsia" w:ascii="宋体" w:hAnsi="宋体" w:cs="Arial"/>
          <w:color w:val="auto"/>
          <w:sz w:val="24"/>
          <w:szCs w:val="24"/>
          <w:highlight w:val="none"/>
        </w:rPr>
        <w:t xml:space="preserve">  </w:t>
      </w:r>
      <w:r>
        <w:rPr>
          <w:rStyle w:val="20"/>
          <w:rFonts w:hint="eastAsia" w:hAnsi="宋体"/>
          <w:color w:val="auto"/>
          <w:spacing w:val="5"/>
          <w:sz w:val="24"/>
          <w:szCs w:val="24"/>
          <w:highlight w:val="none"/>
        </w:rPr>
        <w:t>在合同签定后，招标人有权因规范、标准、规程发生变化而提出一些补充要求，在设备投料生产前，投标人应在设计上给以修改。</w:t>
      </w:r>
    </w:p>
    <w:p w14:paraId="7DD1F75E">
      <w:pPr>
        <w:pStyle w:val="8"/>
        <w:spacing w:line="360" w:lineRule="auto"/>
        <w:rPr>
          <w:rStyle w:val="20"/>
          <w:rFonts w:hint="eastAsia" w:ascii="宋体" w:hAnsi="宋体" w:cs="Arial"/>
          <w:color w:val="auto"/>
          <w:sz w:val="24"/>
          <w:szCs w:val="24"/>
          <w:highlight w:val="none"/>
        </w:rPr>
      </w:pPr>
      <w:r>
        <w:rPr>
          <w:rStyle w:val="20"/>
          <w:rFonts w:hint="eastAsia" w:ascii="宋体" w:hAnsi="宋体"/>
          <w:color w:val="auto"/>
          <w:sz w:val="24"/>
          <w:szCs w:val="24"/>
          <w:highlight w:val="none"/>
        </w:rPr>
        <w:t xml:space="preserve">1.7 </w:t>
      </w:r>
      <w:r>
        <w:rPr>
          <w:rStyle w:val="20"/>
          <w:rFonts w:hint="eastAsia" w:ascii="宋体" w:hAnsi="宋体" w:cs="Arial"/>
          <w:color w:val="auto"/>
          <w:sz w:val="24"/>
          <w:szCs w:val="24"/>
          <w:highlight w:val="none"/>
        </w:rPr>
        <w:t xml:space="preserve"> </w:t>
      </w:r>
      <w:r>
        <w:rPr>
          <w:rStyle w:val="20"/>
          <w:rFonts w:hint="eastAsia" w:hAnsi="宋体"/>
          <w:bCs/>
          <w:color w:val="auto"/>
          <w:sz w:val="24"/>
          <w:szCs w:val="24"/>
          <w:highlight w:val="none"/>
        </w:rPr>
        <w:t>设备采用的专利涉及到的全部费用均被认为已包含在设备报价中，投标人应保证招标人不承担有关设备专利的一切责任。</w:t>
      </w:r>
      <w:r>
        <w:rPr>
          <w:rStyle w:val="20"/>
          <w:rFonts w:hint="eastAsia" w:ascii="宋体" w:hAnsi="宋体" w:cs="Arial"/>
          <w:color w:val="auto"/>
          <w:sz w:val="24"/>
          <w:szCs w:val="24"/>
          <w:highlight w:val="none"/>
        </w:rPr>
        <w:t>投标人应在投标文件中，对于招标文件进行逐段应答，表明是否接受和同意本技术规范书的要求，如：接受和同意招标文件某条款的要求，则在该条款后注明：“理解并承诺完全响应上述条款的要求”；若针对某条款，投标人有特别的建议、方案、技术特点或差异，请在该条款下加以描述和说明。</w:t>
      </w:r>
    </w:p>
    <w:p w14:paraId="1DB6F4D7">
      <w:pPr>
        <w:pStyle w:val="8"/>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1.8规范书经招投标双方确认后，作为合同的附件，与合同正文具有同等的法律效力。投标人中标后，投标文件经技术澄清后，承诺内容和技术协议具有同等约束力，与订货合同正文具有同等效力。</w:t>
      </w:r>
    </w:p>
    <w:p w14:paraId="19616A6D">
      <w:pPr>
        <w:pStyle w:val="8"/>
        <w:spacing w:line="360" w:lineRule="auto"/>
        <w:rPr>
          <w:rStyle w:val="20"/>
          <w:rFonts w:hint="eastAsia" w:ascii="宋体" w:hAnsi="宋体" w:eastAsia="宋体"/>
          <w:color w:val="auto"/>
          <w:sz w:val="24"/>
          <w:szCs w:val="24"/>
          <w:highlight w:val="none"/>
          <w:lang w:val="en-US" w:eastAsia="zh-CN"/>
        </w:rPr>
      </w:pPr>
      <w:r>
        <w:rPr>
          <w:rStyle w:val="20"/>
          <w:rFonts w:hint="eastAsia" w:ascii="宋体" w:hAnsi="宋体" w:cs="宋体"/>
          <w:color w:val="auto"/>
          <w:kern w:val="0"/>
          <w:sz w:val="24"/>
          <w:szCs w:val="24"/>
          <w:highlight w:val="none"/>
        </w:rPr>
        <w:t>1.9投标人提供的电能量采集装置应在国家或电力工业检验检测机构通过型式试验和EMC试验，并提供相应的报告，同时与主站通信支持102规约。</w:t>
      </w:r>
      <w:r>
        <w:rPr>
          <w:rStyle w:val="20"/>
          <w:rFonts w:hint="eastAsia" w:ascii="宋体" w:hAnsi="宋体" w:cs="宋体"/>
          <w:color w:val="auto"/>
          <w:kern w:val="0"/>
          <w:sz w:val="24"/>
          <w:szCs w:val="24"/>
          <w:highlight w:val="none"/>
          <w:lang w:val="en-US" w:eastAsia="zh-CN"/>
        </w:rPr>
        <w:t>.</w:t>
      </w:r>
    </w:p>
    <w:p w14:paraId="257E9F86">
      <w:pPr>
        <w:pStyle w:val="8"/>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1.10投标人应对所供设备进行编码，按照GB/T 50549-20</w:t>
      </w:r>
      <w:r>
        <w:rPr>
          <w:rStyle w:val="20"/>
          <w:rFonts w:hint="eastAsia" w:ascii="宋体" w:hAnsi="宋体"/>
          <w:color w:val="auto"/>
          <w:sz w:val="24"/>
          <w:szCs w:val="24"/>
          <w:highlight w:val="none"/>
          <w:lang w:eastAsia="zh-CN"/>
        </w:rPr>
        <w:t>1</w:t>
      </w:r>
      <w:r>
        <w:rPr>
          <w:rStyle w:val="20"/>
          <w:rFonts w:hint="eastAsia" w:ascii="宋体" w:hAnsi="宋体"/>
          <w:color w:val="auto"/>
          <w:sz w:val="24"/>
          <w:szCs w:val="24"/>
          <w:highlight w:val="none"/>
        </w:rPr>
        <w:t>0《电厂标识系统编码标准》执行，满足招标人编码原则。编码范围包括投标人所供系统、设备、部件和构筑物。中标后，招标人将向投标人提供电厂标识系统的编码原则和要求，投标人应据此对其所提供的系统、设备、部件进行编码，并编制在提供的技术文件(包括图纸及说明书)中。</w:t>
      </w:r>
    </w:p>
    <w:p w14:paraId="44D82A27">
      <w:pPr>
        <w:pStyle w:val="8"/>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1.11 采购含有木质包装材料的货物要严格按照程序查验《植物检疫证书》。</w:t>
      </w:r>
    </w:p>
    <w:p w14:paraId="6B7467B3">
      <w:pPr>
        <w:pStyle w:val="8"/>
        <w:spacing w:line="360" w:lineRule="auto"/>
        <w:rPr>
          <w:rStyle w:val="20"/>
          <w:rFonts w:hint="eastAsia" w:ascii="Times New Roman" w:hAnsi="宋体"/>
          <w:bCs/>
          <w:color w:val="auto"/>
          <w:spacing w:val="5"/>
          <w:sz w:val="24"/>
          <w:szCs w:val="24"/>
          <w:highlight w:val="none"/>
        </w:rPr>
      </w:pPr>
      <w:r>
        <w:rPr>
          <w:rStyle w:val="20"/>
          <w:rFonts w:hint="eastAsia" w:ascii="宋体" w:hAnsi="宋体"/>
          <w:color w:val="auto"/>
          <w:sz w:val="24"/>
          <w:szCs w:val="24"/>
          <w:highlight w:val="none"/>
        </w:rPr>
        <w:t>1.12</w:t>
      </w:r>
      <w:r>
        <w:rPr>
          <w:rStyle w:val="20"/>
          <w:rFonts w:hint="eastAsia"/>
          <w:bCs/>
          <w:color w:val="auto"/>
          <w:spacing w:val="5"/>
          <w:sz w:val="24"/>
          <w:szCs w:val="24"/>
          <w:highlight w:val="none"/>
        </w:rPr>
        <w:t>投标人在中标后的实施过程中应遵守网络安全方面的法律、法规和规程。</w:t>
      </w:r>
    </w:p>
    <w:p w14:paraId="7A0FB206">
      <w:pPr>
        <w:pStyle w:val="8"/>
        <w:spacing w:line="360" w:lineRule="auto"/>
        <w:rPr>
          <w:rStyle w:val="20"/>
          <w:rFonts w:hAnsi="宋体"/>
          <w:color w:val="auto"/>
          <w:spacing w:val="5"/>
          <w:sz w:val="24"/>
          <w:szCs w:val="24"/>
          <w:highlight w:val="none"/>
        </w:rPr>
      </w:pPr>
      <w:r>
        <w:rPr>
          <w:rStyle w:val="20"/>
          <w:rFonts w:hint="eastAsia" w:ascii="宋体" w:hAnsi="宋体"/>
          <w:color w:val="auto"/>
          <w:sz w:val="24"/>
          <w:szCs w:val="24"/>
          <w:highlight w:val="none"/>
        </w:rPr>
        <w:t>1.13</w:t>
      </w:r>
      <w:r>
        <w:rPr>
          <w:rStyle w:val="20"/>
          <w:rFonts w:hint="eastAsia" w:hAnsi="宋体"/>
          <w:color w:val="auto"/>
          <w:spacing w:val="5"/>
          <w:sz w:val="24"/>
          <w:szCs w:val="24"/>
          <w:highlight w:val="none"/>
        </w:rPr>
        <w:t>设备及软件操作系统的采用涉及到知识产权的全部费用均被认为已包含在设备报价中，投标人应保证招标人不承担有关知识产权的一切责任。</w:t>
      </w:r>
    </w:p>
    <w:p w14:paraId="7871CC67">
      <w:pPr>
        <w:pStyle w:val="8"/>
        <w:spacing w:line="360" w:lineRule="auto"/>
        <w:rPr>
          <w:rStyle w:val="20"/>
          <w:rFonts w:hAnsi="宋体"/>
          <w:color w:val="auto"/>
          <w:spacing w:val="5"/>
          <w:sz w:val="24"/>
          <w:szCs w:val="24"/>
          <w:highlight w:val="none"/>
        </w:rPr>
      </w:pPr>
      <w:r>
        <w:rPr>
          <w:rStyle w:val="20"/>
          <w:rFonts w:hint="eastAsia" w:ascii="宋体" w:hAnsi="宋体"/>
          <w:color w:val="auto"/>
          <w:sz w:val="24"/>
          <w:szCs w:val="24"/>
          <w:highlight w:val="none"/>
        </w:rPr>
        <w:t>1.14</w:t>
      </w:r>
      <w:r>
        <w:rPr>
          <w:rStyle w:val="20"/>
          <w:rFonts w:hint="eastAsia" w:hAnsi="宋体"/>
          <w:color w:val="auto"/>
          <w:spacing w:val="5"/>
          <w:sz w:val="24"/>
          <w:szCs w:val="24"/>
          <w:highlight w:val="none"/>
        </w:rPr>
        <w:t>投标人所提供的所有软件应为正版软件且应有软件使用许可证。招标人应享有设备原供应商对最终用户提供的各种优惠服务，包括今后软件升级、硬件扩充及备品备件补充等。在投产后五年内提供无偿的软件升级服务。</w:t>
      </w:r>
    </w:p>
    <w:p w14:paraId="24BBCE96">
      <w:pPr>
        <w:pStyle w:val="8"/>
        <w:spacing w:line="360" w:lineRule="auto"/>
        <w:rPr>
          <w:rStyle w:val="20"/>
          <w:rFonts w:hAnsi="宋体"/>
          <w:color w:val="auto"/>
          <w:spacing w:val="5"/>
          <w:sz w:val="24"/>
          <w:szCs w:val="24"/>
          <w:highlight w:val="none"/>
        </w:rPr>
      </w:pPr>
      <w:r>
        <w:rPr>
          <w:rStyle w:val="20"/>
          <w:rFonts w:hint="eastAsia" w:ascii="宋体" w:hAnsi="宋体"/>
          <w:color w:val="auto"/>
          <w:sz w:val="24"/>
          <w:szCs w:val="24"/>
          <w:highlight w:val="none"/>
        </w:rPr>
        <w:t>1.15</w:t>
      </w:r>
      <w:r>
        <w:rPr>
          <w:rStyle w:val="20"/>
          <w:rFonts w:hint="eastAsia" w:hAnsi="宋体"/>
          <w:color w:val="auto"/>
          <w:spacing w:val="5"/>
          <w:sz w:val="24"/>
          <w:szCs w:val="24"/>
          <w:highlight w:val="none"/>
        </w:rPr>
        <w:t>投标人所提供的设备及所有元器件中，凡属国家质量监督检验检疫总局及中国国家认证认可监督管理委员会联合颁布的</w:t>
      </w:r>
      <w:r>
        <w:rPr>
          <w:rStyle w:val="20"/>
          <w:rFonts w:hAnsi="宋体"/>
          <w:color w:val="auto"/>
          <w:spacing w:val="5"/>
          <w:sz w:val="24"/>
          <w:szCs w:val="24"/>
          <w:highlight w:val="none"/>
        </w:rPr>
        <w:t>2001</w:t>
      </w:r>
      <w:r>
        <w:rPr>
          <w:rStyle w:val="20"/>
          <w:rFonts w:hint="eastAsia" w:hAnsi="宋体"/>
          <w:color w:val="auto"/>
          <w:spacing w:val="5"/>
          <w:sz w:val="24"/>
          <w:szCs w:val="24"/>
          <w:highlight w:val="none"/>
        </w:rPr>
        <w:t>年第</w:t>
      </w:r>
      <w:r>
        <w:rPr>
          <w:rStyle w:val="20"/>
          <w:rFonts w:hAnsi="宋体"/>
          <w:color w:val="auto"/>
          <w:spacing w:val="5"/>
          <w:sz w:val="24"/>
          <w:szCs w:val="24"/>
          <w:highlight w:val="none"/>
        </w:rPr>
        <w:t>33</w:t>
      </w:r>
      <w:r>
        <w:rPr>
          <w:rStyle w:val="20"/>
          <w:rFonts w:hint="eastAsia" w:hAnsi="宋体"/>
          <w:color w:val="auto"/>
          <w:spacing w:val="5"/>
          <w:sz w:val="24"/>
          <w:szCs w:val="24"/>
          <w:highlight w:val="none"/>
        </w:rPr>
        <w:t>号公告《第一批实施强制性产品认证的产品目录》内规定的产品，均应通过中国强制认证（</w:t>
      </w:r>
      <w:r>
        <w:rPr>
          <w:rStyle w:val="20"/>
          <w:rFonts w:hAnsi="宋体"/>
          <w:color w:val="auto"/>
          <w:spacing w:val="5"/>
          <w:sz w:val="24"/>
          <w:szCs w:val="24"/>
          <w:highlight w:val="none"/>
        </w:rPr>
        <w:t>China Compulsory Certification</w:t>
      </w:r>
      <w:r>
        <w:rPr>
          <w:rStyle w:val="20"/>
          <w:rFonts w:hint="eastAsia" w:hAnsi="宋体"/>
          <w:color w:val="auto"/>
          <w:spacing w:val="5"/>
          <w:sz w:val="24"/>
          <w:szCs w:val="24"/>
          <w:highlight w:val="none"/>
        </w:rPr>
        <w:t>，简称</w:t>
      </w:r>
      <w:r>
        <w:rPr>
          <w:rStyle w:val="20"/>
          <w:rFonts w:hAnsi="宋体"/>
          <w:color w:val="auto"/>
          <w:spacing w:val="5"/>
          <w:sz w:val="24"/>
          <w:szCs w:val="24"/>
          <w:highlight w:val="none"/>
        </w:rPr>
        <w:t>3C</w:t>
      </w:r>
      <w:r>
        <w:rPr>
          <w:rStyle w:val="20"/>
          <w:rFonts w:hint="eastAsia" w:hAnsi="宋体"/>
          <w:color w:val="auto"/>
          <w:spacing w:val="5"/>
          <w:sz w:val="24"/>
          <w:szCs w:val="24"/>
          <w:highlight w:val="none"/>
        </w:rPr>
        <w:t>认证）并提供</w:t>
      </w:r>
      <w:r>
        <w:rPr>
          <w:rStyle w:val="20"/>
          <w:rFonts w:hAnsi="宋体"/>
          <w:color w:val="auto"/>
          <w:spacing w:val="5"/>
          <w:sz w:val="24"/>
          <w:szCs w:val="24"/>
          <w:highlight w:val="none"/>
        </w:rPr>
        <w:t>3C</w:t>
      </w:r>
      <w:r>
        <w:rPr>
          <w:rStyle w:val="20"/>
          <w:rFonts w:hint="eastAsia" w:hAnsi="宋体"/>
          <w:color w:val="auto"/>
          <w:spacing w:val="5"/>
          <w:sz w:val="24"/>
          <w:szCs w:val="24"/>
          <w:highlight w:val="none"/>
        </w:rPr>
        <w:t>认证证书。</w:t>
      </w:r>
    </w:p>
    <w:p w14:paraId="118C152D">
      <w:pPr>
        <w:pStyle w:val="8"/>
        <w:spacing w:line="360" w:lineRule="auto"/>
        <w:rPr>
          <w:rStyle w:val="20"/>
          <w:rFonts w:hAnsi="宋体"/>
          <w:color w:val="auto"/>
          <w:spacing w:val="5"/>
          <w:sz w:val="24"/>
          <w:szCs w:val="24"/>
          <w:highlight w:val="none"/>
        </w:rPr>
      </w:pPr>
      <w:r>
        <w:rPr>
          <w:rStyle w:val="20"/>
          <w:rFonts w:hint="eastAsia" w:ascii="宋体" w:hAnsi="宋体"/>
          <w:color w:val="auto"/>
          <w:sz w:val="24"/>
          <w:szCs w:val="24"/>
          <w:highlight w:val="none"/>
        </w:rPr>
        <w:t>1.16</w:t>
      </w:r>
      <w:r>
        <w:rPr>
          <w:rStyle w:val="20"/>
          <w:rFonts w:hint="eastAsia" w:hAnsi="宋体"/>
          <w:color w:val="auto"/>
          <w:spacing w:val="5"/>
          <w:sz w:val="24"/>
          <w:szCs w:val="24"/>
          <w:highlight w:val="none"/>
        </w:rPr>
        <w:t>投标人在中标后应提供合理可行、安全可靠的系统实施方案，并组织相关调度部门人员进行方案的审查。</w:t>
      </w:r>
    </w:p>
    <w:p w14:paraId="44A52B2B">
      <w:pPr>
        <w:pStyle w:val="8"/>
        <w:spacing w:line="360" w:lineRule="auto"/>
        <w:rPr>
          <w:rStyle w:val="20"/>
          <w:rFonts w:hAnsi="宋体"/>
          <w:color w:val="auto"/>
          <w:spacing w:val="5"/>
          <w:sz w:val="24"/>
          <w:szCs w:val="24"/>
          <w:highlight w:val="none"/>
        </w:rPr>
      </w:pPr>
      <w:r>
        <w:rPr>
          <w:rStyle w:val="20"/>
          <w:rFonts w:hint="eastAsia" w:ascii="宋体" w:hAnsi="宋体"/>
          <w:color w:val="auto"/>
          <w:sz w:val="24"/>
          <w:szCs w:val="24"/>
          <w:highlight w:val="none"/>
        </w:rPr>
        <w:t>1.17</w:t>
      </w:r>
      <w:r>
        <w:rPr>
          <w:rStyle w:val="20"/>
          <w:rFonts w:hint="eastAsia" w:hAnsi="宋体"/>
          <w:color w:val="auto"/>
          <w:spacing w:val="5"/>
          <w:sz w:val="24"/>
          <w:szCs w:val="24"/>
          <w:highlight w:val="none"/>
        </w:rPr>
        <w:t>本技术规范书所列的供货范围不仅包括硬件设备，还包括软件及服务内容范围，如投标人中标后自身无法完成服务内容而需第三方人员配合，则相关费用由投标人负责，并包含在本次设备报价之中。</w:t>
      </w:r>
    </w:p>
    <w:p w14:paraId="51A72377">
      <w:pPr>
        <w:pStyle w:val="8"/>
        <w:spacing w:line="360" w:lineRule="auto"/>
        <w:rPr>
          <w:rStyle w:val="20"/>
          <w:rFonts w:hAnsi="Times New Roman"/>
          <w:color w:val="auto"/>
          <w:sz w:val="24"/>
          <w:szCs w:val="24"/>
          <w:highlight w:val="none"/>
        </w:rPr>
      </w:pPr>
      <w:r>
        <w:rPr>
          <w:rStyle w:val="20"/>
          <w:rFonts w:hint="eastAsia" w:ascii="宋体" w:hAnsi="宋体"/>
          <w:color w:val="auto"/>
          <w:sz w:val="24"/>
          <w:szCs w:val="24"/>
          <w:highlight w:val="none"/>
        </w:rPr>
        <w:t>1.18</w:t>
      </w:r>
      <w:r>
        <w:rPr>
          <w:rStyle w:val="20"/>
          <w:rFonts w:hint="eastAsia" w:hAnsi="宋体"/>
          <w:color w:val="auto"/>
          <w:spacing w:val="5"/>
          <w:sz w:val="24"/>
          <w:szCs w:val="24"/>
          <w:highlight w:val="none"/>
        </w:rPr>
        <w:t>投标人应至少提供</w:t>
      </w:r>
      <w:r>
        <w:rPr>
          <w:rStyle w:val="20"/>
          <w:rFonts w:hAnsi="宋体"/>
          <w:color w:val="auto"/>
          <w:spacing w:val="5"/>
          <w:sz w:val="24"/>
          <w:szCs w:val="24"/>
          <w:highlight w:val="none"/>
        </w:rPr>
        <w:t>3</w:t>
      </w:r>
      <w:r>
        <w:rPr>
          <w:rStyle w:val="20"/>
          <w:rFonts w:hint="eastAsia" w:hAnsi="宋体"/>
          <w:color w:val="auto"/>
          <w:spacing w:val="5"/>
          <w:sz w:val="24"/>
          <w:szCs w:val="24"/>
          <w:highlight w:val="none"/>
        </w:rPr>
        <w:t>年系统免费保修期，保修范围为投标人提供的所有设备，其中系统软件和硬件均从现场验收（简称</w:t>
      </w:r>
      <w:r>
        <w:rPr>
          <w:rStyle w:val="20"/>
          <w:rFonts w:hAnsi="宋体"/>
          <w:color w:val="auto"/>
          <w:spacing w:val="5"/>
          <w:sz w:val="24"/>
          <w:szCs w:val="24"/>
          <w:highlight w:val="none"/>
        </w:rPr>
        <w:t>SAT</w:t>
      </w:r>
      <w:r>
        <w:rPr>
          <w:rStyle w:val="20"/>
          <w:rFonts w:hint="eastAsia" w:hAnsi="宋体"/>
          <w:color w:val="auto"/>
          <w:spacing w:val="5"/>
          <w:sz w:val="24"/>
          <w:szCs w:val="24"/>
          <w:highlight w:val="none"/>
        </w:rPr>
        <w:t>）合格后开始计算。</w:t>
      </w:r>
    </w:p>
    <w:p w14:paraId="04570584">
      <w:pPr>
        <w:pStyle w:val="8"/>
        <w:spacing w:line="360" w:lineRule="auto"/>
        <w:rPr>
          <w:rStyle w:val="20"/>
          <w:rFonts w:hAnsi="宋体"/>
          <w:color w:val="auto"/>
          <w:spacing w:val="5"/>
          <w:sz w:val="24"/>
          <w:szCs w:val="24"/>
          <w:highlight w:val="none"/>
        </w:rPr>
      </w:pPr>
      <w:r>
        <w:rPr>
          <w:rStyle w:val="20"/>
          <w:rFonts w:hint="eastAsia" w:ascii="宋体" w:hAnsi="宋体"/>
          <w:color w:val="auto"/>
          <w:sz w:val="24"/>
          <w:szCs w:val="24"/>
          <w:highlight w:val="none"/>
        </w:rPr>
        <w:t>1.19投标人中</w:t>
      </w:r>
      <w:r>
        <w:rPr>
          <w:rStyle w:val="20"/>
          <w:rFonts w:hint="eastAsia" w:hAnsi="宋体"/>
          <w:color w:val="auto"/>
          <w:spacing w:val="5"/>
          <w:sz w:val="24"/>
          <w:szCs w:val="24"/>
          <w:highlight w:val="none"/>
        </w:rPr>
        <w:t>标后，在实施过程中，如涉及到研发等必须到现场进行调试，严禁任何形式的远程调试。</w:t>
      </w:r>
    </w:p>
    <w:p w14:paraId="526ADD0B">
      <w:pPr>
        <w:pStyle w:val="8"/>
        <w:tabs>
          <w:tab w:val="left" w:pos="720"/>
        </w:tabs>
        <w:spacing w:line="360" w:lineRule="auto"/>
        <w:rPr>
          <w:rStyle w:val="20"/>
          <w:rFonts w:hint="eastAsia" w:ascii="宋体" w:hAnsi="宋体" w:cs="宋体"/>
          <w:b/>
          <w:color w:val="auto"/>
          <w:sz w:val="28"/>
          <w:szCs w:val="28"/>
          <w:highlight w:val="none"/>
        </w:rPr>
      </w:pPr>
      <w:bookmarkStart w:id="22" w:name="_Toc96238075"/>
      <w:bookmarkStart w:id="23" w:name="_Toc170270574"/>
      <w:bookmarkStart w:id="24" w:name="_Toc170462600"/>
      <w:r>
        <w:rPr>
          <w:rStyle w:val="20"/>
          <w:rFonts w:hint="eastAsia" w:ascii="宋体" w:hAnsi="宋体" w:cs="宋体"/>
          <w:b/>
          <w:color w:val="auto"/>
          <w:sz w:val="28"/>
          <w:szCs w:val="28"/>
          <w:highlight w:val="none"/>
        </w:rPr>
        <w:t>2 标准和规范</w:t>
      </w:r>
    </w:p>
    <w:p w14:paraId="030AFFB0">
      <w:pPr>
        <w:pStyle w:val="8"/>
        <w:spacing w:line="360" w:lineRule="auto"/>
        <w:rPr>
          <w:rStyle w:val="20"/>
          <w:rFonts w:ascii="宋体" w:hAnsi="宋体"/>
          <w:color w:val="auto"/>
          <w:sz w:val="24"/>
          <w:szCs w:val="24"/>
          <w:highlight w:val="none"/>
        </w:rPr>
      </w:pPr>
      <w:r>
        <w:rPr>
          <w:rStyle w:val="20"/>
          <w:rFonts w:hint="eastAsia" w:ascii="宋体" w:hAnsi="宋体"/>
          <w:color w:val="auto"/>
          <w:sz w:val="24"/>
          <w:szCs w:val="24"/>
          <w:highlight w:val="none"/>
        </w:rPr>
        <w:t>2.1 合同设备包括投标人向其他厂商购买的所有附件和设备。所有设备和附件都应符合相应的标准、规范或法规的最新版本的要求，除非另有特别外，投标期内有效的任何修正和补充都应包括在内。</w:t>
      </w:r>
    </w:p>
    <w:p w14:paraId="595859E0">
      <w:pPr>
        <w:pStyle w:val="8"/>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2.2 除非合同另有规定，均须遵守最新的国家标准(GB)和国际电工委员会(IEC)标准以及国际单位制(SI)标准。如采用合资或合作产品，还应遵守合作方国家标准，当上述标准不一致时按高标准执行。</w:t>
      </w:r>
    </w:p>
    <w:p w14:paraId="1458171A">
      <w:pPr>
        <w:pStyle w:val="8"/>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2.3 投标人提供的设备和配套件要符合以下标准但不局限于以下标准（按现行最新有效标准）：</w:t>
      </w:r>
    </w:p>
    <w:p w14:paraId="0C977D3C">
      <w:pPr>
        <w:pStyle w:val="39"/>
        <w:spacing w:line="360" w:lineRule="auto"/>
        <w:rPr>
          <w:rStyle w:val="20"/>
          <w:rFonts w:hint="eastAsia"/>
          <w:color w:val="auto"/>
          <w:highlight w:val="none"/>
        </w:rPr>
      </w:pPr>
      <w:r>
        <w:rPr>
          <w:rStyle w:val="20"/>
          <w:rFonts w:hint="eastAsia" w:ascii="宋体" w:hAnsi="宋体"/>
          <w:color w:val="auto"/>
          <w:highlight w:val="none"/>
        </w:rPr>
        <w:t xml:space="preserve">  </w:t>
      </w:r>
      <w:r>
        <w:rPr>
          <w:rStyle w:val="20"/>
          <w:rFonts w:hint="eastAsia"/>
          <w:color w:val="auto"/>
          <w:highlight w:val="none"/>
        </w:rPr>
        <w:t>表</w:t>
      </w:r>
      <w:r>
        <w:rPr>
          <w:rStyle w:val="20"/>
          <w:color w:val="auto"/>
          <w:highlight w:val="none"/>
        </w:rPr>
        <w:t>1</w:t>
      </w:r>
      <w:r>
        <w:rPr>
          <w:rStyle w:val="20"/>
          <w:rFonts w:hint="eastAsia"/>
          <w:color w:val="auto"/>
          <w:highlight w:val="none"/>
        </w:rPr>
        <w:t>　</w:t>
      </w:r>
      <w:r>
        <w:rPr>
          <w:rStyle w:val="20"/>
          <w:rFonts w:hint="eastAsia"/>
          <w:color w:val="auto"/>
          <w:spacing w:val="30"/>
          <w:highlight w:val="none"/>
        </w:rPr>
        <w:t>引用标准和规范</w:t>
      </w:r>
    </w:p>
    <w:tbl>
      <w:tblPr>
        <w:tblStyle w:val="19"/>
        <w:tblW w:w="0" w:type="auto"/>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861"/>
        <w:gridCol w:w="5834"/>
      </w:tblGrid>
      <w:tr w14:paraId="5BB0F2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8"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829D335">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标</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准</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号</w:t>
            </w:r>
          </w:p>
        </w:tc>
        <w:tc>
          <w:tcPr>
            <w:tcW w:w="5834" w:type="dxa"/>
            <w:tcBorders>
              <w:top w:val="single" w:color="auto" w:sz="8"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1893E2A9">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标</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准</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名</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称</w:t>
            </w:r>
          </w:p>
        </w:tc>
      </w:tr>
      <w:tr w14:paraId="7A1BD2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79CB8189">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2423.1</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23708D1C">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电工电子产品环境试验</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第</w:t>
            </w:r>
            <w:r>
              <w:rPr>
                <w:rStyle w:val="20"/>
                <w:rFonts w:ascii="Calibri" w:hAnsi="Calibri" w:eastAsia="宋体"/>
                <w:color w:val="auto"/>
                <w:kern w:val="2"/>
                <w:sz w:val="18"/>
                <w:szCs w:val="18"/>
                <w:highlight w:val="none"/>
                <w:lang w:val="en-US" w:eastAsia="zh-CN" w:bidi="ar-SA"/>
              </w:rPr>
              <w:t>2</w:t>
            </w:r>
            <w:r>
              <w:rPr>
                <w:rStyle w:val="20"/>
                <w:rFonts w:hint="eastAsia" w:ascii="Calibri" w:hAnsi="Calibri" w:eastAsia="宋体"/>
                <w:color w:val="auto"/>
                <w:kern w:val="2"/>
                <w:sz w:val="18"/>
                <w:szCs w:val="18"/>
                <w:highlight w:val="none"/>
                <w:lang w:val="en-US" w:eastAsia="zh-CN" w:bidi="ar-SA"/>
              </w:rPr>
              <w:t>部分：试验方法</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试验</w:t>
            </w:r>
            <w:r>
              <w:rPr>
                <w:rStyle w:val="20"/>
                <w:rFonts w:ascii="Calibri" w:hAnsi="Calibri" w:eastAsia="宋体"/>
                <w:color w:val="auto"/>
                <w:kern w:val="2"/>
                <w:sz w:val="18"/>
                <w:szCs w:val="18"/>
                <w:highlight w:val="none"/>
                <w:lang w:val="en-US" w:eastAsia="zh-CN" w:bidi="ar-SA"/>
              </w:rPr>
              <w:t>A</w:t>
            </w:r>
            <w:r>
              <w:rPr>
                <w:rStyle w:val="20"/>
                <w:rFonts w:hint="eastAsia" w:ascii="Calibri" w:hAnsi="Calibri" w:eastAsia="宋体"/>
                <w:color w:val="auto"/>
                <w:kern w:val="2"/>
                <w:sz w:val="18"/>
                <w:szCs w:val="18"/>
                <w:highlight w:val="none"/>
                <w:lang w:val="en-US" w:eastAsia="zh-CN" w:bidi="ar-SA"/>
              </w:rPr>
              <w:t>：低温</w:t>
            </w:r>
          </w:p>
        </w:tc>
      </w:tr>
      <w:tr w14:paraId="7DC4C7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CFD7249">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2423.2</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84AB521">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电工电子产品环境试验</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第</w:t>
            </w:r>
            <w:r>
              <w:rPr>
                <w:rStyle w:val="20"/>
                <w:rFonts w:ascii="Calibri" w:hAnsi="Calibri" w:eastAsia="宋体"/>
                <w:color w:val="auto"/>
                <w:kern w:val="2"/>
                <w:sz w:val="18"/>
                <w:szCs w:val="18"/>
                <w:highlight w:val="none"/>
                <w:lang w:val="en-US" w:eastAsia="zh-CN" w:bidi="ar-SA"/>
              </w:rPr>
              <w:t>2</w:t>
            </w:r>
            <w:r>
              <w:rPr>
                <w:rStyle w:val="20"/>
                <w:rFonts w:hint="eastAsia" w:ascii="Calibri" w:hAnsi="Calibri" w:eastAsia="宋体"/>
                <w:color w:val="auto"/>
                <w:kern w:val="2"/>
                <w:sz w:val="18"/>
                <w:szCs w:val="18"/>
                <w:highlight w:val="none"/>
                <w:lang w:val="en-US" w:eastAsia="zh-CN" w:bidi="ar-SA"/>
              </w:rPr>
              <w:t>部分：试验方法</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试验</w:t>
            </w:r>
            <w:r>
              <w:rPr>
                <w:rStyle w:val="20"/>
                <w:rFonts w:ascii="Calibri" w:hAnsi="Calibri" w:eastAsia="宋体"/>
                <w:color w:val="auto"/>
                <w:kern w:val="2"/>
                <w:sz w:val="18"/>
                <w:szCs w:val="18"/>
                <w:highlight w:val="none"/>
                <w:lang w:val="en-US" w:eastAsia="zh-CN" w:bidi="ar-SA"/>
              </w:rPr>
              <w:t>B</w:t>
            </w:r>
            <w:r>
              <w:rPr>
                <w:rStyle w:val="20"/>
                <w:rFonts w:hint="eastAsia" w:ascii="Calibri" w:hAnsi="Calibri" w:eastAsia="宋体"/>
                <w:color w:val="auto"/>
                <w:kern w:val="2"/>
                <w:sz w:val="18"/>
                <w:szCs w:val="18"/>
                <w:highlight w:val="none"/>
                <w:lang w:val="en-US" w:eastAsia="zh-CN" w:bidi="ar-SA"/>
              </w:rPr>
              <w:t>：高温</w:t>
            </w:r>
          </w:p>
        </w:tc>
      </w:tr>
      <w:tr w14:paraId="38DE46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038FACB1">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2423.4</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14E4D432">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电工电子产品基本环境试验规程</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试验</w:t>
            </w:r>
            <w:r>
              <w:rPr>
                <w:rStyle w:val="20"/>
                <w:rFonts w:ascii="Calibri" w:hAnsi="Calibri" w:eastAsia="宋体"/>
                <w:color w:val="auto"/>
                <w:kern w:val="2"/>
                <w:sz w:val="18"/>
                <w:szCs w:val="18"/>
                <w:highlight w:val="none"/>
                <w:lang w:val="en-US" w:eastAsia="zh-CN" w:bidi="ar-SA"/>
              </w:rPr>
              <w:t>Db</w:t>
            </w:r>
            <w:r>
              <w:rPr>
                <w:rStyle w:val="20"/>
                <w:rFonts w:hint="eastAsia" w:ascii="Calibri" w:hAnsi="Calibri" w:eastAsia="宋体"/>
                <w:color w:val="auto"/>
                <w:kern w:val="2"/>
                <w:sz w:val="18"/>
                <w:szCs w:val="18"/>
                <w:highlight w:val="none"/>
                <w:lang w:val="en-US" w:eastAsia="zh-CN" w:bidi="ar-SA"/>
              </w:rPr>
              <w:t>：交变湿热试验方法</w:t>
            </w:r>
          </w:p>
        </w:tc>
      </w:tr>
      <w:tr w14:paraId="22B53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66C27BF7">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2423.10</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04BC79F0">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电工电子产品环境试验</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第</w:t>
            </w:r>
            <w:r>
              <w:rPr>
                <w:rStyle w:val="20"/>
                <w:rFonts w:ascii="Calibri" w:hAnsi="Calibri" w:eastAsia="宋体"/>
                <w:color w:val="auto"/>
                <w:kern w:val="2"/>
                <w:sz w:val="18"/>
                <w:szCs w:val="18"/>
                <w:highlight w:val="none"/>
                <w:lang w:val="en-US" w:eastAsia="zh-CN" w:bidi="ar-SA"/>
              </w:rPr>
              <w:t>2</w:t>
            </w:r>
            <w:r>
              <w:rPr>
                <w:rStyle w:val="20"/>
                <w:rFonts w:hint="eastAsia" w:ascii="Calibri" w:hAnsi="Calibri" w:eastAsia="宋体"/>
                <w:color w:val="auto"/>
                <w:kern w:val="2"/>
                <w:sz w:val="18"/>
                <w:szCs w:val="18"/>
                <w:highlight w:val="none"/>
                <w:lang w:val="en-US" w:eastAsia="zh-CN" w:bidi="ar-SA"/>
              </w:rPr>
              <w:t>部分：试验方法</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试验</w:t>
            </w:r>
            <w:r>
              <w:rPr>
                <w:rStyle w:val="20"/>
                <w:rFonts w:ascii="Calibri" w:hAnsi="Calibri" w:eastAsia="宋体"/>
                <w:color w:val="auto"/>
                <w:kern w:val="2"/>
                <w:sz w:val="18"/>
                <w:szCs w:val="18"/>
                <w:highlight w:val="none"/>
                <w:lang w:val="en-US" w:eastAsia="zh-CN" w:bidi="ar-SA"/>
              </w:rPr>
              <w:t>Fc</w:t>
            </w:r>
            <w:r>
              <w:rPr>
                <w:rStyle w:val="20"/>
                <w:rFonts w:hint="eastAsia" w:ascii="Calibri" w:hAnsi="Calibri" w:eastAsia="宋体"/>
                <w:color w:val="auto"/>
                <w:kern w:val="2"/>
                <w:sz w:val="18"/>
                <w:szCs w:val="18"/>
                <w:highlight w:val="none"/>
                <w:lang w:val="en-US" w:eastAsia="zh-CN" w:bidi="ar-SA"/>
              </w:rPr>
              <w:t>：振动（正弦）</w:t>
            </w:r>
          </w:p>
        </w:tc>
      </w:tr>
      <w:tr w14:paraId="561E71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0A4250C8">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4208</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6A34F0DD">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外壳防护等级（</w:t>
            </w:r>
            <w:r>
              <w:rPr>
                <w:rStyle w:val="20"/>
                <w:rFonts w:ascii="Calibri" w:hAnsi="Calibri" w:eastAsia="宋体"/>
                <w:color w:val="auto"/>
                <w:kern w:val="2"/>
                <w:sz w:val="18"/>
                <w:szCs w:val="18"/>
                <w:highlight w:val="none"/>
                <w:lang w:val="en-US" w:eastAsia="zh-CN" w:bidi="ar-SA"/>
              </w:rPr>
              <w:t>IP</w:t>
            </w:r>
            <w:r>
              <w:rPr>
                <w:rStyle w:val="20"/>
                <w:rFonts w:hint="eastAsia" w:ascii="Calibri" w:hAnsi="Calibri" w:eastAsia="宋体"/>
                <w:color w:val="auto"/>
                <w:kern w:val="2"/>
                <w:sz w:val="18"/>
                <w:szCs w:val="18"/>
                <w:highlight w:val="none"/>
                <w:lang w:val="en-US" w:eastAsia="zh-CN" w:bidi="ar-SA"/>
              </w:rPr>
              <w:t>代码）</w:t>
            </w:r>
          </w:p>
        </w:tc>
      </w:tr>
      <w:tr w14:paraId="486360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727F9E48">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13729</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14813A6">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远动终端设备</w:t>
            </w:r>
          </w:p>
        </w:tc>
      </w:tr>
      <w:tr w14:paraId="138C62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4EDECA4B">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14429</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51C04D88">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远动设备及系统术语</w:t>
            </w:r>
          </w:p>
        </w:tc>
      </w:tr>
      <w:tr w14:paraId="2A298B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27371D28">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15153.1</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5FC249B3">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远动设备及系统</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工作条件</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第</w:t>
            </w:r>
            <w:r>
              <w:rPr>
                <w:rStyle w:val="20"/>
                <w:rFonts w:ascii="Calibri" w:hAnsi="Calibri" w:eastAsia="宋体"/>
                <w:color w:val="auto"/>
                <w:kern w:val="2"/>
                <w:sz w:val="18"/>
                <w:szCs w:val="18"/>
                <w:highlight w:val="none"/>
                <w:lang w:val="en-US" w:eastAsia="zh-CN" w:bidi="ar-SA"/>
              </w:rPr>
              <w:t>1</w:t>
            </w:r>
            <w:r>
              <w:rPr>
                <w:rStyle w:val="20"/>
                <w:rFonts w:hint="eastAsia" w:ascii="Calibri" w:hAnsi="Calibri" w:eastAsia="宋体"/>
                <w:color w:val="auto"/>
                <w:kern w:val="2"/>
                <w:sz w:val="18"/>
                <w:szCs w:val="18"/>
                <w:highlight w:val="none"/>
                <w:lang w:val="en-US" w:eastAsia="zh-CN" w:bidi="ar-SA"/>
              </w:rPr>
              <w:t>篇：电源和电磁兼容性</w:t>
            </w:r>
          </w:p>
        </w:tc>
      </w:tr>
      <w:tr w14:paraId="68F6CC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6933DC11">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15153.2</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5198063">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远动设备及系统</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工作条件</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第</w:t>
            </w:r>
            <w:r>
              <w:rPr>
                <w:rStyle w:val="20"/>
                <w:rFonts w:ascii="Calibri" w:hAnsi="Calibri" w:eastAsia="宋体"/>
                <w:color w:val="auto"/>
                <w:kern w:val="2"/>
                <w:sz w:val="18"/>
                <w:szCs w:val="18"/>
                <w:highlight w:val="none"/>
                <w:lang w:val="en-US" w:eastAsia="zh-CN" w:bidi="ar-SA"/>
              </w:rPr>
              <w:t>2</w:t>
            </w:r>
            <w:r>
              <w:rPr>
                <w:rStyle w:val="20"/>
                <w:rFonts w:hint="eastAsia" w:ascii="Calibri" w:hAnsi="Calibri" w:eastAsia="宋体"/>
                <w:color w:val="auto"/>
                <w:kern w:val="2"/>
                <w:sz w:val="18"/>
                <w:szCs w:val="18"/>
                <w:highlight w:val="none"/>
                <w:lang w:val="en-US" w:eastAsia="zh-CN" w:bidi="ar-SA"/>
              </w:rPr>
              <w:t>篇：环境条件（气候、机械和其他非电影响因素）</w:t>
            </w:r>
          </w:p>
        </w:tc>
      </w:tr>
      <w:tr w14:paraId="1B4A94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43B38A4B">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16435.1</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E0A8398">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远动设备及系统</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接口（电气特性）</w:t>
            </w:r>
          </w:p>
        </w:tc>
      </w:tr>
      <w:tr w14:paraId="1A4140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4D43F92">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17463.1</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5862BD0">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远动设备及系统</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性能要求</w:t>
            </w:r>
          </w:p>
        </w:tc>
      </w:tr>
      <w:tr w14:paraId="6C763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74E06BEE">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GB/T 17626</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1CCF26E8">
            <w:pPr>
              <w:pStyle w:val="8"/>
              <w:widowControl w:val="0"/>
              <w:topLinePunct/>
              <w:snapToGrid w:val="0"/>
              <w:spacing w:before="60" w:after="60" w:line="360" w:lineRule="auto"/>
              <w:ind w:left="42" w:leftChars="20" w:right="42" w:rightChars="20" w:firstLine="180" w:firstLineChars="100"/>
              <w:jc w:val="both"/>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电磁兼容</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试验和测量技术</w:t>
            </w:r>
          </w:p>
        </w:tc>
      </w:tr>
      <w:tr w14:paraId="1669C2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79205CDB">
            <w:pPr>
              <w:pStyle w:val="40"/>
              <w:widowControl w:val="0"/>
              <w:topLinePunct/>
              <w:snapToGrid w:val="0"/>
              <w:spacing w:before="60" w:after="6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DL/T 634.11</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65B85574">
            <w:pPr>
              <w:pStyle w:val="40"/>
              <w:widowControl w:val="0"/>
              <w:topLinePunct/>
              <w:snapToGrid w:val="0"/>
              <w:spacing w:before="60" w:after="6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远动设备及系统总则</w:t>
            </w:r>
            <w:r>
              <w:rPr>
                <w:rStyle w:val="20"/>
                <w:rFonts w:ascii="Times New Roman" w:hAnsi="Times New Roman" w:eastAsia="宋体"/>
                <w:color w:val="auto"/>
                <w:kern w:val="2"/>
                <w:sz w:val="18"/>
                <w:szCs w:val="18"/>
                <w:highlight w:val="none"/>
                <w:lang w:val="en-US" w:eastAsia="zh-CN" w:bidi="ar-SA"/>
              </w:rPr>
              <w:t xml:space="preserve">  </w:t>
            </w:r>
            <w:r>
              <w:rPr>
                <w:rStyle w:val="20"/>
                <w:rFonts w:hint="eastAsia" w:ascii="Times New Roman" w:hAnsi="Times New Roman" w:eastAsia="宋体"/>
                <w:color w:val="auto"/>
                <w:kern w:val="2"/>
                <w:sz w:val="18"/>
                <w:szCs w:val="18"/>
                <w:highlight w:val="none"/>
                <w:lang w:val="en-US" w:eastAsia="zh-CN" w:bidi="ar-SA"/>
              </w:rPr>
              <w:t>基本原则</w:t>
            </w:r>
          </w:p>
        </w:tc>
      </w:tr>
      <w:tr w14:paraId="1DE8DE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9221A07">
            <w:pPr>
              <w:pStyle w:val="40"/>
              <w:widowControl w:val="0"/>
              <w:topLinePunct/>
              <w:snapToGrid w:val="0"/>
              <w:spacing w:before="60" w:after="6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DL/T 448</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A2E1548">
            <w:pPr>
              <w:pStyle w:val="40"/>
              <w:widowControl w:val="0"/>
              <w:topLinePunct/>
              <w:snapToGrid w:val="0"/>
              <w:spacing w:before="60" w:after="6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电能计量装置技术管理规程</w:t>
            </w:r>
          </w:p>
        </w:tc>
      </w:tr>
      <w:tr w14:paraId="0D1FC7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1D192F5">
            <w:pPr>
              <w:pStyle w:val="40"/>
              <w:widowControl w:val="0"/>
              <w:topLinePunct/>
              <w:snapToGrid w:val="0"/>
              <w:spacing w:before="60" w:after="6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DL/T 645</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3E614311">
            <w:pPr>
              <w:pStyle w:val="40"/>
              <w:widowControl w:val="0"/>
              <w:topLinePunct/>
              <w:snapToGrid w:val="0"/>
              <w:spacing w:before="60" w:after="6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多功能电能表通信规约</w:t>
            </w:r>
          </w:p>
        </w:tc>
      </w:tr>
      <w:tr w14:paraId="2DD835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170352C">
            <w:pPr>
              <w:pStyle w:val="40"/>
              <w:widowControl w:val="0"/>
              <w:topLinePunct/>
              <w:snapToGrid w:val="0"/>
              <w:spacing w:before="60" w:after="6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DL/T 719 (idt IEC 60870-5-102)</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66755B79">
            <w:pPr>
              <w:pStyle w:val="40"/>
              <w:widowControl w:val="0"/>
              <w:topLinePunct/>
              <w:snapToGrid w:val="0"/>
              <w:spacing w:before="60" w:after="6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远动设备及系统</w:t>
            </w:r>
            <w:r>
              <w:rPr>
                <w:rStyle w:val="20"/>
                <w:rFonts w:ascii="Times New Roman" w:hAnsi="Times New Roman" w:eastAsia="宋体"/>
                <w:color w:val="auto"/>
                <w:kern w:val="2"/>
                <w:sz w:val="18"/>
                <w:szCs w:val="18"/>
                <w:highlight w:val="none"/>
                <w:lang w:val="en-US" w:eastAsia="zh-CN" w:bidi="ar-SA"/>
              </w:rPr>
              <w:t xml:space="preserve">  </w:t>
            </w:r>
            <w:r>
              <w:rPr>
                <w:rStyle w:val="20"/>
                <w:rFonts w:hint="eastAsia" w:ascii="Times New Roman" w:hAnsi="Times New Roman" w:eastAsia="宋体"/>
                <w:color w:val="auto"/>
                <w:kern w:val="2"/>
                <w:sz w:val="18"/>
                <w:szCs w:val="18"/>
                <w:highlight w:val="none"/>
                <w:lang w:val="en-US" w:eastAsia="zh-CN" w:bidi="ar-SA"/>
              </w:rPr>
              <w:t>第</w:t>
            </w:r>
            <w:r>
              <w:rPr>
                <w:rStyle w:val="20"/>
                <w:rFonts w:ascii="Times New Roman" w:hAnsi="Times New Roman" w:eastAsia="宋体"/>
                <w:color w:val="auto"/>
                <w:kern w:val="2"/>
                <w:sz w:val="18"/>
                <w:szCs w:val="18"/>
                <w:highlight w:val="none"/>
                <w:lang w:val="en-US" w:eastAsia="zh-CN" w:bidi="ar-SA"/>
              </w:rPr>
              <w:t>5</w:t>
            </w:r>
            <w:r>
              <w:rPr>
                <w:rStyle w:val="20"/>
                <w:rFonts w:hint="eastAsia" w:ascii="Times New Roman" w:hAnsi="Times New Roman" w:eastAsia="宋体"/>
                <w:color w:val="auto"/>
                <w:kern w:val="2"/>
                <w:sz w:val="18"/>
                <w:szCs w:val="18"/>
                <w:highlight w:val="none"/>
                <w:lang w:val="en-US" w:eastAsia="zh-CN" w:bidi="ar-SA"/>
              </w:rPr>
              <w:t>部分：传输规约</w:t>
            </w:r>
            <w:r>
              <w:rPr>
                <w:rStyle w:val="20"/>
                <w:rFonts w:ascii="Times New Roman" w:hAnsi="Times New Roman" w:eastAsia="宋体"/>
                <w:color w:val="auto"/>
                <w:kern w:val="2"/>
                <w:sz w:val="18"/>
                <w:szCs w:val="18"/>
                <w:highlight w:val="none"/>
                <w:lang w:val="en-US" w:eastAsia="zh-CN" w:bidi="ar-SA"/>
              </w:rPr>
              <w:t xml:space="preserve">  </w:t>
            </w:r>
            <w:r>
              <w:rPr>
                <w:rStyle w:val="20"/>
                <w:rFonts w:hint="eastAsia" w:ascii="Times New Roman" w:hAnsi="Times New Roman" w:eastAsia="宋体"/>
                <w:color w:val="auto"/>
                <w:kern w:val="2"/>
                <w:sz w:val="18"/>
                <w:szCs w:val="18"/>
                <w:highlight w:val="none"/>
                <w:lang w:val="en-US" w:eastAsia="zh-CN" w:bidi="ar-SA"/>
              </w:rPr>
              <w:t>第</w:t>
            </w:r>
            <w:r>
              <w:rPr>
                <w:rStyle w:val="20"/>
                <w:rFonts w:ascii="Times New Roman" w:hAnsi="Times New Roman" w:eastAsia="宋体"/>
                <w:color w:val="auto"/>
                <w:kern w:val="2"/>
                <w:sz w:val="18"/>
                <w:szCs w:val="18"/>
                <w:highlight w:val="none"/>
                <w:lang w:val="en-US" w:eastAsia="zh-CN" w:bidi="ar-SA"/>
              </w:rPr>
              <w:t>102</w:t>
            </w:r>
            <w:r>
              <w:rPr>
                <w:rStyle w:val="20"/>
                <w:rFonts w:hint="eastAsia" w:ascii="Times New Roman" w:hAnsi="Times New Roman" w:eastAsia="宋体"/>
                <w:color w:val="auto"/>
                <w:kern w:val="2"/>
                <w:sz w:val="18"/>
                <w:szCs w:val="18"/>
                <w:highlight w:val="none"/>
                <w:lang w:val="en-US" w:eastAsia="zh-CN" w:bidi="ar-SA"/>
              </w:rPr>
              <w:t>篇：电力系统电能累计量传输配套标准</w:t>
            </w:r>
          </w:p>
        </w:tc>
      </w:tr>
      <w:tr w14:paraId="67104B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7AC0C065">
            <w:pPr>
              <w:pStyle w:val="40"/>
              <w:widowControl w:val="0"/>
              <w:topLinePunct/>
              <w:snapToGrid w:val="0"/>
              <w:spacing w:before="60" w:after="6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 xml:space="preserve">DL/T698.32 </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11D8EB82">
            <w:pPr>
              <w:pStyle w:val="40"/>
              <w:widowControl w:val="0"/>
              <w:topLinePunct/>
              <w:snapToGrid w:val="0"/>
              <w:spacing w:before="60" w:after="6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厂站采集终端技术规范</w:t>
            </w:r>
          </w:p>
        </w:tc>
      </w:tr>
      <w:tr w14:paraId="7E433A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05687C7">
            <w:pPr>
              <w:pStyle w:val="40"/>
              <w:widowControl w:val="0"/>
              <w:topLinePunct/>
              <w:snapToGrid w:val="0"/>
              <w:spacing w:before="60" w:after="6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DL/T 5137</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19E5A0B0">
            <w:pPr>
              <w:pStyle w:val="40"/>
              <w:widowControl w:val="0"/>
              <w:topLinePunct/>
              <w:snapToGrid w:val="0"/>
              <w:spacing w:before="60" w:after="6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电测量及电能计量装置设计技术规程</w:t>
            </w:r>
          </w:p>
        </w:tc>
      </w:tr>
      <w:tr w14:paraId="18BE47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67EE4CE2">
            <w:pPr>
              <w:pStyle w:val="40"/>
              <w:widowControl w:val="0"/>
              <w:topLinePunct/>
              <w:snapToGrid w:val="0"/>
              <w:spacing w:before="60" w:after="6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Q/GDW 376.1</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2A61C2B9">
            <w:pPr>
              <w:pStyle w:val="40"/>
              <w:widowControl w:val="0"/>
              <w:topLinePunct/>
              <w:snapToGrid w:val="0"/>
              <w:spacing w:before="60" w:after="6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主站与采集终端通信协议</w:t>
            </w:r>
          </w:p>
        </w:tc>
      </w:tr>
      <w:tr w14:paraId="493EFC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F49D623">
            <w:pPr>
              <w:pStyle w:val="40"/>
              <w:widowControl w:val="0"/>
              <w:topLinePunct/>
              <w:snapToGrid w:val="0"/>
              <w:spacing w:before="60" w:after="60" w:line="360" w:lineRule="auto"/>
              <w:jc w:val="center"/>
              <w:rPr>
                <w:rStyle w:val="20"/>
                <w:rFonts w:ascii="Times New Roman" w:hAnsi="Times New Roman" w:eastAsia="宋体"/>
                <w:color w:val="auto"/>
                <w:kern w:val="2"/>
                <w:sz w:val="18"/>
                <w:szCs w:val="18"/>
                <w:highlight w:val="none"/>
                <w:lang w:val="en-US" w:eastAsia="zh-CN" w:bidi="ar-SA"/>
              </w:rPr>
            </w:pPr>
            <w:r>
              <w:rPr>
                <w:rFonts w:hint="eastAsia" w:ascii="宋体"/>
                <w:color w:val="auto"/>
                <w:sz w:val="18"/>
                <w:szCs w:val="18"/>
                <w:highlight w:val="none"/>
                <w:lang w:val="en-US" w:eastAsia="zh-CN"/>
              </w:rPr>
              <w:t xml:space="preserve">西电调字【2023】50号 </w:t>
            </w:r>
          </w:p>
        </w:tc>
        <w:tc>
          <w:tcPr>
            <w:tcW w:w="583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5138CED1">
            <w:pPr>
              <w:pStyle w:val="40"/>
              <w:widowControl w:val="0"/>
              <w:topLinePunct/>
              <w:snapToGrid w:val="0"/>
              <w:spacing w:before="60" w:after="60" w:line="360" w:lineRule="auto"/>
              <w:ind w:left="42" w:leftChars="20" w:right="42" w:rightChars="20" w:firstLine="180" w:firstLineChars="100"/>
              <w:jc w:val="both"/>
              <w:rPr>
                <w:rStyle w:val="20"/>
                <w:rFonts w:hint="eastAsia" w:ascii="Times New Roman" w:hAnsi="Times New Roman" w:eastAsia="宋体"/>
                <w:color w:val="auto"/>
                <w:kern w:val="2"/>
                <w:sz w:val="18"/>
                <w:szCs w:val="18"/>
                <w:highlight w:val="none"/>
                <w:lang w:val="en-US" w:eastAsia="zh-CN" w:bidi="ar-SA"/>
              </w:rPr>
            </w:pPr>
            <w:r>
              <w:rPr>
                <w:rFonts w:hint="eastAsia" w:ascii="宋体"/>
                <w:color w:val="auto"/>
                <w:sz w:val="18"/>
                <w:szCs w:val="18"/>
                <w:highlight w:val="none"/>
                <w:lang w:val="en-US" w:eastAsia="zh-CN"/>
              </w:rPr>
              <w:t>国家电网有限公司西北分部调度控制中心关于印发《国网西北分部调度控制中心直调厂站自动化设备接入规范》的通知</w:t>
            </w:r>
          </w:p>
        </w:tc>
      </w:tr>
      <w:tr w14:paraId="354051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861" w:type="dxa"/>
            <w:tcBorders>
              <w:top w:val="single" w:color="auto" w:sz="4" w:space="0"/>
              <w:left w:val="single" w:color="auto" w:sz="8" w:space="0"/>
              <w:bottom w:val="single" w:color="auto" w:sz="8" w:space="0"/>
              <w:right w:val="single" w:color="auto" w:sz="4" w:space="0"/>
            </w:tcBorders>
            <w:noWrap w:val="0"/>
            <w:tcMar>
              <w:top w:w="0" w:type="dxa"/>
              <w:left w:w="0" w:type="dxa"/>
              <w:bottom w:w="0" w:type="dxa"/>
              <w:right w:w="0" w:type="dxa"/>
            </w:tcMar>
            <w:vAlign w:val="center"/>
          </w:tcPr>
          <w:p w14:paraId="78D48DF3">
            <w:pPr>
              <w:pStyle w:val="40"/>
              <w:widowControl w:val="0"/>
              <w:topLinePunct/>
              <w:snapToGrid w:val="0"/>
              <w:spacing w:before="60" w:after="60" w:line="360" w:lineRule="auto"/>
              <w:jc w:val="center"/>
              <w:rPr>
                <w:rFonts w:hint="eastAsia" w:ascii="宋体"/>
                <w:color w:val="auto"/>
                <w:sz w:val="18"/>
                <w:szCs w:val="18"/>
                <w:highlight w:val="none"/>
                <w:lang w:val="en-US" w:eastAsia="zh-CN"/>
              </w:rPr>
            </w:pPr>
            <w:r>
              <w:rPr>
                <w:rFonts w:hint="eastAsia" w:ascii="宋体"/>
                <w:color w:val="auto"/>
                <w:sz w:val="18"/>
                <w:szCs w:val="18"/>
                <w:highlight w:val="none"/>
                <w:lang w:val="en-US" w:eastAsia="zh-CN"/>
              </w:rPr>
              <w:t>西北调控〔2023〕274号</w:t>
            </w:r>
          </w:p>
        </w:tc>
        <w:tc>
          <w:tcPr>
            <w:tcW w:w="5834" w:type="dxa"/>
            <w:tcBorders>
              <w:top w:val="single" w:color="auto" w:sz="4" w:space="0"/>
              <w:left w:val="single" w:color="auto" w:sz="4" w:space="0"/>
              <w:bottom w:val="single" w:color="auto" w:sz="8" w:space="0"/>
              <w:right w:val="single" w:color="auto" w:sz="8" w:space="0"/>
            </w:tcBorders>
            <w:noWrap w:val="0"/>
            <w:tcMar>
              <w:top w:w="0" w:type="dxa"/>
              <w:left w:w="0" w:type="dxa"/>
              <w:bottom w:w="0" w:type="dxa"/>
              <w:right w:w="0" w:type="dxa"/>
            </w:tcMar>
            <w:vAlign w:val="center"/>
          </w:tcPr>
          <w:p w14:paraId="5ED70D1A">
            <w:pPr>
              <w:pStyle w:val="40"/>
              <w:widowControl w:val="0"/>
              <w:topLinePunct/>
              <w:snapToGrid w:val="0"/>
              <w:spacing w:before="60" w:after="60" w:line="360" w:lineRule="auto"/>
              <w:ind w:left="42" w:leftChars="20" w:right="42" w:rightChars="20" w:firstLine="180" w:firstLineChars="100"/>
              <w:jc w:val="both"/>
              <w:rPr>
                <w:rFonts w:hint="eastAsia" w:ascii="宋体"/>
                <w:color w:val="auto"/>
                <w:sz w:val="18"/>
                <w:szCs w:val="18"/>
                <w:highlight w:val="none"/>
                <w:lang w:val="en-US" w:eastAsia="zh-CN"/>
              </w:rPr>
            </w:pPr>
            <w:r>
              <w:rPr>
                <w:rFonts w:hint="eastAsia" w:ascii="宋体"/>
                <w:color w:val="auto"/>
                <w:sz w:val="18"/>
                <w:szCs w:val="18"/>
                <w:highlight w:val="none"/>
                <w:lang w:val="en-US" w:eastAsia="zh-CN"/>
              </w:rPr>
              <w:t>国家电网有限公司西北分部关于印发《750千伏基建（技改）工程继电保护和安全自动装置设计审查要点（2023 版）》的通知</w:t>
            </w:r>
          </w:p>
        </w:tc>
      </w:tr>
    </w:tbl>
    <w:p w14:paraId="1D6E4BF6">
      <w:pPr>
        <w:pStyle w:val="8"/>
        <w:spacing w:line="360" w:lineRule="auto"/>
        <w:rPr>
          <w:rStyle w:val="20"/>
          <w:rFonts w:ascii="宋体" w:hAnsi="宋体"/>
          <w:color w:val="auto"/>
          <w:sz w:val="24"/>
          <w:szCs w:val="24"/>
          <w:highlight w:val="none"/>
        </w:rPr>
      </w:pPr>
      <w:r>
        <w:rPr>
          <w:rStyle w:val="20"/>
          <w:rFonts w:hint="eastAsia" w:ascii="宋体" w:hAnsi="宋体"/>
          <w:color w:val="auto"/>
          <w:sz w:val="24"/>
          <w:szCs w:val="24"/>
          <w:highlight w:val="none"/>
        </w:rPr>
        <w:t xml:space="preserve">    这些规范和标准提出了最基本要求，如果根据投标人的意见并经用户接受，使用优于或更为经济的设计或材料,并能使投标人设备良好地、连续地在本规范所规定的条件下运行时，则这些标准也可以由投标人超越。</w:t>
      </w:r>
    </w:p>
    <w:p w14:paraId="3E8E6E4A">
      <w:pPr>
        <w:pStyle w:val="8"/>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2.4 如果投标人选用本标书上规定以外的标准时，则需提交这种替换标准供审查和分析，仅在投标人已证明替换标准相当或优于标书规定的标准，并从招标人处获得书面认可后才能使用。提供审查的标准应为中文版本。</w:t>
      </w:r>
    </w:p>
    <w:p w14:paraId="77387482">
      <w:pPr>
        <w:pStyle w:val="8"/>
        <w:snapToGrid w:val="0"/>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2.5  当标准、规范之间出现矛盾时，投标人应将矛盾情况提交招标人，以便在开始生产前制定解决方案。</w:t>
      </w:r>
    </w:p>
    <w:p w14:paraId="56671EB1">
      <w:pPr>
        <w:pStyle w:val="8"/>
        <w:snapToGrid w:val="0"/>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2.6  所有螺栓、双头螺栓、螺纹、管螺纹、螺栓夹及螺母均应遵守国际标准化组织(ISO)和国际单位制(SI)的标准。</w:t>
      </w:r>
    </w:p>
    <w:p w14:paraId="4D40C2B7">
      <w:pPr>
        <w:pStyle w:val="8"/>
        <w:snapToGrid w:val="0"/>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2.7  合同签订后1个月，投标人提出合同设备的设计﹑制造﹑装配﹑安装﹑调试﹑试运﹑验收﹑试验﹑运行和维护等标准清单给招标人，招标人确认。</w:t>
      </w:r>
    </w:p>
    <w:p w14:paraId="4B57EE15">
      <w:pPr>
        <w:pStyle w:val="8"/>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2.8  投标人所供设备除满足以上及相关的标准外还应满足有关的安全、消防、环境保护等标准。</w:t>
      </w:r>
    </w:p>
    <w:p w14:paraId="6553E83B">
      <w:pPr>
        <w:pStyle w:val="8"/>
        <w:tabs>
          <w:tab w:val="left" w:pos="720"/>
        </w:tabs>
        <w:spacing w:before="72" w:beforeLines="30" w:after="72" w:afterLines="30" w:line="360" w:lineRule="auto"/>
        <w:rPr>
          <w:rStyle w:val="20"/>
          <w:rFonts w:hint="eastAsia" w:ascii="宋体" w:hAnsi="宋体" w:cs="宋体"/>
          <w:b/>
          <w:color w:val="auto"/>
          <w:sz w:val="28"/>
          <w:szCs w:val="28"/>
          <w:highlight w:val="none"/>
        </w:rPr>
      </w:pPr>
      <w:r>
        <w:rPr>
          <w:rStyle w:val="20"/>
          <w:rFonts w:hint="eastAsia" w:ascii="宋体" w:hAnsi="宋体" w:cs="宋体"/>
          <w:b/>
          <w:color w:val="auto"/>
          <w:sz w:val="28"/>
          <w:szCs w:val="28"/>
          <w:highlight w:val="none"/>
        </w:rPr>
        <w:t>3 工程概况</w:t>
      </w:r>
    </w:p>
    <w:p w14:paraId="655770F3">
      <w:pPr>
        <w:pStyle w:val="8"/>
        <w:spacing w:line="360" w:lineRule="auto"/>
        <w:rPr>
          <w:rStyle w:val="20"/>
          <w:rFonts w:hint="eastAsia" w:asciiTheme="minorEastAsia" w:hAnsiTheme="minorEastAsia" w:eastAsiaTheme="minorEastAsia" w:cstheme="minorEastAsia"/>
          <w:b/>
          <w:color w:val="auto"/>
          <w:sz w:val="24"/>
          <w:szCs w:val="24"/>
          <w:highlight w:val="none"/>
        </w:rPr>
      </w:pPr>
      <w:r>
        <w:rPr>
          <w:rStyle w:val="20"/>
          <w:rFonts w:hint="eastAsia" w:asciiTheme="minorEastAsia" w:hAnsiTheme="minorEastAsia" w:eastAsiaTheme="minorEastAsia" w:cstheme="minorEastAsia"/>
          <w:b/>
          <w:color w:val="auto"/>
          <w:sz w:val="24"/>
          <w:szCs w:val="24"/>
          <w:highlight w:val="none"/>
        </w:rPr>
        <w:t>3.1厂址条件：</w:t>
      </w:r>
    </w:p>
    <w:p w14:paraId="5CD1BCB2">
      <w:pPr>
        <w:pStyle w:val="8"/>
        <w:spacing w:line="360" w:lineRule="auto"/>
        <w:ind w:firstLine="480" w:firstLineChars="200"/>
        <w:rPr>
          <w:rStyle w:val="20"/>
          <w:rFonts w:hint="eastAsia" w:ascii="宋体" w:hAnsi="宋体" w:eastAsiaTheme="minorEastAsia" w:cstheme="minorBidi"/>
          <w:color w:val="auto"/>
          <w:sz w:val="24"/>
          <w:szCs w:val="24"/>
          <w:highlight w:val="none"/>
        </w:rPr>
      </w:pPr>
      <w:r>
        <w:rPr>
          <w:rStyle w:val="20"/>
          <w:rFonts w:hint="eastAsia" w:ascii="宋体" w:hAnsi="宋体" w:eastAsiaTheme="minorEastAsia" w:cstheme="minorBidi"/>
          <w:color w:val="auto"/>
          <w:sz w:val="24"/>
          <w:szCs w:val="24"/>
          <w:highlight w:val="none"/>
        </w:rPr>
        <w:t>浙能武威2×1000MW调峰火电机组工程位于甘肃省武威市境内。</w:t>
      </w:r>
    </w:p>
    <w:p w14:paraId="3A1CC9E2">
      <w:pPr>
        <w:pStyle w:val="8"/>
        <w:spacing w:line="360" w:lineRule="auto"/>
        <w:ind w:firstLine="480" w:firstLineChars="200"/>
        <w:rPr>
          <w:rStyle w:val="20"/>
          <w:rFonts w:hint="eastAsia" w:ascii="宋体" w:hAnsi="宋体" w:eastAsiaTheme="minorEastAsia" w:cstheme="minorBidi"/>
          <w:color w:val="auto"/>
          <w:sz w:val="24"/>
          <w:szCs w:val="24"/>
          <w:highlight w:val="none"/>
        </w:rPr>
      </w:pPr>
      <w:r>
        <w:rPr>
          <w:rStyle w:val="20"/>
          <w:rFonts w:hint="eastAsia" w:ascii="宋体" w:hAnsi="宋体" w:eastAsiaTheme="minorEastAsia" w:cstheme="minorBidi"/>
          <w:color w:val="auto"/>
          <w:sz w:val="24"/>
          <w:szCs w:val="24"/>
          <w:highlight w:val="none"/>
        </w:rPr>
        <w:t>武威市地处甘肃省中部，河西走廊东端，北纬36°29′—39°27′，东经101°49′—104°16′之间，南北长326km，东西宽204km，总面积3.23×104km2，是沿丝绸之路自东而西进入河西走廊和新疆的东大门，东接兰州，南靠西宁，北邻银川和内蒙古，西通新疆，地处亚欧大陆桥的咽喉位置，处于兰州、银川、西宁城市经济圈的中心位置和西陇海兰新经济带的中间地带。</w:t>
      </w:r>
    </w:p>
    <w:p w14:paraId="1DDF13DC">
      <w:pPr>
        <w:pStyle w:val="8"/>
        <w:spacing w:line="360" w:lineRule="auto"/>
        <w:rPr>
          <w:rStyle w:val="20"/>
          <w:rFonts w:hint="eastAsia" w:ascii="宋体" w:hAnsi="宋体" w:eastAsiaTheme="minorEastAsia" w:cstheme="minorBidi"/>
          <w:color w:val="auto"/>
          <w:sz w:val="24"/>
          <w:szCs w:val="24"/>
          <w:highlight w:val="none"/>
        </w:rPr>
      </w:pPr>
      <w:r>
        <w:rPr>
          <w:rStyle w:val="20"/>
          <w:rFonts w:hint="eastAsia" w:ascii="宋体" w:hAnsi="宋体" w:eastAsiaTheme="minorEastAsia" w:cstheme="minorBidi"/>
          <w:color w:val="auto"/>
          <w:sz w:val="24"/>
          <w:szCs w:val="24"/>
          <w:highlight w:val="none"/>
        </w:rPr>
        <w:t>武威市东南距兰州市约276km，西北距金昌约74km。属黄土、青藏、蒙新三大高原的交汇地带，东靠白银市、兰州市，南部隔祁连山与青海省为邻，西与张掖市、金昌市接壤，北与内蒙古相连。</w:t>
      </w:r>
    </w:p>
    <w:p w14:paraId="0DC70E90">
      <w:pPr>
        <w:pStyle w:val="8"/>
        <w:spacing w:line="360" w:lineRule="auto"/>
        <w:ind w:firstLine="480" w:firstLineChars="200"/>
        <w:rPr>
          <w:rStyle w:val="20"/>
          <w:rFonts w:hint="eastAsia" w:ascii="宋体" w:hAnsi="宋体" w:eastAsiaTheme="minorEastAsia" w:cstheme="minorBidi"/>
          <w:color w:val="auto"/>
          <w:sz w:val="24"/>
          <w:szCs w:val="24"/>
          <w:highlight w:val="none"/>
        </w:rPr>
      </w:pPr>
      <w:r>
        <w:rPr>
          <w:rStyle w:val="20"/>
          <w:rFonts w:hint="eastAsia" w:ascii="宋体" w:hAnsi="宋体" w:eastAsiaTheme="minorEastAsia" w:cstheme="minorBidi"/>
          <w:color w:val="auto"/>
          <w:sz w:val="24"/>
          <w:szCs w:val="24"/>
          <w:highlight w:val="none"/>
        </w:rPr>
        <w:t>本项目所在地民勤县红沙岗能源化工工业集中区，是武威市重点打造的产业集聚平台，区域内风能、光能以及矿产资源分布广、储量大，是全县工业资源最为丰富的地区，重点发展能源与材料产业、绿色精细化工产业、农畜产品精深加工三大产业，集能源利用、绿色食品、装备制造、商贸物流等于一体的创新型工业园区。</w:t>
      </w:r>
    </w:p>
    <w:p w14:paraId="4FF4EC10">
      <w:pPr>
        <w:pStyle w:val="8"/>
        <w:spacing w:line="360" w:lineRule="auto"/>
        <w:rPr>
          <w:rStyle w:val="20"/>
          <w:rFonts w:hint="eastAsia" w:ascii="宋体" w:hAnsi="宋体" w:eastAsiaTheme="minorEastAsia" w:cstheme="minorBidi"/>
          <w:color w:val="auto"/>
          <w:sz w:val="24"/>
          <w:szCs w:val="24"/>
          <w:highlight w:val="none"/>
        </w:rPr>
      </w:pPr>
      <w:r>
        <w:rPr>
          <w:rStyle w:val="20"/>
          <w:rFonts w:hint="eastAsia" w:ascii="宋体" w:hAnsi="宋体" w:eastAsiaTheme="minorEastAsia" w:cstheme="minorBidi"/>
          <w:color w:val="auto"/>
          <w:sz w:val="24"/>
          <w:szCs w:val="24"/>
          <w:highlight w:val="none"/>
        </w:rPr>
        <w:t>红沙岗厂址位于甘肃省武威市民勤县红沙岗镇红沙岗矿区一矿西南侧，二矿的东北侧。东侧为金阿铁路，北临民西公路，西南距红沙岗镇约9km。</w:t>
      </w:r>
    </w:p>
    <w:p w14:paraId="77A3733F">
      <w:pPr>
        <w:pStyle w:val="8"/>
        <w:spacing w:line="360" w:lineRule="auto"/>
        <w:ind w:firstLine="480" w:firstLineChars="200"/>
        <w:rPr>
          <w:rStyle w:val="20"/>
          <w:rFonts w:hint="eastAsia" w:ascii="宋体" w:hAnsi="宋体" w:eastAsiaTheme="minorEastAsia" w:cstheme="minorBidi"/>
          <w:color w:val="auto"/>
          <w:sz w:val="24"/>
          <w:szCs w:val="24"/>
          <w:highlight w:val="none"/>
        </w:rPr>
      </w:pPr>
      <w:r>
        <w:rPr>
          <w:rStyle w:val="20"/>
          <w:rFonts w:hint="eastAsia" w:ascii="宋体" w:hAnsi="宋体" w:eastAsiaTheme="minorEastAsia" w:cstheme="minorBidi"/>
          <w:color w:val="auto"/>
          <w:sz w:val="24"/>
          <w:szCs w:val="24"/>
          <w:highlight w:val="none"/>
        </w:rPr>
        <w:t>厂址地形平坦，呈北高南低之势，海拔在1433～1427m之间，自然坡度约为0.6%。可供利用场地东西长约1.2km，南北宽约1.0km，可利用面积约120hm2，满足2×1000MW机组厂区及施工区的用地要求。</w:t>
      </w:r>
    </w:p>
    <w:p w14:paraId="65FA55B3">
      <w:pPr>
        <w:pStyle w:val="8"/>
        <w:spacing w:line="360" w:lineRule="auto"/>
        <w:rPr>
          <w:rStyle w:val="20"/>
          <w:rFonts w:hint="eastAsia" w:asciiTheme="minorEastAsia" w:hAnsiTheme="minorEastAsia" w:eastAsiaTheme="minorEastAsia" w:cstheme="minorEastAsia"/>
          <w:b/>
          <w:color w:val="auto"/>
          <w:sz w:val="24"/>
          <w:szCs w:val="24"/>
          <w:highlight w:val="none"/>
        </w:rPr>
      </w:pPr>
      <w:r>
        <w:rPr>
          <w:rStyle w:val="20"/>
          <w:rFonts w:hint="eastAsia" w:asciiTheme="minorEastAsia" w:hAnsiTheme="minorEastAsia" w:eastAsiaTheme="minorEastAsia" w:cstheme="minorEastAsia"/>
          <w:b/>
          <w:color w:val="auto"/>
          <w:sz w:val="24"/>
          <w:szCs w:val="24"/>
          <w:highlight w:val="none"/>
        </w:rPr>
        <w:t>3.2气象特征与环境条件</w:t>
      </w:r>
      <w:r>
        <w:rPr>
          <w:rStyle w:val="20"/>
          <w:rFonts w:hint="eastAsia" w:asciiTheme="minorEastAsia" w:hAnsiTheme="minorEastAsia" w:eastAsiaTheme="minorEastAsia" w:cstheme="minorEastAsia"/>
          <w:b/>
          <w:color w:val="auto"/>
          <w:sz w:val="24"/>
          <w:szCs w:val="24"/>
          <w:highlight w:val="none"/>
        </w:rPr>
        <w:tab/>
      </w:r>
    </w:p>
    <w:p w14:paraId="71E92B80">
      <w:pPr>
        <w:pStyle w:val="8"/>
        <w:spacing w:line="360" w:lineRule="auto"/>
        <w:rPr>
          <w:rStyle w:val="20"/>
          <w:rFonts w:ascii="宋体" w:hAnsi="Times New Roman"/>
          <w:color w:val="auto"/>
          <w:sz w:val="24"/>
          <w:szCs w:val="24"/>
          <w:highlight w:val="none"/>
        </w:rPr>
      </w:pPr>
      <w:r>
        <w:rPr>
          <w:rStyle w:val="20"/>
          <w:rFonts w:hint="eastAsia" w:ascii="宋体" w:hAnsi="宋体"/>
          <w:color w:val="auto"/>
          <w:sz w:val="24"/>
          <w:szCs w:val="24"/>
          <w:highlight w:val="none"/>
        </w:rPr>
        <w:t>3.2.1</w:t>
      </w:r>
      <w:r>
        <w:rPr>
          <w:rStyle w:val="20"/>
          <w:rFonts w:hint="eastAsia" w:ascii="宋体"/>
          <w:color w:val="auto"/>
          <w:sz w:val="24"/>
          <w:szCs w:val="24"/>
          <w:highlight w:val="none"/>
        </w:rPr>
        <w:t>气象</w:t>
      </w:r>
      <w:r>
        <w:rPr>
          <w:rStyle w:val="20"/>
          <w:rFonts w:hint="eastAsia" w:hAnsi="宋体"/>
          <w:bCs/>
          <w:color w:val="auto"/>
          <w:sz w:val="24"/>
          <w:szCs w:val="24"/>
          <w:highlight w:val="none"/>
        </w:rPr>
        <w:t>特征</w:t>
      </w:r>
    </w:p>
    <w:p w14:paraId="1115B281">
      <w:pPr>
        <w:pStyle w:val="8"/>
        <w:spacing w:line="360" w:lineRule="auto"/>
        <w:ind w:firstLine="480" w:firstLineChars="200"/>
        <w:rPr>
          <w:rStyle w:val="20"/>
          <w:rFonts w:hint="eastAsia" w:ascii="宋体" w:hAnsi="宋体" w:eastAsiaTheme="minorEastAsia" w:cstheme="minorBidi"/>
          <w:color w:val="auto"/>
          <w:sz w:val="24"/>
          <w:szCs w:val="24"/>
          <w:highlight w:val="none"/>
        </w:rPr>
      </w:pPr>
      <w:r>
        <w:rPr>
          <w:rStyle w:val="20"/>
          <w:rFonts w:hint="eastAsia" w:ascii="宋体" w:hAnsi="宋体" w:eastAsiaTheme="minorEastAsia" w:cstheme="minorBidi"/>
          <w:color w:val="auto"/>
          <w:sz w:val="24"/>
          <w:szCs w:val="24"/>
          <w:highlight w:val="none"/>
        </w:rPr>
        <w:t>民勤属温带大陆性极干旱气候区，具有明显的蒙新沙漠气候特征。常年干燥、降水少，蒸发大，冬冷夏热，昼夜温差悬殊，日照长，风沙多。</w:t>
      </w:r>
    </w:p>
    <w:p w14:paraId="0C21C383">
      <w:pPr>
        <w:pStyle w:val="8"/>
        <w:spacing w:line="360" w:lineRule="auto"/>
        <w:rPr>
          <w:rStyle w:val="20"/>
          <w:rFonts w:hint="eastAsia" w:ascii="宋体" w:hAnsi="宋体" w:eastAsiaTheme="minorEastAsia" w:cstheme="minorBidi"/>
          <w:color w:val="auto"/>
          <w:sz w:val="24"/>
          <w:szCs w:val="24"/>
          <w:highlight w:val="none"/>
        </w:rPr>
      </w:pPr>
      <w:r>
        <w:rPr>
          <w:rStyle w:val="20"/>
          <w:rFonts w:hint="eastAsia" w:ascii="宋体" w:hAnsi="宋体" w:eastAsiaTheme="minorEastAsia" w:cstheme="minorBidi"/>
          <w:color w:val="auto"/>
          <w:sz w:val="24"/>
          <w:szCs w:val="24"/>
          <w:highlight w:val="none"/>
        </w:rPr>
        <w:t>根据民勤气象站多年实测资料统计，求得累年基本气象要素值见下表。</w:t>
      </w:r>
    </w:p>
    <w:tbl>
      <w:tblPr>
        <w:tblStyle w:val="19"/>
        <w:tblW w:w="4872"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621"/>
        <w:gridCol w:w="1213"/>
        <w:gridCol w:w="1414"/>
        <w:gridCol w:w="2415"/>
      </w:tblGrid>
      <w:tr w14:paraId="2B79F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085DDE77">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要素</w:t>
            </w:r>
          </w:p>
        </w:tc>
        <w:tc>
          <w:tcPr>
            <w:tcW w:w="700" w:type="pct"/>
            <w:tcBorders>
              <w:top w:val="single" w:color="000000" w:sz="4" w:space="0"/>
              <w:left w:val="nil"/>
              <w:bottom w:val="single" w:color="000000" w:sz="4" w:space="0"/>
              <w:right w:val="single" w:color="000000" w:sz="4" w:space="0"/>
            </w:tcBorders>
            <w:noWrap w:val="0"/>
            <w:vAlign w:val="center"/>
          </w:tcPr>
          <w:p w14:paraId="188D62B9">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单位</w:t>
            </w:r>
          </w:p>
        </w:tc>
        <w:tc>
          <w:tcPr>
            <w:tcW w:w="816" w:type="pct"/>
            <w:tcBorders>
              <w:top w:val="single" w:color="000000" w:sz="4" w:space="0"/>
              <w:left w:val="nil"/>
              <w:bottom w:val="single" w:color="000000" w:sz="4" w:space="0"/>
              <w:right w:val="single" w:color="000000" w:sz="4" w:space="0"/>
            </w:tcBorders>
            <w:noWrap/>
            <w:vAlign w:val="center"/>
          </w:tcPr>
          <w:p w14:paraId="16298AB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数值</w:t>
            </w:r>
          </w:p>
        </w:tc>
        <w:tc>
          <w:tcPr>
            <w:tcW w:w="1393" w:type="pct"/>
            <w:tcBorders>
              <w:top w:val="single" w:color="000000" w:sz="4" w:space="0"/>
              <w:left w:val="nil"/>
              <w:bottom w:val="single" w:color="000000" w:sz="4" w:space="0"/>
              <w:right w:val="single" w:color="000000" w:sz="4" w:space="0"/>
            </w:tcBorders>
            <w:noWrap/>
            <w:vAlign w:val="center"/>
          </w:tcPr>
          <w:p w14:paraId="02687AA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备注</w:t>
            </w:r>
          </w:p>
        </w:tc>
      </w:tr>
      <w:tr w14:paraId="14E3E8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17208B63">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多年平均气温：</w:t>
            </w:r>
          </w:p>
        </w:tc>
        <w:tc>
          <w:tcPr>
            <w:tcW w:w="700" w:type="pct"/>
            <w:tcBorders>
              <w:top w:val="single" w:color="000000" w:sz="4" w:space="0"/>
              <w:left w:val="nil"/>
              <w:bottom w:val="single" w:color="000000" w:sz="4" w:space="0"/>
              <w:right w:val="single" w:color="000000" w:sz="4" w:space="0"/>
            </w:tcBorders>
            <w:noWrap w:val="0"/>
            <w:vAlign w:val="center"/>
          </w:tcPr>
          <w:p w14:paraId="25BB87D9">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68EFC660">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8.3</w:t>
            </w:r>
          </w:p>
        </w:tc>
        <w:tc>
          <w:tcPr>
            <w:tcW w:w="1393" w:type="pct"/>
            <w:tcBorders>
              <w:top w:val="single" w:color="000000" w:sz="4" w:space="0"/>
              <w:left w:val="nil"/>
              <w:bottom w:val="single" w:color="000000" w:sz="4" w:space="0"/>
              <w:right w:val="single" w:color="000000" w:sz="4" w:space="0"/>
            </w:tcBorders>
            <w:noWrap/>
            <w:vAlign w:val="center"/>
          </w:tcPr>
          <w:p w14:paraId="7FE722C0">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58FAE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565FB9B6">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最热月平均气温</w:t>
            </w:r>
          </w:p>
        </w:tc>
        <w:tc>
          <w:tcPr>
            <w:tcW w:w="700" w:type="pct"/>
            <w:tcBorders>
              <w:top w:val="single" w:color="000000" w:sz="4" w:space="0"/>
              <w:left w:val="nil"/>
              <w:bottom w:val="single" w:color="000000" w:sz="4" w:space="0"/>
              <w:right w:val="single" w:color="000000" w:sz="4" w:space="0"/>
            </w:tcBorders>
            <w:noWrap w:val="0"/>
            <w:vAlign w:val="center"/>
          </w:tcPr>
          <w:p w14:paraId="7BADEEB7">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198AEA2C">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23.2</w:t>
            </w:r>
          </w:p>
        </w:tc>
        <w:tc>
          <w:tcPr>
            <w:tcW w:w="1393" w:type="pct"/>
            <w:tcBorders>
              <w:top w:val="single" w:color="000000" w:sz="4" w:space="0"/>
              <w:left w:val="nil"/>
              <w:bottom w:val="single" w:color="000000" w:sz="4" w:space="0"/>
              <w:right w:val="single" w:color="000000" w:sz="4" w:space="0"/>
            </w:tcBorders>
            <w:noWrap/>
            <w:vAlign w:val="center"/>
          </w:tcPr>
          <w:p w14:paraId="0E16BD0D">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7月</w:t>
            </w:r>
          </w:p>
        </w:tc>
      </w:tr>
      <w:tr w14:paraId="30343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270C689F">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最冷月平均气温</w:t>
            </w:r>
          </w:p>
        </w:tc>
        <w:tc>
          <w:tcPr>
            <w:tcW w:w="700" w:type="pct"/>
            <w:tcBorders>
              <w:top w:val="single" w:color="000000" w:sz="4" w:space="0"/>
              <w:left w:val="nil"/>
              <w:bottom w:val="single" w:color="000000" w:sz="4" w:space="0"/>
              <w:right w:val="single" w:color="000000" w:sz="4" w:space="0"/>
            </w:tcBorders>
            <w:noWrap w:val="0"/>
            <w:vAlign w:val="center"/>
          </w:tcPr>
          <w:p w14:paraId="73373130">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3A0CF929">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-8.6</w:t>
            </w:r>
          </w:p>
        </w:tc>
        <w:tc>
          <w:tcPr>
            <w:tcW w:w="1393" w:type="pct"/>
            <w:tcBorders>
              <w:top w:val="single" w:color="000000" w:sz="4" w:space="0"/>
              <w:left w:val="nil"/>
              <w:bottom w:val="single" w:color="000000" w:sz="4" w:space="0"/>
              <w:right w:val="single" w:color="000000" w:sz="4" w:space="0"/>
            </w:tcBorders>
            <w:noWrap/>
            <w:vAlign w:val="center"/>
          </w:tcPr>
          <w:p w14:paraId="1CB831F9">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1月</w:t>
            </w:r>
          </w:p>
        </w:tc>
      </w:tr>
      <w:tr w14:paraId="4E021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5C8122D5">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极端最高气温：</w:t>
            </w:r>
          </w:p>
        </w:tc>
        <w:tc>
          <w:tcPr>
            <w:tcW w:w="700" w:type="pct"/>
            <w:tcBorders>
              <w:top w:val="single" w:color="000000" w:sz="4" w:space="0"/>
              <w:left w:val="nil"/>
              <w:bottom w:val="single" w:color="000000" w:sz="4" w:space="0"/>
              <w:right w:val="single" w:color="000000" w:sz="4" w:space="0"/>
            </w:tcBorders>
            <w:noWrap w:val="0"/>
            <w:vAlign w:val="center"/>
          </w:tcPr>
          <w:p w14:paraId="0A707076">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712E180B">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41.7</w:t>
            </w:r>
          </w:p>
        </w:tc>
        <w:tc>
          <w:tcPr>
            <w:tcW w:w="1393" w:type="pct"/>
            <w:tcBorders>
              <w:top w:val="single" w:color="000000" w:sz="4" w:space="0"/>
              <w:left w:val="nil"/>
              <w:bottom w:val="single" w:color="000000" w:sz="4" w:space="0"/>
              <w:right w:val="single" w:color="000000" w:sz="4" w:space="0"/>
            </w:tcBorders>
            <w:noWrap/>
            <w:vAlign w:val="center"/>
          </w:tcPr>
          <w:p w14:paraId="69847739">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2"/>
                <w:sz w:val="21"/>
                <w:szCs w:val="21"/>
                <w:highlight w:val="none"/>
                <w:lang w:val="en-US" w:eastAsia="zh-CN" w:bidi="ar"/>
              </w:rPr>
              <w:t>2010.7.30</w:t>
            </w:r>
          </w:p>
        </w:tc>
      </w:tr>
      <w:tr w14:paraId="58321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6D8CD612">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极端最低气温：</w:t>
            </w:r>
          </w:p>
        </w:tc>
        <w:tc>
          <w:tcPr>
            <w:tcW w:w="700" w:type="pct"/>
            <w:tcBorders>
              <w:top w:val="single" w:color="000000" w:sz="4" w:space="0"/>
              <w:left w:val="nil"/>
              <w:bottom w:val="single" w:color="000000" w:sz="4" w:space="0"/>
              <w:right w:val="single" w:color="000000" w:sz="4" w:space="0"/>
            </w:tcBorders>
            <w:noWrap w:val="0"/>
            <w:vAlign w:val="center"/>
          </w:tcPr>
          <w:p w14:paraId="1411F9DA">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66B331EB">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29.5</w:t>
            </w:r>
          </w:p>
        </w:tc>
        <w:tc>
          <w:tcPr>
            <w:tcW w:w="1393" w:type="pct"/>
            <w:tcBorders>
              <w:top w:val="single" w:color="000000" w:sz="4" w:space="0"/>
              <w:left w:val="nil"/>
              <w:bottom w:val="single" w:color="000000" w:sz="4" w:space="0"/>
              <w:right w:val="single" w:color="000000" w:sz="4" w:space="0"/>
            </w:tcBorders>
            <w:noWrap/>
            <w:vAlign w:val="center"/>
          </w:tcPr>
          <w:p w14:paraId="7CBA600F">
            <w:pPr>
              <w:keepNext w:val="0"/>
              <w:keepLines w:val="0"/>
              <w:widowControl/>
              <w:suppressLineNumbers w:val="0"/>
              <w:overflowPunct w:val="0"/>
              <w:autoSpaceDE w:val="0"/>
              <w:autoSpaceDN w:val="0"/>
              <w:snapToGrid w:val="0"/>
              <w:spacing w:before="0" w:beforeAutospacing="0" w:after="0" w:afterAutospacing="0" w:line="360" w:lineRule="atLeast"/>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2"/>
                <w:sz w:val="21"/>
                <w:szCs w:val="21"/>
                <w:highlight w:val="none"/>
                <w:lang w:val="en-US" w:eastAsia="zh-CN" w:bidi="ar"/>
              </w:rPr>
              <w:t>2008.2.1</w:t>
            </w:r>
          </w:p>
        </w:tc>
      </w:tr>
      <w:tr w14:paraId="44AEE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0EBF8EA7">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多年平均气压</w:t>
            </w:r>
          </w:p>
        </w:tc>
        <w:tc>
          <w:tcPr>
            <w:tcW w:w="700" w:type="pct"/>
            <w:tcBorders>
              <w:top w:val="single" w:color="000000" w:sz="4" w:space="0"/>
              <w:left w:val="nil"/>
              <w:bottom w:val="single" w:color="000000" w:sz="4" w:space="0"/>
              <w:right w:val="single" w:color="000000" w:sz="4" w:space="0"/>
            </w:tcBorders>
            <w:noWrap w:val="0"/>
            <w:vAlign w:val="center"/>
          </w:tcPr>
          <w:p w14:paraId="29D99717">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hPa</w:t>
            </w:r>
          </w:p>
        </w:tc>
        <w:tc>
          <w:tcPr>
            <w:tcW w:w="816" w:type="pct"/>
            <w:tcBorders>
              <w:top w:val="single" w:color="000000" w:sz="4" w:space="0"/>
              <w:left w:val="nil"/>
              <w:bottom w:val="single" w:color="000000" w:sz="4" w:space="0"/>
              <w:right w:val="single" w:color="000000" w:sz="4" w:space="0"/>
            </w:tcBorders>
            <w:noWrap/>
            <w:vAlign w:val="center"/>
          </w:tcPr>
          <w:p w14:paraId="5164D393">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8</w:t>
            </w:r>
            <w:r>
              <w:rPr>
                <w:rFonts w:hint="default" w:ascii="Times New Roman" w:hAnsi="Times New Roman" w:eastAsia="宋体" w:cs="Times New Roman"/>
                <w:color w:val="auto"/>
                <w:sz w:val="21"/>
                <w:szCs w:val="21"/>
                <w:highlight w:val="none"/>
                <w:lang w:val="en-US" w:eastAsia="zh-CN"/>
              </w:rPr>
              <w:t>63.9</w:t>
            </w:r>
          </w:p>
        </w:tc>
        <w:tc>
          <w:tcPr>
            <w:tcW w:w="1393" w:type="pct"/>
            <w:tcBorders>
              <w:top w:val="single" w:color="000000" w:sz="4" w:space="0"/>
              <w:left w:val="nil"/>
              <w:bottom w:val="single" w:color="000000" w:sz="4" w:space="0"/>
              <w:right w:val="single" w:color="000000" w:sz="4" w:space="0"/>
            </w:tcBorders>
            <w:noWrap/>
            <w:vAlign w:val="center"/>
          </w:tcPr>
          <w:p w14:paraId="26C82526">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2E379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3A104021">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多年平均相对湿度</w:t>
            </w:r>
          </w:p>
        </w:tc>
        <w:tc>
          <w:tcPr>
            <w:tcW w:w="700" w:type="pct"/>
            <w:tcBorders>
              <w:top w:val="single" w:color="000000" w:sz="4" w:space="0"/>
              <w:left w:val="nil"/>
              <w:bottom w:val="single" w:color="000000" w:sz="4" w:space="0"/>
              <w:right w:val="single" w:color="000000" w:sz="4" w:space="0"/>
            </w:tcBorders>
            <w:noWrap w:val="0"/>
            <w:vAlign w:val="center"/>
          </w:tcPr>
          <w:p w14:paraId="38543BB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17B06410">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45</w:t>
            </w:r>
          </w:p>
        </w:tc>
        <w:tc>
          <w:tcPr>
            <w:tcW w:w="1393" w:type="pct"/>
            <w:tcBorders>
              <w:top w:val="single" w:color="000000" w:sz="4" w:space="0"/>
              <w:left w:val="nil"/>
              <w:bottom w:val="single" w:color="000000" w:sz="4" w:space="0"/>
              <w:right w:val="single" w:color="000000" w:sz="4" w:space="0"/>
            </w:tcBorders>
            <w:noWrap/>
            <w:vAlign w:val="center"/>
          </w:tcPr>
          <w:p w14:paraId="7B11CCAB">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0736C9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0443F537">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最小相对湿度</w:t>
            </w:r>
          </w:p>
        </w:tc>
        <w:tc>
          <w:tcPr>
            <w:tcW w:w="700" w:type="pct"/>
            <w:tcBorders>
              <w:top w:val="single" w:color="000000" w:sz="4" w:space="0"/>
              <w:left w:val="nil"/>
              <w:bottom w:val="single" w:color="000000" w:sz="4" w:space="0"/>
              <w:right w:val="single" w:color="000000" w:sz="4" w:space="0"/>
            </w:tcBorders>
            <w:noWrap w:val="0"/>
            <w:vAlign w:val="center"/>
          </w:tcPr>
          <w:p w14:paraId="21DC707E">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c>
          <w:tcPr>
            <w:tcW w:w="816" w:type="pct"/>
            <w:tcBorders>
              <w:top w:val="single" w:color="000000" w:sz="4" w:space="0"/>
              <w:left w:val="nil"/>
              <w:bottom w:val="single" w:color="000000" w:sz="4" w:space="0"/>
              <w:right w:val="single" w:color="000000" w:sz="4" w:space="0"/>
            </w:tcBorders>
            <w:noWrap/>
            <w:vAlign w:val="center"/>
          </w:tcPr>
          <w:p w14:paraId="36158485">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w:t>
            </w:r>
          </w:p>
        </w:tc>
        <w:tc>
          <w:tcPr>
            <w:tcW w:w="1393" w:type="pct"/>
            <w:tcBorders>
              <w:top w:val="single" w:color="000000" w:sz="4" w:space="0"/>
              <w:left w:val="nil"/>
              <w:bottom w:val="single" w:color="000000" w:sz="4" w:space="0"/>
              <w:right w:val="single" w:color="000000" w:sz="4" w:space="0"/>
            </w:tcBorders>
            <w:noWrap/>
            <w:vAlign w:val="center"/>
          </w:tcPr>
          <w:p w14:paraId="178173B9">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227BCD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7A93EEF2">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多年平均降水量</w:t>
            </w:r>
          </w:p>
        </w:tc>
        <w:tc>
          <w:tcPr>
            <w:tcW w:w="700" w:type="pct"/>
            <w:tcBorders>
              <w:top w:val="single" w:color="000000" w:sz="4" w:space="0"/>
              <w:left w:val="nil"/>
              <w:bottom w:val="single" w:color="000000" w:sz="4" w:space="0"/>
              <w:right w:val="single" w:color="000000" w:sz="4" w:space="0"/>
            </w:tcBorders>
            <w:noWrap w:val="0"/>
            <w:vAlign w:val="center"/>
          </w:tcPr>
          <w:p w14:paraId="67A183A6">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mm</w:t>
            </w:r>
          </w:p>
        </w:tc>
        <w:tc>
          <w:tcPr>
            <w:tcW w:w="816" w:type="pct"/>
            <w:tcBorders>
              <w:top w:val="single" w:color="000000" w:sz="4" w:space="0"/>
              <w:left w:val="nil"/>
              <w:bottom w:val="single" w:color="000000" w:sz="4" w:space="0"/>
              <w:right w:val="single" w:color="000000" w:sz="4" w:space="0"/>
            </w:tcBorders>
            <w:noWrap/>
            <w:vAlign w:val="center"/>
          </w:tcPr>
          <w:p w14:paraId="067A576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113.0</w:t>
            </w:r>
          </w:p>
        </w:tc>
        <w:tc>
          <w:tcPr>
            <w:tcW w:w="1393" w:type="pct"/>
            <w:tcBorders>
              <w:top w:val="single" w:color="000000" w:sz="4" w:space="0"/>
              <w:left w:val="nil"/>
              <w:bottom w:val="single" w:color="000000" w:sz="4" w:space="0"/>
              <w:right w:val="single" w:color="000000" w:sz="4" w:space="0"/>
            </w:tcBorders>
            <w:noWrap/>
            <w:vAlign w:val="center"/>
          </w:tcPr>
          <w:p w14:paraId="26D915F4">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78CC2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1C76EC4D">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一日最大降水量</w:t>
            </w:r>
          </w:p>
        </w:tc>
        <w:tc>
          <w:tcPr>
            <w:tcW w:w="700" w:type="pct"/>
            <w:tcBorders>
              <w:top w:val="single" w:color="000000" w:sz="4" w:space="0"/>
              <w:left w:val="nil"/>
              <w:bottom w:val="single" w:color="000000" w:sz="4" w:space="0"/>
              <w:right w:val="single" w:color="000000" w:sz="4" w:space="0"/>
            </w:tcBorders>
            <w:noWrap w:val="0"/>
            <w:vAlign w:val="center"/>
          </w:tcPr>
          <w:p w14:paraId="23258D91">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mm</w:t>
            </w:r>
          </w:p>
        </w:tc>
        <w:tc>
          <w:tcPr>
            <w:tcW w:w="816" w:type="pct"/>
            <w:tcBorders>
              <w:top w:val="single" w:color="000000" w:sz="4" w:space="0"/>
              <w:left w:val="nil"/>
              <w:bottom w:val="single" w:color="000000" w:sz="4" w:space="0"/>
              <w:right w:val="single" w:color="000000" w:sz="4" w:space="0"/>
            </w:tcBorders>
            <w:noWrap/>
            <w:vAlign w:val="center"/>
          </w:tcPr>
          <w:p w14:paraId="4D3C60A8">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48</w:t>
            </w:r>
          </w:p>
        </w:tc>
        <w:tc>
          <w:tcPr>
            <w:tcW w:w="1393" w:type="pct"/>
            <w:tcBorders>
              <w:top w:val="single" w:color="000000" w:sz="4" w:space="0"/>
              <w:left w:val="nil"/>
              <w:bottom w:val="single" w:color="000000" w:sz="4" w:space="0"/>
              <w:right w:val="single" w:color="000000" w:sz="4" w:space="0"/>
            </w:tcBorders>
            <w:noWrap/>
            <w:vAlign w:val="center"/>
          </w:tcPr>
          <w:p w14:paraId="0FBD2625">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19</w:t>
            </w:r>
            <w:r>
              <w:rPr>
                <w:rFonts w:hint="default" w:ascii="Times New Roman" w:hAnsi="Times New Roman" w:eastAsia="宋体" w:cs="Times New Roman"/>
                <w:color w:val="auto"/>
                <w:sz w:val="21"/>
                <w:szCs w:val="21"/>
                <w:highlight w:val="none"/>
                <w:lang w:val="en-US" w:eastAsia="zh-CN"/>
              </w:rPr>
              <w:t>94.6.14</w:t>
            </w:r>
          </w:p>
        </w:tc>
      </w:tr>
      <w:tr w14:paraId="27772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40C331E6">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多年平均蒸发量</w:t>
            </w:r>
          </w:p>
        </w:tc>
        <w:tc>
          <w:tcPr>
            <w:tcW w:w="700" w:type="pct"/>
            <w:tcBorders>
              <w:top w:val="single" w:color="000000" w:sz="4" w:space="0"/>
              <w:left w:val="nil"/>
              <w:bottom w:val="single" w:color="000000" w:sz="4" w:space="0"/>
              <w:right w:val="single" w:color="000000" w:sz="4" w:space="0"/>
            </w:tcBorders>
            <w:noWrap w:val="0"/>
            <w:vAlign w:val="center"/>
          </w:tcPr>
          <w:p w14:paraId="67512E01">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mm</w:t>
            </w:r>
          </w:p>
        </w:tc>
        <w:tc>
          <w:tcPr>
            <w:tcW w:w="816" w:type="pct"/>
            <w:tcBorders>
              <w:top w:val="single" w:color="000000" w:sz="4" w:space="0"/>
              <w:left w:val="nil"/>
              <w:bottom w:val="single" w:color="000000" w:sz="4" w:space="0"/>
              <w:right w:val="single" w:color="000000" w:sz="4" w:space="0"/>
            </w:tcBorders>
            <w:noWrap/>
            <w:vAlign w:val="center"/>
          </w:tcPr>
          <w:p w14:paraId="42749A7D">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2623.0</w:t>
            </w:r>
          </w:p>
        </w:tc>
        <w:tc>
          <w:tcPr>
            <w:tcW w:w="1393" w:type="pct"/>
            <w:tcBorders>
              <w:top w:val="single" w:color="000000" w:sz="4" w:space="0"/>
              <w:left w:val="nil"/>
              <w:bottom w:val="single" w:color="000000" w:sz="4" w:space="0"/>
              <w:right w:val="single" w:color="000000" w:sz="4" w:space="0"/>
            </w:tcBorders>
            <w:noWrap/>
            <w:vAlign w:val="center"/>
          </w:tcPr>
          <w:p w14:paraId="0CBA049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06EC0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7EC390E1">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多年平均风速</w:t>
            </w:r>
          </w:p>
        </w:tc>
        <w:tc>
          <w:tcPr>
            <w:tcW w:w="700" w:type="pct"/>
            <w:tcBorders>
              <w:top w:val="single" w:color="000000" w:sz="4" w:space="0"/>
              <w:left w:val="nil"/>
              <w:bottom w:val="single" w:color="000000" w:sz="4" w:space="0"/>
              <w:right w:val="single" w:color="000000" w:sz="4" w:space="0"/>
            </w:tcBorders>
            <w:noWrap w:val="0"/>
            <w:vAlign w:val="center"/>
          </w:tcPr>
          <w:p w14:paraId="0C6AF4B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m/s</w:t>
            </w:r>
          </w:p>
        </w:tc>
        <w:tc>
          <w:tcPr>
            <w:tcW w:w="816" w:type="pct"/>
            <w:tcBorders>
              <w:top w:val="single" w:color="000000" w:sz="4" w:space="0"/>
              <w:left w:val="nil"/>
              <w:bottom w:val="single" w:color="000000" w:sz="4" w:space="0"/>
              <w:right w:val="single" w:color="000000" w:sz="4" w:space="0"/>
            </w:tcBorders>
            <w:noWrap/>
            <w:vAlign w:val="center"/>
          </w:tcPr>
          <w:p w14:paraId="2077791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2.7</w:t>
            </w:r>
          </w:p>
        </w:tc>
        <w:tc>
          <w:tcPr>
            <w:tcW w:w="1393" w:type="pct"/>
            <w:tcBorders>
              <w:top w:val="single" w:color="000000" w:sz="4" w:space="0"/>
              <w:left w:val="nil"/>
              <w:bottom w:val="single" w:color="000000" w:sz="4" w:space="0"/>
              <w:right w:val="single" w:color="000000" w:sz="4" w:space="0"/>
            </w:tcBorders>
            <w:noWrap/>
            <w:vAlign w:val="center"/>
          </w:tcPr>
          <w:p w14:paraId="22F6101D">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01865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69805C60">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多年最大积雪深度</w:t>
            </w:r>
          </w:p>
        </w:tc>
        <w:tc>
          <w:tcPr>
            <w:tcW w:w="700" w:type="pct"/>
            <w:tcBorders>
              <w:top w:val="single" w:color="000000" w:sz="4" w:space="0"/>
              <w:left w:val="nil"/>
              <w:bottom w:val="single" w:color="000000" w:sz="4" w:space="0"/>
              <w:right w:val="single" w:color="000000" w:sz="4" w:space="0"/>
            </w:tcBorders>
            <w:noWrap w:val="0"/>
            <w:vAlign w:val="center"/>
          </w:tcPr>
          <w:p w14:paraId="07EF8A09">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cm</w:t>
            </w:r>
          </w:p>
        </w:tc>
        <w:tc>
          <w:tcPr>
            <w:tcW w:w="816" w:type="pct"/>
            <w:tcBorders>
              <w:top w:val="single" w:color="000000" w:sz="4" w:space="0"/>
              <w:left w:val="nil"/>
              <w:bottom w:val="single" w:color="000000" w:sz="4" w:space="0"/>
              <w:right w:val="single" w:color="000000" w:sz="4" w:space="0"/>
            </w:tcBorders>
            <w:noWrap/>
            <w:vAlign w:val="center"/>
          </w:tcPr>
          <w:p w14:paraId="0B50FEF6">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14</w:t>
            </w:r>
          </w:p>
        </w:tc>
        <w:tc>
          <w:tcPr>
            <w:tcW w:w="1393" w:type="pct"/>
            <w:tcBorders>
              <w:top w:val="single" w:color="000000" w:sz="4" w:space="0"/>
              <w:left w:val="nil"/>
              <w:bottom w:val="single" w:color="000000" w:sz="4" w:space="0"/>
              <w:right w:val="single" w:color="000000" w:sz="4" w:space="0"/>
            </w:tcBorders>
            <w:noWrap/>
            <w:vAlign w:val="center"/>
          </w:tcPr>
          <w:p w14:paraId="34A48F89">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2010.10.24</w:t>
            </w:r>
          </w:p>
        </w:tc>
      </w:tr>
      <w:tr w14:paraId="40124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281A8B1C">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多年平均大风日数</w:t>
            </w:r>
          </w:p>
        </w:tc>
        <w:tc>
          <w:tcPr>
            <w:tcW w:w="700" w:type="pct"/>
            <w:tcBorders>
              <w:top w:val="single" w:color="000000" w:sz="4" w:space="0"/>
              <w:left w:val="nil"/>
              <w:bottom w:val="single" w:color="000000" w:sz="4" w:space="0"/>
              <w:right w:val="single" w:color="000000" w:sz="4" w:space="0"/>
            </w:tcBorders>
            <w:noWrap w:val="0"/>
            <w:vAlign w:val="center"/>
          </w:tcPr>
          <w:p w14:paraId="4F4A683B">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0ABC7FD1">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25.0</w:t>
            </w:r>
          </w:p>
        </w:tc>
        <w:tc>
          <w:tcPr>
            <w:tcW w:w="1393" w:type="pct"/>
            <w:tcBorders>
              <w:top w:val="single" w:color="000000" w:sz="4" w:space="0"/>
              <w:left w:val="nil"/>
              <w:bottom w:val="single" w:color="000000" w:sz="4" w:space="0"/>
              <w:right w:val="single" w:color="000000" w:sz="4" w:space="0"/>
            </w:tcBorders>
            <w:noWrap/>
            <w:vAlign w:val="center"/>
          </w:tcPr>
          <w:p w14:paraId="6122674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776DF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37A18A42">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多年平均沙暴日数</w:t>
            </w:r>
          </w:p>
        </w:tc>
        <w:tc>
          <w:tcPr>
            <w:tcW w:w="700" w:type="pct"/>
            <w:tcBorders>
              <w:top w:val="single" w:color="000000" w:sz="4" w:space="0"/>
              <w:left w:val="nil"/>
              <w:bottom w:val="single" w:color="000000" w:sz="4" w:space="0"/>
              <w:right w:val="single" w:color="000000" w:sz="4" w:space="0"/>
            </w:tcBorders>
            <w:noWrap w:val="0"/>
            <w:vAlign w:val="center"/>
          </w:tcPr>
          <w:p w14:paraId="778ABF6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2135DC7D">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27.4</w:t>
            </w:r>
          </w:p>
        </w:tc>
        <w:tc>
          <w:tcPr>
            <w:tcW w:w="1393" w:type="pct"/>
            <w:tcBorders>
              <w:top w:val="single" w:color="000000" w:sz="4" w:space="0"/>
              <w:left w:val="nil"/>
              <w:bottom w:val="single" w:color="000000" w:sz="4" w:space="0"/>
              <w:right w:val="single" w:color="000000" w:sz="4" w:space="0"/>
            </w:tcBorders>
            <w:noWrap/>
            <w:vAlign w:val="center"/>
          </w:tcPr>
          <w:p w14:paraId="7AAF1C01">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56A8E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7DE1F097">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多年平均雷暴日数</w:t>
            </w:r>
          </w:p>
        </w:tc>
        <w:tc>
          <w:tcPr>
            <w:tcW w:w="700" w:type="pct"/>
            <w:tcBorders>
              <w:top w:val="single" w:color="000000" w:sz="4" w:space="0"/>
              <w:left w:val="nil"/>
              <w:bottom w:val="single" w:color="000000" w:sz="4" w:space="0"/>
              <w:right w:val="single" w:color="000000" w:sz="4" w:space="0"/>
            </w:tcBorders>
            <w:noWrap w:val="0"/>
            <w:vAlign w:val="center"/>
          </w:tcPr>
          <w:p w14:paraId="39E3C975">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c>
          <w:tcPr>
            <w:tcW w:w="816" w:type="pct"/>
            <w:tcBorders>
              <w:top w:val="single" w:color="000000" w:sz="4" w:space="0"/>
              <w:left w:val="nil"/>
              <w:bottom w:val="single" w:color="000000" w:sz="4" w:space="0"/>
              <w:right w:val="single" w:color="000000" w:sz="4" w:space="0"/>
            </w:tcBorders>
            <w:noWrap/>
            <w:vAlign w:val="center"/>
          </w:tcPr>
          <w:p w14:paraId="6B83C9FA">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9.6</w:t>
            </w:r>
          </w:p>
        </w:tc>
        <w:tc>
          <w:tcPr>
            <w:tcW w:w="1393" w:type="pct"/>
            <w:tcBorders>
              <w:top w:val="single" w:color="000000" w:sz="4" w:space="0"/>
              <w:left w:val="nil"/>
              <w:bottom w:val="single" w:color="000000" w:sz="4" w:space="0"/>
              <w:right w:val="single" w:color="000000" w:sz="4" w:space="0"/>
            </w:tcBorders>
            <w:noWrap/>
            <w:vAlign w:val="center"/>
          </w:tcPr>
          <w:p w14:paraId="177C26DA">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2233E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7F56A780">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多年平均降水日数</w:t>
            </w:r>
          </w:p>
        </w:tc>
        <w:tc>
          <w:tcPr>
            <w:tcW w:w="700" w:type="pct"/>
            <w:tcBorders>
              <w:top w:val="single" w:color="000000" w:sz="4" w:space="0"/>
              <w:left w:val="nil"/>
              <w:bottom w:val="single" w:color="000000" w:sz="4" w:space="0"/>
              <w:right w:val="single" w:color="000000" w:sz="4" w:space="0"/>
            </w:tcBorders>
            <w:noWrap w:val="0"/>
            <w:vAlign w:val="center"/>
          </w:tcPr>
          <w:p w14:paraId="7BBC272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4467347E">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38.6</w:t>
            </w:r>
          </w:p>
        </w:tc>
        <w:tc>
          <w:tcPr>
            <w:tcW w:w="1393" w:type="pct"/>
            <w:tcBorders>
              <w:top w:val="single" w:color="000000" w:sz="4" w:space="0"/>
              <w:left w:val="nil"/>
              <w:bottom w:val="single" w:color="000000" w:sz="4" w:space="0"/>
              <w:right w:val="single" w:color="000000" w:sz="4" w:space="0"/>
            </w:tcBorders>
            <w:noWrap/>
            <w:vAlign w:val="center"/>
          </w:tcPr>
          <w:p w14:paraId="302F3BD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358EB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144D078A">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多年平均雾日数</w:t>
            </w:r>
          </w:p>
        </w:tc>
        <w:tc>
          <w:tcPr>
            <w:tcW w:w="700" w:type="pct"/>
            <w:tcBorders>
              <w:top w:val="single" w:color="000000" w:sz="4" w:space="0"/>
              <w:left w:val="nil"/>
              <w:bottom w:val="single" w:color="000000" w:sz="4" w:space="0"/>
              <w:right w:val="single" w:color="000000" w:sz="4" w:space="0"/>
            </w:tcBorders>
            <w:noWrap w:val="0"/>
            <w:vAlign w:val="center"/>
          </w:tcPr>
          <w:p w14:paraId="21708553">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6F42A538">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r>
              <w:rPr>
                <w:rFonts w:hint="default" w:ascii="Times New Roman" w:hAnsi="Times New Roman" w:eastAsia="宋体" w:cs="Times New Roman"/>
                <w:color w:val="auto"/>
                <w:sz w:val="21"/>
                <w:szCs w:val="21"/>
                <w:highlight w:val="none"/>
                <w:lang w:val="en-US" w:eastAsia="zh-CN"/>
              </w:rPr>
              <w:t>8</w:t>
            </w:r>
          </w:p>
        </w:tc>
        <w:tc>
          <w:tcPr>
            <w:tcW w:w="1393" w:type="pct"/>
            <w:tcBorders>
              <w:top w:val="single" w:color="000000" w:sz="4" w:space="0"/>
              <w:left w:val="nil"/>
              <w:bottom w:val="single" w:color="000000" w:sz="4" w:space="0"/>
              <w:right w:val="single" w:color="000000" w:sz="4" w:space="0"/>
            </w:tcBorders>
            <w:noWrap/>
            <w:vAlign w:val="center"/>
          </w:tcPr>
          <w:p w14:paraId="4A6389A4">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1"/>
                <w:szCs w:val="21"/>
                <w:highlight w:val="none"/>
              </w:rPr>
            </w:pPr>
          </w:p>
        </w:tc>
      </w:tr>
    </w:tbl>
    <w:p w14:paraId="0296E2D5">
      <w:pPr>
        <w:pStyle w:val="8"/>
        <w:spacing w:line="360" w:lineRule="auto"/>
        <w:ind w:firstLine="480" w:firstLineChars="200"/>
        <w:rPr>
          <w:rStyle w:val="20"/>
          <w:rFonts w:hint="eastAsia" w:ascii="宋体" w:hAnsi="宋体" w:eastAsiaTheme="minorEastAsia" w:cstheme="minorBidi"/>
          <w:color w:val="auto"/>
          <w:sz w:val="24"/>
          <w:szCs w:val="24"/>
          <w:highlight w:val="none"/>
          <w:lang w:val="en-US" w:eastAsia="zh-CN"/>
        </w:rPr>
      </w:pPr>
      <w:r>
        <w:rPr>
          <w:rStyle w:val="20"/>
          <w:rFonts w:hint="eastAsia" w:ascii="宋体" w:hAnsi="宋体" w:eastAsiaTheme="minorEastAsia" w:cstheme="minorBidi"/>
          <w:color w:val="auto"/>
          <w:sz w:val="24"/>
          <w:szCs w:val="24"/>
          <w:highlight w:val="none"/>
          <w:lang w:val="en-US" w:eastAsia="zh-CN"/>
        </w:rPr>
        <w:t>根据民勤气象站历年的观测资料， 采用极值Ⅰ型法统计计算， 求得五十年一遇 10m 高 10min 平均最大风速为 28.9m/s，相应风压为 0.52kN/m2 ；百年一遇 10m 高 10min 平均最大风速为 30.9m/s，相应风压为 0.6kN/m2，考虑到红沙岗地处荒漠地带， 风速一般比县城大， 结合周围地区风压和《建筑结构荷载规范》中的全国基本风压分布图综合分析后认为，厂址五十年一遇10m高10min 平均最大风速应29.7m/s，相应风压为 0.55kN/m2 ；百年一遇 10m 高 10min 平均最大风速为 32.2m/s，相应风压为 0.65kN/m2。</w:t>
      </w:r>
    </w:p>
    <w:p w14:paraId="20A52E5B">
      <w:pPr>
        <w:pStyle w:val="8"/>
        <w:spacing w:line="360" w:lineRule="auto"/>
        <w:rPr>
          <w:rStyle w:val="20"/>
          <w:rFonts w:hint="eastAsia" w:ascii="Times New Roman" w:hAnsi="宋体"/>
          <w:bCs/>
          <w:color w:val="auto"/>
          <w:sz w:val="24"/>
          <w:szCs w:val="24"/>
          <w:highlight w:val="none"/>
        </w:rPr>
      </w:pPr>
      <w:r>
        <w:rPr>
          <w:rStyle w:val="20"/>
          <w:rFonts w:hint="eastAsia" w:ascii="宋体" w:hAnsi="宋体"/>
          <w:color w:val="auto"/>
          <w:sz w:val="24"/>
          <w:szCs w:val="24"/>
          <w:highlight w:val="none"/>
        </w:rPr>
        <w:t>3.2.2</w:t>
      </w:r>
      <w:r>
        <w:rPr>
          <w:rStyle w:val="20"/>
          <w:rFonts w:hint="eastAsia" w:hAnsi="宋体"/>
          <w:bCs/>
          <w:color w:val="auto"/>
          <w:sz w:val="24"/>
          <w:szCs w:val="24"/>
          <w:highlight w:val="none"/>
          <w:lang w:val="en-US" w:eastAsia="zh-CN"/>
        </w:rPr>
        <w:t>正常使用</w:t>
      </w:r>
      <w:r>
        <w:rPr>
          <w:rStyle w:val="20"/>
          <w:rFonts w:hint="eastAsia" w:hAnsi="宋体"/>
          <w:bCs/>
          <w:color w:val="auto"/>
          <w:sz w:val="24"/>
          <w:szCs w:val="24"/>
          <w:highlight w:val="none"/>
        </w:rPr>
        <w:t>条件</w:t>
      </w:r>
    </w:p>
    <w:p w14:paraId="2104CD82">
      <w:pPr>
        <w:pStyle w:val="8"/>
        <w:spacing w:line="360" w:lineRule="auto"/>
        <w:rPr>
          <w:rStyle w:val="20"/>
          <w:rFonts w:hint="eastAsia" w:ascii="宋体" w:hAnsi="宋体" w:eastAsiaTheme="minorEastAsia" w:cstheme="minorBidi"/>
          <w:color w:val="auto"/>
          <w:sz w:val="24"/>
          <w:szCs w:val="24"/>
          <w:highlight w:val="none"/>
          <w:lang w:val="en-US" w:eastAsia="zh-CN"/>
        </w:rPr>
      </w:pPr>
      <w:r>
        <w:rPr>
          <w:rStyle w:val="20"/>
          <w:rFonts w:hint="eastAsia" w:ascii="宋体" w:hAnsi="宋体" w:eastAsiaTheme="minorEastAsia" w:cstheme="minorBidi"/>
          <w:color w:val="auto"/>
          <w:sz w:val="24"/>
          <w:szCs w:val="24"/>
          <w:highlight w:val="none"/>
          <w:lang w:val="en-US" w:eastAsia="zh-CN"/>
        </w:rPr>
        <w:t xml:space="preserve">海拔高度：         ___1500___m </w:t>
      </w:r>
    </w:p>
    <w:p w14:paraId="70E9AB2B">
      <w:pPr>
        <w:pStyle w:val="8"/>
        <w:spacing w:line="360" w:lineRule="auto"/>
        <w:rPr>
          <w:rStyle w:val="20"/>
          <w:rFonts w:hint="eastAsia" w:ascii="宋体" w:hAnsi="宋体" w:eastAsiaTheme="minorEastAsia" w:cstheme="minorBidi"/>
          <w:color w:val="auto"/>
          <w:sz w:val="24"/>
          <w:szCs w:val="24"/>
          <w:highlight w:val="none"/>
          <w:lang w:val="en-US" w:eastAsia="zh-CN"/>
        </w:rPr>
      </w:pPr>
      <w:r>
        <w:rPr>
          <w:rStyle w:val="20"/>
          <w:rFonts w:hint="eastAsia" w:ascii="宋体" w:hAnsi="宋体" w:eastAsiaTheme="minorEastAsia" w:cstheme="minorBidi"/>
          <w:color w:val="auto"/>
          <w:sz w:val="24"/>
          <w:szCs w:val="24"/>
          <w:highlight w:val="none"/>
          <w:lang w:val="en-US" w:eastAsia="zh-CN"/>
        </w:rPr>
        <w:t>最高气温：         ___41.7___℃</w:t>
      </w:r>
    </w:p>
    <w:p w14:paraId="38AB298F">
      <w:pPr>
        <w:pStyle w:val="8"/>
        <w:spacing w:line="360" w:lineRule="auto"/>
        <w:rPr>
          <w:rStyle w:val="20"/>
          <w:rFonts w:hint="eastAsia" w:ascii="宋体" w:hAnsi="宋体" w:eastAsiaTheme="minorEastAsia" w:cstheme="minorBidi"/>
          <w:color w:val="auto"/>
          <w:sz w:val="24"/>
          <w:szCs w:val="24"/>
          <w:highlight w:val="none"/>
          <w:lang w:val="en-US" w:eastAsia="zh-CN"/>
        </w:rPr>
      </w:pPr>
      <w:r>
        <w:rPr>
          <w:rStyle w:val="20"/>
          <w:rFonts w:hint="eastAsia" w:ascii="宋体" w:hAnsi="宋体" w:eastAsiaTheme="minorEastAsia" w:cstheme="minorBidi"/>
          <w:color w:val="auto"/>
          <w:sz w:val="24"/>
          <w:szCs w:val="24"/>
          <w:highlight w:val="none"/>
          <w:lang w:val="en-US" w:eastAsia="zh-CN"/>
        </w:rPr>
        <w:t>最低气温：         ___ -29.5___℃</w:t>
      </w:r>
    </w:p>
    <w:p w14:paraId="016D79EE">
      <w:pPr>
        <w:pStyle w:val="8"/>
        <w:spacing w:line="360" w:lineRule="auto"/>
        <w:rPr>
          <w:rStyle w:val="20"/>
          <w:rFonts w:hint="eastAsia" w:ascii="宋体" w:hAnsi="宋体" w:eastAsiaTheme="minorEastAsia" w:cstheme="minorBidi"/>
          <w:color w:val="auto"/>
          <w:sz w:val="24"/>
          <w:szCs w:val="24"/>
          <w:highlight w:val="none"/>
          <w:lang w:val="en-US" w:eastAsia="zh-CN"/>
        </w:rPr>
      </w:pPr>
      <w:r>
        <w:rPr>
          <w:rStyle w:val="20"/>
          <w:rFonts w:hint="eastAsia" w:ascii="宋体" w:hAnsi="宋体" w:eastAsiaTheme="minorEastAsia" w:cstheme="minorBidi"/>
          <w:color w:val="auto"/>
          <w:sz w:val="24"/>
          <w:szCs w:val="24"/>
          <w:highlight w:val="none"/>
          <w:lang w:val="en-US" w:eastAsia="zh-CN"/>
        </w:rPr>
        <w:t>最大日温差:        ____32.2___K</w:t>
      </w:r>
    </w:p>
    <w:p w14:paraId="1E97FC1F">
      <w:pPr>
        <w:pStyle w:val="8"/>
        <w:spacing w:line="360" w:lineRule="auto"/>
        <w:rPr>
          <w:rStyle w:val="20"/>
          <w:rFonts w:hint="eastAsia" w:ascii="宋体" w:hAnsi="宋体" w:eastAsiaTheme="minorEastAsia" w:cstheme="minorBidi"/>
          <w:color w:val="auto"/>
          <w:sz w:val="24"/>
          <w:szCs w:val="24"/>
          <w:highlight w:val="none"/>
          <w:lang w:val="en-US" w:eastAsia="zh-CN"/>
        </w:rPr>
      </w:pPr>
      <w:r>
        <w:rPr>
          <w:rStyle w:val="20"/>
          <w:rFonts w:hint="eastAsia" w:ascii="宋体" w:hAnsi="宋体" w:eastAsiaTheme="minorEastAsia" w:cstheme="minorBidi"/>
          <w:color w:val="auto"/>
          <w:sz w:val="24"/>
          <w:szCs w:val="24"/>
          <w:highlight w:val="none"/>
          <w:lang w:val="en-US" w:eastAsia="zh-CN"/>
        </w:rPr>
        <w:t>最热月平均温度：  ____23.2____℃</w:t>
      </w:r>
    </w:p>
    <w:p w14:paraId="45F9BBD8">
      <w:pPr>
        <w:pStyle w:val="8"/>
        <w:spacing w:line="360" w:lineRule="auto"/>
        <w:rPr>
          <w:rStyle w:val="20"/>
          <w:rFonts w:hint="eastAsia" w:ascii="宋体" w:hAnsi="宋体" w:eastAsiaTheme="minorEastAsia" w:cstheme="minorBidi"/>
          <w:color w:val="auto"/>
          <w:sz w:val="24"/>
          <w:szCs w:val="24"/>
          <w:highlight w:val="none"/>
          <w:lang w:val="en-US" w:eastAsia="zh-CN"/>
        </w:rPr>
      </w:pPr>
      <w:r>
        <w:rPr>
          <w:rStyle w:val="20"/>
          <w:rFonts w:hint="eastAsia" w:ascii="宋体" w:hAnsi="宋体" w:eastAsiaTheme="minorEastAsia" w:cstheme="minorBidi"/>
          <w:color w:val="auto"/>
          <w:sz w:val="24"/>
          <w:szCs w:val="24"/>
          <w:highlight w:val="none"/>
          <w:lang w:val="en-US" w:eastAsia="zh-CN"/>
        </w:rPr>
        <w:t>最高年平均温度：  ____25__ __℃</w:t>
      </w:r>
    </w:p>
    <w:p w14:paraId="49B3B68C">
      <w:pPr>
        <w:pStyle w:val="8"/>
        <w:spacing w:line="360" w:lineRule="auto"/>
        <w:rPr>
          <w:rStyle w:val="20"/>
          <w:rFonts w:hint="eastAsia" w:ascii="宋体" w:hAnsi="宋体" w:eastAsiaTheme="minorEastAsia" w:cstheme="minorBidi"/>
          <w:color w:val="auto"/>
          <w:sz w:val="24"/>
          <w:szCs w:val="24"/>
          <w:highlight w:val="none"/>
          <w:lang w:val="en-US" w:eastAsia="zh-CN"/>
        </w:rPr>
      </w:pPr>
      <w:r>
        <w:rPr>
          <w:rStyle w:val="20"/>
          <w:rFonts w:hint="eastAsia" w:ascii="宋体" w:hAnsi="宋体" w:eastAsiaTheme="minorEastAsia" w:cstheme="minorBidi"/>
          <w:color w:val="auto"/>
          <w:sz w:val="24"/>
          <w:szCs w:val="24"/>
          <w:highlight w:val="none"/>
          <w:lang w:val="en-US" w:eastAsia="zh-CN"/>
        </w:rPr>
        <w:t>耐地震能力按7度设防（正弦三个周波，安全系数1.67以上）</w:t>
      </w:r>
    </w:p>
    <w:p w14:paraId="16B88645">
      <w:pPr>
        <w:pStyle w:val="8"/>
        <w:spacing w:line="360" w:lineRule="auto"/>
        <w:rPr>
          <w:rStyle w:val="20"/>
          <w:rFonts w:hint="eastAsia" w:ascii="宋体" w:hAnsi="宋体" w:eastAsiaTheme="minorEastAsia" w:cstheme="minorBidi"/>
          <w:color w:val="auto"/>
          <w:sz w:val="24"/>
          <w:szCs w:val="24"/>
          <w:highlight w:val="none"/>
          <w:lang w:val="en-US" w:eastAsia="zh-CN"/>
        </w:rPr>
      </w:pPr>
      <w:r>
        <w:rPr>
          <w:rStyle w:val="20"/>
          <w:rFonts w:hint="eastAsia" w:ascii="宋体" w:hAnsi="宋体" w:eastAsiaTheme="minorEastAsia" w:cstheme="minorBidi"/>
          <w:color w:val="auto"/>
          <w:sz w:val="24"/>
          <w:szCs w:val="24"/>
          <w:highlight w:val="none"/>
          <w:lang w:val="en-US" w:eastAsia="zh-CN"/>
        </w:rPr>
        <w:t>地面水平加速度：    __0.1__g</w:t>
      </w:r>
    </w:p>
    <w:p w14:paraId="117778DF">
      <w:pPr>
        <w:pStyle w:val="8"/>
        <w:spacing w:line="360" w:lineRule="auto"/>
        <w:rPr>
          <w:rStyle w:val="20"/>
          <w:rFonts w:hint="eastAsia" w:ascii="宋体" w:hAnsi="宋体" w:eastAsiaTheme="minorEastAsia" w:cstheme="minorBidi"/>
          <w:color w:val="auto"/>
          <w:sz w:val="24"/>
          <w:szCs w:val="24"/>
          <w:highlight w:val="none"/>
          <w:lang w:val="en-US" w:eastAsia="zh-CN"/>
        </w:rPr>
      </w:pPr>
      <w:r>
        <w:rPr>
          <w:rStyle w:val="20"/>
          <w:rFonts w:hint="eastAsia" w:ascii="宋体" w:hAnsi="宋体" w:eastAsiaTheme="minorEastAsia" w:cstheme="minorBidi"/>
          <w:color w:val="auto"/>
          <w:sz w:val="24"/>
          <w:szCs w:val="24"/>
          <w:highlight w:val="none"/>
          <w:lang w:val="en-US" w:eastAsia="zh-CN"/>
        </w:rPr>
        <w:t>地面垂直加速度：    __0.2__g</w:t>
      </w:r>
    </w:p>
    <w:p w14:paraId="7DC2E501">
      <w:pPr>
        <w:pStyle w:val="8"/>
        <w:tabs>
          <w:tab w:val="left" w:pos="720"/>
        </w:tabs>
        <w:spacing w:before="72" w:beforeLines="30" w:after="72" w:afterLines="30" w:line="360" w:lineRule="auto"/>
        <w:rPr>
          <w:rStyle w:val="20"/>
          <w:rFonts w:hint="eastAsia" w:asciiTheme="minorEastAsia" w:hAnsiTheme="minorEastAsia" w:eastAsiaTheme="minorEastAsia" w:cstheme="minorEastAsia"/>
          <w:b/>
          <w:color w:val="auto"/>
          <w:sz w:val="24"/>
          <w:szCs w:val="24"/>
          <w:highlight w:val="none"/>
        </w:rPr>
      </w:pPr>
      <w:r>
        <w:rPr>
          <w:rStyle w:val="20"/>
          <w:rFonts w:hint="eastAsia" w:asciiTheme="minorEastAsia" w:hAnsiTheme="minorEastAsia" w:eastAsiaTheme="minorEastAsia" w:cstheme="minorEastAsia"/>
          <w:b/>
          <w:color w:val="auto"/>
          <w:sz w:val="24"/>
          <w:szCs w:val="24"/>
          <w:highlight w:val="none"/>
        </w:rPr>
        <w:t>3.3总体要求</w:t>
      </w:r>
    </w:p>
    <w:p w14:paraId="6D37F9DD">
      <w:pPr>
        <w:pStyle w:val="8"/>
        <w:tabs>
          <w:tab w:val="left" w:pos="720"/>
        </w:tabs>
        <w:spacing w:before="72" w:beforeLines="30" w:after="72" w:afterLines="30" w:line="360" w:lineRule="auto"/>
        <w:rPr>
          <w:rStyle w:val="20"/>
          <w:rFonts w:hint="eastAsia"/>
          <w:color w:val="auto"/>
          <w:kern w:val="0"/>
          <w:sz w:val="24"/>
          <w:szCs w:val="24"/>
          <w:highlight w:val="none"/>
        </w:rPr>
      </w:pPr>
      <w:r>
        <w:rPr>
          <w:rStyle w:val="20"/>
          <w:rFonts w:hint="eastAsia" w:ascii="宋体" w:hAnsi="宋体"/>
          <w:color w:val="auto"/>
          <w:sz w:val="24"/>
          <w:szCs w:val="24"/>
          <w:highlight w:val="none"/>
        </w:rPr>
        <w:t>3.</w:t>
      </w:r>
      <w:r>
        <w:rPr>
          <w:rStyle w:val="20"/>
          <w:rFonts w:hint="eastAsia" w:ascii="宋体" w:hAnsi="宋体"/>
          <w:color w:val="auto"/>
          <w:sz w:val="24"/>
          <w:szCs w:val="24"/>
          <w:highlight w:val="none"/>
          <w:lang w:val="en-US" w:eastAsia="zh-CN"/>
        </w:rPr>
        <w:t>3</w:t>
      </w:r>
      <w:r>
        <w:rPr>
          <w:rStyle w:val="20"/>
          <w:rFonts w:hint="eastAsia" w:ascii="宋体" w:hAnsi="宋体"/>
          <w:color w:val="auto"/>
          <w:sz w:val="24"/>
          <w:szCs w:val="24"/>
          <w:highlight w:val="none"/>
        </w:rPr>
        <w:t>.1</w:t>
      </w:r>
      <w:r>
        <w:rPr>
          <w:rStyle w:val="20"/>
          <w:rFonts w:hint="eastAsia"/>
          <w:color w:val="auto"/>
          <w:kern w:val="0"/>
          <w:sz w:val="24"/>
          <w:szCs w:val="24"/>
          <w:highlight w:val="none"/>
        </w:rPr>
        <w:t>保证</w:t>
      </w:r>
      <w:r>
        <w:rPr>
          <w:rStyle w:val="20"/>
          <w:rFonts w:hint="eastAsia" w:ascii="宋体" w:hAnsi="宋体" w:eastAsiaTheme="minorEastAsia" w:cstheme="minorBidi"/>
          <w:color w:val="auto"/>
          <w:sz w:val="24"/>
          <w:szCs w:val="24"/>
          <w:highlight w:val="none"/>
        </w:rPr>
        <w:t>浙能武威2×1000MW调峰火电</w:t>
      </w:r>
      <w:r>
        <w:rPr>
          <w:rStyle w:val="20"/>
          <w:rFonts w:hint="eastAsia" w:ascii="宋体" w:hAnsi="宋体" w:eastAsiaTheme="minorEastAsia" w:cstheme="minorBidi"/>
          <w:color w:val="auto"/>
          <w:sz w:val="24"/>
          <w:szCs w:val="24"/>
          <w:highlight w:val="none"/>
          <w:lang w:val="en-US" w:eastAsia="zh-CN"/>
        </w:rPr>
        <w:t>机组工程</w:t>
      </w:r>
      <w:r>
        <w:rPr>
          <w:rStyle w:val="20"/>
          <w:rFonts w:hint="eastAsia"/>
          <w:color w:val="auto"/>
          <w:kern w:val="0"/>
          <w:sz w:val="24"/>
          <w:szCs w:val="24"/>
          <w:highlight w:val="none"/>
        </w:rPr>
        <w:t>厂站端电能量数据采集上送的稳定可靠性，满足现货交易市场需求，配置</w:t>
      </w:r>
      <w:r>
        <w:rPr>
          <w:rStyle w:val="20"/>
          <w:color w:val="auto"/>
          <w:kern w:val="0"/>
          <w:sz w:val="24"/>
          <w:szCs w:val="24"/>
          <w:highlight w:val="none"/>
        </w:rPr>
        <w:t>2</w:t>
      </w:r>
      <w:r>
        <w:rPr>
          <w:rStyle w:val="20"/>
          <w:rFonts w:hint="eastAsia"/>
          <w:color w:val="auto"/>
          <w:kern w:val="0"/>
          <w:sz w:val="24"/>
          <w:szCs w:val="24"/>
          <w:highlight w:val="none"/>
        </w:rPr>
        <w:t>台电能量采集装置组成双主冗余系统工作模式，同时完成电能量数据的采集，并经双机切换板自动切换通道后上送主站，从而提高整体电能量采集系统安全可靠性。</w:t>
      </w:r>
    </w:p>
    <w:p w14:paraId="528BF9F6">
      <w:pPr>
        <w:pStyle w:val="8"/>
        <w:tabs>
          <w:tab w:val="left" w:pos="720"/>
        </w:tabs>
        <w:spacing w:before="72" w:beforeLines="30" w:after="72" w:afterLines="30" w:line="360" w:lineRule="auto"/>
        <w:rPr>
          <w:rStyle w:val="20"/>
          <w:rFonts w:hint="default" w:ascii="Times New Roman" w:hAnsi="Times New Roman" w:eastAsia="宋体" w:cs="Times New Roman"/>
          <w:color w:val="auto"/>
          <w:kern w:val="0"/>
          <w:sz w:val="24"/>
          <w:szCs w:val="24"/>
          <w:highlight w:val="none"/>
        </w:rPr>
      </w:pPr>
      <w:r>
        <w:rPr>
          <w:rStyle w:val="20"/>
          <w:rFonts w:hint="default" w:ascii="Times New Roman" w:hAnsi="Times New Roman" w:eastAsia="宋体" w:cs="Times New Roman"/>
          <w:color w:val="auto"/>
          <w:sz w:val="24"/>
          <w:szCs w:val="24"/>
          <w:highlight w:val="none"/>
        </w:rPr>
        <w:t>3.</w:t>
      </w:r>
      <w:r>
        <w:rPr>
          <w:rStyle w:val="20"/>
          <w:rFonts w:hint="default" w:ascii="Times New Roman" w:hAnsi="Times New Roman" w:eastAsia="宋体" w:cs="Times New Roman"/>
          <w:color w:val="auto"/>
          <w:sz w:val="24"/>
          <w:szCs w:val="24"/>
          <w:highlight w:val="none"/>
          <w:lang w:val="en-US" w:eastAsia="zh-CN"/>
        </w:rPr>
        <w:t>3</w:t>
      </w:r>
      <w:r>
        <w:rPr>
          <w:rStyle w:val="20"/>
          <w:rFonts w:hint="default" w:ascii="Times New Roman" w:hAnsi="Times New Roman" w:eastAsia="宋体" w:cs="Times New Roman"/>
          <w:color w:val="auto"/>
          <w:sz w:val="24"/>
          <w:szCs w:val="24"/>
          <w:highlight w:val="none"/>
        </w:rPr>
        <w:t>.</w:t>
      </w:r>
      <w:r>
        <w:rPr>
          <w:rStyle w:val="20"/>
          <w:rFonts w:hint="default" w:ascii="Times New Roman" w:hAnsi="Times New Roman" w:eastAsia="宋体" w:cs="Times New Roman"/>
          <w:color w:val="auto"/>
          <w:sz w:val="24"/>
          <w:szCs w:val="24"/>
          <w:highlight w:val="none"/>
          <w:lang w:val="en-US" w:eastAsia="zh-CN"/>
        </w:rPr>
        <w:t>2</w:t>
      </w:r>
      <w:r>
        <w:rPr>
          <w:rStyle w:val="20"/>
          <w:rFonts w:hint="default" w:ascii="Times New Roman" w:hAnsi="Times New Roman" w:eastAsia="宋体" w:cs="Times New Roman"/>
          <w:color w:val="auto"/>
          <w:kern w:val="0"/>
          <w:sz w:val="24"/>
          <w:szCs w:val="24"/>
          <w:highlight w:val="none"/>
        </w:rPr>
        <w:t>为满足电厂厂用电统计的需求，本工程设置</w:t>
      </w:r>
      <w:r>
        <w:rPr>
          <w:rStyle w:val="20"/>
          <w:rFonts w:hint="eastAsia" w:ascii="Times New Roman" w:hAnsi="Times New Roman" w:cs="Times New Roman"/>
          <w:color w:val="auto"/>
          <w:kern w:val="0"/>
          <w:sz w:val="24"/>
          <w:szCs w:val="24"/>
          <w:highlight w:val="none"/>
          <w:lang w:val="en-US" w:eastAsia="zh-CN"/>
        </w:rPr>
        <w:t>1</w:t>
      </w:r>
      <w:r>
        <w:rPr>
          <w:rStyle w:val="20"/>
          <w:rFonts w:hint="default" w:ascii="Times New Roman" w:hAnsi="Times New Roman" w:eastAsia="宋体" w:cs="Times New Roman"/>
          <w:color w:val="auto"/>
          <w:kern w:val="0"/>
          <w:sz w:val="24"/>
          <w:szCs w:val="24"/>
          <w:highlight w:val="none"/>
        </w:rPr>
        <w:t>套厂用电电能量采集系统</w:t>
      </w:r>
      <w:r>
        <w:rPr>
          <w:rStyle w:val="20"/>
          <w:rFonts w:hint="default" w:ascii="Times New Roman" w:hAnsi="Times New Roman" w:eastAsia="宋体" w:cs="Times New Roman"/>
          <w:color w:val="auto"/>
          <w:kern w:val="0"/>
          <w:sz w:val="24"/>
          <w:szCs w:val="24"/>
          <w:highlight w:val="none"/>
          <w:lang w:val="en-US" w:eastAsia="zh-CN"/>
        </w:rPr>
        <w:t>和1套自动抄表系统</w:t>
      </w:r>
      <w:r>
        <w:rPr>
          <w:rStyle w:val="20"/>
          <w:rFonts w:hint="default" w:ascii="Times New Roman" w:hAnsi="Times New Roman" w:eastAsia="宋体" w:cs="Times New Roman"/>
          <w:color w:val="auto"/>
          <w:kern w:val="0"/>
          <w:sz w:val="24"/>
          <w:szCs w:val="24"/>
          <w:highlight w:val="none"/>
        </w:rPr>
        <w:t>，采集厂内10kV</w:t>
      </w:r>
      <w:r>
        <w:rPr>
          <w:rStyle w:val="20"/>
          <w:rFonts w:hint="default" w:ascii="Times New Roman" w:hAnsi="Times New Roman" w:eastAsia="宋体" w:cs="Times New Roman"/>
          <w:color w:val="auto"/>
          <w:kern w:val="0"/>
          <w:sz w:val="24"/>
          <w:szCs w:val="24"/>
          <w:highlight w:val="none"/>
          <w:lang w:val="en-US" w:eastAsia="zh-CN"/>
        </w:rPr>
        <w:t>和重要380V</w:t>
      </w:r>
      <w:r>
        <w:rPr>
          <w:rStyle w:val="20"/>
          <w:rFonts w:hint="default" w:ascii="Times New Roman" w:hAnsi="Times New Roman" w:eastAsia="宋体" w:cs="Times New Roman"/>
          <w:color w:val="auto"/>
          <w:kern w:val="0"/>
          <w:sz w:val="24"/>
          <w:szCs w:val="24"/>
          <w:highlight w:val="none"/>
        </w:rPr>
        <w:t>厂用电量实时数据</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lang w:val="en-US" w:eastAsia="zh-CN"/>
        </w:rPr>
        <w:t>实现厂用电电量数据的自动采集、统计、厂用电率计算及报表功能</w:t>
      </w:r>
      <w:r>
        <w:rPr>
          <w:rStyle w:val="20"/>
          <w:rFonts w:hint="default" w:ascii="Times New Roman" w:hAnsi="Times New Roman" w:eastAsia="宋体" w:cs="Times New Roman"/>
          <w:color w:val="auto"/>
          <w:kern w:val="0"/>
          <w:sz w:val="24"/>
          <w:szCs w:val="24"/>
          <w:highlight w:val="none"/>
        </w:rPr>
        <w:t>。</w:t>
      </w:r>
    </w:p>
    <w:p w14:paraId="73B93C8A">
      <w:pPr>
        <w:pStyle w:val="8"/>
        <w:tabs>
          <w:tab w:val="left" w:pos="720"/>
        </w:tabs>
        <w:spacing w:before="72" w:beforeLines="30" w:after="72" w:afterLines="30" w:line="360" w:lineRule="auto"/>
        <w:rPr>
          <w:rStyle w:val="20"/>
          <w:rFonts w:hint="default" w:ascii="Times New Roman" w:hAnsi="Times New Roman" w:eastAsia="宋体" w:cs="Times New Roman"/>
          <w:color w:val="auto"/>
          <w:kern w:val="0"/>
          <w:sz w:val="24"/>
          <w:szCs w:val="24"/>
          <w:highlight w:val="none"/>
          <w:lang w:val="en-US" w:eastAsia="zh-CN"/>
        </w:rPr>
      </w:pPr>
      <w:r>
        <w:rPr>
          <w:rStyle w:val="20"/>
          <w:rFonts w:hint="default" w:ascii="Times New Roman" w:hAnsi="Times New Roman" w:eastAsia="宋体" w:cs="Times New Roman"/>
          <w:color w:val="auto"/>
          <w:sz w:val="24"/>
          <w:szCs w:val="24"/>
          <w:highlight w:val="none"/>
        </w:rPr>
        <w:t>3.</w:t>
      </w:r>
      <w:r>
        <w:rPr>
          <w:rStyle w:val="20"/>
          <w:rFonts w:hint="default" w:ascii="Times New Roman" w:hAnsi="Times New Roman" w:eastAsia="宋体" w:cs="Times New Roman"/>
          <w:color w:val="auto"/>
          <w:sz w:val="24"/>
          <w:szCs w:val="24"/>
          <w:highlight w:val="none"/>
          <w:lang w:val="en-US" w:eastAsia="zh-CN"/>
        </w:rPr>
        <w:t>3</w:t>
      </w:r>
      <w:r>
        <w:rPr>
          <w:rStyle w:val="20"/>
          <w:rFonts w:hint="default" w:ascii="Times New Roman" w:hAnsi="Times New Roman" w:eastAsia="宋体" w:cs="Times New Roman"/>
          <w:color w:val="auto"/>
          <w:sz w:val="24"/>
          <w:szCs w:val="24"/>
          <w:highlight w:val="none"/>
        </w:rPr>
        <w:t>.</w:t>
      </w:r>
      <w:r>
        <w:rPr>
          <w:rStyle w:val="20"/>
          <w:rFonts w:hint="default" w:ascii="Times New Roman" w:hAnsi="Times New Roman" w:eastAsia="宋体" w:cs="Times New Roman"/>
          <w:color w:val="auto"/>
          <w:sz w:val="24"/>
          <w:szCs w:val="24"/>
          <w:highlight w:val="none"/>
          <w:lang w:val="en-US" w:eastAsia="zh-CN"/>
        </w:rPr>
        <w:t>3</w:t>
      </w:r>
      <w:r>
        <w:rPr>
          <w:rStyle w:val="20"/>
          <w:rFonts w:hint="default" w:ascii="Times New Roman" w:hAnsi="Times New Roman" w:eastAsia="宋体" w:cs="Times New Roman"/>
          <w:color w:val="auto"/>
          <w:kern w:val="0"/>
          <w:sz w:val="24"/>
          <w:szCs w:val="24"/>
          <w:highlight w:val="none"/>
          <w:lang w:val="en-US" w:eastAsia="zh-CN"/>
        </w:rPr>
        <w:t>本工程</w:t>
      </w:r>
      <w:r>
        <w:rPr>
          <w:rStyle w:val="20"/>
          <w:rFonts w:hint="default" w:ascii="Times New Roman" w:hAnsi="Times New Roman" w:eastAsia="宋体" w:cs="Times New Roman"/>
          <w:color w:val="auto"/>
          <w:kern w:val="0"/>
          <w:sz w:val="24"/>
          <w:szCs w:val="24"/>
          <w:highlight w:val="none"/>
        </w:rPr>
        <w:t>每台机组设A、B段母线。10kV工作A、B段母线分别接在高压厂用工作变压器的两个低压分裂绕组上。每台机组10kV工作段</w:t>
      </w:r>
      <w:r>
        <w:rPr>
          <w:rStyle w:val="20"/>
          <w:rFonts w:hint="default" w:ascii="Times New Roman" w:hAnsi="Times New Roman" w:eastAsia="宋体" w:cs="Times New Roman"/>
          <w:color w:val="auto"/>
          <w:kern w:val="0"/>
          <w:sz w:val="24"/>
          <w:szCs w:val="24"/>
          <w:highlight w:val="none"/>
          <w:lang w:val="en-US" w:eastAsia="zh-CN"/>
        </w:rPr>
        <w:t>预计</w:t>
      </w:r>
      <w:r>
        <w:rPr>
          <w:rStyle w:val="20"/>
          <w:rFonts w:hint="default" w:ascii="Times New Roman" w:hAnsi="Times New Roman" w:eastAsia="宋体" w:cs="Times New Roman"/>
          <w:color w:val="auto"/>
          <w:kern w:val="0"/>
          <w:sz w:val="24"/>
          <w:szCs w:val="24"/>
          <w:highlight w:val="none"/>
        </w:rPr>
        <w:t>有4回10kV进线，</w:t>
      </w:r>
      <w:r>
        <w:rPr>
          <w:rStyle w:val="20"/>
          <w:rFonts w:hint="default" w:ascii="Times New Roman" w:hAnsi="Times New Roman" w:eastAsia="宋体" w:cs="Times New Roman"/>
          <w:color w:val="auto"/>
          <w:kern w:val="0"/>
          <w:sz w:val="24"/>
          <w:szCs w:val="24"/>
          <w:highlight w:val="none"/>
          <w:lang w:val="en-US" w:eastAsia="zh-CN"/>
        </w:rPr>
        <w:t>60</w:t>
      </w:r>
      <w:r>
        <w:rPr>
          <w:rStyle w:val="20"/>
          <w:rFonts w:hint="default" w:ascii="Times New Roman" w:hAnsi="Times New Roman" w:eastAsia="宋体" w:cs="Times New Roman"/>
          <w:color w:val="auto"/>
          <w:kern w:val="0"/>
          <w:sz w:val="24"/>
          <w:szCs w:val="24"/>
          <w:highlight w:val="none"/>
        </w:rPr>
        <w:t>回10kV馈线</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lang w:val="en-US" w:eastAsia="zh-CN"/>
        </w:rPr>
        <w:t>最终数量以施工图设计为准</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rPr>
        <w:t>。机组10kV工作段</w:t>
      </w:r>
      <w:r>
        <w:rPr>
          <w:rStyle w:val="20"/>
          <w:rFonts w:hint="default" w:ascii="Times New Roman" w:hAnsi="Times New Roman" w:eastAsia="宋体" w:cs="Times New Roman"/>
          <w:color w:val="auto"/>
          <w:kern w:val="0"/>
          <w:sz w:val="24"/>
          <w:szCs w:val="24"/>
          <w:highlight w:val="none"/>
          <w:lang w:val="en-US" w:eastAsia="zh-CN"/>
        </w:rPr>
        <w:t>布置在主厂房内。</w:t>
      </w:r>
    </w:p>
    <w:p w14:paraId="23C68202">
      <w:pPr>
        <w:pStyle w:val="8"/>
        <w:tabs>
          <w:tab w:val="left" w:pos="720"/>
        </w:tabs>
        <w:spacing w:before="72" w:beforeLines="30" w:after="72" w:afterLines="30" w:line="360" w:lineRule="auto"/>
        <w:rPr>
          <w:rStyle w:val="20"/>
          <w:rFonts w:hint="default" w:ascii="Times New Roman" w:hAnsi="Times New Roman" w:eastAsia="宋体" w:cs="Times New Roman"/>
          <w:color w:val="auto"/>
          <w:kern w:val="0"/>
          <w:sz w:val="24"/>
          <w:szCs w:val="24"/>
          <w:highlight w:val="none"/>
        </w:rPr>
      </w:pPr>
      <w:r>
        <w:rPr>
          <w:rStyle w:val="20"/>
          <w:rFonts w:hint="default" w:ascii="Times New Roman" w:hAnsi="Times New Roman" w:eastAsia="宋体" w:cs="Times New Roman"/>
          <w:color w:val="auto"/>
          <w:sz w:val="24"/>
          <w:szCs w:val="24"/>
          <w:highlight w:val="none"/>
        </w:rPr>
        <w:t>3.</w:t>
      </w:r>
      <w:r>
        <w:rPr>
          <w:rStyle w:val="20"/>
          <w:rFonts w:hint="default" w:ascii="Times New Roman" w:hAnsi="Times New Roman" w:eastAsia="宋体" w:cs="Times New Roman"/>
          <w:color w:val="auto"/>
          <w:sz w:val="24"/>
          <w:szCs w:val="24"/>
          <w:highlight w:val="none"/>
          <w:lang w:val="en-US" w:eastAsia="zh-CN"/>
        </w:rPr>
        <w:t>3</w:t>
      </w:r>
      <w:r>
        <w:rPr>
          <w:rStyle w:val="20"/>
          <w:rFonts w:hint="default" w:ascii="Times New Roman" w:hAnsi="Times New Roman" w:eastAsia="宋体" w:cs="Times New Roman"/>
          <w:color w:val="auto"/>
          <w:sz w:val="24"/>
          <w:szCs w:val="24"/>
          <w:highlight w:val="none"/>
        </w:rPr>
        <w:t>.</w:t>
      </w:r>
      <w:r>
        <w:rPr>
          <w:rStyle w:val="20"/>
          <w:rFonts w:hint="default" w:ascii="Times New Roman" w:hAnsi="Times New Roman" w:eastAsia="宋体" w:cs="Times New Roman"/>
          <w:color w:val="auto"/>
          <w:sz w:val="24"/>
          <w:szCs w:val="24"/>
          <w:highlight w:val="none"/>
          <w:lang w:val="en-US" w:eastAsia="zh-CN"/>
        </w:rPr>
        <w:t>4</w:t>
      </w:r>
      <w:r>
        <w:rPr>
          <w:rStyle w:val="20"/>
          <w:rFonts w:hint="default" w:ascii="Times New Roman" w:hAnsi="Times New Roman" w:eastAsia="宋体" w:cs="Times New Roman"/>
          <w:color w:val="auto"/>
          <w:kern w:val="0"/>
          <w:sz w:val="24"/>
          <w:szCs w:val="24"/>
          <w:highlight w:val="none"/>
        </w:rPr>
        <w:t>本工程单独设置2个厂内10kV公用段，每段分别由主厂房10kV母线段供电</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rPr>
        <w:t>10kV公用段</w:t>
      </w:r>
      <w:r>
        <w:rPr>
          <w:rStyle w:val="20"/>
          <w:rFonts w:hint="default" w:ascii="Times New Roman" w:hAnsi="Times New Roman" w:eastAsia="宋体" w:cs="Times New Roman"/>
          <w:color w:val="auto"/>
          <w:kern w:val="0"/>
          <w:sz w:val="24"/>
          <w:szCs w:val="24"/>
          <w:highlight w:val="none"/>
          <w:lang w:val="en-US" w:eastAsia="zh-CN"/>
        </w:rPr>
        <w:t>预计</w:t>
      </w:r>
      <w:r>
        <w:rPr>
          <w:rStyle w:val="20"/>
          <w:rFonts w:hint="default" w:ascii="Times New Roman" w:hAnsi="Times New Roman" w:eastAsia="宋体" w:cs="Times New Roman"/>
          <w:color w:val="auto"/>
          <w:kern w:val="0"/>
          <w:sz w:val="24"/>
          <w:szCs w:val="24"/>
          <w:highlight w:val="none"/>
        </w:rPr>
        <w:t>有2回10kV进线，3</w:t>
      </w:r>
      <w:r>
        <w:rPr>
          <w:rStyle w:val="20"/>
          <w:rFonts w:hint="default" w:ascii="Times New Roman" w:hAnsi="Times New Roman" w:eastAsia="宋体" w:cs="Times New Roman"/>
          <w:color w:val="auto"/>
          <w:kern w:val="0"/>
          <w:sz w:val="24"/>
          <w:szCs w:val="24"/>
          <w:highlight w:val="none"/>
          <w:lang w:val="en-US" w:eastAsia="zh-CN"/>
        </w:rPr>
        <w:t>6</w:t>
      </w:r>
      <w:r>
        <w:rPr>
          <w:rStyle w:val="20"/>
          <w:rFonts w:hint="default" w:ascii="Times New Roman" w:hAnsi="Times New Roman" w:eastAsia="宋体" w:cs="Times New Roman"/>
          <w:color w:val="auto"/>
          <w:kern w:val="0"/>
          <w:sz w:val="24"/>
          <w:szCs w:val="24"/>
          <w:highlight w:val="none"/>
        </w:rPr>
        <w:t>回10kV馈线</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lang w:val="en-US" w:eastAsia="zh-CN"/>
        </w:rPr>
        <w:t>最终数量以施工图设计为准</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rPr>
        <w:t>。</w:t>
      </w:r>
    </w:p>
    <w:p w14:paraId="749A454E">
      <w:pPr>
        <w:pStyle w:val="8"/>
        <w:tabs>
          <w:tab w:val="left" w:pos="720"/>
        </w:tabs>
        <w:spacing w:before="72" w:beforeLines="30" w:after="72" w:afterLines="30" w:line="360" w:lineRule="auto"/>
        <w:rPr>
          <w:rStyle w:val="20"/>
          <w:rFonts w:hint="default" w:ascii="Times New Roman" w:hAnsi="Times New Roman" w:eastAsia="宋体" w:cs="Times New Roman"/>
          <w:color w:val="auto"/>
          <w:kern w:val="0"/>
          <w:sz w:val="24"/>
          <w:szCs w:val="24"/>
          <w:highlight w:val="none"/>
          <w:lang w:val="en-US" w:eastAsia="zh-CN"/>
        </w:rPr>
      </w:pPr>
      <w:r>
        <w:rPr>
          <w:rStyle w:val="20"/>
          <w:rFonts w:hint="default" w:ascii="Times New Roman" w:hAnsi="Times New Roman" w:eastAsia="宋体" w:cs="Times New Roman"/>
          <w:color w:val="auto"/>
          <w:kern w:val="0"/>
          <w:sz w:val="24"/>
          <w:szCs w:val="24"/>
          <w:highlight w:val="none"/>
        </w:rPr>
        <w:t>厂内10kV公用段</w:t>
      </w:r>
      <w:r>
        <w:rPr>
          <w:rStyle w:val="20"/>
          <w:rFonts w:hint="eastAsia" w:ascii="Times New Roman" w:hAnsi="Times New Roman" w:cs="Times New Roman"/>
          <w:color w:val="auto"/>
          <w:kern w:val="0"/>
          <w:sz w:val="24"/>
          <w:szCs w:val="24"/>
          <w:highlight w:val="none"/>
          <w:lang w:val="en-US" w:eastAsia="zh-CN"/>
        </w:rPr>
        <w:t>设置在脱硫综合楼。</w:t>
      </w:r>
    </w:p>
    <w:p w14:paraId="640F8F55">
      <w:pPr>
        <w:pStyle w:val="8"/>
        <w:tabs>
          <w:tab w:val="left" w:pos="720"/>
        </w:tabs>
        <w:spacing w:before="72" w:beforeLines="30" w:after="72" w:afterLines="30" w:line="360" w:lineRule="auto"/>
        <w:rPr>
          <w:rStyle w:val="20"/>
          <w:rFonts w:hint="default" w:ascii="Times New Roman" w:hAnsi="Times New Roman" w:eastAsia="宋体" w:cs="Times New Roman"/>
          <w:color w:val="auto"/>
          <w:kern w:val="0"/>
          <w:sz w:val="24"/>
          <w:szCs w:val="24"/>
          <w:highlight w:val="none"/>
          <w:lang w:val="en-US" w:eastAsia="zh-CN"/>
        </w:rPr>
      </w:pPr>
      <w:r>
        <w:rPr>
          <w:rStyle w:val="20"/>
          <w:rFonts w:hint="default" w:ascii="Times New Roman" w:hAnsi="Times New Roman" w:eastAsia="宋体" w:cs="Times New Roman"/>
          <w:color w:val="auto"/>
          <w:sz w:val="24"/>
          <w:szCs w:val="24"/>
          <w:highlight w:val="none"/>
        </w:rPr>
        <w:t>3.</w:t>
      </w:r>
      <w:r>
        <w:rPr>
          <w:rStyle w:val="20"/>
          <w:rFonts w:hint="default" w:ascii="Times New Roman" w:hAnsi="Times New Roman" w:eastAsia="宋体" w:cs="Times New Roman"/>
          <w:color w:val="auto"/>
          <w:sz w:val="24"/>
          <w:szCs w:val="24"/>
          <w:highlight w:val="none"/>
          <w:lang w:val="en-US" w:eastAsia="zh-CN"/>
        </w:rPr>
        <w:t>3</w:t>
      </w:r>
      <w:r>
        <w:rPr>
          <w:rStyle w:val="20"/>
          <w:rFonts w:hint="default" w:ascii="Times New Roman" w:hAnsi="Times New Roman" w:eastAsia="宋体" w:cs="Times New Roman"/>
          <w:color w:val="auto"/>
          <w:sz w:val="24"/>
          <w:szCs w:val="24"/>
          <w:highlight w:val="none"/>
        </w:rPr>
        <w:t>.</w:t>
      </w:r>
      <w:r>
        <w:rPr>
          <w:rStyle w:val="20"/>
          <w:rFonts w:hint="default" w:ascii="Times New Roman" w:hAnsi="Times New Roman" w:eastAsia="宋体" w:cs="Times New Roman"/>
          <w:color w:val="auto"/>
          <w:sz w:val="24"/>
          <w:szCs w:val="24"/>
          <w:highlight w:val="none"/>
          <w:lang w:val="en-US" w:eastAsia="zh-CN"/>
        </w:rPr>
        <w:t>5</w:t>
      </w:r>
      <w:r>
        <w:rPr>
          <w:rStyle w:val="20"/>
          <w:rFonts w:hint="default" w:ascii="Times New Roman" w:hAnsi="Times New Roman" w:eastAsia="宋体" w:cs="Times New Roman"/>
          <w:color w:val="auto"/>
          <w:kern w:val="0"/>
          <w:sz w:val="24"/>
          <w:szCs w:val="24"/>
          <w:highlight w:val="none"/>
          <w:lang w:val="en-US" w:eastAsia="zh-CN"/>
        </w:rPr>
        <w:t>本工程380V低压厂用电</w:t>
      </w:r>
      <w:r>
        <w:rPr>
          <w:rStyle w:val="20"/>
          <w:rFonts w:hint="default" w:ascii="Times New Roman" w:hAnsi="Times New Roman" w:eastAsia="宋体" w:cs="Times New Roman"/>
          <w:color w:val="auto"/>
          <w:kern w:val="0"/>
          <w:sz w:val="24"/>
          <w:szCs w:val="24"/>
          <w:highlight w:val="none"/>
        </w:rPr>
        <w:t>采用动力中心（PC）和电动机控制中心（MCC）两级供电方式</w:t>
      </w:r>
      <w:r>
        <w:rPr>
          <w:rStyle w:val="20"/>
          <w:rFonts w:hint="default" w:ascii="Times New Roman" w:hAnsi="Times New Roman" w:eastAsia="宋体" w:cs="Times New Roman"/>
          <w:color w:val="auto"/>
          <w:kern w:val="0"/>
          <w:sz w:val="24"/>
          <w:szCs w:val="24"/>
          <w:highlight w:val="none"/>
          <w:lang w:val="en-US" w:eastAsia="zh-CN"/>
        </w:rPr>
        <w:t>，预计380V PC中MCC电源馈线有77回</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lang w:val="en-US" w:eastAsia="zh-CN"/>
        </w:rPr>
        <w:t>最终数量以施工图设计为准</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lang w:val="en-US" w:eastAsia="zh-CN"/>
        </w:rPr>
        <w:t>。</w:t>
      </w:r>
    </w:p>
    <w:p w14:paraId="41583E75">
      <w:pPr>
        <w:pStyle w:val="8"/>
        <w:tabs>
          <w:tab w:val="left" w:pos="720"/>
        </w:tabs>
        <w:spacing w:before="72" w:beforeLines="30" w:after="72" w:afterLines="30" w:line="360" w:lineRule="auto"/>
        <w:rPr>
          <w:rStyle w:val="20"/>
          <w:rFonts w:hint="default" w:ascii="Times New Roman" w:hAnsi="Times New Roman" w:eastAsia="宋体" w:cs="Times New Roman"/>
          <w:color w:val="auto"/>
          <w:kern w:val="0"/>
          <w:sz w:val="24"/>
          <w:szCs w:val="24"/>
          <w:highlight w:val="none"/>
          <w:lang w:eastAsia="zh-CN"/>
        </w:rPr>
      </w:pPr>
      <w:r>
        <w:rPr>
          <w:rStyle w:val="20"/>
          <w:rFonts w:hint="default" w:ascii="Times New Roman" w:hAnsi="Times New Roman" w:eastAsia="宋体" w:cs="Times New Roman"/>
          <w:color w:val="auto"/>
          <w:kern w:val="0"/>
          <w:sz w:val="24"/>
          <w:szCs w:val="24"/>
          <w:highlight w:val="none"/>
          <w:lang w:val="en-US" w:eastAsia="zh-CN"/>
        </w:rPr>
        <w:t>主厂房区域，</w:t>
      </w:r>
      <w:r>
        <w:rPr>
          <w:rStyle w:val="20"/>
          <w:rFonts w:hint="default" w:ascii="Times New Roman" w:hAnsi="Times New Roman" w:eastAsia="宋体" w:cs="Times New Roman"/>
          <w:color w:val="auto"/>
          <w:kern w:val="0"/>
          <w:sz w:val="24"/>
          <w:szCs w:val="24"/>
          <w:highlight w:val="none"/>
        </w:rPr>
        <w:t>每台机组设置两段380V汽机PC段</w:t>
      </w:r>
      <w:r>
        <w:rPr>
          <w:rStyle w:val="20"/>
          <w:rFonts w:hint="eastAsia" w:ascii="Times New Roman" w:hAnsi="Times New Roman" w:eastAsia="宋体" w:cs="Times New Roman"/>
          <w:color w:val="auto"/>
          <w:kern w:val="0"/>
          <w:sz w:val="24"/>
          <w:szCs w:val="24"/>
          <w:highlight w:val="none"/>
          <w:lang w:val="en-US" w:eastAsia="zh-CN"/>
        </w:rPr>
        <w:t>布置在</w:t>
      </w:r>
      <w:r>
        <w:rPr>
          <w:rStyle w:val="20"/>
          <w:rFonts w:hint="eastAsia" w:ascii="Times New Roman" w:hAnsi="Times New Roman" w:cs="Times New Roman"/>
          <w:color w:val="auto"/>
          <w:sz w:val="24"/>
          <w:szCs w:val="24"/>
          <w:highlight w:val="none"/>
          <w:lang w:val="en-US" w:eastAsia="zh-CN"/>
        </w:rPr>
        <w:t>汽机配电室</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rPr>
        <w:t>两段380V锅炉PC段</w:t>
      </w:r>
      <w:r>
        <w:rPr>
          <w:rStyle w:val="20"/>
          <w:rFonts w:hint="eastAsia" w:ascii="Times New Roman" w:hAnsi="Times New Roman" w:eastAsia="宋体" w:cs="Times New Roman"/>
          <w:color w:val="auto"/>
          <w:kern w:val="0"/>
          <w:sz w:val="24"/>
          <w:szCs w:val="24"/>
          <w:highlight w:val="none"/>
          <w:lang w:val="en-US" w:eastAsia="zh-CN"/>
        </w:rPr>
        <w:t>布置在</w:t>
      </w:r>
      <w:r>
        <w:rPr>
          <w:rStyle w:val="20"/>
          <w:rFonts w:hint="eastAsia" w:ascii="Times New Roman" w:hAnsi="Times New Roman" w:cs="Times New Roman"/>
          <w:color w:val="auto"/>
          <w:sz w:val="24"/>
          <w:szCs w:val="24"/>
          <w:highlight w:val="none"/>
          <w:lang w:val="en-US" w:eastAsia="zh-CN"/>
        </w:rPr>
        <w:t>锅炉配电室</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rPr>
        <w:t>两段380V保安PC段</w:t>
      </w:r>
      <w:r>
        <w:rPr>
          <w:rStyle w:val="20"/>
          <w:rFonts w:hint="eastAsia" w:ascii="Times New Roman" w:hAnsi="Times New Roman" w:eastAsia="宋体" w:cs="Times New Roman"/>
          <w:color w:val="auto"/>
          <w:kern w:val="0"/>
          <w:sz w:val="24"/>
          <w:szCs w:val="24"/>
          <w:highlight w:val="none"/>
          <w:lang w:val="en-US" w:eastAsia="zh-CN"/>
        </w:rPr>
        <w:t>布置在保安配电</w:t>
      </w:r>
      <w:r>
        <w:rPr>
          <w:rStyle w:val="20"/>
          <w:rFonts w:hint="eastAsia" w:ascii="Times New Roman" w:hAnsi="Times New Roman" w:cs="Times New Roman"/>
          <w:color w:val="auto"/>
          <w:sz w:val="24"/>
          <w:szCs w:val="24"/>
          <w:highlight w:val="none"/>
          <w:lang w:val="en-US" w:eastAsia="zh-CN"/>
        </w:rPr>
        <w:t>室</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rPr>
        <w:t>两台机组设置两段380V公用PC段</w:t>
      </w:r>
      <w:r>
        <w:rPr>
          <w:rStyle w:val="20"/>
          <w:rFonts w:hint="eastAsia" w:ascii="Times New Roman" w:hAnsi="Times New Roman" w:eastAsia="宋体" w:cs="Times New Roman"/>
          <w:color w:val="auto"/>
          <w:kern w:val="0"/>
          <w:sz w:val="24"/>
          <w:szCs w:val="24"/>
          <w:highlight w:val="none"/>
          <w:lang w:val="en-US" w:eastAsia="zh-CN"/>
        </w:rPr>
        <w:t>布置在公用配电室</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rPr>
        <w:t>每台机组各设置一段380V照明检修PC段</w:t>
      </w:r>
      <w:r>
        <w:rPr>
          <w:rStyle w:val="20"/>
          <w:rFonts w:hint="eastAsia" w:ascii="Times New Roman" w:hAnsi="Times New Roman" w:eastAsia="宋体" w:cs="Times New Roman"/>
          <w:color w:val="auto"/>
          <w:kern w:val="0"/>
          <w:sz w:val="24"/>
          <w:szCs w:val="24"/>
          <w:highlight w:val="none"/>
          <w:lang w:eastAsia="zh-CN"/>
        </w:rPr>
        <w:t>，</w:t>
      </w:r>
      <w:r>
        <w:rPr>
          <w:rStyle w:val="20"/>
          <w:rFonts w:hint="eastAsia" w:ascii="Times New Roman" w:hAnsi="Times New Roman" w:eastAsia="宋体" w:cs="Times New Roman"/>
          <w:color w:val="auto"/>
          <w:kern w:val="0"/>
          <w:sz w:val="24"/>
          <w:szCs w:val="24"/>
          <w:highlight w:val="none"/>
          <w:lang w:val="en-US" w:eastAsia="zh-CN"/>
        </w:rPr>
        <w:t>布置在汽机配电室</w:t>
      </w:r>
      <w:r>
        <w:rPr>
          <w:rStyle w:val="20"/>
          <w:rFonts w:hint="default" w:ascii="Times New Roman" w:hAnsi="Times New Roman" w:eastAsia="宋体" w:cs="Times New Roman"/>
          <w:color w:val="auto"/>
          <w:kern w:val="0"/>
          <w:sz w:val="24"/>
          <w:szCs w:val="24"/>
          <w:highlight w:val="none"/>
          <w:lang w:eastAsia="zh-CN"/>
        </w:rPr>
        <w:t>。</w:t>
      </w:r>
    </w:p>
    <w:p w14:paraId="550551B2">
      <w:pPr>
        <w:pStyle w:val="8"/>
        <w:tabs>
          <w:tab w:val="left" w:pos="720"/>
        </w:tabs>
        <w:spacing w:before="72" w:beforeLines="30" w:after="72" w:afterLines="30" w:line="360" w:lineRule="auto"/>
        <w:rPr>
          <w:rStyle w:val="20"/>
          <w:rFonts w:hint="default" w:ascii="Times New Roman" w:hAnsi="Times New Roman" w:eastAsia="宋体" w:cs="Times New Roman"/>
          <w:color w:val="auto"/>
          <w:kern w:val="0"/>
          <w:sz w:val="24"/>
          <w:szCs w:val="24"/>
          <w:highlight w:val="none"/>
          <w:lang w:eastAsia="zh-CN"/>
        </w:rPr>
      </w:pPr>
      <w:r>
        <w:rPr>
          <w:rStyle w:val="20"/>
          <w:rFonts w:hint="default" w:ascii="Times New Roman" w:hAnsi="Times New Roman" w:eastAsia="宋体" w:cs="Times New Roman"/>
          <w:color w:val="auto"/>
          <w:kern w:val="0"/>
          <w:sz w:val="24"/>
          <w:szCs w:val="24"/>
          <w:highlight w:val="none"/>
          <w:lang w:val="en-US" w:eastAsia="zh-CN"/>
        </w:rPr>
        <w:t>辅助厂房区域</w:t>
      </w:r>
      <w:r>
        <w:rPr>
          <w:rStyle w:val="20"/>
          <w:rFonts w:hint="eastAsia" w:ascii="Times New Roman" w:hAnsi="Times New Roman" w:eastAsia="宋体" w:cs="Times New Roman"/>
          <w:color w:val="auto"/>
          <w:kern w:val="0"/>
          <w:sz w:val="24"/>
          <w:szCs w:val="24"/>
          <w:highlight w:val="none"/>
          <w:lang w:val="en-US" w:eastAsia="zh-CN"/>
        </w:rPr>
        <w:t>，</w:t>
      </w:r>
      <w:r>
        <w:rPr>
          <w:rStyle w:val="20"/>
          <w:rFonts w:hint="default" w:ascii="Times New Roman" w:hAnsi="Times New Roman" w:eastAsia="宋体" w:cs="Times New Roman"/>
          <w:color w:val="auto"/>
          <w:kern w:val="0"/>
          <w:sz w:val="24"/>
          <w:szCs w:val="24"/>
          <w:highlight w:val="none"/>
        </w:rPr>
        <w:t>每台机</w:t>
      </w:r>
      <w:r>
        <w:rPr>
          <w:rStyle w:val="20"/>
          <w:rFonts w:hint="eastAsia" w:ascii="Times New Roman" w:hAnsi="Times New Roman" w:eastAsia="宋体" w:cs="Times New Roman"/>
          <w:color w:val="auto"/>
          <w:kern w:val="0"/>
          <w:sz w:val="24"/>
          <w:szCs w:val="24"/>
          <w:highlight w:val="none"/>
          <w:lang w:val="en-US" w:eastAsia="zh-CN"/>
        </w:rPr>
        <w:t>在除尘配电间</w:t>
      </w:r>
      <w:r>
        <w:rPr>
          <w:rStyle w:val="20"/>
          <w:rFonts w:hint="default" w:ascii="Times New Roman" w:hAnsi="Times New Roman" w:eastAsia="宋体" w:cs="Times New Roman"/>
          <w:color w:val="auto"/>
          <w:kern w:val="0"/>
          <w:sz w:val="24"/>
          <w:szCs w:val="24"/>
          <w:highlight w:val="none"/>
        </w:rPr>
        <w:t>设置两段电除尘PC段</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lang w:val="en-US" w:eastAsia="zh-CN"/>
        </w:rPr>
        <w:t>在</w:t>
      </w:r>
      <w:r>
        <w:rPr>
          <w:rStyle w:val="20"/>
          <w:rFonts w:hint="eastAsia" w:ascii="Times New Roman" w:hAnsi="Times New Roman" w:eastAsia="宋体" w:cs="Times New Roman"/>
          <w:color w:val="auto"/>
          <w:kern w:val="0"/>
          <w:sz w:val="24"/>
          <w:szCs w:val="24"/>
          <w:highlight w:val="none"/>
          <w:lang w:val="en-US" w:eastAsia="zh-CN"/>
        </w:rPr>
        <w:t>化验</w:t>
      </w:r>
      <w:r>
        <w:rPr>
          <w:rStyle w:val="20"/>
          <w:rFonts w:hint="default" w:ascii="Times New Roman" w:hAnsi="Times New Roman" w:eastAsia="宋体" w:cs="Times New Roman"/>
          <w:color w:val="auto"/>
          <w:kern w:val="0"/>
          <w:sz w:val="24"/>
          <w:szCs w:val="24"/>
          <w:highlight w:val="none"/>
          <w:lang w:val="en-US" w:eastAsia="zh-CN"/>
        </w:rPr>
        <w:t>楼设置</w:t>
      </w:r>
      <w:r>
        <w:rPr>
          <w:rStyle w:val="20"/>
          <w:rFonts w:hint="default" w:ascii="Times New Roman" w:hAnsi="Times New Roman" w:eastAsia="宋体" w:cs="Times New Roman"/>
          <w:color w:val="auto"/>
          <w:kern w:val="0"/>
          <w:sz w:val="24"/>
          <w:szCs w:val="24"/>
          <w:highlight w:val="none"/>
        </w:rPr>
        <w:t>两段380V化水PC段</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lang w:val="en-US" w:eastAsia="zh-CN"/>
        </w:rPr>
        <w:t>在</w:t>
      </w:r>
      <w:r>
        <w:rPr>
          <w:rStyle w:val="20"/>
          <w:rFonts w:hint="eastAsia" w:ascii="Times New Roman" w:hAnsi="Times New Roman" w:eastAsia="宋体" w:cs="Times New Roman"/>
          <w:color w:val="auto"/>
          <w:kern w:val="0"/>
          <w:sz w:val="24"/>
          <w:szCs w:val="24"/>
          <w:highlight w:val="none"/>
          <w:lang w:val="en-US" w:eastAsia="zh-CN"/>
        </w:rPr>
        <w:t>综合泵房</w:t>
      </w:r>
      <w:r>
        <w:rPr>
          <w:rStyle w:val="20"/>
          <w:rFonts w:hint="default" w:ascii="Times New Roman" w:hAnsi="Times New Roman" w:eastAsia="宋体" w:cs="Times New Roman"/>
          <w:color w:val="auto"/>
          <w:kern w:val="0"/>
          <w:sz w:val="24"/>
          <w:szCs w:val="24"/>
          <w:highlight w:val="none"/>
          <w:lang w:val="en-US" w:eastAsia="zh-CN"/>
        </w:rPr>
        <w:t>设置</w:t>
      </w:r>
      <w:r>
        <w:rPr>
          <w:rStyle w:val="20"/>
          <w:rFonts w:hint="default" w:ascii="Times New Roman" w:hAnsi="Times New Roman" w:eastAsia="宋体" w:cs="Times New Roman"/>
          <w:color w:val="auto"/>
          <w:kern w:val="0"/>
          <w:sz w:val="24"/>
          <w:szCs w:val="24"/>
          <w:highlight w:val="none"/>
        </w:rPr>
        <w:t>两段水工PC段</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lang w:val="en-US" w:eastAsia="zh-CN"/>
        </w:rPr>
        <w:t>在循泵房设置两段</w:t>
      </w:r>
      <w:r>
        <w:rPr>
          <w:rStyle w:val="20"/>
          <w:rFonts w:hint="default" w:ascii="Times New Roman" w:hAnsi="Times New Roman" w:eastAsia="宋体" w:cs="Times New Roman"/>
          <w:color w:val="auto"/>
          <w:kern w:val="0"/>
          <w:sz w:val="24"/>
          <w:szCs w:val="24"/>
          <w:highlight w:val="none"/>
        </w:rPr>
        <w:t>循泵PC段</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lang w:val="en-US" w:eastAsia="zh-CN"/>
        </w:rPr>
        <w:t>在脱硫综合楼设置</w:t>
      </w:r>
      <w:r>
        <w:rPr>
          <w:rStyle w:val="20"/>
          <w:rFonts w:hint="default" w:ascii="Times New Roman" w:hAnsi="Times New Roman" w:eastAsia="宋体" w:cs="Times New Roman"/>
          <w:color w:val="auto"/>
          <w:kern w:val="0"/>
          <w:sz w:val="24"/>
          <w:szCs w:val="24"/>
          <w:highlight w:val="none"/>
        </w:rPr>
        <w:t>两段380V输煤PC段；在T2转运站设置两段380V T2输煤变PC段</w:t>
      </w:r>
      <w:r>
        <w:rPr>
          <w:rStyle w:val="20"/>
          <w:rFonts w:hint="default" w:ascii="Times New Roman" w:hAnsi="Times New Roman" w:eastAsia="宋体" w:cs="Times New Roman"/>
          <w:color w:val="auto"/>
          <w:kern w:val="0"/>
          <w:sz w:val="24"/>
          <w:szCs w:val="24"/>
          <w:highlight w:val="none"/>
          <w:lang w:eastAsia="zh-CN"/>
        </w:rPr>
        <w:t>；</w:t>
      </w:r>
      <w:r>
        <w:rPr>
          <w:rStyle w:val="20"/>
          <w:rFonts w:hint="default" w:ascii="Times New Roman" w:hAnsi="Times New Roman" w:eastAsia="宋体" w:cs="Times New Roman"/>
          <w:color w:val="auto"/>
          <w:kern w:val="0"/>
          <w:sz w:val="24"/>
          <w:szCs w:val="24"/>
          <w:highlight w:val="none"/>
          <w:lang w:val="en-US" w:eastAsia="zh-CN"/>
        </w:rPr>
        <w:t>在</w:t>
      </w:r>
      <w:r>
        <w:rPr>
          <w:rStyle w:val="20"/>
          <w:rFonts w:hint="eastAsia" w:ascii="Times New Roman" w:hAnsi="Times New Roman" w:eastAsia="宋体" w:cs="Times New Roman"/>
          <w:color w:val="auto"/>
          <w:kern w:val="0"/>
          <w:sz w:val="24"/>
          <w:szCs w:val="24"/>
          <w:highlight w:val="none"/>
          <w:lang w:val="en-US" w:eastAsia="zh-CN"/>
        </w:rPr>
        <w:t>生产行政办公楼</w:t>
      </w:r>
      <w:r>
        <w:rPr>
          <w:rStyle w:val="20"/>
          <w:rFonts w:hint="default" w:ascii="Times New Roman" w:hAnsi="Times New Roman" w:eastAsia="宋体" w:cs="Times New Roman"/>
          <w:color w:val="auto"/>
          <w:kern w:val="0"/>
          <w:sz w:val="24"/>
          <w:szCs w:val="24"/>
          <w:highlight w:val="none"/>
          <w:lang w:val="en-US" w:eastAsia="zh-CN"/>
        </w:rPr>
        <w:t>设置两段</w:t>
      </w:r>
      <w:r>
        <w:rPr>
          <w:rStyle w:val="20"/>
          <w:rFonts w:hint="default" w:ascii="Times New Roman" w:hAnsi="Times New Roman" w:eastAsia="宋体" w:cs="Times New Roman"/>
          <w:color w:val="auto"/>
          <w:kern w:val="0"/>
          <w:sz w:val="24"/>
          <w:szCs w:val="24"/>
          <w:highlight w:val="none"/>
        </w:rPr>
        <w:t>380V厂前区PC段</w:t>
      </w:r>
      <w:r>
        <w:rPr>
          <w:rStyle w:val="20"/>
          <w:rFonts w:hint="default" w:ascii="Times New Roman" w:hAnsi="Times New Roman" w:eastAsia="宋体" w:cs="Times New Roman"/>
          <w:color w:val="auto"/>
          <w:kern w:val="0"/>
          <w:sz w:val="24"/>
          <w:szCs w:val="24"/>
          <w:highlight w:val="none"/>
          <w:lang w:eastAsia="zh-CN"/>
        </w:rPr>
        <w:t>。</w:t>
      </w:r>
    </w:p>
    <w:p w14:paraId="3EAC2552">
      <w:pPr>
        <w:pStyle w:val="8"/>
        <w:tabs>
          <w:tab w:val="left" w:pos="720"/>
        </w:tabs>
        <w:spacing w:before="72" w:beforeLines="30" w:after="72" w:afterLines="30" w:line="360" w:lineRule="auto"/>
        <w:rPr>
          <w:rStyle w:val="20"/>
          <w:rFonts w:hint="eastAsia" w:ascii="Times New Roman" w:hAnsi="Times New Roman" w:cs="Times New Roman"/>
          <w:color w:val="auto"/>
          <w:sz w:val="24"/>
          <w:szCs w:val="24"/>
          <w:highlight w:val="none"/>
          <w:lang w:val="en-US" w:eastAsia="zh-CN"/>
        </w:rPr>
      </w:pPr>
      <w:r>
        <w:rPr>
          <w:rStyle w:val="20"/>
          <w:rFonts w:hint="default" w:ascii="Times New Roman" w:hAnsi="Times New Roman" w:eastAsia="宋体" w:cs="Times New Roman"/>
          <w:color w:val="auto"/>
          <w:sz w:val="24"/>
          <w:szCs w:val="24"/>
          <w:highlight w:val="none"/>
        </w:rPr>
        <w:t>3.</w:t>
      </w:r>
      <w:r>
        <w:rPr>
          <w:rStyle w:val="20"/>
          <w:rFonts w:hint="default" w:ascii="Times New Roman" w:hAnsi="Times New Roman" w:eastAsia="宋体" w:cs="Times New Roman"/>
          <w:color w:val="auto"/>
          <w:sz w:val="24"/>
          <w:szCs w:val="24"/>
          <w:highlight w:val="none"/>
          <w:lang w:val="en-US" w:eastAsia="zh-CN"/>
        </w:rPr>
        <w:t>3</w:t>
      </w:r>
      <w:r>
        <w:rPr>
          <w:rStyle w:val="20"/>
          <w:rFonts w:hint="default" w:ascii="Times New Roman" w:hAnsi="Times New Roman" w:eastAsia="宋体" w:cs="Times New Roman"/>
          <w:color w:val="auto"/>
          <w:sz w:val="24"/>
          <w:szCs w:val="24"/>
          <w:highlight w:val="none"/>
        </w:rPr>
        <w:t>.</w:t>
      </w:r>
      <w:r>
        <w:rPr>
          <w:rStyle w:val="20"/>
          <w:rFonts w:hint="eastAsia" w:ascii="Times New Roman" w:hAnsi="Times New Roman" w:cs="Times New Roman"/>
          <w:color w:val="auto"/>
          <w:sz w:val="24"/>
          <w:szCs w:val="24"/>
          <w:highlight w:val="none"/>
          <w:lang w:val="en-US" w:eastAsia="zh-CN"/>
        </w:rPr>
        <w:t>6 本工程各厂用电预估距离如下（实际距离以施工图为准）：</w:t>
      </w:r>
    </w:p>
    <w:p w14:paraId="453F19D9">
      <w:pPr>
        <w:pStyle w:val="8"/>
        <w:tabs>
          <w:tab w:val="left" w:pos="720"/>
        </w:tabs>
        <w:spacing w:before="72" w:beforeLines="30" w:after="72" w:afterLines="30" w:line="360" w:lineRule="auto"/>
        <w:rPr>
          <w:rStyle w:val="20"/>
          <w:rFonts w:hint="eastAsia" w:ascii="Times New Roman" w:hAnsi="Times New Roman" w:cs="Times New Roman"/>
          <w:color w:val="auto"/>
          <w:sz w:val="24"/>
          <w:szCs w:val="24"/>
          <w:highlight w:val="none"/>
          <w:lang w:val="en-US" w:eastAsia="zh-CN"/>
        </w:rPr>
      </w:pPr>
      <w:r>
        <w:rPr>
          <w:rStyle w:val="20"/>
          <w:rFonts w:hint="eastAsia" w:ascii="Times New Roman" w:hAnsi="Times New Roman" w:cs="Times New Roman"/>
          <w:color w:val="auto"/>
          <w:sz w:val="24"/>
          <w:szCs w:val="24"/>
          <w:highlight w:val="none"/>
          <w:lang w:val="en-US" w:eastAsia="zh-CN"/>
        </w:rPr>
        <w:t>主厂房区域：</w:t>
      </w:r>
    </w:p>
    <w:p w14:paraId="5D5B4966">
      <w:pPr>
        <w:pStyle w:val="8"/>
        <w:tabs>
          <w:tab w:val="left" w:pos="720"/>
        </w:tabs>
        <w:spacing w:before="72" w:beforeLines="30" w:after="72" w:afterLines="30" w:line="360" w:lineRule="auto"/>
        <w:rPr>
          <w:rStyle w:val="20"/>
          <w:rFonts w:hint="default" w:ascii="Times New Roman" w:hAnsi="Times New Roman" w:cs="Times New Roman"/>
          <w:color w:val="auto"/>
          <w:sz w:val="24"/>
          <w:szCs w:val="24"/>
          <w:highlight w:val="none"/>
          <w:lang w:val="en-US" w:eastAsia="zh-CN"/>
        </w:rPr>
      </w:pPr>
      <w:r>
        <w:rPr>
          <w:rStyle w:val="20"/>
          <w:rFonts w:hint="eastAsia" w:ascii="Times New Roman" w:hAnsi="Times New Roman" w:cs="Times New Roman"/>
          <w:color w:val="auto"/>
          <w:sz w:val="24"/>
          <w:szCs w:val="24"/>
          <w:highlight w:val="none"/>
          <w:lang w:val="en-US" w:eastAsia="zh-CN"/>
        </w:rPr>
        <w:t>1号机10kV电气配电间~集控室：250米；1号锅炉配电室~集控室：150米；</w:t>
      </w:r>
    </w:p>
    <w:p w14:paraId="3233B11A">
      <w:pPr>
        <w:pStyle w:val="8"/>
        <w:tabs>
          <w:tab w:val="left" w:pos="720"/>
        </w:tabs>
        <w:spacing w:before="72" w:beforeLines="30" w:after="72" w:afterLines="30" w:line="360" w:lineRule="auto"/>
        <w:rPr>
          <w:rStyle w:val="20"/>
          <w:rFonts w:hint="eastAsia" w:ascii="Times New Roman" w:hAnsi="Times New Roman" w:cs="Times New Roman"/>
          <w:color w:val="auto"/>
          <w:sz w:val="24"/>
          <w:szCs w:val="24"/>
          <w:highlight w:val="none"/>
          <w:lang w:val="en-US" w:eastAsia="zh-CN"/>
        </w:rPr>
      </w:pPr>
      <w:r>
        <w:rPr>
          <w:rStyle w:val="20"/>
          <w:rFonts w:hint="eastAsia" w:ascii="Times New Roman" w:hAnsi="Times New Roman" w:cs="Times New Roman"/>
          <w:color w:val="auto"/>
          <w:sz w:val="24"/>
          <w:szCs w:val="24"/>
          <w:highlight w:val="none"/>
          <w:lang w:val="en-US" w:eastAsia="zh-CN"/>
        </w:rPr>
        <w:t>1号汽机配电室~集控室：200米；1号锅炉配电室~集控室：150米；</w:t>
      </w:r>
    </w:p>
    <w:p w14:paraId="72475807">
      <w:pPr>
        <w:pStyle w:val="8"/>
        <w:tabs>
          <w:tab w:val="left" w:pos="720"/>
        </w:tabs>
        <w:spacing w:before="72" w:beforeLines="30" w:after="72" w:afterLines="30" w:line="360" w:lineRule="auto"/>
        <w:rPr>
          <w:rStyle w:val="20"/>
          <w:rFonts w:hint="default" w:ascii="Times New Roman" w:hAnsi="Times New Roman" w:cs="Times New Roman"/>
          <w:color w:val="auto"/>
          <w:sz w:val="24"/>
          <w:szCs w:val="24"/>
          <w:highlight w:val="none"/>
          <w:lang w:val="en-US" w:eastAsia="zh-CN"/>
        </w:rPr>
      </w:pPr>
      <w:r>
        <w:rPr>
          <w:rStyle w:val="20"/>
          <w:rFonts w:hint="eastAsia" w:ascii="Times New Roman" w:hAnsi="Times New Roman" w:cs="Times New Roman"/>
          <w:color w:val="auto"/>
          <w:sz w:val="24"/>
          <w:szCs w:val="24"/>
          <w:highlight w:val="none"/>
          <w:lang w:val="en-US" w:eastAsia="zh-CN"/>
        </w:rPr>
        <w:t>2号汽机配电室~集控室：300米；2号锅炉配电室~集控室：250米；</w:t>
      </w:r>
    </w:p>
    <w:p w14:paraId="55D25E87">
      <w:pPr>
        <w:pStyle w:val="8"/>
        <w:tabs>
          <w:tab w:val="left" w:pos="720"/>
        </w:tabs>
        <w:spacing w:before="72" w:beforeLines="30" w:after="72" w:afterLines="30" w:line="360" w:lineRule="auto"/>
        <w:rPr>
          <w:rStyle w:val="20"/>
          <w:rFonts w:hint="eastAsia" w:ascii="Times New Roman" w:hAnsi="Times New Roman" w:cs="Times New Roman"/>
          <w:color w:val="auto"/>
          <w:sz w:val="24"/>
          <w:szCs w:val="24"/>
          <w:highlight w:val="none"/>
          <w:lang w:val="en-US" w:eastAsia="zh-CN"/>
        </w:rPr>
      </w:pPr>
      <w:r>
        <w:rPr>
          <w:rStyle w:val="20"/>
          <w:rFonts w:hint="eastAsia" w:ascii="Times New Roman" w:hAnsi="Times New Roman" w:cs="Times New Roman"/>
          <w:color w:val="auto"/>
          <w:sz w:val="24"/>
          <w:szCs w:val="24"/>
          <w:highlight w:val="none"/>
          <w:lang w:val="en-US" w:eastAsia="zh-CN"/>
        </w:rPr>
        <w:t>380V公用配电室~集控室：50米；</w:t>
      </w:r>
    </w:p>
    <w:p w14:paraId="3287D8EC">
      <w:pPr>
        <w:pStyle w:val="8"/>
        <w:tabs>
          <w:tab w:val="left" w:pos="720"/>
        </w:tabs>
        <w:spacing w:before="72" w:beforeLines="30" w:after="72" w:afterLines="30" w:line="360" w:lineRule="auto"/>
        <w:rPr>
          <w:rStyle w:val="20"/>
          <w:rFonts w:hint="eastAsia" w:ascii="Times New Roman" w:hAnsi="Times New Roman" w:cs="Times New Roman"/>
          <w:color w:val="auto"/>
          <w:sz w:val="24"/>
          <w:szCs w:val="24"/>
          <w:highlight w:val="none"/>
          <w:lang w:val="en-US" w:eastAsia="zh-CN"/>
        </w:rPr>
      </w:pPr>
      <w:r>
        <w:rPr>
          <w:rStyle w:val="20"/>
          <w:rFonts w:hint="eastAsia" w:ascii="Times New Roman" w:hAnsi="Times New Roman" w:cs="Times New Roman"/>
          <w:color w:val="auto"/>
          <w:sz w:val="24"/>
          <w:szCs w:val="24"/>
          <w:highlight w:val="none"/>
          <w:lang w:val="en-US" w:eastAsia="zh-CN"/>
        </w:rPr>
        <w:t>辅助厂房区域：</w:t>
      </w:r>
    </w:p>
    <w:p w14:paraId="7C6A0668">
      <w:pPr>
        <w:pStyle w:val="8"/>
        <w:tabs>
          <w:tab w:val="left" w:pos="720"/>
        </w:tabs>
        <w:spacing w:before="72" w:beforeLines="30" w:after="72" w:afterLines="30" w:line="360" w:lineRule="auto"/>
        <w:rPr>
          <w:rStyle w:val="20"/>
          <w:rFonts w:hint="default" w:ascii="Times New Roman" w:hAnsi="Times New Roman" w:cs="Times New Roman"/>
          <w:color w:val="auto"/>
          <w:sz w:val="24"/>
          <w:szCs w:val="24"/>
          <w:highlight w:val="none"/>
          <w:lang w:val="en-US" w:eastAsia="zh-CN"/>
        </w:rPr>
      </w:pPr>
      <w:r>
        <w:rPr>
          <w:rStyle w:val="20"/>
          <w:rFonts w:hint="eastAsia" w:ascii="Times New Roman" w:hAnsi="Times New Roman" w:cs="Times New Roman"/>
          <w:color w:val="auto"/>
          <w:sz w:val="24"/>
          <w:szCs w:val="24"/>
          <w:highlight w:val="none"/>
          <w:lang w:val="en-US" w:eastAsia="zh-CN"/>
        </w:rPr>
        <w:t>1号机除尘配电间~集控楼：280米；2号机除尘配电间~集控楼：330米；</w:t>
      </w:r>
    </w:p>
    <w:p w14:paraId="0387353F">
      <w:pPr>
        <w:pStyle w:val="8"/>
        <w:tabs>
          <w:tab w:val="left" w:pos="720"/>
        </w:tabs>
        <w:spacing w:before="72" w:beforeLines="30" w:after="72" w:afterLines="30" w:line="360" w:lineRule="auto"/>
        <w:rPr>
          <w:rStyle w:val="20"/>
          <w:rFonts w:hint="default" w:ascii="Times New Roman" w:hAnsi="Times New Roman" w:cs="Times New Roman"/>
          <w:color w:val="auto"/>
          <w:sz w:val="24"/>
          <w:szCs w:val="24"/>
          <w:highlight w:val="none"/>
          <w:lang w:val="en-US" w:eastAsia="zh-CN"/>
        </w:rPr>
      </w:pPr>
      <w:r>
        <w:rPr>
          <w:rStyle w:val="20"/>
          <w:rFonts w:hint="eastAsia" w:ascii="Times New Roman" w:hAnsi="Times New Roman" w:cs="Times New Roman"/>
          <w:color w:val="auto"/>
          <w:sz w:val="24"/>
          <w:szCs w:val="24"/>
          <w:highlight w:val="none"/>
          <w:lang w:val="en-US" w:eastAsia="zh-CN"/>
        </w:rPr>
        <w:t>脱硫综合楼~集控楼：400米；化验楼~集控楼：380米；</w:t>
      </w:r>
      <w:r>
        <w:rPr>
          <w:rStyle w:val="20"/>
          <w:rFonts w:hint="eastAsia" w:ascii="Times New Roman" w:hAnsi="Times New Roman" w:eastAsia="宋体" w:cs="Times New Roman"/>
          <w:color w:val="auto"/>
          <w:kern w:val="0"/>
          <w:sz w:val="24"/>
          <w:szCs w:val="24"/>
          <w:highlight w:val="none"/>
          <w:lang w:val="en-US" w:eastAsia="zh-CN"/>
        </w:rPr>
        <w:t>综合泵房</w:t>
      </w:r>
      <w:r>
        <w:rPr>
          <w:rStyle w:val="20"/>
          <w:rFonts w:hint="eastAsia" w:ascii="Times New Roman" w:hAnsi="Times New Roman" w:cs="Times New Roman"/>
          <w:color w:val="auto"/>
          <w:kern w:val="0"/>
          <w:sz w:val="24"/>
          <w:szCs w:val="24"/>
          <w:highlight w:val="none"/>
          <w:lang w:val="en-US" w:eastAsia="zh-CN"/>
        </w:rPr>
        <w:t>~集控楼：</w:t>
      </w:r>
      <w:r>
        <w:rPr>
          <w:rStyle w:val="20"/>
          <w:rFonts w:hint="eastAsia" w:ascii="Times New Roman" w:hAnsi="Times New Roman" w:cs="Times New Roman"/>
          <w:color w:val="auto"/>
          <w:sz w:val="24"/>
          <w:szCs w:val="24"/>
          <w:highlight w:val="none"/>
          <w:lang w:val="en-US" w:eastAsia="zh-CN"/>
        </w:rPr>
        <w:t>420米;循泵房~集控楼：260米；T2转运站~集控楼：760米；</w:t>
      </w:r>
      <w:r>
        <w:rPr>
          <w:rStyle w:val="20"/>
          <w:rFonts w:hint="eastAsia" w:ascii="Times New Roman" w:hAnsi="Times New Roman" w:eastAsia="宋体" w:cs="Times New Roman"/>
          <w:color w:val="auto"/>
          <w:kern w:val="0"/>
          <w:sz w:val="24"/>
          <w:szCs w:val="24"/>
          <w:highlight w:val="none"/>
          <w:lang w:val="en-US" w:eastAsia="zh-CN"/>
        </w:rPr>
        <w:t>生产行政办公楼</w:t>
      </w:r>
      <w:r>
        <w:rPr>
          <w:rStyle w:val="20"/>
          <w:rFonts w:hint="eastAsia" w:ascii="Times New Roman" w:hAnsi="Times New Roman" w:cs="Times New Roman"/>
          <w:color w:val="auto"/>
          <w:sz w:val="24"/>
          <w:szCs w:val="24"/>
          <w:highlight w:val="none"/>
          <w:lang w:val="en-US" w:eastAsia="zh-CN"/>
        </w:rPr>
        <w:t>~集控楼：450米。</w:t>
      </w:r>
    </w:p>
    <w:p w14:paraId="17C51AEC">
      <w:pPr>
        <w:pStyle w:val="8"/>
        <w:tabs>
          <w:tab w:val="left" w:pos="720"/>
        </w:tabs>
        <w:spacing w:before="72" w:beforeLines="30" w:after="72" w:afterLines="30" w:line="360" w:lineRule="auto"/>
        <w:rPr>
          <w:rStyle w:val="20"/>
          <w:rFonts w:hint="default" w:ascii="Times New Roman" w:hAnsi="Times New Roman" w:cs="Times New Roman"/>
          <w:color w:val="auto"/>
          <w:sz w:val="24"/>
          <w:szCs w:val="24"/>
          <w:highlight w:val="none"/>
          <w:lang w:val="en-US" w:eastAsia="zh-CN"/>
        </w:rPr>
      </w:pPr>
      <w:r>
        <w:rPr>
          <w:rStyle w:val="20"/>
          <w:rFonts w:hint="eastAsia" w:ascii="Times New Roman" w:hAnsi="Times New Roman" w:cs="Times New Roman"/>
          <w:color w:val="auto"/>
          <w:sz w:val="24"/>
          <w:szCs w:val="24"/>
          <w:highlight w:val="none"/>
          <w:lang w:val="en-US" w:eastAsia="zh-CN"/>
        </w:rPr>
        <w:t>请投标人充分考虑电能表分布位置，提供满足厂内电能量采集的配置方案，并提供满足工程通讯需求的相关线缆及附件。</w:t>
      </w:r>
    </w:p>
    <w:p w14:paraId="083AD906">
      <w:pPr>
        <w:pStyle w:val="8"/>
        <w:tabs>
          <w:tab w:val="left" w:pos="720"/>
        </w:tabs>
        <w:spacing w:before="72" w:beforeLines="30" w:after="72" w:afterLines="30" w:line="360" w:lineRule="auto"/>
        <w:rPr>
          <w:rStyle w:val="20"/>
          <w:b/>
          <w:color w:val="auto"/>
          <w:sz w:val="24"/>
          <w:szCs w:val="24"/>
          <w:highlight w:val="none"/>
        </w:rPr>
      </w:pPr>
      <w:r>
        <w:rPr>
          <w:rStyle w:val="20"/>
          <w:b/>
          <w:color w:val="auto"/>
          <w:sz w:val="24"/>
          <w:szCs w:val="24"/>
          <w:highlight w:val="none"/>
        </w:rPr>
        <w:t>3.4</w:t>
      </w:r>
      <w:r>
        <w:rPr>
          <w:rStyle w:val="20"/>
          <w:rFonts w:hint="eastAsia"/>
          <w:b/>
          <w:color w:val="auto"/>
          <w:sz w:val="24"/>
          <w:szCs w:val="24"/>
          <w:highlight w:val="none"/>
        </w:rPr>
        <w:t>工作范围</w:t>
      </w:r>
    </w:p>
    <w:p w14:paraId="1B8EA6CE">
      <w:pPr>
        <w:pStyle w:val="8"/>
        <w:spacing w:line="360" w:lineRule="auto"/>
        <w:rPr>
          <w:rStyle w:val="20"/>
          <w:rFonts w:ascii="宋体" w:hAnsi="宋体"/>
          <w:color w:val="auto"/>
          <w:kern w:val="0"/>
          <w:sz w:val="24"/>
          <w:szCs w:val="24"/>
          <w:highlight w:val="none"/>
        </w:rPr>
      </w:pPr>
      <w:r>
        <w:rPr>
          <w:rStyle w:val="20"/>
          <w:rFonts w:hint="eastAsia" w:ascii="宋体" w:hAnsi="宋体"/>
          <w:color w:val="auto"/>
          <w:sz w:val="24"/>
          <w:szCs w:val="24"/>
          <w:highlight w:val="none"/>
        </w:rPr>
        <w:t>3.4.1</w:t>
      </w:r>
      <w:r>
        <w:rPr>
          <w:rStyle w:val="20"/>
          <w:rFonts w:hint="eastAsia" w:ascii="宋体" w:hAnsi="宋体"/>
          <w:color w:val="auto"/>
          <w:kern w:val="0"/>
          <w:sz w:val="24"/>
          <w:szCs w:val="24"/>
          <w:highlight w:val="none"/>
        </w:rPr>
        <w:t>投标人负责联系调度对技术方案进行审查；负责电能量采集系统的调度联调、并确保数据的接入；负责</w:t>
      </w:r>
      <w:r>
        <w:rPr>
          <w:rStyle w:val="20"/>
          <w:rFonts w:hint="eastAsia" w:ascii="宋体"/>
          <w:color w:val="auto"/>
          <w:sz w:val="24"/>
          <w:szCs w:val="24"/>
          <w:highlight w:val="none"/>
        </w:rPr>
        <w:t>与调度主站的调试工作，包含电度量数据的核对、AGENT探针信息的接入</w:t>
      </w:r>
      <w:r>
        <w:rPr>
          <w:rStyle w:val="20"/>
          <w:rFonts w:hint="eastAsia" w:ascii="宋体" w:hAnsi="宋体"/>
          <w:color w:val="auto"/>
          <w:kern w:val="0"/>
          <w:sz w:val="24"/>
          <w:szCs w:val="24"/>
          <w:highlight w:val="none"/>
        </w:rPr>
        <w:t>；负责联系调度对电能量采集系统的验收。</w:t>
      </w:r>
    </w:p>
    <w:p w14:paraId="5FDEED1C">
      <w:pPr>
        <w:pStyle w:val="8"/>
        <w:spacing w:line="360" w:lineRule="auto"/>
        <w:rPr>
          <w:rStyle w:val="20"/>
          <w:rFonts w:hint="eastAsia" w:ascii="宋体" w:hAnsi="宋体"/>
          <w:color w:val="auto"/>
          <w:kern w:val="0"/>
          <w:sz w:val="24"/>
          <w:szCs w:val="24"/>
          <w:highlight w:val="none"/>
        </w:rPr>
      </w:pPr>
      <w:r>
        <w:rPr>
          <w:rStyle w:val="20"/>
          <w:rFonts w:hint="eastAsia" w:ascii="宋体" w:hAnsi="宋体"/>
          <w:color w:val="auto"/>
          <w:kern w:val="0"/>
          <w:sz w:val="24"/>
          <w:szCs w:val="24"/>
          <w:highlight w:val="none"/>
        </w:rPr>
        <w:t>3.4.2本工程包括2台</w:t>
      </w:r>
      <w:r>
        <w:rPr>
          <w:rStyle w:val="20"/>
          <w:rFonts w:hint="eastAsia"/>
          <w:color w:val="auto"/>
          <w:kern w:val="0"/>
          <w:sz w:val="24"/>
          <w:szCs w:val="24"/>
          <w:highlight w:val="none"/>
        </w:rPr>
        <w:t>电能量采集装置双主冗余系统</w:t>
      </w:r>
      <w:r>
        <w:rPr>
          <w:rStyle w:val="20"/>
          <w:rFonts w:hint="eastAsia"/>
          <w:color w:val="auto"/>
          <w:kern w:val="0"/>
          <w:sz w:val="24"/>
          <w:szCs w:val="24"/>
          <w:highlight w:val="none"/>
          <w:lang w:eastAsia="zh-CN"/>
        </w:rPr>
        <w:t>、</w:t>
      </w:r>
      <w:r>
        <w:rPr>
          <w:rStyle w:val="20"/>
          <w:rFonts w:hint="eastAsia"/>
          <w:color w:val="auto"/>
          <w:kern w:val="0"/>
          <w:sz w:val="24"/>
          <w:szCs w:val="24"/>
          <w:highlight w:val="none"/>
          <w:lang w:val="en-US" w:eastAsia="zh-CN"/>
        </w:rPr>
        <w:t>1套</w:t>
      </w:r>
      <w:r>
        <w:rPr>
          <w:rFonts w:hint="eastAsia" w:asciiTheme="minorEastAsia" w:hAnsiTheme="minorEastAsia" w:eastAsiaTheme="minorEastAsia" w:cstheme="minorEastAsia"/>
          <w:b w:val="0"/>
          <w:bCs w:val="0"/>
          <w:color w:val="auto"/>
          <w:sz w:val="24"/>
          <w:szCs w:val="24"/>
          <w:highlight w:val="none"/>
          <w:lang w:val="en-US" w:eastAsia="zh-CN"/>
        </w:rPr>
        <w:t>电能量计量计费系统</w:t>
      </w:r>
      <w:r>
        <w:rPr>
          <w:rStyle w:val="20"/>
          <w:rFonts w:hint="eastAsia"/>
          <w:color w:val="auto"/>
          <w:kern w:val="0"/>
          <w:sz w:val="24"/>
          <w:szCs w:val="24"/>
          <w:highlight w:val="none"/>
          <w:lang w:eastAsia="zh-CN"/>
        </w:rPr>
        <w:t>、</w:t>
      </w:r>
      <w:r>
        <w:rPr>
          <w:rStyle w:val="20"/>
          <w:rFonts w:hint="eastAsia"/>
          <w:color w:val="auto"/>
          <w:kern w:val="0"/>
          <w:sz w:val="24"/>
          <w:szCs w:val="24"/>
          <w:highlight w:val="none"/>
          <w:lang w:val="en-US" w:eastAsia="zh-CN"/>
        </w:rPr>
        <w:t>1套厂用电电能量采集系统、1套自动抄表系统</w:t>
      </w:r>
      <w:r>
        <w:rPr>
          <w:rStyle w:val="20"/>
          <w:rFonts w:hint="eastAsia" w:ascii="宋体" w:hAnsi="宋体"/>
          <w:color w:val="auto"/>
          <w:kern w:val="0"/>
          <w:sz w:val="24"/>
          <w:szCs w:val="24"/>
          <w:highlight w:val="none"/>
        </w:rPr>
        <w:t>及相关配件的设计、供货、安装、接线、调试。</w:t>
      </w:r>
      <w:r>
        <w:rPr>
          <w:rStyle w:val="20"/>
          <w:rFonts w:hint="eastAsia" w:ascii="宋体" w:hAnsi="宋体" w:cs="宋体"/>
          <w:color w:val="auto"/>
          <w:sz w:val="24"/>
          <w:szCs w:val="24"/>
          <w:highlight w:val="none"/>
          <w:u w:val="single" w:color="FFFFFF"/>
          <w:lang w:val="zh-CN"/>
        </w:rPr>
        <w:t>中标方应负责所提供的电量采集装置应能完全满足与原电能表的通信，并负责通信协议与规约的调试工作，</w:t>
      </w:r>
      <w:r>
        <w:rPr>
          <w:rStyle w:val="20"/>
          <w:rFonts w:hint="eastAsia" w:ascii="宋体" w:hAnsi="宋体" w:cs="宋体"/>
          <w:color w:val="auto"/>
          <w:sz w:val="24"/>
          <w:szCs w:val="24"/>
          <w:highlight w:val="none"/>
          <w:u w:val="single" w:color="FFFFFF"/>
        </w:rPr>
        <w:t>编制符合招标人要求的电量信息表。</w:t>
      </w:r>
    </w:p>
    <w:p w14:paraId="73E649E1">
      <w:pPr>
        <w:pStyle w:val="8"/>
        <w:spacing w:line="360" w:lineRule="auto"/>
        <w:rPr>
          <w:rStyle w:val="20"/>
          <w:rFonts w:hint="eastAsia" w:ascii="Times New Roman" w:hAnsi="Times New Roman"/>
          <w:color w:val="auto"/>
          <w:sz w:val="24"/>
          <w:szCs w:val="24"/>
          <w:highlight w:val="none"/>
        </w:rPr>
      </w:pPr>
      <w:r>
        <w:rPr>
          <w:rStyle w:val="20"/>
          <w:rFonts w:hint="eastAsia" w:ascii="宋体" w:hAnsi="宋体"/>
          <w:color w:val="auto"/>
          <w:kern w:val="0"/>
          <w:sz w:val="24"/>
          <w:szCs w:val="24"/>
          <w:highlight w:val="none"/>
        </w:rPr>
        <w:t>3.4.3</w:t>
      </w:r>
      <w:r>
        <w:rPr>
          <w:rStyle w:val="20"/>
          <w:rFonts w:hint="eastAsia"/>
          <w:color w:val="auto"/>
          <w:sz w:val="24"/>
          <w:szCs w:val="24"/>
          <w:highlight w:val="none"/>
        </w:rPr>
        <w:t>投标人应提供本招标设备的接线、系统调试及对侧主站调试等服务。</w:t>
      </w:r>
    </w:p>
    <w:p w14:paraId="3D263F87">
      <w:pPr>
        <w:pStyle w:val="8"/>
        <w:spacing w:line="360" w:lineRule="auto"/>
        <w:rPr>
          <w:rStyle w:val="20"/>
          <w:rFonts w:hint="eastAsia" w:ascii="宋体" w:hAnsi="宋体"/>
          <w:color w:val="auto"/>
          <w:kern w:val="0"/>
          <w:sz w:val="24"/>
          <w:szCs w:val="24"/>
          <w:highlight w:val="none"/>
        </w:rPr>
      </w:pPr>
      <w:r>
        <w:rPr>
          <w:rStyle w:val="20"/>
          <w:rFonts w:hint="eastAsia" w:ascii="宋体" w:hAnsi="宋体"/>
          <w:color w:val="auto"/>
          <w:kern w:val="0"/>
          <w:sz w:val="24"/>
          <w:szCs w:val="24"/>
          <w:highlight w:val="none"/>
        </w:rPr>
        <w:t>3.4.4投标人负责与PI后台管理系统正常通信，并确保数据的接入，配合网络安全监测装置的接入工作。</w:t>
      </w:r>
    </w:p>
    <w:p w14:paraId="6F563B3D">
      <w:pPr>
        <w:pStyle w:val="8"/>
        <w:tabs>
          <w:tab w:val="left" w:pos="720"/>
        </w:tabs>
        <w:spacing w:before="72" w:beforeLines="30" w:after="72" w:afterLines="30" w:line="360" w:lineRule="auto"/>
        <w:rPr>
          <w:rStyle w:val="20"/>
          <w:rFonts w:hint="default" w:eastAsia="宋体"/>
          <w:color w:val="auto"/>
          <w:kern w:val="0"/>
          <w:sz w:val="24"/>
          <w:szCs w:val="24"/>
          <w:highlight w:val="none"/>
          <w:lang w:val="en-US" w:eastAsia="zh-CN"/>
        </w:rPr>
      </w:pPr>
      <w:r>
        <w:rPr>
          <w:rStyle w:val="20"/>
          <w:rFonts w:hint="eastAsia" w:ascii="宋体" w:hAnsi="宋体"/>
          <w:color w:val="auto"/>
          <w:kern w:val="0"/>
          <w:sz w:val="24"/>
          <w:szCs w:val="24"/>
          <w:highlight w:val="none"/>
          <w:lang w:val="en-US" w:eastAsia="zh-CN"/>
        </w:rPr>
        <w:t xml:space="preserve">3.4.5 </w:t>
      </w:r>
      <w:r>
        <w:rPr>
          <w:rStyle w:val="20"/>
          <w:rFonts w:hint="eastAsia"/>
          <w:color w:val="auto"/>
          <w:kern w:val="0"/>
          <w:sz w:val="24"/>
          <w:szCs w:val="24"/>
          <w:highlight w:val="none"/>
          <w:lang w:val="en-US" w:eastAsia="zh-CN"/>
        </w:rPr>
        <w:t>投标人在投标时提供电能量采</w:t>
      </w:r>
      <w:r>
        <w:rPr>
          <w:rStyle w:val="20"/>
          <w:rFonts w:hint="eastAsia" w:ascii="Times New Roman" w:hAnsi="Times New Roman"/>
          <w:color w:val="auto"/>
          <w:kern w:val="0"/>
          <w:sz w:val="24"/>
          <w:szCs w:val="24"/>
          <w:highlight w:val="none"/>
          <w:lang w:val="en-US" w:eastAsia="zh-CN"/>
        </w:rPr>
        <w:t>集系统、</w:t>
      </w:r>
      <w:r>
        <w:rPr>
          <w:rStyle w:val="20"/>
          <w:rFonts w:ascii="Times New Roman" w:hAnsi="Times New Roman"/>
          <w:color w:val="auto"/>
          <w:kern w:val="0"/>
          <w:sz w:val="24"/>
          <w:szCs w:val="24"/>
          <w:highlight w:val="none"/>
        </w:rPr>
        <w:t>电能量计量计费系统</w:t>
      </w:r>
      <w:r>
        <w:rPr>
          <w:rStyle w:val="20"/>
          <w:rFonts w:hint="eastAsia" w:ascii="Times New Roman" w:hAnsi="Times New Roman"/>
          <w:color w:val="auto"/>
          <w:kern w:val="0"/>
          <w:sz w:val="24"/>
          <w:szCs w:val="24"/>
          <w:highlight w:val="none"/>
          <w:lang w:val="en-US" w:eastAsia="zh-CN"/>
        </w:rPr>
        <w:t>和自</w:t>
      </w:r>
      <w:r>
        <w:rPr>
          <w:rStyle w:val="20"/>
          <w:rFonts w:hint="eastAsia"/>
          <w:color w:val="auto"/>
          <w:kern w:val="0"/>
          <w:sz w:val="24"/>
          <w:szCs w:val="24"/>
          <w:highlight w:val="none"/>
          <w:lang w:val="en-US" w:eastAsia="zh-CN"/>
        </w:rPr>
        <w:t>动抄表系统结构图。</w:t>
      </w:r>
    </w:p>
    <w:p w14:paraId="52110991">
      <w:pPr>
        <w:pStyle w:val="8"/>
        <w:spacing w:line="360" w:lineRule="auto"/>
        <w:rPr>
          <w:rStyle w:val="20"/>
          <w:rFonts w:hint="default" w:ascii="宋体" w:hAnsi="宋体" w:eastAsia="宋体"/>
          <w:color w:val="auto"/>
          <w:kern w:val="0"/>
          <w:sz w:val="24"/>
          <w:szCs w:val="24"/>
          <w:highlight w:val="none"/>
          <w:lang w:val="en-US" w:eastAsia="zh-CN"/>
        </w:rPr>
      </w:pPr>
    </w:p>
    <w:p w14:paraId="712F292F">
      <w:pPr>
        <w:pStyle w:val="8"/>
        <w:tabs>
          <w:tab w:val="left" w:pos="720"/>
        </w:tabs>
        <w:spacing w:before="72" w:beforeLines="30" w:after="72" w:afterLines="30" w:line="360" w:lineRule="auto"/>
        <w:rPr>
          <w:rStyle w:val="20"/>
          <w:rFonts w:hint="eastAsia" w:ascii="宋体" w:hAnsi="宋体" w:cs="宋体"/>
          <w:b/>
          <w:color w:val="auto"/>
          <w:sz w:val="28"/>
          <w:szCs w:val="28"/>
          <w:highlight w:val="none"/>
        </w:rPr>
      </w:pPr>
      <w:bookmarkStart w:id="25" w:name="_Toc227468213"/>
      <w:r>
        <w:rPr>
          <w:rStyle w:val="20"/>
          <w:rFonts w:hint="eastAsia" w:ascii="宋体" w:hAnsi="宋体" w:cs="宋体"/>
          <w:b/>
          <w:color w:val="auto"/>
          <w:sz w:val="28"/>
          <w:szCs w:val="28"/>
          <w:highlight w:val="none"/>
        </w:rPr>
        <w:t>4设备规范</w:t>
      </w:r>
      <w:bookmarkEnd w:id="25"/>
    </w:p>
    <w:p w14:paraId="1D0C03E8">
      <w:pPr>
        <w:pStyle w:val="8"/>
        <w:numPr>
          <w:ilvl w:val="1"/>
          <w:numId w:val="1"/>
        </w:numPr>
        <w:spacing w:line="360" w:lineRule="auto"/>
        <w:ind w:hanging="992"/>
        <w:jc w:val="left"/>
        <w:rPr>
          <w:rStyle w:val="20"/>
          <w:rFonts w:hint="eastAsia" w:asciiTheme="minorEastAsia" w:hAnsiTheme="minorEastAsia" w:eastAsiaTheme="minorEastAsia" w:cstheme="minorEastAsia"/>
          <w:b/>
          <w:color w:val="auto"/>
          <w:sz w:val="24"/>
          <w:szCs w:val="24"/>
          <w:highlight w:val="none"/>
        </w:rPr>
      </w:pPr>
      <w:r>
        <w:rPr>
          <w:rStyle w:val="20"/>
          <w:rFonts w:hint="eastAsia" w:asciiTheme="minorEastAsia" w:hAnsiTheme="minorEastAsia" w:eastAsiaTheme="minorEastAsia" w:cstheme="minorEastAsia"/>
          <w:b/>
          <w:color w:val="auto"/>
          <w:sz w:val="24"/>
          <w:szCs w:val="24"/>
          <w:highlight w:val="none"/>
        </w:rPr>
        <w:t>工作电源</w:t>
      </w:r>
    </w:p>
    <w:p w14:paraId="4EBE2926">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bookmarkStart w:id="26" w:name="_Toc244157910"/>
      <w:bookmarkStart w:id="27" w:name="_Toc269400132"/>
      <w:bookmarkStart w:id="28" w:name="_Toc269398923"/>
      <w:bookmarkStart w:id="29" w:name="_Toc269400054"/>
      <w:bookmarkStart w:id="30" w:name="_Toc269400178"/>
      <w:bookmarkStart w:id="31" w:name="_Toc485736290"/>
      <w:bookmarkStart w:id="32" w:name="_Toc256408817"/>
      <w:bookmarkStart w:id="33" w:name="_Toc485737020"/>
      <w:bookmarkStart w:id="34" w:name="_Toc485736498"/>
      <w:bookmarkStart w:id="35" w:name="_Toc485736215"/>
      <w:bookmarkStart w:id="36" w:name="_Toc255415982"/>
      <w:r>
        <w:rPr>
          <w:rStyle w:val="20"/>
          <w:rFonts w:hint="eastAsia" w:asciiTheme="minorEastAsia" w:hAnsiTheme="minorEastAsia" w:eastAsiaTheme="minorEastAsia" w:cstheme="minorEastAsia"/>
          <w:color w:val="auto"/>
          <w:sz w:val="24"/>
          <w:szCs w:val="24"/>
          <w:highlight w:val="none"/>
        </w:rPr>
        <w:t>工作电源</w:t>
      </w:r>
      <w:bookmarkEnd w:id="26"/>
      <w:bookmarkEnd w:id="27"/>
      <w:bookmarkEnd w:id="28"/>
      <w:bookmarkEnd w:id="29"/>
      <w:bookmarkEnd w:id="30"/>
      <w:r>
        <w:rPr>
          <w:rStyle w:val="20"/>
          <w:rFonts w:hint="eastAsia" w:asciiTheme="minorEastAsia" w:hAnsiTheme="minorEastAsia" w:eastAsiaTheme="minorEastAsia" w:cstheme="minorEastAsia"/>
          <w:color w:val="auto"/>
          <w:sz w:val="24"/>
          <w:szCs w:val="24"/>
          <w:highlight w:val="none"/>
        </w:rPr>
        <w:t>。</w:t>
      </w:r>
    </w:p>
    <w:p w14:paraId="28A807FA">
      <w:pPr>
        <w:pStyle w:val="8"/>
        <w:topLinePunct/>
        <w:spacing w:line="360" w:lineRule="auto"/>
        <w:ind w:firstLine="480" w:firstLineChars="2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采集装置应支持交、直流双电源供电。交、直流电源应具有输入过压、过流保护，直流反极性输入保护等措施。</w:t>
      </w:r>
    </w:p>
    <w:p w14:paraId="7004F955">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bookmarkStart w:id="37" w:name="_Toc269400179"/>
      <w:bookmarkStart w:id="38" w:name="_Toc269400055"/>
      <w:bookmarkStart w:id="39" w:name="_Toc269400133"/>
      <w:bookmarkStart w:id="40" w:name="_Toc269398924"/>
      <w:r>
        <w:rPr>
          <w:rStyle w:val="20"/>
          <w:rFonts w:hint="eastAsia" w:asciiTheme="minorEastAsia" w:hAnsiTheme="minorEastAsia" w:eastAsiaTheme="minorEastAsia" w:cstheme="minorEastAsia"/>
          <w:color w:val="auto"/>
          <w:sz w:val="24"/>
          <w:szCs w:val="24"/>
          <w:highlight w:val="none"/>
        </w:rPr>
        <w:t>额定值及允许偏差</w:t>
      </w:r>
      <w:bookmarkEnd w:id="37"/>
      <w:bookmarkEnd w:id="38"/>
      <w:bookmarkEnd w:id="39"/>
      <w:bookmarkEnd w:id="40"/>
      <w:r>
        <w:rPr>
          <w:rStyle w:val="20"/>
          <w:rFonts w:hint="eastAsia" w:asciiTheme="minorEastAsia" w:hAnsiTheme="minorEastAsia" w:eastAsiaTheme="minorEastAsia" w:cstheme="minorEastAsia"/>
          <w:color w:val="auto"/>
          <w:sz w:val="24"/>
          <w:szCs w:val="24"/>
          <w:highlight w:val="none"/>
        </w:rPr>
        <w:t>。</w:t>
      </w:r>
    </w:p>
    <w:p w14:paraId="14BD1EE7">
      <w:pPr>
        <w:pStyle w:val="8"/>
        <w:topLinePunct/>
        <w:spacing w:line="360" w:lineRule="auto"/>
        <w:ind w:firstLine="480" w:firstLineChars="2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交流电源：AC 220V±20%频率为50Hz，频率误差为±5%。</w:t>
      </w:r>
    </w:p>
    <w:p w14:paraId="684E68C6">
      <w:pPr>
        <w:pStyle w:val="8"/>
        <w:topLinePunct/>
        <w:spacing w:line="360" w:lineRule="auto"/>
        <w:ind w:firstLine="480" w:firstLineChars="2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直流电源：DC 110V±20%直流电源电压纹波不大于5%。</w:t>
      </w:r>
    </w:p>
    <w:p w14:paraId="2D5CFB5C">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bookmarkStart w:id="41" w:name="_Toc269400134"/>
      <w:bookmarkStart w:id="42" w:name="_Toc269398925"/>
      <w:bookmarkStart w:id="43" w:name="_Toc269400056"/>
      <w:bookmarkStart w:id="44" w:name="_Toc269400180"/>
      <w:r>
        <w:rPr>
          <w:rStyle w:val="20"/>
          <w:rFonts w:hint="eastAsia" w:asciiTheme="minorEastAsia" w:hAnsiTheme="minorEastAsia" w:eastAsiaTheme="minorEastAsia" w:cstheme="minorEastAsia"/>
          <w:color w:val="auto"/>
          <w:sz w:val="24"/>
          <w:szCs w:val="24"/>
          <w:highlight w:val="none"/>
        </w:rPr>
        <w:t>功率功耗</w:t>
      </w:r>
      <w:bookmarkEnd w:id="41"/>
      <w:bookmarkEnd w:id="42"/>
      <w:bookmarkEnd w:id="43"/>
      <w:bookmarkEnd w:id="44"/>
      <w:r>
        <w:rPr>
          <w:rStyle w:val="20"/>
          <w:rFonts w:hint="eastAsia" w:asciiTheme="minorEastAsia" w:hAnsiTheme="minorEastAsia" w:eastAsiaTheme="minorEastAsia" w:cstheme="minorEastAsia"/>
          <w:color w:val="auto"/>
          <w:sz w:val="24"/>
          <w:szCs w:val="24"/>
          <w:highlight w:val="none"/>
        </w:rPr>
        <w:t>。正常工作时，整机功耗≤30W（最大配置）。</w:t>
      </w:r>
    </w:p>
    <w:p w14:paraId="1DE11BEA">
      <w:pPr>
        <w:pStyle w:val="8"/>
        <w:numPr>
          <w:ilvl w:val="1"/>
          <w:numId w:val="1"/>
        </w:numPr>
        <w:spacing w:line="360" w:lineRule="auto"/>
        <w:ind w:hanging="992"/>
        <w:jc w:val="left"/>
        <w:rPr>
          <w:rStyle w:val="20"/>
          <w:rFonts w:hint="eastAsia" w:asciiTheme="minorEastAsia" w:hAnsiTheme="minorEastAsia" w:eastAsiaTheme="minorEastAsia" w:cstheme="minorEastAsia"/>
          <w:b/>
          <w:color w:val="auto"/>
          <w:sz w:val="24"/>
          <w:szCs w:val="24"/>
          <w:highlight w:val="none"/>
        </w:rPr>
      </w:pPr>
      <w:bookmarkStart w:id="45" w:name="_Toc269480637"/>
      <w:bookmarkStart w:id="46" w:name="_Toc196299840"/>
      <w:bookmarkStart w:id="47" w:name="_Toc272671219"/>
      <w:bookmarkStart w:id="48" w:name="_Toc250764299"/>
      <w:r>
        <w:rPr>
          <w:rStyle w:val="20"/>
          <w:rFonts w:hint="eastAsia" w:asciiTheme="minorEastAsia" w:hAnsiTheme="minorEastAsia" w:eastAsiaTheme="minorEastAsia" w:cstheme="minorEastAsia"/>
          <w:b/>
          <w:color w:val="auto"/>
          <w:sz w:val="24"/>
          <w:szCs w:val="24"/>
          <w:highlight w:val="none"/>
        </w:rPr>
        <w:t>绝缘性能要求</w:t>
      </w:r>
      <w:bookmarkEnd w:id="45"/>
      <w:bookmarkEnd w:id="46"/>
      <w:bookmarkEnd w:id="47"/>
      <w:bookmarkEnd w:id="48"/>
    </w:p>
    <w:p w14:paraId="5CA3B36C">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bookmarkStart w:id="49" w:name="_Toc269400058"/>
      <w:bookmarkStart w:id="50" w:name="_Toc269400136"/>
      <w:bookmarkStart w:id="51" w:name="_Toc269398927"/>
      <w:bookmarkStart w:id="52" w:name="_Toc269400182"/>
      <w:r>
        <w:rPr>
          <w:rStyle w:val="20"/>
          <w:rFonts w:hint="eastAsia" w:asciiTheme="minorEastAsia" w:hAnsiTheme="minorEastAsia" w:eastAsiaTheme="minorEastAsia" w:cstheme="minorEastAsia"/>
          <w:color w:val="auto"/>
          <w:sz w:val="24"/>
          <w:szCs w:val="24"/>
          <w:highlight w:val="none"/>
        </w:rPr>
        <w:t>绝缘电阻</w:t>
      </w:r>
      <w:bookmarkEnd w:id="49"/>
      <w:bookmarkEnd w:id="50"/>
      <w:bookmarkEnd w:id="51"/>
      <w:bookmarkEnd w:id="52"/>
      <w:r>
        <w:rPr>
          <w:rStyle w:val="20"/>
          <w:rFonts w:hint="eastAsia" w:asciiTheme="minorEastAsia" w:hAnsiTheme="minorEastAsia" w:eastAsiaTheme="minorEastAsia" w:cstheme="minorEastAsia"/>
          <w:color w:val="auto"/>
          <w:sz w:val="24"/>
          <w:szCs w:val="24"/>
          <w:highlight w:val="none"/>
        </w:rPr>
        <w:t>。采集装置各电气回路对地和各电气回路之间的绝缘电阻要求如表2所示。</w:t>
      </w:r>
    </w:p>
    <w:p w14:paraId="757910B1">
      <w:pPr>
        <w:pStyle w:val="8"/>
        <w:tabs>
          <w:tab w:val="center" w:pos="4706"/>
          <w:tab w:val="right" w:pos="9044"/>
        </w:tabs>
        <w:topLinePunct/>
        <w:spacing w:before="160" w:after="60" w:line="360" w:lineRule="auto"/>
        <w:jc w:val="center"/>
        <w:rPr>
          <w:rStyle w:val="20"/>
          <w:rFonts w:hint="eastAsia" w:ascii="Arial" w:hAnsi="Arial" w:eastAsia="黑体"/>
          <w:color w:val="auto"/>
          <w:szCs w:val="21"/>
          <w:highlight w:val="none"/>
        </w:rPr>
      </w:pPr>
    </w:p>
    <w:p w14:paraId="39B528EB">
      <w:pPr>
        <w:pStyle w:val="8"/>
        <w:tabs>
          <w:tab w:val="center" w:pos="4706"/>
          <w:tab w:val="right" w:pos="9044"/>
        </w:tabs>
        <w:topLinePunct/>
        <w:spacing w:before="160" w:after="60" w:line="360" w:lineRule="auto"/>
        <w:jc w:val="center"/>
        <w:rPr>
          <w:rStyle w:val="20"/>
          <w:rFonts w:ascii="Arial" w:hAnsi="Arial" w:eastAsia="黑体"/>
          <w:color w:val="auto"/>
          <w:szCs w:val="21"/>
          <w:highlight w:val="none"/>
        </w:rPr>
      </w:pPr>
      <w:r>
        <w:rPr>
          <w:rStyle w:val="20"/>
          <w:rFonts w:hint="eastAsia" w:ascii="Arial" w:hAnsi="Arial" w:eastAsia="黑体"/>
          <w:color w:val="auto"/>
          <w:szCs w:val="21"/>
          <w:highlight w:val="none"/>
        </w:rPr>
        <w:t>表</w:t>
      </w:r>
      <w:r>
        <w:rPr>
          <w:rStyle w:val="20"/>
          <w:rFonts w:ascii="Arial" w:hAnsi="Arial" w:eastAsia="黑体"/>
          <w:color w:val="auto"/>
          <w:szCs w:val="21"/>
          <w:highlight w:val="none"/>
        </w:rPr>
        <w:t>2</w:t>
      </w:r>
      <w:r>
        <w:rPr>
          <w:rStyle w:val="20"/>
          <w:rFonts w:hint="eastAsia" w:ascii="Arial" w:hAnsi="Arial" w:eastAsia="黑体"/>
          <w:color w:val="auto"/>
          <w:szCs w:val="21"/>
          <w:highlight w:val="none"/>
        </w:rPr>
        <w:t>　绝　缘　电　阻</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76"/>
        <w:gridCol w:w="2174"/>
        <w:gridCol w:w="2224"/>
        <w:gridCol w:w="2021"/>
      </w:tblGrid>
      <w:tr w14:paraId="444C7D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276" w:type="dxa"/>
            <w:vMerge w:val="restart"/>
            <w:tcBorders>
              <w:top w:val="single" w:color="auto" w:sz="8"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07A281C6">
            <w:pPr>
              <w:pStyle w:val="8"/>
              <w:widowControl w:val="0"/>
              <w:topLinePunct/>
              <w:snapToGrid w:val="0"/>
              <w:spacing w:before="60" w:after="6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额定绝缘电压</w:t>
            </w:r>
            <w:r>
              <w:rPr>
                <w:rStyle w:val="20"/>
                <w:rFonts w:ascii="Calibri" w:hAnsi="Calibri" w:eastAsia="宋体"/>
                <w:color w:val="auto"/>
                <w:kern w:val="2"/>
                <w:sz w:val="18"/>
                <w:szCs w:val="18"/>
                <w:highlight w:val="none"/>
                <w:lang w:val="en-US" w:eastAsia="zh-CN" w:bidi="ar-SA"/>
              </w:rPr>
              <w:t xml:space="preserve"> </w:t>
            </w:r>
          </w:p>
          <w:p w14:paraId="062302ED">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V</w:t>
            </w:r>
            <w:r>
              <w:rPr>
                <w:rStyle w:val="20"/>
                <w:rFonts w:hint="eastAsia" w:ascii="Calibri" w:hAnsi="Calibri" w:eastAsia="宋体"/>
                <w:color w:val="auto"/>
                <w:kern w:val="2"/>
                <w:sz w:val="18"/>
                <w:szCs w:val="18"/>
                <w:highlight w:val="none"/>
                <w:lang w:val="en-US" w:eastAsia="zh-CN" w:bidi="ar-SA"/>
              </w:rPr>
              <w:t>）</w:t>
            </w:r>
          </w:p>
        </w:tc>
        <w:tc>
          <w:tcPr>
            <w:tcW w:w="4398" w:type="dxa"/>
            <w:gridSpan w:val="2"/>
            <w:tcBorders>
              <w:top w:val="single" w:color="auto" w:sz="8"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01E25FD">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绝缘电阻（</w:t>
            </w:r>
            <w:r>
              <w:rPr>
                <w:rStyle w:val="20"/>
                <w:rFonts w:ascii="Calibri" w:hAnsi="Calibri" w:eastAsia="宋体"/>
                <w:color w:val="auto"/>
                <w:kern w:val="2"/>
                <w:sz w:val="18"/>
                <w:szCs w:val="18"/>
                <w:highlight w:val="none"/>
                <w:lang w:val="en-US" w:eastAsia="zh-CN" w:bidi="ar-SA"/>
              </w:rPr>
              <w:t>MΩ</w:t>
            </w:r>
            <w:r>
              <w:rPr>
                <w:rStyle w:val="20"/>
                <w:rFonts w:hint="eastAsia" w:ascii="Calibri" w:hAnsi="Calibri" w:eastAsia="宋体"/>
                <w:color w:val="auto"/>
                <w:kern w:val="2"/>
                <w:sz w:val="18"/>
                <w:szCs w:val="18"/>
                <w:highlight w:val="none"/>
                <w:lang w:val="en-US" w:eastAsia="zh-CN" w:bidi="ar-SA"/>
              </w:rPr>
              <w:t>）</w:t>
            </w:r>
          </w:p>
        </w:tc>
        <w:tc>
          <w:tcPr>
            <w:tcW w:w="2021" w:type="dxa"/>
            <w:vMerge w:val="restart"/>
            <w:tcBorders>
              <w:top w:val="single" w:color="auto" w:sz="8"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287A24D3">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测试电压</w:t>
            </w:r>
          </w:p>
          <w:p w14:paraId="1C327B5B">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V</w:t>
            </w:r>
            <w:r>
              <w:rPr>
                <w:rStyle w:val="20"/>
                <w:rFonts w:hint="eastAsia" w:ascii="Calibri" w:hAnsi="Calibri" w:eastAsia="宋体"/>
                <w:color w:val="auto"/>
                <w:kern w:val="2"/>
                <w:sz w:val="18"/>
                <w:szCs w:val="18"/>
                <w:highlight w:val="none"/>
                <w:lang w:val="en-US" w:eastAsia="zh-CN" w:bidi="ar-SA"/>
              </w:rPr>
              <w:t>）</w:t>
            </w:r>
          </w:p>
        </w:tc>
      </w:tr>
      <w:tr w14:paraId="2DB80C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276" w:type="dxa"/>
            <w:vMerge w:val="continue"/>
            <w:tcBorders>
              <w:top w:val="single" w:color="auto" w:sz="8" w:space="0"/>
              <w:left w:val="single" w:color="auto" w:sz="8" w:space="0"/>
              <w:bottom w:val="single" w:color="auto" w:sz="4" w:space="0"/>
              <w:right w:val="single" w:color="auto" w:sz="4" w:space="0"/>
            </w:tcBorders>
            <w:noWrap w:val="0"/>
            <w:vAlign w:val="center"/>
          </w:tcPr>
          <w:p w14:paraId="2D23C6D9">
            <w:pPr>
              <w:pStyle w:val="8"/>
              <w:widowControl/>
              <w:jc w:val="left"/>
              <w:rPr>
                <w:rStyle w:val="20"/>
                <w:rFonts w:ascii="Calibri" w:hAnsi="Calibri" w:eastAsia="宋体"/>
                <w:color w:val="auto"/>
                <w:kern w:val="2"/>
                <w:sz w:val="18"/>
                <w:szCs w:val="18"/>
                <w:highlight w:val="none"/>
                <w:lang w:val="en-US" w:eastAsia="zh-CN" w:bidi="ar-SA"/>
              </w:rPr>
            </w:pPr>
          </w:p>
        </w:tc>
        <w:tc>
          <w:tcPr>
            <w:tcW w:w="217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B8CCBE8">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正常条件</w:t>
            </w:r>
          </w:p>
        </w:tc>
        <w:tc>
          <w:tcPr>
            <w:tcW w:w="222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1F2631A0">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湿热条件</w:t>
            </w:r>
          </w:p>
        </w:tc>
        <w:tc>
          <w:tcPr>
            <w:tcW w:w="2021" w:type="dxa"/>
            <w:vMerge w:val="continue"/>
            <w:tcBorders>
              <w:top w:val="single" w:color="auto" w:sz="8" w:space="0"/>
              <w:left w:val="single" w:color="auto" w:sz="4" w:space="0"/>
              <w:bottom w:val="single" w:color="auto" w:sz="4" w:space="0"/>
              <w:right w:val="single" w:color="auto" w:sz="8" w:space="0"/>
            </w:tcBorders>
            <w:noWrap w:val="0"/>
            <w:vAlign w:val="center"/>
          </w:tcPr>
          <w:p w14:paraId="26D30C69">
            <w:pPr>
              <w:pStyle w:val="8"/>
              <w:widowControl/>
              <w:jc w:val="left"/>
              <w:rPr>
                <w:rStyle w:val="20"/>
                <w:rFonts w:ascii="Calibri" w:hAnsi="Calibri" w:eastAsia="宋体"/>
                <w:color w:val="auto"/>
                <w:kern w:val="2"/>
                <w:sz w:val="18"/>
                <w:szCs w:val="18"/>
                <w:highlight w:val="none"/>
                <w:lang w:val="en-US" w:eastAsia="zh-CN" w:bidi="ar-SA"/>
              </w:rPr>
            </w:pPr>
          </w:p>
        </w:tc>
      </w:tr>
      <w:tr w14:paraId="54890B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276"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B4E939F">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i/>
                <w:color w:val="auto"/>
                <w:kern w:val="2"/>
                <w:sz w:val="18"/>
                <w:szCs w:val="18"/>
                <w:highlight w:val="none"/>
                <w:lang w:val="en-US" w:eastAsia="zh-CN" w:bidi="ar-SA"/>
              </w:rPr>
              <w:t>U</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60</w:t>
            </w:r>
          </w:p>
        </w:tc>
        <w:tc>
          <w:tcPr>
            <w:tcW w:w="217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751C0D0">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10</w:t>
            </w:r>
          </w:p>
        </w:tc>
        <w:tc>
          <w:tcPr>
            <w:tcW w:w="222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1739E62">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2</w:t>
            </w:r>
          </w:p>
        </w:tc>
        <w:tc>
          <w:tcPr>
            <w:tcW w:w="2021"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13C5EFD9">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250</w:t>
            </w:r>
          </w:p>
        </w:tc>
      </w:tr>
      <w:tr w14:paraId="42081C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276"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6EA0B650">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60</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i/>
                <w:color w:val="auto"/>
                <w:kern w:val="2"/>
                <w:sz w:val="18"/>
                <w:szCs w:val="18"/>
                <w:highlight w:val="none"/>
                <w:lang w:val="en-US" w:eastAsia="zh-CN" w:bidi="ar-SA"/>
              </w:rPr>
              <w:t>U</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250</w:t>
            </w:r>
          </w:p>
        </w:tc>
        <w:tc>
          <w:tcPr>
            <w:tcW w:w="217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1272ED92">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10</w:t>
            </w:r>
          </w:p>
        </w:tc>
        <w:tc>
          <w:tcPr>
            <w:tcW w:w="222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3DBE4DD">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2</w:t>
            </w:r>
          </w:p>
        </w:tc>
        <w:tc>
          <w:tcPr>
            <w:tcW w:w="2021"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6DC0BB47">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500</w:t>
            </w:r>
          </w:p>
        </w:tc>
      </w:tr>
      <w:tr w14:paraId="1DFF2B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276" w:type="dxa"/>
            <w:tcBorders>
              <w:top w:val="single" w:color="auto" w:sz="4" w:space="0"/>
              <w:left w:val="single" w:color="auto" w:sz="8" w:space="0"/>
              <w:bottom w:val="single" w:color="auto" w:sz="8" w:space="0"/>
              <w:right w:val="single" w:color="auto" w:sz="4" w:space="0"/>
            </w:tcBorders>
            <w:noWrap w:val="0"/>
            <w:tcMar>
              <w:top w:w="0" w:type="dxa"/>
              <w:left w:w="0" w:type="dxa"/>
              <w:bottom w:w="0" w:type="dxa"/>
              <w:right w:w="0" w:type="dxa"/>
            </w:tcMar>
            <w:vAlign w:val="center"/>
          </w:tcPr>
          <w:p w14:paraId="1D80CF0D">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i/>
                <w:color w:val="auto"/>
                <w:kern w:val="2"/>
                <w:sz w:val="18"/>
                <w:szCs w:val="18"/>
                <w:highlight w:val="none"/>
                <w:lang w:val="en-US" w:eastAsia="zh-CN" w:bidi="ar-SA"/>
              </w:rPr>
              <w:t>U</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250</w:t>
            </w:r>
          </w:p>
        </w:tc>
        <w:tc>
          <w:tcPr>
            <w:tcW w:w="2174" w:type="dxa"/>
            <w:tcBorders>
              <w:top w:val="single" w:color="auto" w:sz="4" w:space="0"/>
              <w:left w:val="single" w:color="auto" w:sz="4" w:space="0"/>
              <w:bottom w:val="single" w:color="auto" w:sz="8" w:space="0"/>
              <w:right w:val="single" w:color="auto" w:sz="4" w:space="0"/>
            </w:tcBorders>
            <w:noWrap w:val="0"/>
            <w:tcMar>
              <w:top w:w="0" w:type="dxa"/>
              <w:left w:w="0" w:type="dxa"/>
              <w:bottom w:w="0" w:type="dxa"/>
              <w:right w:w="0" w:type="dxa"/>
            </w:tcMar>
            <w:vAlign w:val="center"/>
          </w:tcPr>
          <w:p w14:paraId="25215316">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10</w:t>
            </w:r>
          </w:p>
        </w:tc>
        <w:tc>
          <w:tcPr>
            <w:tcW w:w="2224" w:type="dxa"/>
            <w:tcBorders>
              <w:top w:val="single" w:color="auto" w:sz="4" w:space="0"/>
              <w:left w:val="single" w:color="auto" w:sz="4" w:space="0"/>
              <w:bottom w:val="single" w:color="auto" w:sz="8" w:space="0"/>
              <w:right w:val="single" w:color="auto" w:sz="4" w:space="0"/>
            </w:tcBorders>
            <w:noWrap w:val="0"/>
            <w:tcMar>
              <w:top w:w="0" w:type="dxa"/>
              <w:left w:w="0" w:type="dxa"/>
              <w:bottom w:w="0" w:type="dxa"/>
              <w:right w:w="0" w:type="dxa"/>
            </w:tcMar>
            <w:vAlign w:val="center"/>
          </w:tcPr>
          <w:p w14:paraId="0605C538">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2</w:t>
            </w:r>
          </w:p>
        </w:tc>
        <w:tc>
          <w:tcPr>
            <w:tcW w:w="2021" w:type="dxa"/>
            <w:tcBorders>
              <w:top w:val="single" w:color="auto" w:sz="4" w:space="0"/>
              <w:left w:val="single" w:color="auto" w:sz="4" w:space="0"/>
              <w:bottom w:val="single" w:color="auto" w:sz="8" w:space="0"/>
              <w:right w:val="single" w:color="auto" w:sz="8" w:space="0"/>
            </w:tcBorders>
            <w:noWrap w:val="0"/>
            <w:tcMar>
              <w:top w:w="0" w:type="dxa"/>
              <w:left w:w="0" w:type="dxa"/>
              <w:bottom w:w="0" w:type="dxa"/>
              <w:right w:w="0" w:type="dxa"/>
            </w:tcMar>
            <w:vAlign w:val="center"/>
          </w:tcPr>
          <w:p w14:paraId="2025A3EC">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1000</w:t>
            </w:r>
          </w:p>
        </w:tc>
      </w:tr>
    </w:tbl>
    <w:p w14:paraId="2A649C34">
      <w:pPr>
        <w:pStyle w:val="8"/>
        <w:topLinePunct/>
        <w:spacing w:line="360" w:lineRule="auto"/>
        <w:ind w:firstLine="360" w:firstLineChars="200"/>
        <w:rPr>
          <w:rStyle w:val="20"/>
          <w:rFonts w:ascii="Times New Roman" w:hAnsi="Times New Roman"/>
          <w:color w:val="auto"/>
          <w:sz w:val="18"/>
          <w:szCs w:val="18"/>
          <w:highlight w:val="none"/>
        </w:rPr>
      </w:pPr>
      <w:bookmarkStart w:id="53" w:name="_Toc269400137"/>
      <w:bookmarkStart w:id="54" w:name="_Toc269398928"/>
      <w:bookmarkStart w:id="55" w:name="_Toc269400183"/>
      <w:bookmarkStart w:id="56" w:name="_Toc269400059"/>
      <w:r>
        <w:rPr>
          <w:rStyle w:val="20"/>
          <w:rFonts w:hint="eastAsia" w:ascii="黑体" w:eastAsia="黑体"/>
          <w:color w:val="auto"/>
          <w:sz w:val="18"/>
          <w:szCs w:val="18"/>
          <w:highlight w:val="none"/>
        </w:rPr>
        <w:t>注</w:t>
      </w:r>
      <w:r>
        <w:rPr>
          <w:rStyle w:val="20"/>
          <w:rFonts w:hAnsi="Arial"/>
          <w:color w:val="auto"/>
          <w:sz w:val="18"/>
          <w:szCs w:val="18"/>
          <w:highlight w:val="none"/>
        </w:rPr>
        <w:t xml:space="preserve">  </w:t>
      </w:r>
      <w:r>
        <w:rPr>
          <w:rStyle w:val="20"/>
          <w:rFonts w:hint="eastAsia" w:hAnsi="Arial"/>
          <w:color w:val="auto"/>
          <w:sz w:val="18"/>
          <w:szCs w:val="18"/>
          <w:highlight w:val="none"/>
        </w:rPr>
        <w:t>与二次设备及外部回路直接连接的接口回路采用</w:t>
      </w:r>
      <w:r>
        <w:rPr>
          <w:rStyle w:val="20"/>
          <w:i/>
          <w:color w:val="auto"/>
          <w:sz w:val="18"/>
          <w:szCs w:val="18"/>
          <w:highlight w:val="none"/>
        </w:rPr>
        <w:t>U</w:t>
      </w:r>
      <w:r>
        <w:rPr>
          <w:rStyle w:val="20"/>
          <w:rFonts w:hint="eastAsia" w:hAnsi="Arial"/>
          <w:color w:val="auto"/>
          <w:sz w:val="18"/>
          <w:szCs w:val="18"/>
          <w:highlight w:val="none"/>
        </w:rPr>
        <w:t>＞</w:t>
      </w:r>
      <w:r>
        <w:rPr>
          <w:rStyle w:val="20"/>
          <w:color w:val="auto"/>
          <w:sz w:val="18"/>
          <w:szCs w:val="18"/>
          <w:highlight w:val="none"/>
        </w:rPr>
        <w:t>250V</w:t>
      </w:r>
      <w:r>
        <w:rPr>
          <w:rStyle w:val="20"/>
          <w:rFonts w:hint="eastAsia" w:hAnsi="Arial"/>
          <w:color w:val="auto"/>
          <w:sz w:val="18"/>
          <w:szCs w:val="18"/>
          <w:highlight w:val="none"/>
        </w:rPr>
        <w:t>的要求。</w:t>
      </w:r>
    </w:p>
    <w:p w14:paraId="2D0F0CA2">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绝缘强度</w:t>
      </w:r>
      <w:bookmarkEnd w:id="53"/>
      <w:bookmarkEnd w:id="54"/>
      <w:bookmarkEnd w:id="55"/>
      <w:bookmarkEnd w:id="56"/>
      <w:r>
        <w:rPr>
          <w:rStyle w:val="20"/>
          <w:rFonts w:hint="eastAsia" w:asciiTheme="minorEastAsia" w:hAnsiTheme="minorEastAsia" w:eastAsiaTheme="minorEastAsia" w:cstheme="minorEastAsia"/>
          <w:color w:val="auto"/>
          <w:sz w:val="24"/>
          <w:szCs w:val="24"/>
          <w:highlight w:val="none"/>
        </w:rPr>
        <w:t>。采集装置电源回路、输出回路各自对地和电气隔离的各回路之间，应耐受如表3中规定的50Hz的交流电压，历时1min的绝缘强度试验。试验时不得出现击穿、闪络现象，泄漏电流应不大于5mA。</w:t>
      </w:r>
    </w:p>
    <w:p w14:paraId="344E3E75">
      <w:pPr>
        <w:pStyle w:val="8"/>
        <w:tabs>
          <w:tab w:val="center" w:pos="4706"/>
          <w:tab w:val="right" w:pos="9044"/>
        </w:tabs>
        <w:topLinePunct/>
        <w:spacing w:before="160" w:after="60" w:line="360" w:lineRule="auto"/>
        <w:jc w:val="center"/>
        <w:rPr>
          <w:rStyle w:val="20"/>
          <w:rFonts w:ascii="Arial" w:hAnsi="Arial" w:eastAsia="黑体"/>
          <w:color w:val="auto"/>
          <w:szCs w:val="21"/>
          <w:highlight w:val="none"/>
        </w:rPr>
      </w:pPr>
      <w:r>
        <w:rPr>
          <w:rStyle w:val="20"/>
          <w:rFonts w:hint="eastAsia" w:ascii="Arial" w:hAnsi="Arial" w:eastAsia="黑体"/>
          <w:color w:val="auto"/>
          <w:szCs w:val="21"/>
          <w:highlight w:val="none"/>
        </w:rPr>
        <w:t>表</w:t>
      </w:r>
      <w:r>
        <w:rPr>
          <w:rStyle w:val="20"/>
          <w:rFonts w:ascii="Arial" w:hAnsi="Arial" w:eastAsia="黑体"/>
          <w:color w:val="auto"/>
          <w:szCs w:val="21"/>
          <w:highlight w:val="none"/>
        </w:rPr>
        <w:t>3</w:t>
      </w:r>
      <w:r>
        <w:rPr>
          <w:rStyle w:val="20"/>
          <w:rFonts w:hint="eastAsia" w:ascii="Arial" w:hAnsi="Arial" w:eastAsia="黑体"/>
          <w:color w:val="auto"/>
          <w:kern w:val="0"/>
          <w:szCs w:val="21"/>
          <w:highlight w:val="none"/>
        </w:rPr>
        <w:t>　</w:t>
      </w:r>
      <w:r>
        <w:rPr>
          <w:rStyle w:val="20"/>
          <w:rFonts w:hint="eastAsia" w:ascii="Arial" w:hAnsi="Arial" w:eastAsia="黑体"/>
          <w:color w:val="auto"/>
          <w:szCs w:val="21"/>
          <w:highlight w:val="none"/>
        </w:rPr>
        <w:t>试</w:t>
      </w:r>
      <w:r>
        <w:rPr>
          <w:rStyle w:val="20"/>
          <w:rFonts w:ascii="Arial" w:hAnsi="Arial" w:eastAsia="黑体"/>
          <w:color w:val="auto"/>
          <w:szCs w:val="21"/>
          <w:highlight w:val="none"/>
        </w:rPr>
        <w:t xml:space="preserve">  </w:t>
      </w:r>
      <w:r>
        <w:rPr>
          <w:rStyle w:val="20"/>
          <w:rFonts w:hint="eastAsia" w:ascii="Arial" w:hAnsi="Arial" w:eastAsia="黑体"/>
          <w:color w:val="auto"/>
          <w:szCs w:val="21"/>
          <w:highlight w:val="none"/>
        </w:rPr>
        <w:t>验</w:t>
      </w:r>
      <w:r>
        <w:rPr>
          <w:rStyle w:val="20"/>
          <w:rFonts w:ascii="Arial" w:hAnsi="Arial" w:eastAsia="黑体"/>
          <w:color w:val="auto"/>
          <w:szCs w:val="21"/>
          <w:highlight w:val="none"/>
        </w:rPr>
        <w:t xml:space="preserve">  </w:t>
      </w:r>
      <w:r>
        <w:rPr>
          <w:rStyle w:val="20"/>
          <w:rFonts w:hint="eastAsia" w:ascii="Arial" w:hAnsi="Arial" w:eastAsia="黑体"/>
          <w:color w:val="auto"/>
          <w:szCs w:val="21"/>
          <w:highlight w:val="none"/>
        </w:rPr>
        <w:t>电</w:t>
      </w:r>
      <w:r>
        <w:rPr>
          <w:rStyle w:val="20"/>
          <w:rFonts w:ascii="Arial" w:hAnsi="Arial" w:eastAsia="黑体"/>
          <w:color w:val="auto"/>
          <w:szCs w:val="21"/>
          <w:highlight w:val="none"/>
        </w:rPr>
        <w:t xml:space="preserve">  </w:t>
      </w:r>
      <w:r>
        <w:rPr>
          <w:rStyle w:val="20"/>
          <w:rFonts w:hint="eastAsia" w:ascii="Arial" w:hAnsi="Arial" w:eastAsia="黑体"/>
          <w:color w:val="auto"/>
          <w:szCs w:val="21"/>
          <w:highlight w:val="none"/>
        </w:rPr>
        <w:t>压</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2229"/>
        <w:gridCol w:w="2224"/>
        <w:gridCol w:w="2172"/>
      </w:tblGrid>
      <w:tr w14:paraId="7251D3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tcBorders>
              <w:top w:val="single" w:color="auto" w:sz="8"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1C5E443">
            <w:pPr>
              <w:pStyle w:val="8"/>
              <w:widowControl w:val="0"/>
              <w:topLinePunct/>
              <w:snapToGrid w:val="0"/>
              <w:spacing w:before="60" w:after="6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额定绝缘电压（</w:t>
            </w:r>
            <w:r>
              <w:rPr>
                <w:rStyle w:val="20"/>
                <w:rFonts w:ascii="Calibri" w:hAnsi="Calibri" w:eastAsia="宋体"/>
                <w:color w:val="auto"/>
                <w:kern w:val="2"/>
                <w:sz w:val="18"/>
                <w:szCs w:val="18"/>
                <w:highlight w:val="none"/>
                <w:lang w:val="en-US" w:eastAsia="zh-CN" w:bidi="ar-SA"/>
              </w:rPr>
              <w:t>V</w:t>
            </w:r>
            <w:r>
              <w:rPr>
                <w:rStyle w:val="20"/>
                <w:rFonts w:hint="eastAsia" w:ascii="Calibri" w:hAnsi="Calibri" w:eastAsia="宋体"/>
                <w:color w:val="auto"/>
                <w:kern w:val="2"/>
                <w:sz w:val="18"/>
                <w:szCs w:val="18"/>
                <w:highlight w:val="none"/>
                <w:lang w:val="en-US" w:eastAsia="zh-CN" w:bidi="ar-SA"/>
              </w:rPr>
              <w:t>）</w:t>
            </w:r>
          </w:p>
        </w:tc>
        <w:tc>
          <w:tcPr>
            <w:tcW w:w="2229" w:type="dxa"/>
            <w:tcBorders>
              <w:top w:val="single" w:color="auto" w:sz="8" w:space="0"/>
              <w:left w:val="single" w:color="auto" w:sz="4" w:space="0"/>
              <w:bottom w:val="single" w:color="auto" w:sz="4" w:space="0"/>
              <w:right w:val="double" w:color="auto" w:sz="4" w:space="0"/>
            </w:tcBorders>
            <w:noWrap w:val="0"/>
            <w:tcMar>
              <w:top w:w="0" w:type="dxa"/>
              <w:left w:w="0" w:type="dxa"/>
              <w:bottom w:w="0" w:type="dxa"/>
              <w:right w:w="0" w:type="dxa"/>
            </w:tcMar>
            <w:vAlign w:val="center"/>
          </w:tcPr>
          <w:p w14:paraId="23FC776C">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试验电压有效值（</w:t>
            </w:r>
            <w:r>
              <w:rPr>
                <w:rStyle w:val="20"/>
                <w:rFonts w:ascii="Calibri" w:hAnsi="Calibri" w:eastAsia="宋体"/>
                <w:color w:val="auto"/>
                <w:kern w:val="2"/>
                <w:sz w:val="18"/>
                <w:szCs w:val="18"/>
                <w:highlight w:val="none"/>
                <w:lang w:val="en-US" w:eastAsia="zh-CN" w:bidi="ar-SA"/>
              </w:rPr>
              <w:t>V</w:t>
            </w:r>
            <w:r>
              <w:rPr>
                <w:rStyle w:val="20"/>
                <w:rFonts w:hint="eastAsia" w:ascii="Calibri" w:hAnsi="Calibri" w:eastAsia="宋体"/>
                <w:color w:val="auto"/>
                <w:kern w:val="2"/>
                <w:sz w:val="18"/>
                <w:szCs w:val="18"/>
                <w:highlight w:val="none"/>
                <w:lang w:val="en-US" w:eastAsia="zh-CN" w:bidi="ar-SA"/>
              </w:rPr>
              <w:t>）</w:t>
            </w:r>
          </w:p>
        </w:tc>
        <w:tc>
          <w:tcPr>
            <w:tcW w:w="2224" w:type="dxa"/>
            <w:tcBorders>
              <w:top w:val="single" w:color="auto" w:sz="8" w:space="0"/>
              <w:left w:val="double" w:color="auto" w:sz="4" w:space="0"/>
              <w:bottom w:val="single" w:color="auto" w:sz="4" w:space="0"/>
              <w:right w:val="single" w:color="auto" w:sz="4" w:space="0"/>
            </w:tcBorders>
            <w:noWrap w:val="0"/>
            <w:tcMar>
              <w:top w:w="0" w:type="dxa"/>
              <w:left w:w="0" w:type="dxa"/>
              <w:bottom w:w="0" w:type="dxa"/>
              <w:right w:w="0" w:type="dxa"/>
            </w:tcMar>
            <w:vAlign w:val="center"/>
          </w:tcPr>
          <w:p w14:paraId="36FBB96B">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额定绝缘电压（</w:t>
            </w:r>
            <w:r>
              <w:rPr>
                <w:rStyle w:val="20"/>
                <w:rFonts w:ascii="Calibri" w:hAnsi="Calibri" w:eastAsia="宋体"/>
                <w:color w:val="auto"/>
                <w:kern w:val="2"/>
                <w:sz w:val="18"/>
                <w:szCs w:val="18"/>
                <w:highlight w:val="none"/>
                <w:lang w:val="en-US" w:eastAsia="zh-CN" w:bidi="ar-SA"/>
              </w:rPr>
              <w:t>V</w:t>
            </w:r>
            <w:r>
              <w:rPr>
                <w:rStyle w:val="20"/>
                <w:rFonts w:hint="eastAsia" w:ascii="Calibri" w:hAnsi="Calibri" w:eastAsia="宋体"/>
                <w:color w:val="auto"/>
                <w:kern w:val="2"/>
                <w:sz w:val="18"/>
                <w:szCs w:val="18"/>
                <w:highlight w:val="none"/>
                <w:lang w:val="en-US" w:eastAsia="zh-CN" w:bidi="ar-SA"/>
              </w:rPr>
              <w:t>）</w:t>
            </w:r>
          </w:p>
        </w:tc>
        <w:tc>
          <w:tcPr>
            <w:tcW w:w="2172" w:type="dxa"/>
            <w:tcBorders>
              <w:top w:val="single" w:color="auto" w:sz="8"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0D7C113B">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试验电压有效值（</w:t>
            </w:r>
            <w:r>
              <w:rPr>
                <w:rStyle w:val="20"/>
                <w:rFonts w:ascii="Calibri" w:hAnsi="Calibri" w:eastAsia="宋体"/>
                <w:color w:val="auto"/>
                <w:kern w:val="2"/>
                <w:sz w:val="18"/>
                <w:szCs w:val="18"/>
                <w:highlight w:val="none"/>
                <w:lang w:val="en-US" w:eastAsia="zh-CN" w:bidi="ar-SA"/>
              </w:rPr>
              <w:t>V</w:t>
            </w:r>
            <w:r>
              <w:rPr>
                <w:rStyle w:val="20"/>
                <w:rFonts w:hint="eastAsia" w:ascii="Calibri" w:hAnsi="Calibri" w:eastAsia="宋体"/>
                <w:color w:val="auto"/>
                <w:kern w:val="2"/>
                <w:sz w:val="18"/>
                <w:szCs w:val="18"/>
                <w:highlight w:val="none"/>
                <w:lang w:val="en-US" w:eastAsia="zh-CN" w:bidi="ar-SA"/>
              </w:rPr>
              <w:t>）</w:t>
            </w:r>
          </w:p>
        </w:tc>
      </w:tr>
      <w:tr w14:paraId="76E94F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6538E7D0">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i/>
                <w:color w:val="auto"/>
                <w:kern w:val="2"/>
                <w:sz w:val="18"/>
                <w:szCs w:val="18"/>
                <w:highlight w:val="none"/>
                <w:lang w:val="en-US" w:eastAsia="zh-CN" w:bidi="ar-SA"/>
              </w:rPr>
              <w:t>U</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60</w:t>
            </w:r>
          </w:p>
        </w:tc>
        <w:tc>
          <w:tcPr>
            <w:tcW w:w="2229" w:type="dxa"/>
            <w:tcBorders>
              <w:top w:val="single" w:color="auto" w:sz="4" w:space="0"/>
              <w:left w:val="single" w:color="auto" w:sz="4" w:space="0"/>
              <w:bottom w:val="single" w:color="auto" w:sz="4" w:space="0"/>
              <w:right w:val="double" w:color="auto" w:sz="4" w:space="0"/>
            </w:tcBorders>
            <w:noWrap w:val="0"/>
            <w:tcMar>
              <w:top w:w="0" w:type="dxa"/>
              <w:left w:w="0" w:type="dxa"/>
              <w:bottom w:w="0" w:type="dxa"/>
              <w:right w:w="0" w:type="dxa"/>
            </w:tcMar>
            <w:vAlign w:val="center"/>
          </w:tcPr>
          <w:p w14:paraId="3703497F">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500</w:t>
            </w:r>
          </w:p>
        </w:tc>
        <w:tc>
          <w:tcPr>
            <w:tcW w:w="2224" w:type="dxa"/>
            <w:tcBorders>
              <w:top w:val="single" w:color="auto" w:sz="4" w:space="0"/>
              <w:left w:val="double" w:color="auto" w:sz="4" w:space="0"/>
              <w:bottom w:val="single" w:color="auto" w:sz="4" w:space="0"/>
              <w:right w:val="single" w:color="auto" w:sz="4" w:space="0"/>
            </w:tcBorders>
            <w:noWrap w:val="0"/>
            <w:tcMar>
              <w:top w:w="0" w:type="dxa"/>
              <w:left w:w="0" w:type="dxa"/>
              <w:bottom w:w="0" w:type="dxa"/>
              <w:right w:w="0" w:type="dxa"/>
            </w:tcMar>
            <w:vAlign w:val="center"/>
          </w:tcPr>
          <w:p w14:paraId="52F05A46">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125</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i/>
                <w:color w:val="auto"/>
                <w:kern w:val="2"/>
                <w:sz w:val="18"/>
                <w:szCs w:val="18"/>
                <w:highlight w:val="none"/>
                <w:lang w:val="en-US" w:eastAsia="zh-CN" w:bidi="ar-SA"/>
              </w:rPr>
              <w:t>U</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250</w:t>
            </w:r>
          </w:p>
        </w:tc>
        <w:tc>
          <w:tcPr>
            <w:tcW w:w="2172"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1C74943B">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1500</w:t>
            </w:r>
          </w:p>
        </w:tc>
      </w:tr>
      <w:tr w14:paraId="522AFD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tcBorders>
              <w:top w:val="single" w:color="auto" w:sz="4" w:space="0"/>
              <w:left w:val="single" w:color="auto" w:sz="8" w:space="0"/>
              <w:bottom w:val="single" w:color="auto" w:sz="8" w:space="0"/>
              <w:right w:val="single" w:color="auto" w:sz="4" w:space="0"/>
            </w:tcBorders>
            <w:noWrap w:val="0"/>
            <w:tcMar>
              <w:top w:w="0" w:type="dxa"/>
              <w:left w:w="0" w:type="dxa"/>
              <w:bottom w:w="0" w:type="dxa"/>
              <w:right w:w="0" w:type="dxa"/>
            </w:tcMar>
            <w:vAlign w:val="center"/>
          </w:tcPr>
          <w:p w14:paraId="1DC07440">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60</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i/>
                <w:color w:val="auto"/>
                <w:kern w:val="2"/>
                <w:sz w:val="18"/>
                <w:szCs w:val="18"/>
                <w:highlight w:val="none"/>
                <w:lang w:val="en-US" w:eastAsia="zh-CN" w:bidi="ar-SA"/>
              </w:rPr>
              <w:t>U</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125</w:t>
            </w:r>
          </w:p>
        </w:tc>
        <w:tc>
          <w:tcPr>
            <w:tcW w:w="2229" w:type="dxa"/>
            <w:tcBorders>
              <w:top w:val="single" w:color="auto" w:sz="4" w:space="0"/>
              <w:left w:val="single" w:color="auto" w:sz="4" w:space="0"/>
              <w:bottom w:val="single" w:color="auto" w:sz="8" w:space="0"/>
              <w:right w:val="double" w:color="auto" w:sz="4" w:space="0"/>
            </w:tcBorders>
            <w:noWrap w:val="0"/>
            <w:tcMar>
              <w:top w:w="0" w:type="dxa"/>
              <w:left w:w="0" w:type="dxa"/>
              <w:bottom w:w="0" w:type="dxa"/>
              <w:right w:w="0" w:type="dxa"/>
            </w:tcMar>
            <w:vAlign w:val="center"/>
          </w:tcPr>
          <w:p w14:paraId="04802D57">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1000</w:t>
            </w:r>
          </w:p>
        </w:tc>
        <w:tc>
          <w:tcPr>
            <w:tcW w:w="2224" w:type="dxa"/>
            <w:tcBorders>
              <w:top w:val="single" w:color="auto" w:sz="4" w:space="0"/>
              <w:left w:val="double" w:color="auto" w:sz="4" w:space="0"/>
              <w:bottom w:val="single" w:color="auto" w:sz="8" w:space="0"/>
              <w:right w:val="single" w:color="auto" w:sz="4" w:space="0"/>
            </w:tcBorders>
            <w:noWrap w:val="0"/>
            <w:tcMar>
              <w:top w:w="0" w:type="dxa"/>
              <w:left w:w="0" w:type="dxa"/>
              <w:bottom w:w="0" w:type="dxa"/>
              <w:right w:w="0" w:type="dxa"/>
            </w:tcMar>
            <w:vAlign w:val="center"/>
          </w:tcPr>
          <w:p w14:paraId="1856E66D">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250</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i/>
                <w:color w:val="auto"/>
                <w:kern w:val="2"/>
                <w:sz w:val="18"/>
                <w:szCs w:val="18"/>
                <w:highlight w:val="none"/>
                <w:lang w:val="en-US" w:eastAsia="zh-CN" w:bidi="ar-SA"/>
              </w:rPr>
              <w:t>U</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400</w:t>
            </w:r>
          </w:p>
        </w:tc>
        <w:tc>
          <w:tcPr>
            <w:tcW w:w="2172" w:type="dxa"/>
            <w:tcBorders>
              <w:top w:val="single" w:color="auto" w:sz="4" w:space="0"/>
              <w:left w:val="single" w:color="auto" w:sz="4" w:space="0"/>
              <w:bottom w:val="single" w:color="auto" w:sz="8" w:space="0"/>
              <w:right w:val="single" w:color="auto" w:sz="8" w:space="0"/>
            </w:tcBorders>
            <w:noWrap w:val="0"/>
            <w:tcMar>
              <w:top w:w="0" w:type="dxa"/>
              <w:left w:w="0" w:type="dxa"/>
              <w:bottom w:w="0" w:type="dxa"/>
              <w:right w:w="0" w:type="dxa"/>
            </w:tcMar>
            <w:vAlign w:val="center"/>
          </w:tcPr>
          <w:p w14:paraId="7014DDCC">
            <w:pPr>
              <w:pStyle w:val="8"/>
              <w:widowControl w:val="0"/>
              <w:topLinePunct/>
              <w:snapToGrid w:val="0"/>
              <w:spacing w:before="60" w:after="60"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2000</w:t>
            </w:r>
          </w:p>
        </w:tc>
      </w:tr>
    </w:tbl>
    <w:p w14:paraId="03B707AD">
      <w:pPr>
        <w:pStyle w:val="8"/>
        <w:topLinePunct/>
        <w:spacing w:line="360" w:lineRule="auto"/>
        <w:rPr>
          <w:rStyle w:val="20"/>
          <w:rFonts w:ascii="Times New Roman" w:hAnsi="Times New Roman" w:cs="宋体"/>
          <w:color w:val="auto"/>
          <w:szCs w:val="21"/>
          <w:highlight w:val="none"/>
        </w:rPr>
      </w:pPr>
      <w:bookmarkStart w:id="57" w:name="_Toc269400138"/>
      <w:bookmarkStart w:id="58" w:name="_Toc269400184"/>
      <w:bookmarkStart w:id="59" w:name="_Toc269398929"/>
      <w:bookmarkStart w:id="60" w:name="_Toc269400060"/>
    </w:p>
    <w:p w14:paraId="1C50A70F">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冲击电压</w:t>
      </w:r>
      <w:bookmarkEnd w:id="57"/>
      <w:bookmarkEnd w:id="58"/>
      <w:bookmarkEnd w:id="59"/>
      <w:bookmarkEnd w:id="60"/>
      <w:r>
        <w:rPr>
          <w:rStyle w:val="20"/>
          <w:rFonts w:hint="eastAsia" w:asciiTheme="minorEastAsia" w:hAnsiTheme="minorEastAsia" w:eastAsiaTheme="minorEastAsia" w:cstheme="minorEastAsia"/>
          <w:color w:val="auto"/>
          <w:sz w:val="24"/>
          <w:szCs w:val="24"/>
          <w:highlight w:val="none"/>
        </w:rPr>
        <w:t xml:space="preserve">。采集装置电源回路、输出回路各自对地和无电气联系的各回路之间，应耐受如表4中规定的冲击电压峰值，正负极性各5次。试验时应无破坏性放电（击穿跳火、闪络或绝缘击穿）现象。 </w:t>
      </w:r>
    </w:p>
    <w:p w14:paraId="0EB13413">
      <w:pPr>
        <w:pStyle w:val="8"/>
        <w:tabs>
          <w:tab w:val="center" w:pos="4706"/>
          <w:tab w:val="right" w:pos="9044"/>
        </w:tabs>
        <w:topLinePunct/>
        <w:spacing w:before="160" w:after="60" w:line="360" w:lineRule="auto"/>
        <w:jc w:val="center"/>
        <w:rPr>
          <w:rStyle w:val="20"/>
          <w:rFonts w:ascii="Arial" w:hAnsi="Arial" w:eastAsia="黑体"/>
          <w:color w:val="auto"/>
          <w:szCs w:val="21"/>
          <w:highlight w:val="none"/>
        </w:rPr>
      </w:pPr>
      <w:r>
        <w:rPr>
          <w:rStyle w:val="20"/>
          <w:rFonts w:hint="eastAsia" w:ascii="Arial" w:hAnsi="Arial" w:eastAsia="黑体"/>
          <w:color w:val="auto"/>
          <w:szCs w:val="21"/>
          <w:highlight w:val="none"/>
        </w:rPr>
        <w:t>表</w:t>
      </w:r>
      <w:r>
        <w:rPr>
          <w:rStyle w:val="20"/>
          <w:rFonts w:ascii="Arial" w:hAnsi="Arial" w:eastAsia="黑体"/>
          <w:color w:val="auto"/>
          <w:szCs w:val="21"/>
          <w:highlight w:val="none"/>
        </w:rPr>
        <w:t>4</w:t>
      </w:r>
      <w:r>
        <w:rPr>
          <w:rStyle w:val="20"/>
          <w:rFonts w:hint="eastAsia" w:ascii="Arial" w:hAnsi="Arial" w:eastAsia="黑体"/>
          <w:color w:val="auto"/>
          <w:kern w:val="0"/>
          <w:szCs w:val="21"/>
          <w:highlight w:val="none"/>
        </w:rPr>
        <w:t>　</w:t>
      </w:r>
      <w:r>
        <w:rPr>
          <w:rStyle w:val="20"/>
          <w:rFonts w:hint="eastAsia" w:ascii="Arial" w:hAnsi="Arial" w:eastAsia="黑体"/>
          <w:color w:val="auto"/>
          <w:spacing w:val="40"/>
          <w:szCs w:val="21"/>
          <w:highlight w:val="none"/>
        </w:rPr>
        <w:t>冲击电压峰值</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13"/>
        <w:gridCol w:w="1985"/>
        <w:gridCol w:w="1984"/>
        <w:gridCol w:w="1843"/>
      </w:tblGrid>
      <w:tr w14:paraId="43298E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013" w:type="dxa"/>
            <w:tcBorders>
              <w:top w:val="single" w:color="auto" w:sz="8" w:space="0"/>
              <w:left w:val="single" w:color="auto" w:sz="8" w:space="0"/>
              <w:bottom w:val="single" w:color="auto" w:sz="4" w:space="0"/>
              <w:right w:val="single" w:color="auto" w:sz="4" w:space="0"/>
            </w:tcBorders>
            <w:noWrap w:val="0"/>
            <w:vAlign w:val="center"/>
          </w:tcPr>
          <w:p w14:paraId="216AC954">
            <w:pPr>
              <w:pStyle w:val="8"/>
              <w:widowControl w:val="0"/>
              <w:topLinePunct/>
              <w:snapToGrid w:val="0"/>
              <w:spacing w:before="68" w:after="68"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额定绝缘电压（</w:t>
            </w:r>
            <w:r>
              <w:rPr>
                <w:rStyle w:val="20"/>
                <w:rFonts w:ascii="Calibri" w:hAnsi="Calibri" w:eastAsia="宋体"/>
                <w:color w:val="auto"/>
                <w:kern w:val="2"/>
                <w:sz w:val="18"/>
                <w:szCs w:val="18"/>
                <w:highlight w:val="none"/>
                <w:lang w:val="en-US" w:eastAsia="zh-CN" w:bidi="ar-SA"/>
              </w:rPr>
              <w:t>V</w:t>
            </w:r>
            <w:r>
              <w:rPr>
                <w:rStyle w:val="20"/>
                <w:rFonts w:hint="eastAsia" w:ascii="Calibri" w:hAnsi="Calibri" w:eastAsia="宋体"/>
                <w:color w:val="auto"/>
                <w:kern w:val="2"/>
                <w:sz w:val="18"/>
                <w:szCs w:val="18"/>
                <w:highlight w:val="none"/>
                <w:lang w:val="en-US" w:eastAsia="zh-CN" w:bidi="ar-SA"/>
              </w:rPr>
              <w:t>）</w:t>
            </w:r>
          </w:p>
        </w:tc>
        <w:tc>
          <w:tcPr>
            <w:tcW w:w="1985" w:type="dxa"/>
            <w:tcBorders>
              <w:top w:val="single" w:color="auto" w:sz="8" w:space="0"/>
              <w:left w:val="single" w:color="auto" w:sz="4" w:space="0"/>
              <w:bottom w:val="single" w:color="auto" w:sz="4" w:space="0"/>
              <w:right w:val="double" w:color="auto" w:sz="4" w:space="0"/>
            </w:tcBorders>
            <w:noWrap w:val="0"/>
            <w:vAlign w:val="center"/>
          </w:tcPr>
          <w:p w14:paraId="240C9626">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试验电压有效值（</w:t>
            </w:r>
            <w:r>
              <w:rPr>
                <w:rStyle w:val="20"/>
                <w:rFonts w:ascii="Calibri" w:hAnsi="Calibri" w:eastAsia="宋体"/>
                <w:color w:val="auto"/>
                <w:kern w:val="2"/>
                <w:sz w:val="18"/>
                <w:szCs w:val="18"/>
                <w:highlight w:val="none"/>
                <w:lang w:val="en-US" w:eastAsia="zh-CN" w:bidi="ar-SA"/>
              </w:rPr>
              <w:t>V</w:t>
            </w:r>
            <w:r>
              <w:rPr>
                <w:rStyle w:val="20"/>
                <w:rFonts w:hint="eastAsia" w:ascii="Calibri" w:hAnsi="Calibri" w:eastAsia="宋体"/>
                <w:color w:val="auto"/>
                <w:kern w:val="2"/>
                <w:sz w:val="18"/>
                <w:szCs w:val="18"/>
                <w:highlight w:val="none"/>
                <w:lang w:val="en-US" w:eastAsia="zh-CN" w:bidi="ar-SA"/>
              </w:rPr>
              <w:t>）</w:t>
            </w:r>
          </w:p>
        </w:tc>
        <w:tc>
          <w:tcPr>
            <w:tcW w:w="1984" w:type="dxa"/>
            <w:tcBorders>
              <w:top w:val="single" w:color="auto" w:sz="8" w:space="0"/>
              <w:left w:val="double" w:color="auto" w:sz="4" w:space="0"/>
              <w:bottom w:val="single" w:color="auto" w:sz="4" w:space="0"/>
              <w:right w:val="single" w:color="auto" w:sz="4" w:space="0"/>
            </w:tcBorders>
            <w:noWrap w:val="0"/>
            <w:vAlign w:val="center"/>
          </w:tcPr>
          <w:p w14:paraId="266E6003">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额定绝缘电压（</w:t>
            </w:r>
            <w:r>
              <w:rPr>
                <w:rStyle w:val="20"/>
                <w:rFonts w:ascii="Calibri" w:hAnsi="Calibri" w:eastAsia="宋体"/>
                <w:color w:val="auto"/>
                <w:kern w:val="2"/>
                <w:sz w:val="18"/>
                <w:szCs w:val="18"/>
                <w:highlight w:val="none"/>
                <w:lang w:val="en-US" w:eastAsia="zh-CN" w:bidi="ar-SA"/>
              </w:rPr>
              <w:t>V</w:t>
            </w:r>
            <w:r>
              <w:rPr>
                <w:rStyle w:val="20"/>
                <w:rFonts w:hint="eastAsia" w:ascii="Calibri" w:hAnsi="Calibri" w:eastAsia="宋体"/>
                <w:color w:val="auto"/>
                <w:kern w:val="2"/>
                <w:sz w:val="18"/>
                <w:szCs w:val="18"/>
                <w:highlight w:val="none"/>
                <w:lang w:val="en-US" w:eastAsia="zh-CN" w:bidi="ar-SA"/>
              </w:rPr>
              <w:t>）</w:t>
            </w:r>
          </w:p>
        </w:tc>
        <w:tc>
          <w:tcPr>
            <w:tcW w:w="1843" w:type="dxa"/>
            <w:tcBorders>
              <w:top w:val="single" w:color="auto" w:sz="8" w:space="0"/>
              <w:left w:val="single" w:color="auto" w:sz="4" w:space="0"/>
              <w:bottom w:val="single" w:color="auto" w:sz="4" w:space="0"/>
              <w:right w:val="single" w:color="auto" w:sz="8" w:space="0"/>
            </w:tcBorders>
            <w:noWrap w:val="0"/>
            <w:vAlign w:val="center"/>
          </w:tcPr>
          <w:p w14:paraId="13CD674C">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试验电压有效值（</w:t>
            </w:r>
            <w:r>
              <w:rPr>
                <w:rStyle w:val="20"/>
                <w:rFonts w:ascii="Calibri" w:hAnsi="Calibri" w:eastAsia="宋体"/>
                <w:color w:val="auto"/>
                <w:kern w:val="2"/>
                <w:sz w:val="18"/>
                <w:szCs w:val="18"/>
                <w:highlight w:val="none"/>
                <w:lang w:val="en-US" w:eastAsia="zh-CN" w:bidi="ar-SA"/>
              </w:rPr>
              <w:t>V</w:t>
            </w:r>
            <w:r>
              <w:rPr>
                <w:rStyle w:val="20"/>
                <w:rFonts w:hint="eastAsia" w:ascii="Calibri" w:hAnsi="Calibri" w:eastAsia="宋体"/>
                <w:color w:val="auto"/>
                <w:kern w:val="2"/>
                <w:sz w:val="18"/>
                <w:szCs w:val="18"/>
                <w:highlight w:val="none"/>
                <w:lang w:val="en-US" w:eastAsia="zh-CN" w:bidi="ar-SA"/>
              </w:rPr>
              <w:t>）</w:t>
            </w:r>
          </w:p>
        </w:tc>
      </w:tr>
      <w:tr w14:paraId="1C5B55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2013" w:type="dxa"/>
            <w:tcBorders>
              <w:top w:val="single" w:color="auto" w:sz="4" w:space="0"/>
              <w:left w:val="single" w:color="auto" w:sz="8" w:space="0"/>
              <w:bottom w:val="single" w:color="auto" w:sz="4" w:space="0"/>
              <w:right w:val="single" w:color="auto" w:sz="4" w:space="0"/>
            </w:tcBorders>
            <w:noWrap w:val="0"/>
            <w:vAlign w:val="center"/>
          </w:tcPr>
          <w:p w14:paraId="78957339">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i/>
                <w:color w:val="auto"/>
                <w:kern w:val="2"/>
                <w:sz w:val="18"/>
                <w:szCs w:val="18"/>
                <w:highlight w:val="none"/>
                <w:lang w:val="en-US" w:eastAsia="zh-CN" w:bidi="ar-SA"/>
              </w:rPr>
              <w:t>U</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60</w:t>
            </w:r>
          </w:p>
        </w:tc>
        <w:tc>
          <w:tcPr>
            <w:tcW w:w="1985" w:type="dxa"/>
            <w:tcBorders>
              <w:top w:val="single" w:color="auto" w:sz="4" w:space="0"/>
              <w:left w:val="single" w:color="auto" w:sz="4" w:space="0"/>
              <w:bottom w:val="single" w:color="auto" w:sz="4" w:space="0"/>
              <w:right w:val="double" w:color="auto" w:sz="4" w:space="0"/>
            </w:tcBorders>
            <w:noWrap w:val="0"/>
            <w:vAlign w:val="center"/>
          </w:tcPr>
          <w:p w14:paraId="2353CCCE">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2000</w:t>
            </w:r>
          </w:p>
        </w:tc>
        <w:tc>
          <w:tcPr>
            <w:tcW w:w="1984" w:type="dxa"/>
            <w:tcBorders>
              <w:top w:val="single" w:color="auto" w:sz="4" w:space="0"/>
              <w:left w:val="double" w:color="auto" w:sz="4" w:space="0"/>
              <w:bottom w:val="single" w:color="auto" w:sz="4" w:space="0"/>
              <w:right w:val="single" w:color="auto" w:sz="4" w:space="0"/>
            </w:tcBorders>
            <w:noWrap w:val="0"/>
            <w:vAlign w:val="center"/>
          </w:tcPr>
          <w:p w14:paraId="64CECFCD">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125</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i/>
                <w:color w:val="auto"/>
                <w:kern w:val="2"/>
                <w:sz w:val="18"/>
                <w:szCs w:val="18"/>
                <w:highlight w:val="none"/>
                <w:lang w:val="en-US" w:eastAsia="zh-CN" w:bidi="ar-SA"/>
              </w:rPr>
              <w:t>U</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250</w:t>
            </w:r>
          </w:p>
        </w:tc>
        <w:tc>
          <w:tcPr>
            <w:tcW w:w="1843" w:type="dxa"/>
            <w:tcBorders>
              <w:top w:val="single" w:color="auto" w:sz="4" w:space="0"/>
              <w:left w:val="single" w:color="auto" w:sz="4" w:space="0"/>
              <w:bottom w:val="single" w:color="auto" w:sz="4" w:space="0"/>
              <w:right w:val="single" w:color="auto" w:sz="8" w:space="0"/>
            </w:tcBorders>
            <w:noWrap w:val="0"/>
            <w:vAlign w:val="center"/>
          </w:tcPr>
          <w:p w14:paraId="6B7561DE">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5000</w:t>
            </w:r>
          </w:p>
        </w:tc>
      </w:tr>
      <w:tr w14:paraId="2100DC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013" w:type="dxa"/>
            <w:tcBorders>
              <w:top w:val="single" w:color="auto" w:sz="4" w:space="0"/>
              <w:left w:val="single" w:color="auto" w:sz="8" w:space="0"/>
              <w:bottom w:val="single" w:color="auto" w:sz="8" w:space="0"/>
              <w:right w:val="single" w:color="auto" w:sz="4" w:space="0"/>
            </w:tcBorders>
            <w:noWrap w:val="0"/>
            <w:vAlign w:val="center"/>
          </w:tcPr>
          <w:p w14:paraId="5C09EB1A">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60</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i/>
                <w:color w:val="auto"/>
                <w:kern w:val="2"/>
                <w:sz w:val="18"/>
                <w:szCs w:val="18"/>
                <w:highlight w:val="none"/>
                <w:lang w:val="en-US" w:eastAsia="zh-CN" w:bidi="ar-SA"/>
              </w:rPr>
              <w:t>U</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125</w:t>
            </w:r>
          </w:p>
        </w:tc>
        <w:tc>
          <w:tcPr>
            <w:tcW w:w="1985" w:type="dxa"/>
            <w:tcBorders>
              <w:top w:val="single" w:color="auto" w:sz="4" w:space="0"/>
              <w:left w:val="single" w:color="auto" w:sz="4" w:space="0"/>
              <w:bottom w:val="single" w:color="auto" w:sz="8" w:space="0"/>
              <w:right w:val="double" w:color="auto" w:sz="4" w:space="0"/>
            </w:tcBorders>
            <w:noWrap w:val="0"/>
            <w:vAlign w:val="center"/>
          </w:tcPr>
          <w:p w14:paraId="0995BC2F">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5000</w:t>
            </w:r>
          </w:p>
        </w:tc>
        <w:tc>
          <w:tcPr>
            <w:tcW w:w="1984" w:type="dxa"/>
            <w:tcBorders>
              <w:top w:val="single" w:color="auto" w:sz="4" w:space="0"/>
              <w:left w:val="double" w:color="auto" w:sz="4" w:space="0"/>
              <w:bottom w:val="single" w:color="auto" w:sz="8" w:space="0"/>
              <w:right w:val="single" w:color="auto" w:sz="4" w:space="0"/>
            </w:tcBorders>
            <w:noWrap w:val="0"/>
            <w:vAlign w:val="center"/>
          </w:tcPr>
          <w:p w14:paraId="179809EF">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250</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i/>
                <w:color w:val="auto"/>
                <w:kern w:val="2"/>
                <w:sz w:val="18"/>
                <w:szCs w:val="18"/>
                <w:highlight w:val="none"/>
                <w:lang w:val="en-US" w:eastAsia="zh-CN" w:bidi="ar-SA"/>
              </w:rPr>
              <w:t>U</w:t>
            </w: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400</w:t>
            </w:r>
          </w:p>
        </w:tc>
        <w:tc>
          <w:tcPr>
            <w:tcW w:w="1843" w:type="dxa"/>
            <w:tcBorders>
              <w:top w:val="single" w:color="auto" w:sz="4" w:space="0"/>
              <w:left w:val="single" w:color="auto" w:sz="4" w:space="0"/>
              <w:bottom w:val="single" w:color="auto" w:sz="8" w:space="0"/>
              <w:right w:val="single" w:color="auto" w:sz="8" w:space="0"/>
            </w:tcBorders>
            <w:noWrap w:val="0"/>
            <w:vAlign w:val="center"/>
          </w:tcPr>
          <w:p w14:paraId="3DEF43F4">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6000</w:t>
            </w:r>
          </w:p>
        </w:tc>
      </w:tr>
    </w:tbl>
    <w:p w14:paraId="3E93CC02">
      <w:pPr>
        <w:pStyle w:val="8"/>
        <w:tabs>
          <w:tab w:val="left" w:pos="0"/>
          <w:tab w:val="left" w:pos="630"/>
          <w:tab w:val="left" w:pos="700"/>
        </w:tabs>
        <w:topLinePunct/>
        <w:spacing w:line="360" w:lineRule="auto"/>
        <w:rPr>
          <w:rStyle w:val="20"/>
          <w:rFonts w:ascii="Times New Roman" w:hAnsi="Times New Roman"/>
          <w:bCs/>
          <w:color w:val="auto"/>
          <w:szCs w:val="21"/>
          <w:highlight w:val="none"/>
        </w:rPr>
      </w:pPr>
      <w:bookmarkStart w:id="61" w:name="_Toc269480638"/>
    </w:p>
    <w:p w14:paraId="671807C4">
      <w:pPr>
        <w:pStyle w:val="8"/>
        <w:numPr>
          <w:ilvl w:val="1"/>
          <w:numId w:val="1"/>
        </w:numPr>
        <w:spacing w:line="360" w:lineRule="auto"/>
        <w:ind w:hanging="992"/>
        <w:jc w:val="left"/>
        <w:rPr>
          <w:rStyle w:val="20"/>
          <w:rFonts w:hint="eastAsia" w:asciiTheme="minorEastAsia" w:hAnsiTheme="minorEastAsia" w:eastAsiaTheme="minorEastAsia" w:cstheme="minorEastAsia"/>
          <w:b/>
          <w:color w:val="auto"/>
          <w:sz w:val="24"/>
          <w:szCs w:val="24"/>
          <w:highlight w:val="none"/>
        </w:rPr>
      </w:pPr>
      <w:bookmarkStart w:id="62" w:name="_Toc272671220"/>
      <w:r>
        <w:rPr>
          <w:rStyle w:val="20"/>
          <w:rFonts w:hint="eastAsia" w:asciiTheme="minorEastAsia" w:hAnsiTheme="minorEastAsia" w:eastAsiaTheme="minorEastAsia" w:cstheme="minorEastAsia"/>
          <w:b/>
          <w:color w:val="auto"/>
          <w:sz w:val="24"/>
          <w:szCs w:val="24"/>
          <w:highlight w:val="none"/>
        </w:rPr>
        <w:t>连续通电稳定性试验</w:t>
      </w:r>
      <w:bookmarkEnd w:id="61"/>
      <w:bookmarkEnd w:id="62"/>
    </w:p>
    <w:p w14:paraId="5677362D">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设备在正常大气条件下工作，电源电压为额定值；</w:t>
      </w:r>
    </w:p>
    <w:p w14:paraId="74E24756">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连续通电72h，这期间每8h抽测一次电能量采集准确度，试验结果应符合要求。</w:t>
      </w:r>
    </w:p>
    <w:p w14:paraId="475A36C3">
      <w:pPr>
        <w:pStyle w:val="8"/>
        <w:numPr>
          <w:ilvl w:val="1"/>
          <w:numId w:val="1"/>
        </w:numPr>
        <w:spacing w:line="360" w:lineRule="auto"/>
        <w:ind w:hanging="992"/>
        <w:jc w:val="left"/>
        <w:rPr>
          <w:rStyle w:val="20"/>
          <w:rFonts w:hint="eastAsia" w:asciiTheme="minorEastAsia" w:hAnsiTheme="minorEastAsia" w:eastAsiaTheme="minorEastAsia" w:cstheme="minorEastAsia"/>
          <w:b/>
          <w:color w:val="auto"/>
          <w:sz w:val="24"/>
          <w:szCs w:val="24"/>
          <w:highlight w:val="none"/>
        </w:rPr>
      </w:pPr>
      <w:bookmarkStart w:id="63" w:name="_Toc269480639"/>
      <w:bookmarkStart w:id="64" w:name="_Toc272671221"/>
      <w:r>
        <w:rPr>
          <w:rStyle w:val="20"/>
          <w:rFonts w:hint="eastAsia" w:asciiTheme="minorEastAsia" w:hAnsiTheme="minorEastAsia" w:eastAsiaTheme="minorEastAsia" w:cstheme="minorEastAsia"/>
          <w:b/>
          <w:color w:val="auto"/>
          <w:sz w:val="24"/>
          <w:szCs w:val="24"/>
          <w:highlight w:val="none"/>
        </w:rPr>
        <w:t>电磁兼容性要求</w:t>
      </w:r>
      <w:bookmarkEnd w:id="63"/>
      <w:bookmarkEnd w:id="64"/>
    </w:p>
    <w:p w14:paraId="02B94705">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电压暂降和短时中断。在电源电压突降及短时中断时，采集装置不应发生死机、错误输出或损坏，电源电压恢复后存储数据无变化，工作正常。</w:t>
      </w:r>
    </w:p>
    <w:p w14:paraId="38C6BEE2">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工频磁场抗扰度。采集装置应能抗御频率为50Hz、磁场强度为400A/m 的工频磁场影响而不发生错误输出，并能正常工作。</w:t>
      </w:r>
    </w:p>
    <w:p w14:paraId="2C3FD177">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辐射电磁场抗扰度。采集装置应能承受工作频带以外如表5 所示强度的射频辐射电磁场的骚扰不发生错误输出和损坏，并能正常工作。</w:t>
      </w:r>
    </w:p>
    <w:p w14:paraId="3661539A">
      <w:pPr>
        <w:pStyle w:val="8"/>
        <w:tabs>
          <w:tab w:val="center" w:pos="4706"/>
          <w:tab w:val="right" w:pos="9044"/>
        </w:tabs>
        <w:topLinePunct/>
        <w:spacing w:before="160" w:after="60" w:line="360" w:lineRule="auto"/>
        <w:jc w:val="center"/>
        <w:rPr>
          <w:rStyle w:val="20"/>
          <w:rFonts w:ascii="Arial" w:hAnsi="Arial" w:eastAsia="黑体"/>
          <w:color w:val="auto"/>
          <w:szCs w:val="21"/>
          <w:highlight w:val="none"/>
        </w:rPr>
      </w:pPr>
      <w:r>
        <w:rPr>
          <w:rStyle w:val="20"/>
          <w:rFonts w:hint="eastAsia" w:ascii="Arial" w:hAnsi="Arial" w:eastAsia="黑体"/>
          <w:color w:val="auto"/>
          <w:szCs w:val="21"/>
          <w:highlight w:val="none"/>
        </w:rPr>
        <w:t>表</w:t>
      </w:r>
      <w:r>
        <w:rPr>
          <w:rStyle w:val="20"/>
          <w:rFonts w:ascii="Arial" w:hAnsi="Arial" w:eastAsia="黑体"/>
          <w:color w:val="auto"/>
          <w:szCs w:val="21"/>
          <w:highlight w:val="none"/>
        </w:rPr>
        <w:t>5</w:t>
      </w:r>
      <w:r>
        <w:rPr>
          <w:rStyle w:val="20"/>
          <w:rFonts w:hint="eastAsia" w:ascii="Arial" w:hAnsi="Arial" w:eastAsia="黑体"/>
          <w:color w:val="auto"/>
          <w:kern w:val="0"/>
          <w:szCs w:val="21"/>
          <w:highlight w:val="none"/>
        </w:rPr>
        <w:t>　</w:t>
      </w:r>
      <w:r>
        <w:rPr>
          <w:rStyle w:val="20"/>
          <w:rFonts w:hint="eastAsia" w:ascii="Arial" w:hAnsi="Arial" w:eastAsia="黑体"/>
          <w:color w:val="auto"/>
          <w:szCs w:val="21"/>
          <w:highlight w:val="none"/>
        </w:rPr>
        <w:t>电快速瞬变脉冲群、浪涌、磁场试验的主要参数</w:t>
      </w:r>
    </w:p>
    <w:tbl>
      <w:tblPr>
        <w:tblStyle w:val="19"/>
        <w:tblW w:w="0" w:type="auto"/>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711"/>
        <w:gridCol w:w="1729"/>
        <w:gridCol w:w="3904"/>
      </w:tblGrid>
      <w:tr w14:paraId="6B2297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51" w:type="dxa"/>
            <w:tcBorders>
              <w:top w:val="single" w:color="auto" w:sz="8"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615A815E">
            <w:pPr>
              <w:pStyle w:val="8"/>
              <w:widowControl w:val="0"/>
              <w:topLinePunct/>
              <w:snapToGrid w:val="0"/>
              <w:spacing w:before="68" w:after="68"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试</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验</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项</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目</w:t>
            </w:r>
          </w:p>
        </w:tc>
        <w:tc>
          <w:tcPr>
            <w:tcW w:w="711" w:type="dxa"/>
            <w:tcBorders>
              <w:top w:val="single" w:color="auto" w:sz="8"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1F7C9E7D">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等</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级</w:t>
            </w:r>
          </w:p>
        </w:tc>
        <w:tc>
          <w:tcPr>
            <w:tcW w:w="1729" w:type="dxa"/>
            <w:tcBorders>
              <w:top w:val="single" w:color="auto" w:sz="8"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43C482F">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试</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验</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值</w:t>
            </w:r>
          </w:p>
        </w:tc>
        <w:tc>
          <w:tcPr>
            <w:tcW w:w="3904" w:type="dxa"/>
            <w:tcBorders>
              <w:top w:val="single" w:color="auto" w:sz="8"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1786BA9B">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试</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验</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回</w:t>
            </w:r>
            <w:r>
              <w:rPr>
                <w:rStyle w:val="20"/>
                <w:rFonts w:ascii="Calibri" w:hAnsi="Calibri" w:eastAsia="宋体"/>
                <w:color w:val="auto"/>
                <w:kern w:val="2"/>
                <w:sz w:val="18"/>
                <w:szCs w:val="18"/>
                <w:highlight w:val="none"/>
                <w:lang w:val="en-US" w:eastAsia="zh-CN" w:bidi="ar-SA"/>
              </w:rPr>
              <w:t xml:space="preserve">  </w:t>
            </w:r>
            <w:r>
              <w:rPr>
                <w:rStyle w:val="20"/>
                <w:rFonts w:hint="eastAsia" w:ascii="Calibri" w:hAnsi="Calibri" w:eastAsia="宋体"/>
                <w:color w:val="auto"/>
                <w:kern w:val="2"/>
                <w:sz w:val="18"/>
                <w:szCs w:val="18"/>
                <w:highlight w:val="none"/>
                <w:lang w:val="en-US" w:eastAsia="zh-CN" w:bidi="ar-SA"/>
              </w:rPr>
              <w:t>路</w:t>
            </w:r>
          </w:p>
        </w:tc>
      </w:tr>
      <w:tr w14:paraId="6E4541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51" w:type="dxa"/>
            <w:vMerge w:val="restart"/>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2143E3E8">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电快速瞬变脉冲群</w:t>
            </w:r>
          </w:p>
        </w:tc>
        <w:tc>
          <w:tcPr>
            <w:tcW w:w="71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108755A0">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2</w:t>
            </w:r>
          </w:p>
        </w:tc>
        <w:tc>
          <w:tcPr>
            <w:tcW w:w="1729"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B965CA4">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2.0kV</w:t>
            </w:r>
            <w:r>
              <w:rPr>
                <w:rStyle w:val="20"/>
                <w:rFonts w:hint="eastAsia" w:ascii="Calibri" w:hAnsi="Calibri" w:eastAsia="宋体"/>
                <w:color w:val="auto"/>
                <w:kern w:val="2"/>
                <w:sz w:val="18"/>
                <w:szCs w:val="18"/>
                <w:highlight w:val="none"/>
                <w:lang w:val="en-US" w:eastAsia="zh-CN" w:bidi="ar-SA"/>
              </w:rPr>
              <w:t>（耦合）</w:t>
            </w:r>
          </w:p>
        </w:tc>
        <w:tc>
          <w:tcPr>
            <w:tcW w:w="390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394ACB11">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通信线</w:t>
            </w:r>
          </w:p>
        </w:tc>
      </w:tr>
      <w:tr w14:paraId="61E26F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51" w:type="dxa"/>
            <w:vMerge w:val="continue"/>
            <w:tcBorders>
              <w:top w:val="single" w:color="auto" w:sz="4" w:space="0"/>
              <w:left w:val="single" w:color="auto" w:sz="8" w:space="0"/>
              <w:bottom w:val="single" w:color="auto" w:sz="4" w:space="0"/>
              <w:right w:val="single" w:color="auto" w:sz="4" w:space="0"/>
            </w:tcBorders>
            <w:noWrap w:val="0"/>
            <w:vAlign w:val="center"/>
          </w:tcPr>
          <w:p w14:paraId="2B301837">
            <w:pPr>
              <w:pStyle w:val="8"/>
              <w:widowControl/>
              <w:jc w:val="left"/>
              <w:rPr>
                <w:rStyle w:val="20"/>
                <w:rFonts w:ascii="Calibri" w:hAnsi="Calibri" w:eastAsia="宋体"/>
                <w:color w:val="auto"/>
                <w:kern w:val="2"/>
                <w:sz w:val="18"/>
                <w:szCs w:val="18"/>
                <w:highlight w:val="none"/>
                <w:lang w:val="en-US" w:eastAsia="zh-CN" w:bidi="ar-SA"/>
              </w:rPr>
            </w:pPr>
          </w:p>
        </w:tc>
        <w:tc>
          <w:tcPr>
            <w:tcW w:w="71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563663B">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3</w:t>
            </w:r>
          </w:p>
        </w:tc>
        <w:tc>
          <w:tcPr>
            <w:tcW w:w="1729"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89C03D2">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1.0kV</w:t>
            </w:r>
          </w:p>
        </w:tc>
        <w:tc>
          <w:tcPr>
            <w:tcW w:w="390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82BF6C0">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状态信号输入、控制输出回路</w:t>
            </w:r>
          </w:p>
          <w:p w14:paraId="5FB82164">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p>
          <w:p w14:paraId="4E1A9B64">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p>
          <w:p w14:paraId="757F7EFF">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w:t>
            </w:r>
            <w:r>
              <w:rPr>
                <w:rStyle w:val="20"/>
                <w:rFonts w:ascii="Calibri" w:hAnsi="Calibri" w:eastAsia="宋体"/>
                <w:color w:val="auto"/>
                <w:kern w:val="2"/>
                <w:sz w:val="18"/>
                <w:szCs w:val="18"/>
                <w:highlight w:val="none"/>
                <w:lang w:val="en-US" w:eastAsia="zh-CN" w:bidi="ar-SA"/>
              </w:rPr>
              <w:t>60V</w:t>
            </w:r>
            <w:r>
              <w:rPr>
                <w:rStyle w:val="20"/>
                <w:rFonts w:hint="eastAsia" w:ascii="Calibri" w:hAnsi="Calibri" w:eastAsia="宋体"/>
                <w:color w:val="auto"/>
                <w:kern w:val="2"/>
                <w:sz w:val="18"/>
                <w:szCs w:val="18"/>
                <w:highlight w:val="none"/>
                <w:lang w:val="en-US" w:eastAsia="zh-CN" w:bidi="ar-SA"/>
              </w:rPr>
              <w:t>）</w:t>
            </w:r>
          </w:p>
        </w:tc>
      </w:tr>
      <w:tr w14:paraId="46AA3D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51" w:type="dxa"/>
            <w:vMerge w:val="continue"/>
            <w:tcBorders>
              <w:top w:val="single" w:color="auto" w:sz="4" w:space="0"/>
              <w:left w:val="single" w:color="auto" w:sz="8" w:space="0"/>
              <w:bottom w:val="single" w:color="auto" w:sz="4" w:space="0"/>
              <w:right w:val="single" w:color="auto" w:sz="4" w:space="0"/>
            </w:tcBorders>
            <w:noWrap w:val="0"/>
            <w:vAlign w:val="center"/>
          </w:tcPr>
          <w:p w14:paraId="5345F19A">
            <w:pPr>
              <w:pStyle w:val="8"/>
              <w:widowControl/>
              <w:jc w:val="left"/>
              <w:rPr>
                <w:rStyle w:val="20"/>
                <w:rFonts w:ascii="Calibri" w:hAnsi="Calibri" w:eastAsia="宋体"/>
                <w:color w:val="auto"/>
                <w:kern w:val="2"/>
                <w:sz w:val="18"/>
                <w:szCs w:val="18"/>
                <w:highlight w:val="none"/>
                <w:lang w:val="en-US" w:eastAsia="zh-CN" w:bidi="ar-SA"/>
              </w:rPr>
            </w:pPr>
          </w:p>
        </w:tc>
        <w:tc>
          <w:tcPr>
            <w:tcW w:w="71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A27C259">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4</w:t>
            </w:r>
          </w:p>
        </w:tc>
        <w:tc>
          <w:tcPr>
            <w:tcW w:w="1729"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0278C16">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2.0kV</w:t>
            </w:r>
          </w:p>
        </w:tc>
        <w:tc>
          <w:tcPr>
            <w:tcW w:w="390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1C59B8F7">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交流电量输入、控制输出回路（＞</w:t>
            </w:r>
            <w:r>
              <w:rPr>
                <w:rStyle w:val="20"/>
                <w:rFonts w:ascii="Calibri" w:hAnsi="Calibri" w:eastAsia="宋体"/>
                <w:color w:val="auto"/>
                <w:kern w:val="2"/>
                <w:sz w:val="18"/>
                <w:szCs w:val="18"/>
                <w:highlight w:val="none"/>
                <w:lang w:val="en-US" w:eastAsia="zh-CN" w:bidi="ar-SA"/>
              </w:rPr>
              <w:t>60V</w:t>
            </w:r>
            <w:r>
              <w:rPr>
                <w:rStyle w:val="20"/>
                <w:rFonts w:hint="eastAsia" w:ascii="Calibri" w:hAnsi="Calibri" w:eastAsia="宋体"/>
                <w:color w:val="auto"/>
                <w:kern w:val="2"/>
                <w:sz w:val="18"/>
                <w:szCs w:val="18"/>
                <w:highlight w:val="none"/>
                <w:lang w:val="en-US" w:eastAsia="zh-CN" w:bidi="ar-SA"/>
              </w:rPr>
              <w:t>）</w:t>
            </w:r>
          </w:p>
        </w:tc>
      </w:tr>
      <w:tr w14:paraId="7D2B26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51" w:type="dxa"/>
            <w:vMerge w:val="continue"/>
            <w:tcBorders>
              <w:top w:val="single" w:color="auto" w:sz="4" w:space="0"/>
              <w:left w:val="single" w:color="auto" w:sz="8" w:space="0"/>
              <w:bottom w:val="single" w:color="auto" w:sz="4" w:space="0"/>
              <w:right w:val="single" w:color="auto" w:sz="4" w:space="0"/>
            </w:tcBorders>
            <w:noWrap w:val="0"/>
            <w:vAlign w:val="center"/>
          </w:tcPr>
          <w:p w14:paraId="3BEA557C">
            <w:pPr>
              <w:pStyle w:val="8"/>
              <w:widowControl/>
              <w:jc w:val="left"/>
              <w:rPr>
                <w:rStyle w:val="20"/>
                <w:rFonts w:ascii="Calibri" w:hAnsi="Calibri" w:eastAsia="宋体"/>
                <w:color w:val="auto"/>
                <w:kern w:val="2"/>
                <w:sz w:val="18"/>
                <w:szCs w:val="18"/>
                <w:highlight w:val="none"/>
                <w:lang w:val="en-US" w:eastAsia="zh-CN" w:bidi="ar-SA"/>
              </w:rPr>
            </w:pPr>
          </w:p>
        </w:tc>
        <w:tc>
          <w:tcPr>
            <w:tcW w:w="71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C3DB25E">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4</w:t>
            </w:r>
          </w:p>
        </w:tc>
        <w:tc>
          <w:tcPr>
            <w:tcW w:w="1729"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11CEA35C">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4.0kV</w:t>
            </w:r>
          </w:p>
        </w:tc>
        <w:tc>
          <w:tcPr>
            <w:tcW w:w="390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2A4D6BB2">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电源回路</w:t>
            </w:r>
          </w:p>
        </w:tc>
      </w:tr>
      <w:tr w14:paraId="0C453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51" w:type="dxa"/>
            <w:vMerge w:val="restart"/>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158A0B6">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浪涌</w:t>
            </w:r>
          </w:p>
        </w:tc>
        <w:tc>
          <w:tcPr>
            <w:tcW w:w="71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3CF5546">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2</w:t>
            </w:r>
          </w:p>
        </w:tc>
        <w:tc>
          <w:tcPr>
            <w:tcW w:w="1729"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1E99D01F">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1.0kV</w:t>
            </w:r>
            <w:r>
              <w:rPr>
                <w:rStyle w:val="20"/>
                <w:rFonts w:hint="eastAsia" w:ascii="Calibri" w:hAnsi="Calibri" w:eastAsia="宋体"/>
                <w:color w:val="auto"/>
                <w:kern w:val="2"/>
                <w:sz w:val="18"/>
                <w:szCs w:val="18"/>
                <w:highlight w:val="none"/>
                <w:lang w:val="en-US" w:eastAsia="zh-CN" w:bidi="ar-SA"/>
              </w:rPr>
              <w:t>（共模）</w:t>
            </w:r>
          </w:p>
        </w:tc>
        <w:tc>
          <w:tcPr>
            <w:tcW w:w="390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2DEC4EE">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状态信号输入、控制输出回路、（≤</w:t>
            </w:r>
            <w:r>
              <w:rPr>
                <w:rStyle w:val="20"/>
                <w:rFonts w:ascii="Calibri" w:hAnsi="Calibri" w:eastAsia="宋体"/>
                <w:color w:val="auto"/>
                <w:kern w:val="2"/>
                <w:sz w:val="18"/>
                <w:szCs w:val="18"/>
                <w:highlight w:val="none"/>
                <w:lang w:val="en-US" w:eastAsia="zh-CN" w:bidi="ar-SA"/>
              </w:rPr>
              <w:t>60V</w:t>
            </w:r>
            <w:r>
              <w:rPr>
                <w:rStyle w:val="20"/>
                <w:rFonts w:hint="eastAsia" w:ascii="Calibri" w:hAnsi="Calibri" w:eastAsia="宋体"/>
                <w:color w:val="auto"/>
                <w:kern w:val="2"/>
                <w:sz w:val="18"/>
                <w:szCs w:val="18"/>
                <w:highlight w:val="none"/>
                <w:lang w:val="en-US" w:eastAsia="zh-CN" w:bidi="ar-SA"/>
              </w:rPr>
              <w:t>）</w:t>
            </w:r>
          </w:p>
        </w:tc>
      </w:tr>
      <w:tr w14:paraId="732484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51" w:type="dxa"/>
            <w:vMerge w:val="continue"/>
            <w:tcBorders>
              <w:top w:val="single" w:color="auto" w:sz="4" w:space="0"/>
              <w:left w:val="single" w:color="auto" w:sz="8" w:space="0"/>
              <w:bottom w:val="single" w:color="auto" w:sz="4" w:space="0"/>
              <w:right w:val="single" w:color="auto" w:sz="4" w:space="0"/>
            </w:tcBorders>
            <w:noWrap w:val="0"/>
            <w:vAlign w:val="center"/>
          </w:tcPr>
          <w:p w14:paraId="61DBE3A1">
            <w:pPr>
              <w:pStyle w:val="8"/>
              <w:widowControl/>
              <w:jc w:val="left"/>
              <w:rPr>
                <w:rStyle w:val="20"/>
                <w:rFonts w:ascii="Calibri" w:hAnsi="Calibri" w:eastAsia="宋体"/>
                <w:color w:val="auto"/>
                <w:kern w:val="2"/>
                <w:sz w:val="18"/>
                <w:szCs w:val="18"/>
                <w:highlight w:val="none"/>
                <w:lang w:val="en-US" w:eastAsia="zh-CN" w:bidi="ar-SA"/>
              </w:rPr>
            </w:pPr>
          </w:p>
        </w:tc>
        <w:tc>
          <w:tcPr>
            <w:tcW w:w="71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1F20722">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3</w:t>
            </w:r>
          </w:p>
        </w:tc>
        <w:tc>
          <w:tcPr>
            <w:tcW w:w="1729"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927BFB4">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2.0kV</w:t>
            </w:r>
            <w:r>
              <w:rPr>
                <w:rStyle w:val="20"/>
                <w:rFonts w:hint="eastAsia" w:ascii="Calibri" w:hAnsi="Calibri" w:eastAsia="宋体"/>
                <w:color w:val="auto"/>
                <w:kern w:val="2"/>
                <w:sz w:val="18"/>
                <w:szCs w:val="18"/>
                <w:highlight w:val="none"/>
                <w:lang w:val="en-US" w:eastAsia="zh-CN" w:bidi="ar-SA"/>
              </w:rPr>
              <w:t>（共模）</w:t>
            </w:r>
            <w:r>
              <w:rPr>
                <w:rStyle w:val="20"/>
                <w:rFonts w:ascii="Calibri" w:hAnsi="Calibri" w:eastAsia="宋体"/>
                <w:color w:val="auto"/>
                <w:kern w:val="2"/>
                <w:sz w:val="18"/>
                <w:szCs w:val="18"/>
                <w:highlight w:val="none"/>
                <w:lang w:val="en-US" w:eastAsia="zh-CN" w:bidi="ar-SA"/>
              </w:rPr>
              <w:t xml:space="preserve"> </w:t>
            </w:r>
          </w:p>
        </w:tc>
        <w:tc>
          <w:tcPr>
            <w:tcW w:w="390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A1B694B">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控制输出回路（＞</w:t>
            </w:r>
            <w:r>
              <w:rPr>
                <w:rStyle w:val="20"/>
                <w:rFonts w:ascii="Calibri" w:hAnsi="Calibri" w:eastAsia="宋体"/>
                <w:color w:val="auto"/>
                <w:kern w:val="2"/>
                <w:sz w:val="18"/>
                <w:szCs w:val="18"/>
                <w:highlight w:val="none"/>
                <w:lang w:val="en-US" w:eastAsia="zh-CN" w:bidi="ar-SA"/>
              </w:rPr>
              <w:t>60V</w:t>
            </w:r>
            <w:r>
              <w:rPr>
                <w:rStyle w:val="20"/>
                <w:rFonts w:hint="eastAsia" w:ascii="Calibri" w:hAnsi="Calibri" w:eastAsia="宋体"/>
                <w:color w:val="auto"/>
                <w:kern w:val="2"/>
                <w:sz w:val="18"/>
                <w:szCs w:val="18"/>
                <w:highlight w:val="none"/>
                <w:lang w:val="en-US" w:eastAsia="zh-CN" w:bidi="ar-SA"/>
              </w:rPr>
              <w:t>）</w:t>
            </w:r>
          </w:p>
        </w:tc>
      </w:tr>
      <w:tr w14:paraId="2386DA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51" w:type="dxa"/>
            <w:vMerge w:val="continue"/>
            <w:tcBorders>
              <w:top w:val="single" w:color="auto" w:sz="4" w:space="0"/>
              <w:left w:val="single" w:color="auto" w:sz="8" w:space="0"/>
              <w:bottom w:val="single" w:color="auto" w:sz="4" w:space="0"/>
              <w:right w:val="single" w:color="auto" w:sz="4" w:space="0"/>
            </w:tcBorders>
            <w:noWrap w:val="0"/>
            <w:vAlign w:val="center"/>
          </w:tcPr>
          <w:p w14:paraId="3F0D4EA5">
            <w:pPr>
              <w:pStyle w:val="8"/>
              <w:widowControl/>
              <w:jc w:val="left"/>
              <w:rPr>
                <w:rStyle w:val="20"/>
                <w:rFonts w:ascii="Calibri" w:hAnsi="Calibri" w:eastAsia="宋体"/>
                <w:color w:val="auto"/>
                <w:kern w:val="2"/>
                <w:sz w:val="18"/>
                <w:szCs w:val="18"/>
                <w:highlight w:val="none"/>
                <w:lang w:val="en-US" w:eastAsia="zh-CN" w:bidi="ar-SA"/>
              </w:rPr>
            </w:pPr>
          </w:p>
        </w:tc>
        <w:tc>
          <w:tcPr>
            <w:tcW w:w="71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171FA65">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4</w:t>
            </w:r>
          </w:p>
        </w:tc>
        <w:tc>
          <w:tcPr>
            <w:tcW w:w="1729"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1F72518F">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4.0kV</w:t>
            </w:r>
            <w:r>
              <w:rPr>
                <w:rStyle w:val="20"/>
                <w:rFonts w:hint="eastAsia" w:ascii="Calibri" w:hAnsi="Calibri" w:eastAsia="宋体"/>
                <w:color w:val="auto"/>
                <w:kern w:val="2"/>
                <w:sz w:val="18"/>
                <w:szCs w:val="18"/>
                <w:highlight w:val="none"/>
                <w:lang w:val="en-US" w:eastAsia="zh-CN" w:bidi="ar-SA"/>
              </w:rPr>
              <w:t>（共模）</w:t>
            </w:r>
          </w:p>
          <w:p w14:paraId="6616B0BB">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10V/m</w:t>
            </w:r>
          </w:p>
          <w:p w14:paraId="4ADD8FA0">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400A/m</w:t>
            </w:r>
          </w:p>
        </w:tc>
        <w:tc>
          <w:tcPr>
            <w:tcW w:w="390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3536D804">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电源回路</w:t>
            </w:r>
          </w:p>
        </w:tc>
      </w:tr>
      <w:tr w14:paraId="3D04A3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51"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66EB16D2">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射频辐射电磁场</w:t>
            </w:r>
          </w:p>
        </w:tc>
        <w:tc>
          <w:tcPr>
            <w:tcW w:w="71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1A280D7F">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4</w:t>
            </w:r>
          </w:p>
        </w:tc>
        <w:tc>
          <w:tcPr>
            <w:tcW w:w="1729"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308D955">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10V/m</w:t>
            </w:r>
          </w:p>
        </w:tc>
        <w:tc>
          <w:tcPr>
            <w:tcW w:w="390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61F694DB">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整机</w:t>
            </w:r>
          </w:p>
        </w:tc>
      </w:tr>
      <w:tr w14:paraId="455BC4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51" w:type="dxa"/>
            <w:tcBorders>
              <w:top w:val="single" w:color="auto" w:sz="4" w:space="0"/>
              <w:left w:val="single" w:color="auto" w:sz="8" w:space="0"/>
              <w:bottom w:val="single" w:color="auto" w:sz="8" w:space="0"/>
              <w:right w:val="single" w:color="auto" w:sz="4" w:space="0"/>
            </w:tcBorders>
            <w:noWrap w:val="0"/>
            <w:tcMar>
              <w:top w:w="0" w:type="dxa"/>
              <w:left w:w="0" w:type="dxa"/>
              <w:bottom w:w="0" w:type="dxa"/>
              <w:right w:w="0" w:type="dxa"/>
            </w:tcMar>
            <w:vAlign w:val="center"/>
          </w:tcPr>
          <w:p w14:paraId="0A311B30">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工频磁场抗扰度</w:t>
            </w:r>
          </w:p>
          <w:p w14:paraId="347F6049">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抗扰度</w:t>
            </w:r>
          </w:p>
          <w:p w14:paraId="0D1ABAF4">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p>
        </w:tc>
        <w:tc>
          <w:tcPr>
            <w:tcW w:w="711" w:type="dxa"/>
            <w:tcBorders>
              <w:top w:val="single" w:color="auto" w:sz="4" w:space="0"/>
              <w:left w:val="single" w:color="auto" w:sz="4" w:space="0"/>
              <w:bottom w:val="single" w:color="auto" w:sz="8" w:space="0"/>
              <w:right w:val="single" w:color="auto" w:sz="4" w:space="0"/>
            </w:tcBorders>
            <w:noWrap w:val="0"/>
            <w:tcMar>
              <w:top w:w="0" w:type="dxa"/>
              <w:left w:w="0" w:type="dxa"/>
              <w:bottom w:w="0" w:type="dxa"/>
              <w:right w:w="0" w:type="dxa"/>
            </w:tcMar>
            <w:vAlign w:val="center"/>
          </w:tcPr>
          <w:p w14:paraId="17890472">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　</w:t>
            </w:r>
          </w:p>
        </w:tc>
        <w:tc>
          <w:tcPr>
            <w:tcW w:w="1729" w:type="dxa"/>
            <w:tcBorders>
              <w:top w:val="single" w:color="auto" w:sz="4" w:space="0"/>
              <w:left w:val="single" w:color="auto" w:sz="4" w:space="0"/>
              <w:bottom w:val="single" w:color="auto" w:sz="8" w:space="0"/>
              <w:right w:val="single" w:color="auto" w:sz="4" w:space="0"/>
            </w:tcBorders>
            <w:noWrap w:val="0"/>
            <w:tcMar>
              <w:top w:w="0" w:type="dxa"/>
              <w:left w:w="0" w:type="dxa"/>
              <w:bottom w:w="0" w:type="dxa"/>
              <w:right w:w="0" w:type="dxa"/>
            </w:tcMar>
            <w:vAlign w:val="center"/>
          </w:tcPr>
          <w:p w14:paraId="684AAAF7">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ascii="Calibri" w:hAnsi="Calibri" w:eastAsia="宋体"/>
                <w:color w:val="auto"/>
                <w:kern w:val="2"/>
                <w:sz w:val="18"/>
                <w:szCs w:val="18"/>
                <w:highlight w:val="none"/>
                <w:lang w:val="en-US" w:eastAsia="zh-CN" w:bidi="ar-SA"/>
              </w:rPr>
              <w:t>400A/m</w:t>
            </w:r>
          </w:p>
        </w:tc>
        <w:tc>
          <w:tcPr>
            <w:tcW w:w="3904" w:type="dxa"/>
            <w:tcBorders>
              <w:top w:val="single" w:color="auto" w:sz="4" w:space="0"/>
              <w:left w:val="single" w:color="auto" w:sz="4" w:space="0"/>
              <w:bottom w:val="single" w:color="auto" w:sz="8" w:space="0"/>
              <w:right w:val="single" w:color="auto" w:sz="8" w:space="0"/>
            </w:tcBorders>
            <w:noWrap w:val="0"/>
            <w:tcMar>
              <w:top w:w="0" w:type="dxa"/>
              <w:left w:w="0" w:type="dxa"/>
              <w:bottom w:w="0" w:type="dxa"/>
              <w:right w:w="0" w:type="dxa"/>
            </w:tcMar>
            <w:vAlign w:val="center"/>
          </w:tcPr>
          <w:p w14:paraId="1991DC54">
            <w:pPr>
              <w:pStyle w:val="8"/>
              <w:widowControl w:val="0"/>
              <w:topLinePunct/>
              <w:snapToGrid w:val="0"/>
              <w:spacing w:before="68" w:after="68" w:line="360" w:lineRule="auto"/>
              <w:jc w:val="center"/>
              <w:rPr>
                <w:rStyle w:val="20"/>
                <w:rFonts w:ascii="Calibri" w:hAnsi="Calibri" w:eastAsia="宋体"/>
                <w:color w:val="auto"/>
                <w:kern w:val="2"/>
                <w:sz w:val="18"/>
                <w:szCs w:val="18"/>
                <w:highlight w:val="none"/>
                <w:lang w:val="en-US" w:eastAsia="zh-CN" w:bidi="ar-SA"/>
              </w:rPr>
            </w:pPr>
            <w:r>
              <w:rPr>
                <w:rStyle w:val="20"/>
                <w:rFonts w:hint="eastAsia" w:ascii="Calibri" w:hAnsi="Calibri" w:eastAsia="宋体"/>
                <w:color w:val="auto"/>
                <w:kern w:val="2"/>
                <w:sz w:val="18"/>
                <w:szCs w:val="18"/>
                <w:highlight w:val="none"/>
                <w:lang w:val="en-US" w:eastAsia="zh-CN" w:bidi="ar-SA"/>
              </w:rPr>
              <w:t>整机</w:t>
            </w:r>
          </w:p>
        </w:tc>
      </w:tr>
    </w:tbl>
    <w:p w14:paraId="59E2FA42">
      <w:pPr>
        <w:pStyle w:val="8"/>
        <w:topLinePunct/>
        <w:spacing w:line="360" w:lineRule="auto"/>
        <w:rPr>
          <w:rStyle w:val="20"/>
          <w:rFonts w:ascii="EU-F1" w:hAnsi="Times New Roman" w:eastAsia="EU-F1"/>
          <w:bCs/>
          <w:color w:val="auto"/>
          <w:szCs w:val="21"/>
          <w:highlight w:val="none"/>
        </w:rPr>
      </w:pPr>
    </w:p>
    <w:p w14:paraId="3857C456">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静电放电抗扰度。采集装置在正常工作条件下，应能承受加在其外壳和人员操作部分上的8kV直接静电放电以及邻近设备的间接静电放电而不发生错误输出和损坏。</w:t>
      </w:r>
    </w:p>
    <w:p w14:paraId="55F6A9A4">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电快速瞬变脉冲群抗扰度。采集装置应能承受如表5所示强度的传导性电快速瞬变脉冲群的骚扰而不发生错误输出和损坏，并能正常工作。</w:t>
      </w:r>
    </w:p>
    <w:p w14:paraId="0ACEE0DC">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浪涌抗扰度。采集装置应能承受如表5所示强度的浪涌的骚扰而不发生错误输出后和损坏，并能正常工作。</w:t>
      </w:r>
    </w:p>
    <w:p w14:paraId="68C7FF3E">
      <w:pPr>
        <w:pStyle w:val="8"/>
        <w:numPr>
          <w:ilvl w:val="1"/>
          <w:numId w:val="1"/>
        </w:numPr>
        <w:spacing w:line="360" w:lineRule="auto"/>
        <w:ind w:hanging="992"/>
        <w:jc w:val="left"/>
        <w:rPr>
          <w:rStyle w:val="20"/>
          <w:rFonts w:hint="eastAsia" w:asciiTheme="minorEastAsia" w:hAnsiTheme="minorEastAsia" w:eastAsiaTheme="minorEastAsia" w:cstheme="minorEastAsia"/>
          <w:b/>
          <w:color w:val="auto"/>
          <w:sz w:val="24"/>
          <w:szCs w:val="24"/>
          <w:highlight w:val="none"/>
        </w:rPr>
      </w:pPr>
      <w:bookmarkStart w:id="65" w:name="_Toc244157915"/>
      <w:bookmarkStart w:id="66" w:name="_Toc269480640"/>
      <w:bookmarkStart w:id="67" w:name="_Toc272671222"/>
      <w:r>
        <w:rPr>
          <w:rStyle w:val="20"/>
          <w:rFonts w:hint="eastAsia" w:asciiTheme="minorEastAsia" w:hAnsiTheme="minorEastAsia" w:eastAsiaTheme="minorEastAsia" w:cstheme="minorEastAsia"/>
          <w:b/>
          <w:color w:val="auto"/>
          <w:sz w:val="24"/>
          <w:szCs w:val="24"/>
          <w:highlight w:val="none"/>
        </w:rPr>
        <w:t>性能</w:t>
      </w:r>
      <w:bookmarkEnd w:id="65"/>
      <w:r>
        <w:rPr>
          <w:rStyle w:val="20"/>
          <w:rFonts w:hint="eastAsia" w:asciiTheme="minorEastAsia" w:hAnsiTheme="minorEastAsia" w:eastAsiaTheme="minorEastAsia" w:cstheme="minorEastAsia"/>
          <w:b/>
          <w:color w:val="auto"/>
          <w:sz w:val="24"/>
          <w:szCs w:val="24"/>
          <w:highlight w:val="none"/>
        </w:rPr>
        <w:t>指标</w:t>
      </w:r>
      <w:bookmarkEnd w:id="66"/>
      <w:bookmarkEnd w:id="67"/>
    </w:p>
    <w:p w14:paraId="38ED70CC">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通信模块采用模块化结构。</w:t>
      </w:r>
    </w:p>
    <w:p w14:paraId="10E277AD">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断电后采集装置中保存的电量数据、配置参数不能丢失。</w:t>
      </w:r>
    </w:p>
    <w:p w14:paraId="02FFD0F0">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应具备与主站、电能表对时和时钟设置功能。</w:t>
      </w:r>
    </w:p>
    <w:p w14:paraId="34CB7E11">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平均无故障时间（MTBF）≥1×105h，使用寿命≥10年。</w:t>
      </w:r>
    </w:p>
    <w:p w14:paraId="35B56442">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采集装置应具备防雷性能要求。</w:t>
      </w:r>
    </w:p>
    <w:bookmarkEnd w:id="31"/>
    <w:bookmarkEnd w:id="32"/>
    <w:bookmarkEnd w:id="33"/>
    <w:bookmarkEnd w:id="34"/>
    <w:bookmarkEnd w:id="35"/>
    <w:bookmarkEnd w:id="36"/>
    <w:p w14:paraId="0898D457">
      <w:pPr>
        <w:pStyle w:val="8"/>
        <w:numPr>
          <w:ilvl w:val="1"/>
          <w:numId w:val="1"/>
        </w:numPr>
        <w:spacing w:line="360" w:lineRule="auto"/>
        <w:ind w:hanging="992"/>
        <w:jc w:val="left"/>
        <w:rPr>
          <w:rStyle w:val="20"/>
          <w:rFonts w:hint="eastAsia" w:asciiTheme="minorEastAsia" w:hAnsiTheme="minorEastAsia" w:eastAsiaTheme="minorEastAsia" w:cstheme="minorEastAsia"/>
          <w:b/>
          <w:color w:val="auto"/>
          <w:sz w:val="24"/>
          <w:szCs w:val="24"/>
          <w:highlight w:val="none"/>
        </w:rPr>
      </w:pPr>
      <w:r>
        <w:rPr>
          <w:rStyle w:val="20"/>
          <w:rFonts w:hint="eastAsia" w:asciiTheme="minorEastAsia" w:hAnsiTheme="minorEastAsia" w:eastAsiaTheme="minorEastAsia" w:cstheme="minorEastAsia"/>
          <w:b/>
          <w:color w:val="auto"/>
          <w:sz w:val="24"/>
          <w:szCs w:val="24"/>
          <w:highlight w:val="none"/>
        </w:rPr>
        <w:t>技术参数和性能要求</w:t>
      </w:r>
    </w:p>
    <w:p w14:paraId="05BEB540">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总的技术要求</w:t>
      </w:r>
    </w:p>
    <w:p w14:paraId="53DB5BF5">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本节中所提的要求，适用于每一套装置或每一面柜及其间配合的要求。同时，每一装置或每一面柜还应分别满足其具体要求。</w:t>
      </w:r>
    </w:p>
    <w:p w14:paraId="14088A61">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 xml:space="preserve">装置之间，柜与其它设备之间，应采用光电耦合或继电器接点进行连接，不应有电的直接联系。 </w:t>
      </w:r>
    </w:p>
    <w:p w14:paraId="1D5B7796">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柜中的插件应接触可靠，并且有良好的互换性，以便检修时能迅速更换。</w:t>
      </w:r>
    </w:p>
    <w:p w14:paraId="78D50AF6">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各装置应具有直流快速小开关，与装置安装在同一柜上。各装置应由独立的直流/直流变换器供电。直流电压消失时，装置不应误动，同时应有输出接点以起动告警信号。</w:t>
      </w:r>
    </w:p>
    <w:p w14:paraId="4765C39E">
      <w:pPr>
        <w:pStyle w:val="8"/>
        <w:spacing w:line="360" w:lineRule="auto"/>
        <w:rPr>
          <w:rStyle w:val="20"/>
          <w:rFonts w:hint="eastAsia" w:asciiTheme="minorEastAsia" w:hAnsiTheme="minorEastAsia" w:eastAsiaTheme="minorEastAsia" w:cstheme="minorEastAsia"/>
          <w:color w:val="auto"/>
          <w:spacing w:val="-2"/>
          <w:sz w:val="24"/>
          <w:szCs w:val="24"/>
          <w:highlight w:val="none"/>
        </w:rPr>
      </w:pPr>
      <w:r>
        <w:rPr>
          <w:rStyle w:val="20"/>
          <w:rFonts w:hint="eastAsia" w:asciiTheme="minorEastAsia" w:hAnsiTheme="minorEastAsia" w:eastAsiaTheme="minorEastAsia" w:cstheme="minorEastAsia"/>
          <w:color w:val="auto"/>
          <w:spacing w:val="-2"/>
          <w:sz w:val="24"/>
          <w:szCs w:val="24"/>
          <w:highlight w:val="none"/>
        </w:rPr>
        <w:t xml:space="preserve">    每个独立的直流回路应有监视整个直流回路电压消失的告警信号继电器。</w:t>
      </w:r>
    </w:p>
    <w:p w14:paraId="48C78C8D">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配置技术参数</w:t>
      </w:r>
    </w:p>
    <w:p w14:paraId="113BC61B">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要求至少采用主流32位RISC微处理器或32位DSP处理器加稳定可靠的实时嵌入式LINUX等操作系统软件平台设计方案，以保证数据转发、通信、数据管理等复杂功能要求。</w:t>
      </w:r>
    </w:p>
    <w:p w14:paraId="2507AAD8">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通信接口要求：</w:t>
      </w:r>
    </w:p>
    <w:p w14:paraId="40C765B2">
      <w:pPr>
        <w:pStyle w:val="8"/>
        <w:numPr>
          <w:ilvl w:val="4"/>
          <w:numId w:val="2"/>
        </w:numPr>
        <w:spacing w:line="360" w:lineRule="auto"/>
        <w:ind w:left="567" w:hanging="283"/>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与主站通信接口：至少具备6路独立高速以太网。具备与SIS系统等第三方系统进行数据</w:t>
      </w:r>
      <w:r>
        <w:rPr>
          <w:rStyle w:val="20"/>
          <w:rFonts w:hint="eastAsia" w:asciiTheme="minorEastAsia" w:hAnsiTheme="minorEastAsia" w:eastAsiaTheme="minorEastAsia" w:cstheme="minorEastAsia"/>
          <w:color w:val="auto"/>
          <w:sz w:val="24"/>
          <w:szCs w:val="24"/>
          <w:highlight w:val="none"/>
        </w:rPr>
        <w:t>通信，各通讯口必须在网络数据传输安全下允许与主站通信。</w:t>
      </w:r>
    </w:p>
    <w:p w14:paraId="042A764E">
      <w:pPr>
        <w:pStyle w:val="8"/>
        <w:numPr>
          <w:ilvl w:val="4"/>
          <w:numId w:val="2"/>
        </w:numPr>
        <w:spacing w:line="360" w:lineRule="auto"/>
        <w:ind w:left="567" w:hanging="283"/>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 xml:space="preserve">MODEM应与主站端相兼容。 </w:t>
      </w:r>
    </w:p>
    <w:p w14:paraId="4F80FF3A">
      <w:pPr>
        <w:pStyle w:val="8"/>
        <w:numPr>
          <w:ilvl w:val="4"/>
          <w:numId w:val="2"/>
        </w:numPr>
        <w:spacing w:line="360" w:lineRule="auto"/>
        <w:ind w:left="567" w:hanging="283"/>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与电能表通信接口：至少具备6路RS232接口、12路RS485。采集装置每个RS485串口</w:t>
      </w:r>
      <w:r>
        <w:rPr>
          <w:rStyle w:val="20"/>
          <w:rFonts w:hint="eastAsia" w:asciiTheme="minorEastAsia" w:hAnsiTheme="minorEastAsia" w:eastAsiaTheme="minorEastAsia" w:cstheme="minorEastAsia"/>
          <w:color w:val="auto"/>
          <w:sz w:val="24"/>
          <w:szCs w:val="24"/>
          <w:highlight w:val="none"/>
          <w:lang w:val="en-US" w:eastAsia="zh-CN"/>
        </w:rPr>
        <w:t>最多</w:t>
      </w:r>
      <w:r>
        <w:rPr>
          <w:rStyle w:val="20"/>
          <w:rFonts w:hint="eastAsia" w:asciiTheme="minorEastAsia" w:hAnsiTheme="minorEastAsia" w:eastAsiaTheme="minorEastAsia" w:cstheme="minorEastAsia"/>
          <w:color w:val="auto"/>
          <w:sz w:val="24"/>
          <w:szCs w:val="24"/>
          <w:highlight w:val="none"/>
        </w:rPr>
        <w:t>可接入16只电表（按5分钟积分周期，IEC61107规约考虑），最大处理能力应满足接入</w:t>
      </w:r>
      <w:r>
        <w:rPr>
          <w:rStyle w:val="20"/>
          <w:rFonts w:hint="eastAsia" w:asciiTheme="minorEastAsia" w:hAnsiTheme="minorEastAsia" w:eastAsiaTheme="minorEastAsia" w:cstheme="minorEastAsia"/>
          <w:color w:val="auto"/>
          <w:sz w:val="24"/>
          <w:szCs w:val="24"/>
          <w:highlight w:val="none"/>
          <w:lang w:val="en-US" w:eastAsia="zh-CN"/>
        </w:rPr>
        <w:t>256</w:t>
      </w:r>
      <w:r>
        <w:rPr>
          <w:rStyle w:val="20"/>
          <w:rFonts w:hint="eastAsia" w:asciiTheme="minorEastAsia" w:hAnsiTheme="minorEastAsia" w:eastAsiaTheme="minorEastAsia" w:cstheme="minorEastAsia"/>
          <w:color w:val="auto"/>
          <w:sz w:val="24"/>
          <w:szCs w:val="24"/>
          <w:highlight w:val="none"/>
        </w:rPr>
        <w:t>只电能表的要求。配置满足升压站电能采集和厂用电电能采集所需的接口数量和处理能力。</w:t>
      </w:r>
    </w:p>
    <w:p w14:paraId="2E40D55A">
      <w:pPr>
        <w:pStyle w:val="8"/>
        <w:numPr>
          <w:ilvl w:val="4"/>
          <w:numId w:val="2"/>
        </w:numPr>
        <w:spacing w:line="360" w:lineRule="auto"/>
        <w:ind w:left="567" w:hanging="283"/>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具备1路独立的RJ45网络当地维护接口，该通讯接口不计算在7路独立高速以太网口内。</w:t>
      </w:r>
    </w:p>
    <w:p w14:paraId="621977C0">
      <w:pPr>
        <w:pStyle w:val="8"/>
        <w:numPr>
          <w:ilvl w:val="4"/>
          <w:numId w:val="2"/>
        </w:numPr>
        <w:spacing w:line="360" w:lineRule="auto"/>
        <w:ind w:left="567" w:hanging="283"/>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具备1路</w:t>
      </w:r>
      <w:r>
        <w:rPr>
          <w:rStyle w:val="20"/>
          <w:rFonts w:hint="eastAsia" w:asciiTheme="minorEastAsia" w:hAnsiTheme="minorEastAsia" w:eastAsiaTheme="minorEastAsia" w:cstheme="minorEastAsia"/>
          <w:color w:val="auto"/>
          <w:sz w:val="24"/>
          <w:szCs w:val="24"/>
          <w:highlight w:val="none"/>
          <w:lang w:val="en-US" w:eastAsia="zh-CN"/>
        </w:rPr>
        <w:t>北斗</w:t>
      </w:r>
      <w:r>
        <w:rPr>
          <w:rStyle w:val="20"/>
          <w:rFonts w:hint="eastAsia" w:asciiTheme="minorEastAsia" w:hAnsiTheme="minorEastAsia" w:eastAsiaTheme="minorEastAsia" w:cstheme="minorEastAsia"/>
          <w:color w:val="auto"/>
          <w:sz w:val="24"/>
          <w:szCs w:val="24"/>
          <w:highlight w:val="none"/>
        </w:rPr>
        <w:t>对时接口和全站统一的SNTP时钟系统对时接口。时钟重新设置后，原来保存的电量数据、配置参数不能丢失。</w:t>
      </w:r>
    </w:p>
    <w:p w14:paraId="7C97866E">
      <w:pPr>
        <w:pStyle w:val="8"/>
        <w:numPr>
          <w:ilvl w:val="4"/>
          <w:numId w:val="2"/>
        </w:numPr>
        <w:spacing w:line="360" w:lineRule="auto"/>
        <w:ind w:left="567" w:hanging="283"/>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RS-232、RS-485、MODEM和电源等采用多级防雷保护措施。</w:t>
      </w:r>
    </w:p>
    <w:p w14:paraId="6910AFB8">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电源配置要求：具有2路可无缝切换的交直流供电电源。</w:t>
      </w:r>
    </w:p>
    <w:p w14:paraId="494910BB">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通信速率要求：Ethernet网络接口不小于100Mbps，光纤接口不小于100Mbps，内置</w:t>
      </w:r>
      <w:r>
        <w:rPr>
          <w:rStyle w:val="20"/>
          <w:rFonts w:hint="eastAsia" w:asciiTheme="minorEastAsia" w:hAnsiTheme="minorEastAsia" w:eastAsiaTheme="minorEastAsia" w:cstheme="minorEastAsia"/>
          <w:color w:val="auto"/>
          <w:sz w:val="24"/>
          <w:szCs w:val="24"/>
          <w:highlight w:val="none"/>
        </w:rPr>
        <w:t>嵌入式Modem不小于56kbps， RS232：300～38400bps可选。</w:t>
      </w:r>
    </w:p>
    <w:p w14:paraId="083A2C3F">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接入容量要求：三相多功能电能表接入容量不小于256只，在512个电度量/5min时，存储时间不少于180天，存储容量不小于2GB，容量可扩充。</w:t>
      </w:r>
    </w:p>
    <w:p w14:paraId="5175AC69">
      <w:pPr>
        <w:pStyle w:val="8"/>
        <w:numPr>
          <w:ilvl w:val="2"/>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bookmarkStart w:id="68" w:name="_Toc269480642"/>
      <w:bookmarkStart w:id="69" w:name="_Toc272671224"/>
      <w:r>
        <w:rPr>
          <w:rStyle w:val="20"/>
          <w:rFonts w:hint="eastAsia" w:asciiTheme="minorEastAsia" w:hAnsiTheme="minorEastAsia" w:eastAsiaTheme="minorEastAsia" w:cstheme="minorEastAsia"/>
          <w:color w:val="auto"/>
          <w:sz w:val="24"/>
          <w:szCs w:val="24"/>
          <w:highlight w:val="none"/>
        </w:rPr>
        <w:t>功能要求</w:t>
      </w:r>
      <w:bookmarkEnd w:id="68"/>
      <w:bookmarkEnd w:id="69"/>
      <w:bookmarkStart w:id="70" w:name="_Toc24460412"/>
      <w:bookmarkStart w:id="71" w:name="_Toc510439202"/>
      <w:bookmarkStart w:id="72" w:name="_Toc510439033"/>
      <w:bookmarkStart w:id="73" w:name="_Toc195365558"/>
      <w:bookmarkStart w:id="74" w:name="_Toc228880284"/>
      <w:bookmarkStart w:id="75" w:name="_Toc510605009"/>
      <w:bookmarkStart w:id="76" w:name="_Toc24338448"/>
      <w:bookmarkStart w:id="77" w:name="_Toc230747030"/>
      <w:bookmarkStart w:id="78" w:name="_Toc24436369"/>
    </w:p>
    <w:bookmarkEnd w:id="70"/>
    <w:bookmarkEnd w:id="71"/>
    <w:bookmarkEnd w:id="72"/>
    <w:bookmarkEnd w:id="73"/>
    <w:bookmarkEnd w:id="74"/>
    <w:bookmarkEnd w:id="75"/>
    <w:bookmarkEnd w:id="76"/>
    <w:bookmarkEnd w:id="77"/>
    <w:bookmarkEnd w:id="78"/>
    <w:p w14:paraId="2E934CDE">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数据采集处理功能。采集装置能按设定的采集周期采集电能表数据，最小采集周期1min，并根据主站的需要向主站传送，采集数据项见表6。</w:t>
      </w:r>
    </w:p>
    <w:p w14:paraId="486567D8">
      <w:pPr>
        <w:pStyle w:val="39"/>
        <w:spacing w:line="360" w:lineRule="auto"/>
        <w:ind w:left="425"/>
        <w:rPr>
          <w:rStyle w:val="20"/>
          <w:color w:val="auto"/>
          <w:highlight w:val="none"/>
        </w:rPr>
      </w:pPr>
      <w:r>
        <w:rPr>
          <w:rStyle w:val="20"/>
          <w:rFonts w:hint="eastAsia"/>
          <w:color w:val="auto"/>
          <w:highlight w:val="none"/>
        </w:rPr>
        <w:t>表</w:t>
      </w:r>
      <w:r>
        <w:rPr>
          <w:rStyle w:val="20"/>
          <w:color w:val="auto"/>
          <w:highlight w:val="none"/>
        </w:rPr>
        <w:t>6</w:t>
      </w:r>
      <w:r>
        <w:rPr>
          <w:rStyle w:val="20"/>
          <w:rFonts w:hint="eastAsia"/>
          <w:color w:val="auto"/>
          <w:highlight w:val="none"/>
        </w:rPr>
        <w:t>　采集装置采集数据项表</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264"/>
        <w:gridCol w:w="783"/>
        <w:gridCol w:w="824"/>
      </w:tblGrid>
      <w:tr w14:paraId="2C5987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tcBorders>
              <w:top w:val="single" w:color="auto" w:sz="8"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1D4BAFAF">
            <w:pPr>
              <w:pStyle w:val="40"/>
              <w:widowControl w:val="0"/>
              <w:topLinePunct/>
              <w:snapToGrid w:val="0"/>
              <w:spacing w:before="70" w:after="7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序号</w:t>
            </w:r>
          </w:p>
        </w:tc>
        <w:tc>
          <w:tcPr>
            <w:tcW w:w="6264" w:type="dxa"/>
            <w:tcBorders>
              <w:top w:val="single" w:color="auto" w:sz="8"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94C4F82">
            <w:pPr>
              <w:pStyle w:val="40"/>
              <w:widowControl w:val="0"/>
              <w:topLinePunct/>
              <w:snapToGrid w:val="0"/>
              <w:spacing w:before="70" w:after="7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数</w:t>
            </w:r>
            <w:r>
              <w:rPr>
                <w:rStyle w:val="20"/>
                <w:rFonts w:ascii="Times New Roman" w:hAnsi="Times New Roman" w:eastAsia="宋体"/>
                <w:color w:val="auto"/>
                <w:kern w:val="2"/>
                <w:sz w:val="18"/>
                <w:szCs w:val="18"/>
                <w:highlight w:val="none"/>
                <w:lang w:val="en-US" w:eastAsia="zh-CN" w:bidi="ar-SA"/>
              </w:rPr>
              <w:t xml:space="preserve">  </w:t>
            </w:r>
            <w:r>
              <w:rPr>
                <w:rStyle w:val="20"/>
                <w:rFonts w:hint="eastAsia" w:ascii="Times New Roman" w:hAnsi="Times New Roman" w:eastAsia="宋体"/>
                <w:color w:val="auto"/>
                <w:kern w:val="2"/>
                <w:sz w:val="18"/>
                <w:szCs w:val="18"/>
                <w:highlight w:val="none"/>
                <w:lang w:val="en-US" w:eastAsia="zh-CN" w:bidi="ar-SA"/>
              </w:rPr>
              <w:t>据</w:t>
            </w:r>
            <w:r>
              <w:rPr>
                <w:rStyle w:val="20"/>
                <w:rFonts w:ascii="Times New Roman" w:hAnsi="Times New Roman" w:eastAsia="宋体"/>
                <w:color w:val="auto"/>
                <w:kern w:val="2"/>
                <w:sz w:val="18"/>
                <w:szCs w:val="18"/>
                <w:highlight w:val="none"/>
                <w:lang w:val="en-US" w:eastAsia="zh-CN" w:bidi="ar-SA"/>
              </w:rPr>
              <w:t xml:space="preserve">  </w:t>
            </w:r>
            <w:r>
              <w:rPr>
                <w:rStyle w:val="20"/>
                <w:rFonts w:hint="eastAsia" w:ascii="Times New Roman" w:hAnsi="Times New Roman" w:eastAsia="宋体"/>
                <w:color w:val="auto"/>
                <w:kern w:val="2"/>
                <w:sz w:val="18"/>
                <w:szCs w:val="18"/>
                <w:highlight w:val="none"/>
                <w:lang w:val="en-US" w:eastAsia="zh-CN" w:bidi="ar-SA"/>
              </w:rPr>
              <w:t>项</w:t>
            </w:r>
          </w:p>
        </w:tc>
        <w:tc>
          <w:tcPr>
            <w:tcW w:w="783" w:type="dxa"/>
            <w:tcBorders>
              <w:top w:val="single" w:color="auto" w:sz="8"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C31660A">
            <w:pPr>
              <w:pStyle w:val="40"/>
              <w:widowControl w:val="0"/>
              <w:topLinePunct/>
              <w:snapToGrid w:val="0"/>
              <w:spacing w:before="70" w:after="7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必备</w:t>
            </w:r>
          </w:p>
        </w:tc>
        <w:tc>
          <w:tcPr>
            <w:tcW w:w="824" w:type="dxa"/>
            <w:tcBorders>
              <w:top w:val="single" w:color="auto" w:sz="8"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27C4964C">
            <w:pPr>
              <w:pStyle w:val="40"/>
              <w:widowControl w:val="0"/>
              <w:topLinePunct/>
              <w:snapToGrid w:val="0"/>
              <w:spacing w:before="70" w:after="7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选配</w:t>
            </w:r>
          </w:p>
        </w:tc>
      </w:tr>
      <w:tr w14:paraId="484AA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1FAD0E80">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一</w:t>
            </w:r>
          </w:p>
        </w:tc>
        <w:tc>
          <w:tcPr>
            <w:tcW w:w="7871" w:type="dxa"/>
            <w:gridSpan w:val="3"/>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539A8E57">
            <w:pPr>
              <w:pStyle w:val="40"/>
              <w:widowControl w:val="0"/>
              <w:topLinePunct/>
              <w:snapToGrid w:val="0"/>
              <w:spacing w:before="0" w:after="0" w:line="360" w:lineRule="auto"/>
              <w:ind w:left="63" w:leftChars="30" w:right="63" w:rightChars="3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实时数据</w:t>
            </w:r>
          </w:p>
        </w:tc>
      </w:tr>
      <w:tr w14:paraId="7B60A4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F21DD4C">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1</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D3D89CB">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当前正向有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无功电能示值、一</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四象限无功电能示值（总、费率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06A1289">
            <w:pPr>
              <w:pStyle w:val="40"/>
              <w:widowControl w:val="0"/>
              <w:topLinePunct/>
              <w:snapToGrid w:val="0"/>
              <w:spacing w:before="0" w:after="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595E8CF">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r>
      <w:tr w14:paraId="09EABE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7758F60D">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2</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FBA4F5B">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当前反向有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无功电能示值、二</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三象限无功电能示值（总、费率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FE526D6">
            <w:pPr>
              <w:pStyle w:val="40"/>
              <w:widowControl w:val="0"/>
              <w:topLinePunct/>
              <w:snapToGrid w:val="0"/>
              <w:spacing w:before="0" w:after="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6F97500">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r>
      <w:tr w14:paraId="5F67C4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0D3722F1">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3</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A208702">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当前总有功功率、无功功率、功率因数</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4CFA657">
            <w:pPr>
              <w:pStyle w:val="40"/>
              <w:widowControl w:val="0"/>
              <w:topLinePunct/>
              <w:snapToGrid w:val="0"/>
              <w:spacing w:before="0" w:after="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45B2CA1">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r>
      <w:tr w14:paraId="5A35BE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2367CF73">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4</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84E4B73">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当前</w:t>
            </w:r>
            <w:r>
              <w:rPr>
                <w:rStyle w:val="20"/>
                <w:rFonts w:ascii="Times New Roman" w:hAnsi="Times New Roman" w:eastAsia="宋体"/>
                <w:color w:val="auto"/>
                <w:kern w:val="2"/>
                <w:sz w:val="18"/>
                <w:szCs w:val="18"/>
                <w:highlight w:val="none"/>
                <w:lang w:val="en-US" w:eastAsia="zh-CN" w:bidi="ar-SA"/>
              </w:rPr>
              <w:t>A</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B</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C</w:t>
            </w:r>
            <w:r>
              <w:rPr>
                <w:rStyle w:val="20"/>
                <w:rFonts w:hint="eastAsia" w:ascii="Times New Roman" w:hAnsi="Times New Roman" w:eastAsia="宋体"/>
                <w:color w:val="auto"/>
                <w:kern w:val="2"/>
                <w:sz w:val="18"/>
                <w:szCs w:val="18"/>
                <w:highlight w:val="none"/>
                <w:lang w:val="en-US" w:eastAsia="zh-CN" w:bidi="ar-SA"/>
              </w:rPr>
              <w:t>三相有功功率、无功功率、功率因数</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1132571C">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6C5EB3D6">
            <w:pPr>
              <w:pStyle w:val="40"/>
              <w:widowControl w:val="0"/>
              <w:topLinePunct/>
              <w:snapToGrid w:val="0"/>
              <w:spacing w:before="0" w:after="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r>
      <w:tr w14:paraId="190A3D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D747B89">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5</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591BF2A">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当前</w:t>
            </w:r>
            <w:r>
              <w:rPr>
                <w:rStyle w:val="20"/>
                <w:rFonts w:ascii="Times New Roman" w:hAnsi="Times New Roman" w:eastAsia="宋体"/>
                <w:color w:val="auto"/>
                <w:kern w:val="2"/>
                <w:sz w:val="18"/>
                <w:szCs w:val="18"/>
                <w:highlight w:val="none"/>
                <w:lang w:val="en-US" w:eastAsia="zh-CN" w:bidi="ar-SA"/>
              </w:rPr>
              <w:t>A</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B</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C</w:t>
            </w:r>
            <w:r>
              <w:rPr>
                <w:rStyle w:val="20"/>
                <w:rFonts w:hint="eastAsia" w:ascii="Times New Roman" w:hAnsi="Times New Roman" w:eastAsia="宋体"/>
                <w:color w:val="auto"/>
                <w:kern w:val="2"/>
                <w:sz w:val="18"/>
                <w:szCs w:val="18"/>
                <w:highlight w:val="none"/>
                <w:lang w:val="en-US" w:eastAsia="zh-CN" w:bidi="ar-SA"/>
              </w:rPr>
              <w:t>三相电压、电流</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E459AA0">
            <w:pPr>
              <w:pStyle w:val="40"/>
              <w:widowControl w:val="0"/>
              <w:topLinePunct/>
              <w:snapToGrid w:val="0"/>
              <w:spacing w:before="0" w:after="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39CFF5BC">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r>
      <w:tr w14:paraId="3D0F6C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7578D212">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6</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3EE3AC4">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总断相次数、</w:t>
            </w:r>
            <w:r>
              <w:rPr>
                <w:rStyle w:val="20"/>
                <w:rFonts w:ascii="Times New Roman" w:hAnsi="Times New Roman" w:eastAsia="宋体"/>
                <w:color w:val="auto"/>
                <w:kern w:val="2"/>
                <w:sz w:val="18"/>
                <w:szCs w:val="18"/>
                <w:highlight w:val="none"/>
                <w:lang w:val="en-US" w:eastAsia="zh-CN" w:bidi="ar-SA"/>
              </w:rPr>
              <w:t>A/B/C</w:t>
            </w:r>
            <w:r>
              <w:rPr>
                <w:rStyle w:val="20"/>
                <w:rFonts w:hint="eastAsia" w:ascii="Times New Roman" w:hAnsi="Times New Roman" w:eastAsia="宋体"/>
                <w:color w:val="auto"/>
                <w:kern w:val="2"/>
                <w:sz w:val="18"/>
                <w:szCs w:val="18"/>
                <w:highlight w:val="none"/>
                <w:lang w:val="en-US" w:eastAsia="zh-CN" w:bidi="ar-SA"/>
              </w:rPr>
              <w:t>三相断相次数及其累计时间</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068B422">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3B60E3EC">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r>
      <w:tr w14:paraId="797033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71D92E98">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7</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6533C1A">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电能表日历时钟</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109A2BC">
            <w:pPr>
              <w:pStyle w:val="40"/>
              <w:widowControl w:val="0"/>
              <w:topLinePunct/>
              <w:snapToGrid w:val="0"/>
              <w:spacing w:before="0" w:after="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068E5BC">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r>
      <w:tr w14:paraId="71C718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1290ABCA">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8</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3D64F17">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电表运行状态字</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D4CFBBD">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00F3BA6B">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r>
      <w:tr w14:paraId="50EBDA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6593229E">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9</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07A5F40">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最近一次编程时间、最近一次最大需量清零时间</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743A3EF">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3837BA6">
            <w:pPr>
              <w:pStyle w:val="40"/>
              <w:widowControl w:val="0"/>
              <w:topLinePunct/>
              <w:snapToGrid w:val="0"/>
              <w:spacing w:before="0" w:after="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r>
      <w:tr w14:paraId="0CF84F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2D28CE03">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二</w:t>
            </w:r>
          </w:p>
        </w:tc>
        <w:tc>
          <w:tcPr>
            <w:tcW w:w="7871" w:type="dxa"/>
            <w:gridSpan w:val="3"/>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34BF48E5">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冻结数据</w:t>
            </w:r>
          </w:p>
        </w:tc>
      </w:tr>
      <w:tr w14:paraId="433BDF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193D9D1E">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1</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60F95DC">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本月正向有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无功最大需量及发生时间（总、费率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6973E49">
            <w:pPr>
              <w:pStyle w:val="40"/>
              <w:widowControl w:val="0"/>
              <w:topLinePunct/>
              <w:snapToGrid w:val="0"/>
              <w:spacing w:before="0" w:after="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3DA68FBC">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r>
      <w:tr w14:paraId="596F15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D78FFAC">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2</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4A8C654">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本月反向有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无功最大需量及发生时间（总、费率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F3AE714">
            <w:pPr>
              <w:pStyle w:val="40"/>
              <w:widowControl w:val="0"/>
              <w:topLinePunct/>
              <w:snapToGrid w:val="0"/>
              <w:spacing w:before="0" w:after="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6D23BF12">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r>
      <w:tr w14:paraId="218332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6057698">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3</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4F07CCF">
            <w:pPr>
              <w:pStyle w:val="40"/>
              <w:widowControl w:val="0"/>
              <w:topLinePunct/>
              <w:snapToGrid w:val="0"/>
              <w:spacing w:before="0" w:after="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上月正向有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无功电能示值、一</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四象限无功电能示值（总、费率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15483F3">
            <w:pPr>
              <w:pStyle w:val="40"/>
              <w:widowControl w:val="0"/>
              <w:topLinePunct/>
              <w:snapToGrid w:val="0"/>
              <w:spacing w:before="0" w:after="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24D2E9A5">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r>
      <w:tr w14:paraId="5115DB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645752E8">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4</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FDA8C2E">
            <w:pPr>
              <w:pStyle w:val="40"/>
              <w:widowControl w:val="0"/>
              <w:topLinePunct/>
              <w:snapToGrid w:val="0"/>
              <w:spacing w:before="24" w:beforeLines="10" w:after="24" w:afterLines="1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上月反向有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无功电能示值、二</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三象限无功电能示值（总、费率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14C5C89D">
            <w:pPr>
              <w:pStyle w:val="40"/>
              <w:widowControl w:val="0"/>
              <w:topLinePunct/>
              <w:snapToGrid w:val="0"/>
              <w:spacing w:before="0" w:after="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2258B6B">
            <w:pPr>
              <w:pStyle w:val="40"/>
              <w:widowControl w:val="0"/>
              <w:topLinePunct/>
              <w:snapToGrid w:val="0"/>
              <w:spacing w:before="0" w:after="0" w:line="360" w:lineRule="auto"/>
              <w:jc w:val="center"/>
              <w:rPr>
                <w:rStyle w:val="20"/>
                <w:rFonts w:ascii="Times New Roman" w:hAnsi="Times New Roman" w:eastAsia="宋体"/>
                <w:color w:val="auto"/>
                <w:kern w:val="2"/>
                <w:sz w:val="18"/>
                <w:szCs w:val="18"/>
                <w:highlight w:val="none"/>
                <w:lang w:val="en-US" w:eastAsia="zh-CN" w:bidi="ar-SA"/>
              </w:rPr>
            </w:pPr>
          </w:p>
        </w:tc>
      </w:tr>
      <w:tr w14:paraId="735E65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1E0B968A">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5</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4261A14">
            <w:pPr>
              <w:pStyle w:val="40"/>
              <w:widowControl w:val="0"/>
              <w:topLinePunct/>
              <w:snapToGrid w:val="0"/>
              <w:spacing w:before="24" w:beforeLines="10" w:after="24" w:afterLines="1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上月正向有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无功最大需量及发生时间（总、费率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9AEE771">
            <w:pPr>
              <w:pStyle w:val="40"/>
              <w:widowControl w:val="0"/>
              <w:topLinePunct/>
              <w:snapToGrid w:val="0"/>
              <w:spacing w:before="80" w:after="8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2D6556D2">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p>
        </w:tc>
      </w:tr>
      <w:tr w14:paraId="62E06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021E1E34">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6</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FB62AAC">
            <w:pPr>
              <w:pStyle w:val="40"/>
              <w:widowControl w:val="0"/>
              <w:topLinePunct/>
              <w:snapToGrid w:val="0"/>
              <w:spacing w:before="24" w:beforeLines="10" w:after="24" w:afterLines="1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上月反向有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无功最大需量及发生时间（总、费率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DDD60B3">
            <w:pPr>
              <w:pStyle w:val="40"/>
              <w:widowControl w:val="0"/>
              <w:topLinePunct/>
              <w:snapToGrid w:val="0"/>
              <w:spacing w:before="80" w:after="8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2DB42C81">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p>
        </w:tc>
      </w:tr>
      <w:tr w14:paraId="6B2A4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67DDB982">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7</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3C044FA">
            <w:pPr>
              <w:pStyle w:val="40"/>
              <w:widowControl w:val="0"/>
              <w:topLinePunct/>
              <w:snapToGrid w:val="0"/>
              <w:spacing w:before="24" w:beforeLines="10" w:after="24" w:afterLines="1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上上月正向有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无功电能示值、一</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四象限无功电能示值（总、费率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0689C90">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4A99CB0">
            <w:pPr>
              <w:pStyle w:val="40"/>
              <w:widowControl w:val="0"/>
              <w:topLinePunct/>
              <w:snapToGrid w:val="0"/>
              <w:spacing w:before="80" w:after="8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r>
      <w:tr w14:paraId="4CE00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5AD1468">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8</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792A8CC">
            <w:pPr>
              <w:pStyle w:val="40"/>
              <w:widowControl w:val="0"/>
              <w:topLinePunct/>
              <w:snapToGrid w:val="0"/>
              <w:spacing w:before="24" w:beforeLines="10" w:after="24" w:afterLines="1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上上月反向有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无功电能示值、二</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三象限无功电能示值（总、费率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D11BD06">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E24F51C">
            <w:pPr>
              <w:pStyle w:val="40"/>
              <w:widowControl w:val="0"/>
              <w:topLinePunct/>
              <w:snapToGrid w:val="0"/>
              <w:spacing w:before="80" w:after="8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r>
      <w:tr w14:paraId="1BF03B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4"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86246FF">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9</w:t>
            </w:r>
          </w:p>
        </w:tc>
        <w:tc>
          <w:tcPr>
            <w:tcW w:w="626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11F64E57">
            <w:pPr>
              <w:pStyle w:val="40"/>
              <w:widowControl w:val="0"/>
              <w:topLinePunct/>
              <w:snapToGrid w:val="0"/>
              <w:spacing w:before="24" w:beforeLines="10" w:after="24" w:afterLines="1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上上月正向有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无功最大需量及发生时间（总、费率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A2E05F9">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p>
        </w:tc>
        <w:tc>
          <w:tcPr>
            <w:tcW w:w="824"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6576DDA4">
            <w:pPr>
              <w:pStyle w:val="40"/>
              <w:widowControl w:val="0"/>
              <w:topLinePunct/>
              <w:snapToGrid w:val="0"/>
              <w:spacing w:before="80" w:after="8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r>
      <w:tr w14:paraId="778C86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4" w:type="dxa"/>
            <w:tcBorders>
              <w:top w:val="single" w:color="auto" w:sz="4" w:space="0"/>
              <w:left w:val="single" w:color="auto" w:sz="8" w:space="0"/>
              <w:bottom w:val="single" w:color="auto" w:sz="8" w:space="0"/>
              <w:right w:val="single" w:color="auto" w:sz="4" w:space="0"/>
            </w:tcBorders>
            <w:noWrap w:val="0"/>
            <w:tcMar>
              <w:top w:w="0" w:type="dxa"/>
              <w:left w:w="0" w:type="dxa"/>
              <w:bottom w:w="0" w:type="dxa"/>
              <w:right w:w="0" w:type="dxa"/>
            </w:tcMar>
            <w:vAlign w:val="center"/>
          </w:tcPr>
          <w:p w14:paraId="4024C9F7">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r>
              <w:rPr>
                <w:rStyle w:val="20"/>
                <w:rFonts w:ascii="Times New Roman" w:hAnsi="Times New Roman" w:eastAsia="宋体"/>
                <w:color w:val="auto"/>
                <w:kern w:val="2"/>
                <w:sz w:val="18"/>
                <w:szCs w:val="18"/>
                <w:highlight w:val="none"/>
                <w:lang w:val="en-US" w:eastAsia="zh-CN" w:bidi="ar-SA"/>
              </w:rPr>
              <w:t>10</w:t>
            </w:r>
          </w:p>
        </w:tc>
        <w:tc>
          <w:tcPr>
            <w:tcW w:w="6264" w:type="dxa"/>
            <w:tcBorders>
              <w:top w:val="single" w:color="auto" w:sz="4" w:space="0"/>
              <w:left w:val="single" w:color="auto" w:sz="4" w:space="0"/>
              <w:bottom w:val="single" w:color="auto" w:sz="8" w:space="0"/>
              <w:right w:val="single" w:color="auto" w:sz="4" w:space="0"/>
            </w:tcBorders>
            <w:noWrap w:val="0"/>
            <w:tcMar>
              <w:top w:w="0" w:type="dxa"/>
              <w:left w:w="0" w:type="dxa"/>
              <w:bottom w:w="0" w:type="dxa"/>
              <w:right w:w="0" w:type="dxa"/>
            </w:tcMar>
            <w:vAlign w:val="center"/>
          </w:tcPr>
          <w:p w14:paraId="217A0CC2">
            <w:pPr>
              <w:pStyle w:val="40"/>
              <w:widowControl w:val="0"/>
              <w:topLinePunct/>
              <w:snapToGrid w:val="0"/>
              <w:spacing w:before="24" w:beforeLines="10" w:after="24" w:afterLines="10" w:line="360" w:lineRule="auto"/>
              <w:ind w:left="42" w:leftChars="20" w:right="42" w:rightChars="20" w:firstLine="180" w:firstLineChars="100"/>
              <w:jc w:val="both"/>
              <w:rPr>
                <w:rStyle w:val="20"/>
                <w:rFonts w:ascii="Times New Roman" w:hAnsi="Times New Roman" w:eastAsia="宋体"/>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上上月反向有</w:t>
            </w:r>
            <w:r>
              <w:rPr>
                <w:rStyle w:val="20"/>
                <w:rFonts w:ascii="Times New Roman" w:hAnsi="Times New Roman" w:eastAsia="宋体"/>
                <w:color w:val="auto"/>
                <w:kern w:val="2"/>
                <w:sz w:val="18"/>
                <w:szCs w:val="18"/>
                <w:highlight w:val="none"/>
                <w:lang w:val="en-US" w:eastAsia="zh-CN" w:bidi="ar-SA"/>
              </w:rPr>
              <w:t>/</w:t>
            </w:r>
            <w:r>
              <w:rPr>
                <w:rStyle w:val="20"/>
                <w:rFonts w:hint="eastAsia" w:ascii="Times New Roman" w:hAnsi="Times New Roman" w:eastAsia="宋体"/>
                <w:color w:val="auto"/>
                <w:kern w:val="2"/>
                <w:sz w:val="18"/>
                <w:szCs w:val="18"/>
                <w:highlight w:val="none"/>
                <w:lang w:val="en-US" w:eastAsia="zh-CN" w:bidi="ar-SA"/>
              </w:rPr>
              <w:t>无功最大需量及发生时间（总、费率</w:t>
            </w:r>
            <w:r>
              <w:rPr>
                <w:rStyle w:val="20"/>
                <w:rFonts w:ascii="Times New Roman" w:hAnsi="Times New Roman" w:eastAsia="宋体"/>
                <w:color w:val="auto"/>
                <w:kern w:val="2"/>
                <w:sz w:val="18"/>
                <w:szCs w:val="18"/>
                <w:highlight w:val="none"/>
                <w:lang w:val="en-US" w:eastAsia="zh-CN" w:bidi="ar-SA"/>
              </w:rPr>
              <w:t>1</w:t>
            </w:r>
            <w:r>
              <w:rPr>
                <w:rStyle w:val="20"/>
                <w:rFonts w:hint="eastAsia" w:ascii="Times New Roman" w:hAnsi="Times New Roman" w:eastAsia="宋体"/>
                <w:color w:val="auto"/>
                <w:kern w:val="2"/>
                <w:sz w:val="18"/>
                <w:szCs w:val="18"/>
                <w:highlight w:val="none"/>
                <w:lang w:val="en-US" w:eastAsia="zh-CN" w:bidi="ar-SA"/>
              </w:rPr>
              <w:t>～</w:t>
            </w:r>
            <w:r>
              <w:rPr>
                <w:rStyle w:val="20"/>
                <w:rFonts w:ascii="Times New Roman" w:hAnsi="Times New Roman" w:eastAsia="宋体"/>
                <w:color w:val="auto"/>
                <w:kern w:val="2"/>
                <w:sz w:val="18"/>
                <w:szCs w:val="18"/>
                <w:highlight w:val="none"/>
                <w:lang w:val="en-US" w:eastAsia="zh-CN" w:bidi="ar-SA"/>
              </w:rPr>
              <w:t>M</w:t>
            </w:r>
            <w:r>
              <w:rPr>
                <w:rStyle w:val="20"/>
                <w:rFonts w:hint="eastAsia" w:ascii="Times New Roman" w:hAnsi="Times New Roman" w:eastAsia="宋体"/>
                <w:color w:val="auto"/>
                <w:kern w:val="2"/>
                <w:sz w:val="18"/>
                <w:szCs w:val="18"/>
                <w:highlight w:val="none"/>
                <w:lang w:val="en-US" w:eastAsia="zh-CN" w:bidi="ar-SA"/>
              </w:rPr>
              <w:t>）</w:t>
            </w:r>
          </w:p>
        </w:tc>
        <w:tc>
          <w:tcPr>
            <w:tcW w:w="783" w:type="dxa"/>
            <w:tcBorders>
              <w:top w:val="single" w:color="auto" w:sz="4" w:space="0"/>
              <w:left w:val="single" w:color="auto" w:sz="4" w:space="0"/>
              <w:bottom w:val="single" w:color="auto" w:sz="8" w:space="0"/>
              <w:right w:val="single" w:color="auto" w:sz="4" w:space="0"/>
            </w:tcBorders>
            <w:noWrap w:val="0"/>
            <w:tcMar>
              <w:top w:w="0" w:type="dxa"/>
              <w:left w:w="0" w:type="dxa"/>
              <w:bottom w:w="0" w:type="dxa"/>
              <w:right w:w="0" w:type="dxa"/>
            </w:tcMar>
            <w:vAlign w:val="center"/>
          </w:tcPr>
          <w:p w14:paraId="3F2DE5FD">
            <w:pPr>
              <w:pStyle w:val="40"/>
              <w:widowControl w:val="0"/>
              <w:topLinePunct/>
              <w:snapToGrid w:val="0"/>
              <w:spacing w:before="80" w:after="80" w:line="360" w:lineRule="auto"/>
              <w:jc w:val="center"/>
              <w:rPr>
                <w:rStyle w:val="20"/>
                <w:rFonts w:ascii="Times New Roman" w:hAnsi="Times New Roman" w:eastAsia="宋体"/>
                <w:color w:val="auto"/>
                <w:kern w:val="2"/>
                <w:sz w:val="18"/>
                <w:szCs w:val="18"/>
                <w:highlight w:val="none"/>
                <w:lang w:val="en-US" w:eastAsia="zh-CN" w:bidi="ar-SA"/>
              </w:rPr>
            </w:pPr>
          </w:p>
        </w:tc>
        <w:tc>
          <w:tcPr>
            <w:tcW w:w="824" w:type="dxa"/>
            <w:tcBorders>
              <w:top w:val="single" w:color="auto" w:sz="4" w:space="0"/>
              <w:left w:val="single" w:color="auto" w:sz="4" w:space="0"/>
              <w:bottom w:val="single" w:color="auto" w:sz="8" w:space="0"/>
              <w:right w:val="single" w:color="auto" w:sz="8" w:space="0"/>
            </w:tcBorders>
            <w:noWrap w:val="0"/>
            <w:tcMar>
              <w:top w:w="0" w:type="dxa"/>
              <w:left w:w="0" w:type="dxa"/>
              <w:bottom w:w="0" w:type="dxa"/>
              <w:right w:w="0" w:type="dxa"/>
            </w:tcMar>
            <w:vAlign w:val="center"/>
          </w:tcPr>
          <w:p w14:paraId="4C785932">
            <w:pPr>
              <w:pStyle w:val="40"/>
              <w:widowControl w:val="0"/>
              <w:topLinePunct/>
              <w:snapToGrid w:val="0"/>
              <w:spacing w:before="80" w:after="80" w:line="360" w:lineRule="auto"/>
              <w:jc w:val="center"/>
              <w:rPr>
                <w:rStyle w:val="20"/>
                <w:rFonts w:ascii="Times New Roman" w:hAnsi="Times New Roman" w:eastAsia="宋体" w:cs="Arial"/>
                <w:color w:val="auto"/>
                <w:kern w:val="2"/>
                <w:sz w:val="18"/>
                <w:szCs w:val="18"/>
                <w:highlight w:val="none"/>
                <w:lang w:val="en-US" w:eastAsia="zh-CN" w:bidi="ar-SA"/>
              </w:rPr>
            </w:pPr>
            <w:r>
              <w:rPr>
                <w:rStyle w:val="20"/>
                <w:rFonts w:hint="eastAsia" w:ascii="Times New Roman" w:hAnsi="Times New Roman" w:eastAsia="宋体"/>
                <w:color w:val="auto"/>
                <w:kern w:val="2"/>
                <w:sz w:val="18"/>
                <w:szCs w:val="18"/>
                <w:highlight w:val="none"/>
                <w:lang w:val="en-US" w:eastAsia="zh-CN" w:bidi="ar-SA"/>
              </w:rPr>
              <w:t>√</w:t>
            </w:r>
          </w:p>
        </w:tc>
      </w:tr>
    </w:tbl>
    <w:p w14:paraId="2D1E4FF5">
      <w:pPr>
        <w:pStyle w:val="8"/>
        <w:topLinePunct/>
        <w:spacing w:before="72" w:beforeLines="30" w:line="360" w:lineRule="auto"/>
        <w:ind w:left="425"/>
        <w:rPr>
          <w:rStyle w:val="20"/>
          <w:rFonts w:ascii="Times New Roman" w:hAnsi="Times New Roman"/>
          <w:color w:val="auto"/>
          <w:szCs w:val="21"/>
          <w:highlight w:val="none"/>
        </w:rPr>
      </w:pPr>
    </w:p>
    <w:p w14:paraId="4AAC7F1D">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存储功能。内置可移动式数据库存储介质，能对采集数据进行分类存储，如实时数据、日数据、月数据、曲线数据等，曲线数据冻结密度可设置为1min～24h。至少能够记录每块电表100条异常告警事件。</w:t>
      </w:r>
    </w:p>
    <w:p w14:paraId="52BDFF35">
      <w:pPr>
        <w:pStyle w:val="8"/>
        <w:spacing w:line="360" w:lineRule="auto"/>
        <w:ind w:firstLine="480" w:firstLineChars="20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可以根据不同类型数据选取存储空间，至少保存最近180天的日数据以及最近12个月的月数据，存储容量不低于2GB，数据的存储的容量可以方便的配置和扩展，具备双路存储功能，停电或出现故障时，可以从移动式数据库存储介质中读出数据，可以很容易地进行拷贝。</w:t>
      </w:r>
    </w:p>
    <w:p w14:paraId="7EA31BFD">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对时功能。</w:t>
      </w:r>
    </w:p>
    <w:p w14:paraId="797A6B9A">
      <w:pPr>
        <w:pStyle w:val="41"/>
        <w:numPr>
          <w:ilvl w:val="0"/>
          <w:numId w:val="3"/>
        </w:numPr>
        <w:spacing w:line="360" w:lineRule="auto"/>
        <w:ind w:leftChars="0" w:firstLineChars="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具有时钟显示，该时钟可人工设置；</w:t>
      </w:r>
    </w:p>
    <w:p w14:paraId="6AE1642E">
      <w:pPr>
        <w:pStyle w:val="41"/>
        <w:numPr>
          <w:ilvl w:val="0"/>
          <w:numId w:val="3"/>
        </w:numPr>
        <w:spacing w:line="360" w:lineRule="auto"/>
        <w:ind w:leftChars="0" w:firstLineChars="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支持</w:t>
      </w:r>
      <w:r>
        <w:rPr>
          <w:rStyle w:val="20"/>
          <w:rFonts w:hint="eastAsia" w:asciiTheme="minorEastAsia" w:hAnsiTheme="minorEastAsia" w:eastAsiaTheme="minorEastAsia" w:cstheme="minorEastAsia"/>
          <w:color w:val="auto"/>
          <w:sz w:val="24"/>
          <w:szCs w:val="24"/>
          <w:highlight w:val="none"/>
          <w:lang w:val="en-US" w:eastAsia="zh-CN"/>
        </w:rPr>
        <w:t>北斗</w:t>
      </w:r>
      <w:r>
        <w:rPr>
          <w:rStyle w:val="20"/>
          <w:rFonts w:hint="eastAsia" w:asciiTheme="minorEastAsia" w:hAnsiTheme="minorEastAsia" w:eastAsiaTheme="minorEastAsia" w:cstheme="minorEastAsia"/>
          <w:color w:val="auto"/>
          <w:sz w:val="24"/>
          <w:szCs w:val="24"/>
          <w:highlight w:val="none"/>
        </w:rPr>
        <w:t>对时、网络时钟服务器对时、IRIG-B码对时等多种本地对时方式，并可以实现手动选择优先级。</w:t>
      </w:r>
    </w:p>
    <w:p w14:paraId="2A3B35E3">
      <w:pPr>
        <w:pStyle w:val="41"/>
        <w:numPr>
          <w:ilvl w:val="0"/>
          <w:numId w:val="3"/>
        </w:numPr>
        <w:spacing w:line="360" w:lineRule="auto"/>
        <w:ind w:leftChars="0" w:firstLineChars="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采用IRIG-B码对时，对时误差优于±1µs。网络时钟服务器对时，对时误差优于±1ms。当时钟差大于一定值（可窗口设置）时，自动退出对时并报警。</w:t>
      </w:r>
    </w:p>
    <w:p w14:paraId="6BB047B5">
      <w:pPr>
        <w:pStyle w:val="41"/>
        <w:numPr>
          <w:ilvl w:val="0"/>
          <w:numId w:val="3"/>
        </w:numPr>
        <w:spacing w:line="360" w:lineRule="auto"/>
        <w:ind w:leftChars="0" w:firstLineChars="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接受并执行主站对时命令，并能屏蔽非授权主站的对时命令，只响应授权主站的对时命令，主站对时误差＜1s。</w:t>
      </w:r>
    </w:p>
    <w:p w14:paraId="3BE71A38">
      <w:pPr>
        <w:pStyle w:val="41"/>
        <w:numPr>
          <w:ilvl w:val="0"/>
          <w:numId w:val="3"/>
        </w:numPr>
        <w:spacing w:line="360" w:lineRule="auto"/>
        <w:ind w:leftChars="0" w:firstLineChars="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能够对电能表对时。采集装置具有每块电能表对时开关参数。</w:t>
      </w:r>
    </w:p>
    <w:p w14:paraId="727C1D50">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通信功能。</w:t>
      </w:r>
    </w:p>
    <w:p w14:paraId="750918BF">
      <w:pPr>
        <w:pStyle w:val="8"/>
        <w:numPr>
          <w:ilvl w:val="0"/>
          <w:numId w:val="4"/>
        </w:numPr>
        <w:topLinePunct w:val="0"/>
        <w:spacing w:line="360" w:lineRule="auto"/>
        <w:ind w:left="426" w:hanging="426"/>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与主站通信应支持</w:t>
      </w:r>
      <w:r>
        <w:rPr>
          <w:rStyle w:val="20"/>
          <w:rFonts w:hint="eastAsia" w:asciiTheme="minorEastAsia" w:hAnsiTheme="minorEastAsia" w:eastAsiaTheme="minorEastAsia" w:cstheme="minorEastAsia"/>
          <w:color w:val="auto"/>
          <w:sz w:val="24"/>
          <w:szCs w:val="24"/>
          <w:highlight w:val="none"/>
          <w:lang w:val="en-US" w:eastAsia="zh-CN"/>
        </w:rPr>
        <w:t>包括但不限于：</w:t>
      </w:r>
      <w:r>
        <w:rPr>
          <w:rStyle w:val="20"/>
          <w:rFonts w:hint="eastAsia" w:asciiTheme="minorEastAsia" w:hAnsiTheme="minorEastAsia" w:eastAsiaTheme="minorEastAsia" w:cstheme="minorEastAsia"/>
          <w:color w:val="auto"/>
          <w:sz w:val="24"/>
          <w:szCs w:val="24"/>
          <w:highlight w:val="none"/>
        </w:rPr>
        <w:t>IEC 60870-5-102、DL/T 719、Q/GDW 376.1、IEC61850等规约</w:t>
      </w:r>
      <w:r>
        <w:rPr>
          <w:rStyle w:val="20"/>
          <w:rFonts w:hint="eastAsia" w:asciiTheme="minorEastAsia" w:hAnsiTheme="minorEastAsia" w:eastAsiaTheme="minorEastAsia" w:cstheme="minorEastAsia"/>
          <w:color w:val="auto"/>
          <w:sz w:val="24"/>
          <w:szCs w:val="24"/>
          <w:highlight w:val="none"/>
          <w:lang w:eastAsia="zh-CN"/>
        </w:rPr>
        <w:t>，</w:t>
      </w:r>
      <w:r>
        <w:rPr>
          <w:rStyle w:val="20"/>
          <w:rFonts w:hint="eastAsia" w:asciiTheme="minorEastAsia" w:hAnsiTheme="minorEastAsia" w:eastAsiaTheme="minorEastAsia" w:cstheme="minorEastAsia"/>
          <w:color w:val="auto"/>
          <w:sz w:val="24"/>
          <w:szCs w:val="24"/>
          <w:highlight w:val="none"/>
          <w:lang w:val="en-US" w:eastAsia="zh-CN"/>
        </w:rPr>
        <w:t>且需满足国家电网西北分部及国网甘肃省调通信规约要求</w:t>
      </w:r>
      <w:r>
        <w:rPr>
          <w:rStyle w:val="20"/>
          <w:rFonts w:hint="eastAsia" w:asciiTheme="minorEastAsia" w:hAnsiTheme="minorEastAsia" w:eastAsiaTheme="minorEastAsia" w:cstheme="minorEastAsia"/>
          <w:color w:val="auto"/>
          <w:sz w:val="24"/>
          <w:szCs w:val="24"/>
          <w:highlight w:val="none"/>
        </w:rPr>
        <w:t>，能以多种方式（网络方式、拨号方式、专线方式等）与多个主站的通信，具备安全保护措施。</w:t>
      </w:r>
    </w:p>
    <w:p w14:paraId="3B7F8958">
      <w:pPr>
        <w:pStyle w:val="8"/>
        <w:numPr>
          <w:ilvl w:val="0"/>
          <w:numId w:val="4"/>
        </w:numPr>
        <w:spacing w:line="360" w:lineRule="auto"/>
        <w:ind w:left="426" w:hanging="426"/>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具有电表规约库，对表计通信应支持</w:t>
      </w:r>
      <w:r>
        <w:rPr>
          <w:rStyle w:val="20"/>
          <w:rFonts w:hint="eastAsia" w:asciiTheme="minorEastAsia" w:hAnsiTheme="minorEastAsia" w:eastAsiaTheme="minorEastAsia" w:cstheme="minorEastAsia"/>
          <w:color w:val="auto"/>
          <w:sz w:val="24"/>
          <w:szCs w:val="24"/>
          <w:highlight w:val="none"/>
          <w:lang w:val="en-US" w:eastAsia="zh-CN"/>
        </w:rPr>
        <w:t>包括但不限于：</w:t>
      </w:r>
      <w:r>
        <w:rPr>
          <w:rStyle w:val="20"/>
          <w:rFonts w:hint="eastAsia" w:asciiTheme="minorEastAsia" w:hAnsiTheme="minorEastAsia" w:eastAsiaTheme="minorEastAsia" w:cstheme="minorEastAsia"/>
          <w:color w:val="auto"/>
          <w:sz w:val="24"/>
          <w:szCs w:val="24"/>
          <w:highlight w:val="none"/>
        </w:rPr>
        <w:t>DL/T 645-2007、DL/T 645-1997、ION、ABB ALPHA、IEC61107、IEC62056（DLMS）、IEC61850、EDMI等多种电能表规约，具有对不同电能表规约的转换能力，并支持多种规约多种电能表共线，即在同一个用于抄表的485接口上，可以接入上述不同规约、不同型号、不同速率、不同校验方式和数据长度的电能表，投标人应详细描述实现方法。</w:t>
      </w:r>
    </w:p>
    <w:p w14:paraId="392868F0">
      <w:pPr>
        <w:pStyle w:val="8"/>
        <w:numPr>
          <w:ilvl w:val="0"/>
          <w:numId w:val="4"/>
        </w:numPr>
        <w:spacing w:line="360" w:lineRule="auto"/>
        <w:ind w:left="426" w:hanging="426"/>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支持基于IEC61850数字化规约的通讯能力。能通过IEC61850规约与电表、后台监控等设备进行数据采集和传送。</w:t>
      </w:r>
    </w:p>
    <w:p w14:paraId="33886237">
      <w:pPr>
        <w:pStyle w:val="8"/>
        <w:numPr>
          <w:ilvl w:val="0"/>
          <w:numId w:val="4"/>
        </w:numPr>
        <w:spacing w:line="360" w:lineRule="auto"/>
        <w:ind w:left="426" w:hanging="426"/>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支持双主或主备等多种组网模式。</w:t>
      </w:r>
      <w:r>
        <w:rPr>
          <w:rStyle w:val="20"/>
          <w:rFonts w:hint="eastAsia" w:asciiTheme="minorEastAsia" w:hAnsiTheme="minorEastAsia" w:eastAsiaTheme="minorEastAsia" w:cstheme="minorEastAsia"/>
          <w:color w:val="auto"/>
          <w:sz w:val="24"/>
          <w:szCs w:val="24"/>
          <w:highlight w:val="none"/>
        </w:rPr>
        <w:t>双主模式运行时，两台电能量采集器应具备数据同步功能，使两台电能量采集器内的数据保持一致。</w:t>
      </w:r>
    </w:p>
    <w:p w14:paraId="4C741B0A">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对RS232、RS485和维护口等接口具有状态工况指示功能。对交直流接入、装置运行状况有状态工况指示功能。</w:t>
      </w:r>
    </w:p>
    <w:p w14:paraId="161D3B7E">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具有人机界面对话功能。界面液晶需采用彩色液晶屏，大小不得小于6.5英寸、640×480点阵。键盘操作不得少于8个按键。可通过人机界面对装置的所有网络通讯口的IP地址进行修改，可对电表的参数进行配置，读取装置的所有配置和采集数据信息。</w:t>
      </w:r>
    </w:p>
    <w:p w14:paraId="2DB2E071">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bookmarkStart w:id="79" w:name="_Toc510439036"/>
      <w:bookmarkStart w:id="80" w:name="_Toc510605012"/>
      <w:bookmarkStart w:id="81" w:name="_Toc24338451"/>
      <w:bookmarkStart w:id="82" w:name="_Toc510439205"/>
      <w:bookmarkStart w:id="83" w:name="_Toc24436372"/>
      <w:bookmarkStart w:id="84" w:name="_Toc24460415"/>
      <w:bookmarkStart w:id="85" w:name="_Toc195365561"/>
      <w:r>
        <w:rPr>
          <w:rStyle w:val="20"/>
          <w:rFonts w:hint="eastAsia" w:asciiTheme="minorEastAsia" w:hAnsiTheme="minorEastAsia" w:eastAsiaTheme="minorEastAsia" w:cstheme="minorEastAsia"/>
          <w:color w:val="auto"/>
          <w:sz w:val="24"/>
          <w:szCs w:val="24"/>
          <w:highlight w:val="none"/>
        </w:rPr>
        <w:t>可通过便携式计算机或主站远程设置采集装置参数和抄表参数，但应设置相应的保护措施（如口令等）以防非法设置、修改。参数修改后，新的电能量等数据按照修改后的参数要求存储数据，历史数据则保持不变。</w:t>
      </w:r>
    </w:p>
    <w:p w14:paraId="5A9306F0">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线路停电后，所有测量数据不应丢失，且保存时间在10年以上。</w:t>
      </w:r>
    </w:p>
    <w:p w14:paraId="062212DF">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采集装置支持远程断点升级。升级过程应不影响采集装置的正常采集、通信工作，不丢失数据；应有可靠措施。保证在升级过程中如果通信中断，采集装置不受影响，仍能正常工作。</w:t>
      </w:r>
    </w:p>
    <w:p w14:paraId="57BC112F">
      <w:pPr>
        <w:pStyle w:val="8"/>
        <w:numPr>
          <w:ilvl w:val="3"/>
          <w:numId w:val="1"/>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自检功能。具有软、硬件看门狗功能。具有硬件自诊断功能。如软件或者硬件出现故障可自恢复。</w:t>
      </w:r>
    </w:p>
    <w:bookmarkEnd w:id="79"/>
    <w:bookmarkEnd w:id="80"/>
    <w:bookmarkEnd w:id="81"/>
    <w:bookmarkEnd w:id="82"/>
    <w:bookmarkEnd w:id="83"/>
    <w:bookmarkEnd w:id="84"/>
    <w:bookmarkEnd w:id="85"/>
    <w:p w14:paraId="4AF49DFF">
      <w:pPr>
        <w:pStyle w:val="8"/>
        <w:numPr>
          <w:ilvl w:val="3"/>
          <w:numId w:val="1"/>
        </w:numPr>
        <w:spacing w:line="360" w:lineRule="auto"/>
        <w:ind w:left="0" w:firstLine="1"/>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投标人所供设备应满足电力监控系统安全防护的相关要求。</w:t>
      </w:r>
    </w:p>
    <w:p w14:paraId="2E0D83D4">
      <w:pPr>
        <w:pStyle w:val="8"/>
        <w:numPr>
          <w:ilvl w:val="3"/>
          <w:numId w:val="1"/>
        </w:numPr>
        <w:spacing w:line="360" w:lineRule="auto"/>
        <w:ind w:left="0" w:firstLine="1"/>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kern w:val="0"/>
          <w:sz w:val="24"/>
          <w:szCs w:val="24"/>
          <w:highlight w:val="none"/>
        </w:rPr>
        <w:t>电能量采集装置具有数据补采功能，即当采集装置和电表的通信故障恢复后，采集装置自动将通信中断期间的电能表负荷曲线数据补采到采集装置，以便将中断期间的电能量数据上传到主站采集系统。补采顺序按最新冻结周期向中断时的冻结周期方向补采，以便调度主站系统可以采集到最新的电量数据。</w:t>
      </w:r>
    </w:p>
    <w:p w14:paraId="503FF7C5">
      <w:pPr>
        <w:pStyle w:val="8"/>
        <w:numPr>
          <w:ilvl w:val="3"/>
          <w:numId w:val="1"/>
        </w:numPr>
        <w:spacing w:line="360" w:lineRule="auto"/>
        <w:ind w:left="0" w:firstLine="1"/>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kern w:val="0"/>
          <w:sz w:val="24"/>
          <w:szCs w:val="24"/>
          <w:highlight w:val="none"/>
        </w:rPr>
        <w:t>具备网口直接采集电能表数据功能。采集器应安装网络安全监测接口软件Agent，以便满足调度对网络安全监测的要求。</w:t>
      </w:r>
    </w:p>
    <w:p w14:paraId="1E32C299">
      <w:pPr>
        <w:pStyle w:val="8"/>
        <w:numPr>
          <w:ilvl w:val="3"/>
          <w:numId w:val="1"/>
        </w:numPr>
        <w:spacing w:line="360" w:lineRule="auto"/>
        <w:ind w:left="0" w:firstLine="1"/>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双冗余功能技术要求</w:t>
      </w:r>
    </w:p>
    <w:p w14:paraId="03310F22">
      <w:pPr>
        <w:pStyle w:val="8"/>
        <w:widowControl/>
        <w:tabs>
          <w:tab w:val="left" w:pos="0"/>
          <w:tab w:val="left" w:pos="540"/>
        </w:tabs>
        <w:spacing w:line="360" w:lineRule="auto"/>
        <w:rPr>
          <w:rStyle w:val="20"/>
          <w:rFonts w:hint="eastAsia" w:asciiTheme="minorEastAsia" w:hAnsiTheme="minorEastAsia" w:eastAsiaTheme="minorEastAsia" w:cstheme="minorEastAsia"/>
          <w:color w:val="auto"/>
          <w:kern w:val="0"/>
          <w:sz w:val="24"/>
          <w:szCs w:val="24"/>
          <w:highlight w:val="none"/>
        </w:rPr>
      </w:pPr>
      <w:r>
        <w:rPr>
          <w:rStyle w:val="20"/>
          <w:rFonts w:hint="eastAsia" w:asciiTheme="minorEastAsia" w:hAnsiTheme="minorEastAsia" w:eastAsiaTheme="minorEastAsia" w:cstheme="minorEastAsia"/>
          <w:color w:val="auto"/>
          <w:kern w:val="0"/>
          <w:sz w:val="24"/>
          <w:szCs w:val="24"/>
          <w:highlight w:val="none"/>
        </w:rPr>
        <w:t>1)双主冗余系统中的两台电能量采集装置均独立运行，分别采集电能表的数据。</w:t>
      </w:r>
    </w:p>
    <w:p w14:paraId="603D41C7">
      <w:pPr>
        <w:pStyle w:val="8"/>
        <w:widowControl/>
        <w:tabs>
          <w:tab w:val="left" w:pos="0"/>
          <w:tab w:val="left" w:pos="540"/>
        </w:tabs>
        <w:spacing w:line="360" w:lineRule="auto"/>
        <w:rPr>
          <w:rStyle w:val="20"/>
          <w:rFonts w:hint="eastAsia" w:asciiTheme="minorEastAsia" w:hAnsiTheme="minorEastAsia" w:eastAsiaTheme="minorEastAsia" w:cstheme="minorEastAsia"/>
          <w:color w:val="auto"/>
          <w:kern w:val="0"/>
          <w:sz w:val="24"/>
          <w:szCs w:val="24"/>
          <w:highlight w:val="none"/>
        </w:rPr>
      </w:pPr>
      <w:r>
        <w:rPr>
          <w:rStyle w:val="20"/>
          <w:rFonts w:hint="eastAsia" w:asciiTheme="minorEastAsia" w:hAnsiTheme="minorEastAsia" w:eastAsiaTheme="minorEastAsia" w:cstheme="minorEastAsia"/>
          <w:color w:val="auto"/>
          <w:kern w:val="0"/>
          <w:sz w:val="24"/>
          <w:szCs w:val="24"/>
          <w:highlight w:val="none"/>
        </w:rPr>
        <w:t>2)双机切换板需具备自动切换功能，当前电能量采集装置故障后，能自动将通道切换到另一台电能量采集装置。</w:t>
      </w:r>
    </w:p>
    <w:p w14:paraId="2AC1E5F6">
      <w:pPr>
        <w:pStyle w:val="8"/>
        <w:widowControl/>
        <w:tabs>
          <w:tab w:val="left" w:pos="0"/>
          <w:tab w:val="left" w:pos="540"/>
        </w:tabs>
        <w:spacing w:line="360" w:lineRule="auto"/>
        <w:rPr>
          <w:rStyle w:val="20"/>
          <w:rFonts w:hint="eastAsia" w:asciiTheme="minorEastAsia" w:hAnsiTheme="minorEastAsia" w:eastAsiaTheme="minorEastAsia" w:cstheme="minorEastAsia"/>
          <w:color w:val="auto"/>
          <w:kern w:val="0"/>
          <w:sz w:val="24"/>
          <w:szCs w:val="24"/>
          <w:highlight w:val="none"/>
        </w:rPr>
      </w:pPr>
      <w:r>
        <w:rPr>
          <w:rStyle w:val="20"/>
          <w:rFonts w:hint="eastAsia" w:asciiTheme="minorEastAsia" w:hAnsiTheme="minorEastAsia" w:eastAsiaTheme="minorEastAsia" w:cstheme="minorEastAsia"/>
          <w:color w:val="auto"/>
          <w:kern w:val="0"/>
          <w:sz w:val="24"/>
          <w:szCs w:val="24"/>
          <w:highlight w:val="none"/>
        </w:rPr>
        <w:t>3)若双机切换板失电，能仍保持当前通迅通道正常通迅。</w:t>
      </w:r>
    </w:p>
    <w:p w14:paraId="0B291800">
      <w:pPr>
        <w:pStyle w:val="8"/>
        <w:widowControl/>
        <w:tabs>
          <w:tab w:val="left" w:pos="0"/>
          <w:tab w:val="left" w:pos="540"/>
        </w:tabs>
        <w:spacing w:line="360" w:lineRule="auto"/>
        <w:rPr>
          <w:rStyle w:val="20"/>
          <w:rFonts w:hint="eastAsia" w:asciiTheme="minorEastAsia" w:hAnsiTheme="minorEastAsia" w:eastAsiaTheme="minorEastAsia" w:cstheme="minorEastAsia"/>
          <w:color w:val="auto"/>
          <w:kern w:val="0"/>
          <w:sz w:val="24"/>
          <w:szCs w:val="24"/>
          <w:highlight w:val="none"/>
        </w:rPr>
      </w:pPr>
      <w:r>
        <w:rPr>
          <w:rStyle w:val="20"/>
          <w:rFonts w:hint="eastAsia" w:asciiTheme="minorEastAsia" w:hAnsiTheme="minorEastAsia" w:eastAsiaTheme="minorEastAsia" w:cstheme="minorEastAsia"/>
          <w:color w:val="auto"/>
          <w:kern w:val="0"/>
          <w:sz w:val="24"/>
          <w:szCs w:val="24"/>
          <w:highlight w:val="none"/>
          <w:lang w:val="en-US" w:eastAsia="zh-CN"/>
        </w:rPr>
        <w:t>4）双机切换装置可支持至少8路RS485口或网口的切换。</w:t>
      </w:r>
    </w:p>
    <w:p w14:paraId="7E9A21B6">
      <w:pPr>
        <w:pStyle w:val="8"/>
        <w:numPr>
          <w:ilvl w:val="3"/>
          <w:numId w:val="1"/>
        </w:numPr>
        <w:spacing w:line="360" w:lineRule="auto"/>
        <w:ind w:left="0" w:firstLine="1"/>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电能量远方终</w:t>
      </w:r>
      <w:r>
        <w:rPr>
          <w:rStyle w:val="20"/>
          <w:rFonts w:hint="eastAsia" w:asciiTheme="minorEastAsia" w:hAnsiTheme="minorEastAsia" w:eastAsiaTheme="minorEastAsia" w:cstheme="minorEastAsia"/>
          <w:color w:val="auto"/>
          <w:sz w:val="24"/>
          <w:szCs w:val="24"/>
          <w:highlight w:val="none"/>
        </w:rPr>
        <w:t>端应具备接入网安监测装置功能，满</w:t>
      </w:r>
      <w:r>
        <w:rPr>
          <w:rStyle w:val="20"/>
          <w:rFonts w:hint="eastAsia" w:asciiTheme="minorEastAsia" w:hAnsiTheme="minorEastAsia" w:eastAsiaTheme="minorEastAsia" w:cstheme="minorEastAsia"/>
          <w:color w:val="auto"/>
          <w:sz w:val="24"/>
          <w:szCs w:val="24"/>
          <w:highlight w:val="none"/>
        </w:rPr>
        <w:t>足国家电网调〔2017〕1084号通知要求：网络安全监测装置应实现对监测范围内主机设备、网络设备、通用及专用安防设备的安全信息采集。ERTU能提供网络安全监测装置需求信息，通讯接口及协议满足网络安全监测装置的要求。负责自身系统网络安全监测代理程序(Agent)的开发和部署，配合网络安全监测装置厂商进行功能性测试，保证安全信息可靠上送。</w:t>
      </w:r>
    </w:p>
    <w:p w14:paraId="1628A23C">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4.7电能量数据采集装置技术要求</w:t>
      </w:r>
    </w:p>
    <w:p w14:paraId="68B55286">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4.7.1 功能</w:t>
      </w:r>
    </w:p>
    <w:p w14:paraId="1BBA6403">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kern w:val="0"/>
          <w:sz w:val="24"/>
          <w:szCs w:val="24"/>
          <w:highlight w:val="none"/>
        </w:rPr>
        <w:tab/>
      </w:r>
      <w:r>
        <w:rPr>
          <w:rStyle w:val="20"/>
          <w:rFonts w:hint="eastAsia" w:asciiTheme="minorEastAsia" w:hAnsiTheme="minorEastAsia" w:eastAsiaTheme="minorEastAsia" w:cstheme="minorEastAsia"/>
          <w:color w:val="auto"/>
          <w:sz w:val="24"/>
          <w:szCs w:val="24"/>
          <w:highlight w:val="none"/>
        </w:rPr>
        <w:t>要求采集装置采集和处理的电能量数据准确、安全可靠，并有存储、远传等功能。</w:t>
      </w:r>
    </w:p>
    <w:p w14:paraId="71FB0361">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电能量采集装置具有数据补采功能，即当采集装置和电表的通信故障恢复后，采集装置自动将通信中断期间的电能表负荷曲线数据补采到采集装置，以便将中断期间的电能量</w:t>
      </w:r>
      <w:r>
        <w:rPr>
          <w:rStyle w:val="20"/>
          <w:rFonts w:hint="eastAsia" w:asciiTheme="minorEastAsia" w:hAnsiTheme="minorEastAsia" w:eastAsiaTheme="minorEastAsia" w:cstheme="minorEastAsia"/>
          <w:color w:val="auto"/>
          <w:sz w:val="24"/>
          <w:szCs w:val="24"/>
          <w:highlight w:val="none"/>
        </w:rPr>
        <w:t>数据上传到主站计费系统。补采顺序按最新冻结周期向中断时的冻结周期方向补采，以便调度主站系统可以采集到最新的电量数据。</w:t>
      </w:r>
    </w:p>
    <w:p w14:paraId="0BF7EB69">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采集装置每个RS485串口</w:t>
      </w:r>
      <w:r>
        <w:rPr>
          <w:rStyle w:val="20"/>
          <w:rFonts w:hint="eastAsia" w:asciiTheme="minorEastAsia" w:hAnsiTheme="minorEastAsia" w:eastAsiaTheme="minorEastAsia" w:cstheme="minorEastAsia"/>
          <w:color w:val="auto"/>
          <w:sz w:val="24"/>
          <w:szCs w:val="24"/>
          <w:highlight w:val="none"/>
          <w:lang w:val="en-US" w:eastAsia="zh-CN"/>
        </w:rPr>
        <w:t>最多</w:t>
      </w:r>
      <w:r>
        <w:rPr>
          <w:rStyle w:val="20"/>
          <w:rFonts w:hint="eastAsia" w:asciiTheme="minorEastAsia" w:hAnsiTheme="minorEastAsia" w:eastAsiaTheme="minorEastAsia" w:cstheme="minorEastAsia"/>
          <w:color w:val="auto"/>
          <w:sz w:val="24"/>
          <w:szCs w:val="24"/>
          <w:highlight w:val="none"/>
        </w:rPr>
        <w:t>可接入16只电表（按5分钟积分周期，IEC61107规约考虑），最大处理能力应满足接入</w:t>
      </w:r>
      <w:r>
        <w:rPr>
          <w:rStyle w:val="20"/>
          <w:rFonts w:hint="eastAsia" w:asciiTheme="minorEastAsia" w:hAnsiTheme="minorEastAsia" w:eastAsiaTheme="minorEastAsia" w:cstheme="minorEastAsia"/>
          <w:color w:val="auto"/>
          <w:sz w:val="24"/>
          <w:szCs w:val="24"/>
          <w:highlight w:val="none"/>
          <w:lang w:val="en-US" w:eastAsia="zh-CN"/>
        </w:rPr>
        <w:t>256</w:t>
      </w:r>
      <w:r>
        <w:rPr>
          <w:rStyle w:val="20"/>
          <w:rFonts w:hint="eastAsia" w:asciiTheme="minorEastAsia" w:hAnsiTheme="minorEastAsia" w:eastAsiaTheme="minorEastAsia" w:cstheme="minorEastAsia"/>
          <w:color w:val="auto"/>
          <w:sz w:val="24"/>
          <w:szCs w:val="24"/>
          <w:highlight w:val="none"/>
        </w:rPr>
        <w:t>只电能表的要求。配置满足升压站电能采集和厂用电电能采集所需的接口数量和处理能力。</w:t>
      </w:r>
    </w:p>
    <w:p w14:paraId="480F19F0">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应能根据用户设定的至少三种积分周期分别存储电能量数据，积分周期可调，电能表处理器的电能量积分周期最小能达1分钟,在积分周期为1分钟时，能保证32块表连续存储7天以上，电能量数据能转贮到其它存贮介质上。</w:t>
      </w:r>
    </w:p>
    <w:p w14:paraId="2FB5D537">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采集装置参数可在线修改，并保证参数修改的唯一性；参数修改应有可靠的记录，并长期保存。</w:t>
      </w:r>
    </w:p>
    <w:p w14:paraId="3B3526B3">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采集装置必须是专用的电能量采集处理器，采用模块化结构。每个模块应设有保护机制，用户不能随意变动。</w:t>
      </w:r>
    </w:p>
    <w:p w14:paraId="570F5100">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采集装置应能与多功能电能表接口，多功能电能表接入可用RS-485串行输入方式。采集装置与主站通信至少具有IEC 60870-5-102规约、DL/T719-2000规约，与表计通信至少具有IEC61107、DL/T645-2007、STOM规约。</w:t>
      </w:r>
    </w:p>
    <w:p w14:paraId="1B4F6E25">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具有同时</w:t>
      </w:r>
      <w:r>
        <w:rPr>
          <w:rStyle w:val="20"/>
          <w:rFonts w:hint="eastAsia" w:asciiTheme="minorEastAsia" w:hAnsiTheme="minorEastAsia" w:eastAsiaTheme="minorEastAsia" w:cstheme="minorEastAsia"/>
          <w:color w:val="auto"/>
          <w:sz w:val="24"/>
          <w:szCs w:val="24"/>
          <w:highlight w:val="none"/>
        </w:rPr>
        <w:t>与三个及以上主站通信的功能，可分别至网调、省调和电厂当地电能量小主站系统。</w:t>
      </w:r>
    </w:p>
    <w:p w14:paraId="39206C49">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具有至少四路网络接口，接数据网络设备。</w:t>
      </w:r>
    </w:p>
    <w:p w14:paraId="564E0B77">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具有至少12路RS485接口。</w:t>
      </w:r>
    </w:p>
    <w:p w14:paraId="3D8C6B5D">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采集装置应具有内部时钟，该时钟可人工设置，在与主站建立通信连接后能接收主站的对时命令，跟踪主站的时钟。</w:t>
      </w:r>
    </w:p>
    <w:p w14:paraId="67DE9A7B">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采集装置具有自检功能，发生故障或事件（失电后，恢复供电等）可向省调</w:t>
      </w:r>
      <w:r>
        <w:rPr>
          <w:rStyle w:val="20"/>
          <w:rFonts w:hint="eastAsia" w:asciiTheme="minorEastAsia" w:hAnsiTheme="minorEastAsia" w:eastAsiaTheme="minorEastAsia" w:cstheme="minorEastAsia"/>
          <w:color w:val="auto"/>
          <w:sz w:val="24"/>
          <w:szCs w:val="24"/>
          <w:highlight w:val="none"/>
          <w:lang w:eastAsia="zh-CN"/>
        </w:rPr>
        <w:t>、</w:t>
      </w:r>
      <w:r>
        <w:rPr>
          <w:rStyle w:val="20"/>
          <w:rFonts w:hint="eastAsia" w:asciiTheme="minorEastAsia" w:hAnsiTheme="minorEastAsia" w:eastAsiaTheme="minorEastAsia" w:cstheme="minorEastAsia"/>
          <w:color w:val="auto"/>
          <w:sz w:val="24"/>
          <w:szCs w:val="24"/>
          <w:highlight w:val="none"/>
          <w:lang w:val="en-US" w:eastAsia="zh-CN"/>
        </w:rPr>
        <w:t>网调</w:t>
      </w:r>
      <w:r>
        <w:rPr>
          <w:rStyle w:val="20"/>
          <w:rFonts w:hint="eastAsia" w:asciiTheme="minorEastAsia" w:hAnsiTheme="minorEastAsia" w:eastAsiaTheme="minorEastAsia" w:cstheme="minorEastAsia"/>
          <w:color w:val="auto"/>
          <w:sz w:val="24"/>
          <w:szCs w:val="24"/>
          <w:highlight w:val="none"/>
        </w:rPr>
        <w:t>主站系统和电厂当地电能量计费系统提供告警信息。</w:t>
      </w:r>
    </w:p>
    <w:p w14:paraId="1F7EABAD">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具备网口直接采集电能表数据功能。</w:t>
      </w:r>
    </w:p>
    <w:p w14:paraId="2BCC84B6">
      <w:pPr>
        <w:pStyle w:val="8"/>
        <w:numPr>
          <w:ilvl w:val="0"/>
          <w:numId w:val="5"/>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采集器应安装网络安全监测接口软件Agent，以便满足调度对网络安全监测的要求。</w:t>
      </w:r>
    </w:p>
    <w:p w14:paraId="22EEF4F8">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4.7.2 采集装置主要技术要求</w:t>
      </w:r>
    </w:p>
    <w:p w14:paraId="2E6FFFAF">
      <w:pPr>
        <w:pStyle w:val="8"/>
        <w:numPr>
          <w:ilvl w:val="0"/>
          <w:numId w:val="6"/>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采集装置必须是专用的电能量采集、处理、远传设备。</w:t>
      </w:r>
    </w:p>
    <w:p w14:paraId="69DDB0BB">
      <w:pPr>
        <w:pStyle w:val="8"/>
        <w:numPr>
          <w:ilvl w:val="0"/>
          <w:numId w:val="6"/>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数据传送应采用可靠的保护措施，保证在传送过程中不丢失和发生错误数据。</w:t>
      </w:r>
    </w:p>
    <w:p w14:paraId="0B4AD5A4">
      <w:pPr>
        <w:pStyle w:val="8"/>
        <w:numPr>
          <w:ilvl w:val="0"/>
          <w:numId w:val="6"/>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采集数据与电能表一致，数据采集周期1min—60min可调。</w:t>
      </w:r>
    </w:p>
    <w:p w14:paraId="1AED6097">
      <w:pPr>
        <w:pStyle w:val="8"/>
        <w:numPr>
          <w:ilvl w:val="0"/>
          <w:numId w:val="6"/>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采集装置平均故障间隔时间（MTBF）≥45000h，使用寿命≥10年。</w:t>
      </w:r>
    </w:p>
    <w:p w14:paraId="42FAE4EC">
      <w:pPr>
        <w:pStyle w:val="8"/>
        <w:numPr>
          <w:ilvl w:val="0"/>
          <w:numId w:val="6"/>
        </w:numPr>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电能量采集装置具有交流220V、直流110V双路互为热备供电的功能，交流、直流供电能可靠地自动切换。当外部电源都失去后，具有失电保护功能，应能保证所存的数据不丢。</w:t>
      </w:r>
    </w:p>
    <w:p w14:paraId="0E0E9BDF">
      <w:pPr>
        <w:pStyle w:val="8"/>
        <w:spacing w:line="360" w:lineRule="auto"/>
        <w:jc w:val="left"/>
        <w:rPr>
          <w:rStyle w:val="20"/>
          <w:rFonts w:hint="eastAsia" w:asciiTheme="minorEastAsia" w:hAnsiTheme="minorEastAsia" w:eastAsiaTheme="minorEastAsia" w:cstheme="minorEastAsia"/>
          <w:b/>
          <w:color w:val="auto"/>
          <w:sz w:val="24"/>
          <w:szCs w:val="24"/>
          <w:highlight w:val="none"/>
        </w:rPr>
      </w:pPr>
      <w:r>
        <w:rPr>
          <w:rStyle w:val="20"/>
          <w:rFonts w:hint="eastAsia" w:asciiTheme="minorEastAsia" w:hAnsiTheme="minorEastAsia" w:eastAsiaTheme="minorEastAsia" w:cstheme="minorEastAsia"/>
          <w:b/>
          <w:color w:val="auto"/>
          <w:sz w:val="24"/>
          <w:szCs w:val="24"/>
          <w:highlight w:val="none"/>
        </w:rPr>
        <w:t>4.8  屏柜技术特性</w:t>
      </w:r>
    </w:p>
    <w:p w14:paraId="47F1173F">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 屏柜技术要求</w:t>
      </w:r>
    </w:p>
    <w:p w14:paraId="347754B0">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4.8.1.1屏柜包括所有安装在上面的成套设备或单个组件，皆应保证有足够的结构强度以及在指定环境条件下满足规范对电气性能的要求，投标人应对内部接线的正确性全面负责，并对所供应设备的特性和功能全面负责。</w:t>
      </w:r>
    </w:p>
    <w:p w14:paraId="11A54C2A">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 xml:space="preserve">4.8.1.2  </w:t>
      </w:r>
      <w:r>
        <w:rPr>
          <w:rStyle w:val="20"/>
          <w:rFonts w:hint="eastAsia" w:asciiTheme="minorEastAsia" w:hAnsiTheme="minorEastAsia" w:eastAsiaTheme="minorEastAsia" w:cstheme="minorEastAsia"/>
          <w:color w:val="auto"/>
          <w:sz w:val="24"/>
          <w:szCs w:val="24"/>
          <w:highlight w:val="none"/>
        </w:rPr>
        <w:t>屏柜在结构上应符合IP</w:t>
      </w:r>
      <w:r>
        <w:rPr>
          <w:rStyle w:val="20"/>
          <w:rFonts w:hint="eastAsia" w:asciiTheme="minorEastAsia" w:hAnsiTheme="minorEastAsia" w:eastAsiaTheme="minorEastAsia" w:cstheme="minorEastAsia"/>
          <w:color w:val="auto"/>
          <w:sz w:val="24"/>
          <w:szCs w:val="24"/>
          <w:highlight w:val="none"/>
          <w:lang w:eastAsia="zh-CN"/>
        </w:rPr>
        <w:t>4</w:t>
      </w:r>
      <w:r>
        <w:rPr>
          <w:rStyle w:val="20"/>
          <w:rFonts w:hint="eastAsia" w:asciiTheme="minorEastAsia" w:hAnsiTheme="minorEastAsia" w:eastAsiaTheme="minorEastAsia" w:cstheme="minorEastAsia"/>
          <w:color w:val="auto"/>
          <w:sz w:val="24"/>
          <w:szCs w:val="24"/>
          <w:highlight w:val="none"/>
          <w:lang w:val="en-US" w:eastAsia="zh-CN"/>
        </w:rPr>
        <w:t>2</w:t>
      </w:r>
      <w:r>
        <w:rPr>
          <w:rStyle w:val="20"/>
          <w:rFonts w:hint="eastAsia" w:asciiTheme="minorEastAsia" w:hAnsiTheme="minorEastAsia" w:eastAsiaTheme="minorEastAsia" w:cstheme="minorEastAsia"/>
          <w:color w:val="auto"/>
          <w:sz w:val="24"/>
          <w:szCs w:val="24"/>
          <w:highlight w:val="none"/>
        </w:rPr>
        <w:t>的要求。屏柜色标浅灰RAL 7035。柜外形尺寸800×600×2200mm（宽×深×高），外加60mm屏眉。</w:t>
      </w:r>
      <w:r>
        <w:rPr>
          <w:rFonts w:ascii="宋体"/>
          <w:color w:val="auto"/>
          <w:sz w:val="24"/>
          <w:szCs w:val="24"/>
          <w:highlight w:val="none"/>
        </w:rPr>
        <w:t>柜板材</w:t>
      </w:r>
      <w:r>
        <w:rPr>
          <w:rFonts w:hint="eastAsia" w:ascii="宋体" w:hAnsi="宋体" w:eastAsia="宋体" w:cs="宋体"/>
          <w:bCs w:val="0"/>
          <w:snapToGrid/>
          <w:color w:val="auto"/>
          <w:sz w:val="24"/>
          <w:szCs w:val="24"/>
          <w:highlight w:val="none"/>
        </w:rPr>
        <w:t>为镀锌钢板，</w:t>
      </w:r>
      <w:r>
        <w:rPr>
          <w:rFonts w:ascii="宋体"/>
          <w:color w:val="auto"/>
          <w:sz w:val="24"/>
          <w:szCs w:val="24"/>
          <w:highlight w:val="none"/>
        </w:rPr>
        <w:t>厚度不小于2.</w:t>
      </w:r>
      <w:r>
        <w:rPr>
          <w:rFonts w:hint="eastAsia" w:ascii="宋体"/>
          <w:color w:val="auto"/>
          <w:sz w:val="24"/>
          <w:szCs w:val="24"/>
          <w:highlight w:val="none"/>
          <w:lang w:val="en-US" w:eastAsia="zh-CN"/>
        </w:rPr>
        <w:t>0</w:t>
      </w:r>
      <w:r>
        <w:rPr>
          <w:rFonts w:ascii="宋体"/>
          <w:color w:val="auto"/>
          <w:sz w:val="24"/>
          <w:szCs w:val="24"/>
          <w:highlight w:val="none"/>
        </w:rPr>
        <w:t>mm；</w:t>
      </w:r>
      <w:r>
        <w:rPr>
          <w:rFonts w:hint="eastAsia" w:ascii="宋体" w:hAnsi="宋体" w:eastAsia="宋体" w:cs="宋体"/>
          <w:bCs w:val="0"/>
          <w:snapToGrid/>
          <w:color w:val="auto"/>
          <w:sz w:val="24"/>
          <w:szCs w:val="24"/>
          <w:highlight w:val="none"/>
        </w:rPr>
        <w:t>门板材料为镀锌钢板，厚度不小于</w:t>
      </w:r>
      <w:r>
        <w:rPr>
          <w:rFonts w:hint="eastAsia" w:ascii="宋体" w:hAnsi="宋体" w:cs="宋体"/>
          <w:bCs w:val="0"/>
          <w:snapToGrid/>
          <w:color w:val="auto"/>
          <w:sz w:val="24"/>
          <w:szCs w:val="24"/>
          <w:highlight w:val="none"/>
          <w:lang w:val="en-US" w:eastAsia="zh-CN"/>
        </w:rPr>
        <w:t>1.</w:t>
      </w:r>
      <w:r>
        <w:rPr>
          <w:rFonts w:hint="eastAsia" w:ascii="宋体" w:hAnsi="Times New Roman" w:cs="Times New Roman"/>
          <w:bCs w:val="0"/>
          <w:snapToGrid/>
          <w:color w:val="auto"/>
          <w:sz w:val="24"/>
          <w:szCs w:val="24"/>
          <w:highlight w:val="none"/>
          <w:lang w:val="en-US" w:eastAsia="zh-CN"/>
        </w:rPr>
        <w:t>5</w:t>
      </w:r>
      <w:r>
        <w:rPr>
          <w:rFonts w:hint="eastAsia" w:ascii="宋体" w:hAnsi="Times New Roman" w:eastAsia="宋体" w:cs="Times New Roman"/>
          <w:bCs w:val="0"/>
          <w:snapToGrid/>
          <w:color w:val="auto"/>
          <w:sz w:val="24"/>
          <w:szCs w:val="24"/>
          <w:highlight w:val="none"/>
        </w:rPr>
        <w:t>mm</w:t>
      </w:r>
      <w:r>
        <w:rPr>
          <w:rFonts w:hint="eastAsia" w:ascii="宋体" w:hAnsi="Times New Roman" w:eastAsia="宋体" w:cs="Times New Roman"/>
          <w:bCs w:val="0"/>
          <w:snapToGrid/>
          <w:color w:val="auto"/>
          <w:sz w:val="24"/>
          <w:szCs w:val="24"/>
          <w:highlight w:val="none"/>
          <w:lang w:eastAsia="zh-CN"/>
        </w:rPr>
        <w:t>。</w:t>
      </w:r>
    </w:p>
    <w:p w14:paraId="6325F5D5">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4.8.1.3  为方便招标人使用和维护设备，应利用标准化元件和组件。</w:t>
      </w:r>
    </w:p>
    <w:p w14:paraId="313A7A34">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4.8.1.4  屏柜应前后有门，前门上应有玻璃窗，可监视内部的掉牌信号，门在开闭时，不应造成保护误动作，</w:t>
      </w:r>
      <w:r>
        <w:rPr>
          <w:rStyle w:val="20"/>
          <w:rFonts w:hint="eastAsia" w:asciiTheme="minorEastAsia" w:hAnsiTheme="minorEastAsia" w:eastAsiaTheme="minorEastAsia" w:cstheme="minorEastAsia"/>
          <w:b/>
          <w:color w:val="auto"/>
          <w:sz w:val="24"/>
          <w:szCs w:val="24"/>
          <w:highlight w:val="none"/>
        </w:rPr>
        <w:t>门轴在右侧（面对屏柜）</w:t>
      </w:r>
      <w:r>
        <w:rPr>
          <w:rStyle w:val="20"/>
          <w:rFonts w:hint="eastAsia" w:asciiTheme="minorEastAsia" w:hAnsiTheme="minorEastAsia" w:eastAsiaTheme="minorEastAsia" w:cstheme="minorEastAsia"/>
          <w:color w:val="auto"/>
          <w:sz w:val="24"/>
          <w:szCs w:val="24"/>
          <w:highlight w:val="none"/>
        </w:rPr>
        <w:t>。屏柜的门及通风口应能保证足够的流通气体，以满足屏柜的散热需要。后门为双开门，门的开摆角度至少105º，屏上的每把锁应配备2把钥匙。</w:t>
      </w:r>
    </w:p>
    <w:p w14:paraId="469AB79A">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4.8.1.5  整块柜应有足够强度。运输过程应有加固。并应提供屏柜说明书，保证在起吊、运输、存放和安装时的安全。屏柜底部应有安装孔。</w:t>
      </w:r>
    </w:p>
    <w:p w14:paraId="6FF3D272">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4.8.1.6  屏柜及其中设备应能适用于地震地区。</w:t>
      </w:r>
    </w:p>
    <w:p w14:paraId="6ABA6A0E">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4.8.1.7  所有柜上设备应采用嵌入式或半嵌入式安装和背后接线。</w:t>
      </w:r>
    </w:p>
    <w:p w14:paraId="0B263489">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4.8.1.8  电压和电流互感器的中性点均在就地端子箱直接接地。交流电压的输入回路应装设带辅助接点的自动空气开关。</w:t>
      </w:r>
    </w:p>
    <w:p w14:paraId="5D3A021A">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4.8.1.9  屏柜内设备的安排及端子排的布置，应保证各套装置的独立性，在一套装置检修时不影响其他任何一套装置系统的正常运行。对于那些必须按制造厂的规定才能进行更换的部件和标件，应有特殊的符号标出。</w:t>
      </w:r>
    </w:p>
    <w:p w14:paraId="6CFD6517">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4.8.1.10  屏柜由光滑的钢板制作，边角焊接，底部平整。</w:t>
      </w:r>
    </w:p>
    <w:p w14:paraId="03B5957F">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4.8.1.11  屏柜的屏面设计和屏上设备布置应合理，以便于接线和安装设备，并在前面和背板上有清晰标记。屏上的远景设备其屏上开孔应用盖板覆盖，内部接线预留。</w:t>
      </w:r>
    </w:p>
    <w:p w14:paraId="02119676">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4.8.1.12  屏柜内的相序排列应是当面对屏前，从左到右是A、B、C。</w:t>
      </w:r>
    </w:p>
    <w:p w14:paraId="2BE45696">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4.8.2  配线要求</w:t>
      </w:r>
    </w:p>
    <w:p w14:paraId="36811A4B">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4.8.2.1  配线应布线清晰、安装牢固，便于核查。</w:t>
      </w:r>
    </w:p>
    <w:p w14:paraId="0D5524E7">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4.8.2.</w:t>
      </w:r>
      <w:r>
        <w:rPr>
          <w:rStyle w:val="20"/>
          <w:rFonts w:hint="eastAsia" w:asciiTheme="minorEastAsia" w:hAnsiTheme="minorEastAsia" w:eastAsiaTheme="minorEastAsia" w:cstheme="minorEastAsia"/>
          <w:color w:val="auto"/>
          <w:sz w:val="24"/>
          <w:szCs w:val="24"/>
          <w:highlight w:val="none"/>
          <w:lang w:eastAsia="zh-CN"/>
        </w:rPr>
        <w:t>2</w:t>
      </w:r>
      <w:r>
        <w:rPr>
          <w:rStyle w:val="20"/>
          <w:rFonts w:hint="eastAsia" w:asciiTheme="minorEastAsia" w:hAnsiTheme="minorEastAsia" w:eastAsiaTheme="minorEastAsia" w:cstheme="minorEastAsia"/>
          <w:color w:val="auto"/>
          <w:sz w:val="24"/>
          <w:szCs w:val="24"/>
          <w:highlight w:val="none"/>
        </w:rPr>
        <w:t xml:space="preserve">  所有的回路应尽可能沿垂直和水平方向的最短距离布线，不允许采用斜方向布线。布线的走向不能影响试验和安装屏上设备。屏内布线应捆扎以免混乱。</w:t>
      </w:r>
    </w:p>
    <w:p w14:paraId="3BD97892">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4.8.2.</w:t>
      </w:r>
      <w:r>
        <w:rPr>
          <w:rStyle w:val="20"/>
          <w:rFonts w:hint="eastAsia" w:asciiTheme="minorEastAsia" w:hAnsiTheme="minorEastAsia" w:eastAsiaTheme="minorEastAsia" w:cstheme="minorEastAsia"/>
          <w:color w:val="auto"/>
          <w:sz w:val="24"/>
          <w:szCs w:val="24"/>
          <w:highlight w:val="none"/>
          <w:lang w:eastAsia="zh-CN"/>
        </w:rPr>
        <w:t>3</w:t>
      </w:r>
      <w:r>
        <w:rPr>
          <w:rStyle w:val="20"/>
          <w:rFonts w:hint="eastAsia" w:asciiTheme="minorEastAsia" w:hAnsiTheme="minorEastAsia" w:eastAsiaTheme="minorEastAsia" w:cstheme="minorEastAsia"/>
          <w:color w:val="auto"/>
          <w:sz w:val="24"/>
          <w:szCs w:val="24"/>
          <w:highlight w:val="none"/>
        </w:rPr>
        <w:t xml:space="preserve">  所有回路的布线应独立，在各自分开的电缆上应表明其工作电压和种类。</w:t>
      </w:r>
    </w:p>
    <w:p w14:paraId="370E2CCC">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4.8.2.4  按钮接通的配线方式只能用于告警和控制回路，配线的方案需经过招标人的认可。</w:t>
      </w:r>
    </w:p>
    <w:p w14:paraId="52DA8D59">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4.8.2.</w:t>
      </w:r>
      <w:r>
        <w:rPr>
          <w:rStyle w:val="20"/>
          <w:rFonts w:hint="eastAsia" w:asciiTheme="minorEastAsia" w:hAnsiTheme="minorEastAsia" w:eastAsiaTheme="minorEastAsia" w:cstheme="minorEastAsia"/>
          <w:color w:val="auto"/>
          <w:sz w:val="24"/>
          <w:szCs w:val="24"/>
          <w:highlight w:val="none"/>
          <w:lang w:eastAsia="zh-CN"/>
        </w:rPr>
        <w:t>4</w:t>
      </w:r>
      <w:r>
        <w:rPr>
          <w:rStyle w:val="20"/>
          <w:rFonts w:hint="eastAsia" w:asciiTheme="minorEastAsia" w:hAnsiTheme="minorEastAsia" w:eastAsiaTheme="minorEastAsia" w:cstheme="minorEastAsia"/>
          <w:color w:val="auto"/>
          <w:sz w:val="24"/>
          <w:szCs w:val="24"/>
          <w:highlight w:val="none"/>
        </w:rPr>
        <w:t xml:space="preserve">  配线的焊接绕接只能用于内部电子设备，应全部符合IEC 352标准。</w:t>
      </w:r>
    </w:p>
    <w:p w14:paraId="395F95FC">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4.8.4.</w:t>
      </w:r>
      <w:r>
        <w:rPr>
          <w:rStyle w:val="20"/>
          <w:rFonts w:hint="eastAsia" w:asciiTheme="minorEastAsia" w:hAnsiTheme="minorEastAsia" w:eastAsiaTheme="minorEastAsia" w:cstheme="minorEastAsia"/>
          <w:color w:val="auto"/>
          <w:sz w:val="24"/>
          <w:szCs w:val="24"/>
          <w:highlight w:val="none"/>
          <w:lang w:eastAsia="zh-CN"/>
        </w:rPr>
        <w:t>5</w:t>
      </w:r>
      <w:r>
        <w:rPr>
          <w:rStyle w:val="20"/>
          <w:rFonts w:hint="eastAsia" w:asciiTheme="minorEastAsia" w:hAnsiTheme="minorEastAsia" w:eastAsiaTheme="minorEastAsia" w:cstheme="minorEastAsia"/>
          <w:color w:val="auto"/>
          <w:sz w:val="24"/>
          <w:szCs w:val="24"/>
          <w:highlight w:val="none"/>
        </w:rPr>
        <w:t xml:space="preserve">  通信回路、变送器回路、调制解调器输出回路等应采用特定的屏蔽接线，其屏蔽层应接地。</w:t>
      </w:r>
    </w:p>
    <w:p w14:paraId="6BEA932B">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4.8.2.7  柜中内部接线应采用耐热、耐潮和阻（不延）燃的交联聚乙烯绝缘铜线，一般控制导线应不小于1.5平方毫米，CT、VT回路的控制导线不应小于4平方毫米。</w:t>
      </w:r>
    </w:p>
    <w:p w14:paraId="22FF62B7">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4.8.2.8  导线应无损伤，导线的端头应采用压紧型联接件。投标人应提供走线槽，以便于固定电缆及端子排的接线。</w:t>
      </w:r>
    </w:p>
    <w:p w14:paraId="735428F7">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4.8.2.9  对于运输的散部件，应预留配线连接至接线板，以便装配时将预留配线与设备连接。</w:t>
      </w:r>
    </w:p>
    <w:p w14:paraId="313CC46D">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4.8.3  控制开关</w:t>
      </w:r>
    </w:p>
    <w:p w14:paraId="0BEC4604">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4.8.3.1  控制开关为旋转式，手动柄在前方，机械接点在背面，每个控制开关应具有足够的接点数量以满足功能和控制系统的要求。</w:t>
      </w:r>
    </w:p>
    <w:p w14:paraId="38822DCC">
      <w:pPr>
        <w:pStyle w:val="8"/>
        <w:spacing w:line="460" w:lineRule="exac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4.8.3.2  所有的控制开关应能适用于交流220V或直流110V，而且其操作容量应能满足至少10000次在额定电流下的操作次数，所有的控制开关在通流20A下不应产生30ºC的温升。在交流220V或直流110V控制回路中，其额定感应负载不能大于2A。</w:t>
      </w:r>
    </w:p>
    <w:p w14:paraId="59CFCC6D">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4.8.4  屏柜附件</w:t>
      </w:r>
    </w:p>
    <w:p w14:paraId="5FA78E72">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4.8.4.1  端子排</w:t>
      </w:r>
    </w:p>
    <w:p w14:paraId="753B8715">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a、 端子排的设置应方便进出线，并便于观察和维护。交流电流、交流电压、直流回路的输入端子应分种类独立设置，并有保护措施。</w:t>
      </w:r>
    </w:p>
    <w:p w14:paraId="37B8C710">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b、 端子排与设备之间应有绝缘材料将之分开。交流回路采用电流试验型端子，其余采用可断开型端子。采用Phoenix凤凰端子。</w:t>
      </w:r>
    </w:p>
    <w:p w14:paraId="6487FAF4">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c、 端子排前应保留足够空间，便于电缆连接。</w:t>
      </w:r>
    </w:p>
    <w:p w14:paraId="652D1093">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d、 外部接入的一根电缆中所有导线应接于靠近的端子上。</w:t>
      </w:r>
    </w:p>
    <w:p w14:paraId="0DD01B6D">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e、 每个端子上只能接一根导线。直流电源的正负极也不能接在相邻的端子上。直流正负电源应留有连接型备用端子。</w:t>
      </w:r>
    </w:p>
    <w:p w14:paraId="505B3527">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f、所有端子要求参照浙电会纪字【2016】201号文件，采用额定值为1000V，10A，压接型端子。装置电源端子采用UK6N，其余端子采用凤凰刀闸型端子。电流端子应允许用户接4平方毫米电缆导线。</w:t>
      </w:r>
    </w:p>
    <w:p w14:paraId="34A1BC8F">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g、 端子排应至少有10%备用端子，且可在必要时增加。</w:t>
      </w:r>
    </w:p>
    <w:p w14:paraId="68E12BFE">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h、 端子排应保证足够的绝缘水平，端子排应该分段。</w:t>
      </w:r>
    </w:p>
    <w:p w14:paraId="50840C8A">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i、 端子采用螺丝在两侧固定，金属部分不能在端子暴露出端子背部。</w:t>
      </w:r>
    </w:p>
    <w:p w14:paraId="1F34982A">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j、 每个端子的编号与接线应符合招标人要求，并与原理图和接线图相对应。</w:t>
      </w:r>
    </w:p>
    <w:p w14:paraId="5F2F14E8">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4.8.4.2  标签框</w:t>
      </w:r>
    </w:p>
    <w:p w14:paraId="7C2D51AC">
      <w:pPr>
        <w:pStyle w:val="8"/>
        <w:spacing w:line="360" w:lineRule="auto"/>
        <w:ind w:firstLine="480" w:firstLineChars="2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每块屏及其上的装置（包括继电器、控制开关、控制回路的熔丝、开关及其他独立设备）都应有标签框，以便于清楚的识别，外壳可移动的设备，在设备本体上也要有同样的识别标记。</w:t>
      </w:r>
    </w:p>
    <w:p w14:paraId="25557D5F">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4.8.4.3  接地母线</w:t>
      </w:r>
    </w:p>
    <w:p w14:paraId="281143F0">
      <w:pPr>
        <w:pStyle w:val="8"/>
        <w:spacing w:line="360" w:lineRule="auto"/>
        <w:ind w:firstLine="480" w:firstLineChars="2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每块柜应装有2根截面不小于100mm</w:t>
      </w:r>
      <w:r>
        <w:rPr>
          <w:rStyle w:val="20"/>
          <w:rFonts w:hint="eastAsia" w:asciiTheme="minorEastAsia" w:hAnsiTheme="minorEastAsia" w:eastAsiaTheme="minorEastAsia" w:cstheme="minorEastAsia"/>
          <w:color w:val="auto"/>
          <w:sz w:val="24"/>
          <w:szCs w:val="24"/>
          <w:highlight w:val="none"/>
          <w:vertAlign w:val="superscript"/>
        </w:rPr>
        <w:t>2</w:t>
      </w:r>
      <w:r>
        <w:rPr>
          <w:rStyle w:val="20"/>
          <w:rFonts w:hint="eastAsia" w:asciiTheme="minorEastAsia" w:hAnsiTheme="minorEastAsia" w:eastAsiaTheme="minorEastAsia" w:cstheme="minorEastAsia"/>
          <w:color w:val="auto"/>
          <w:sz w:val="24"/>
          <w:szCs w:val="24"/>
          <w:highlight w:val="none"/>
        </w:rPr>
        <w:t>的铜接地母线。一根接地母线不安装绝缘子，与屏柜直接相连接，用于一次接地，装置的外壳接地接于此母排。另一根安装绝缘子，通过绝缘子固定在屏柜上，用于外部二次电缆的屏蔽层接地，接地母线应配齐相应的螺栓、螺帽。</w:t>
      </w:r>
    </w:p>
    <w:p w14:paraId="56864908">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4.8.4.4  屏内照明</w:t>
      </w:r>
    </w:p>
    <w:p w14:paraId="3EA1111F">
      <w:pPr>
        <w:pStyle w:val="8"/>
        <w:tabs>
          <w:tab w:val="left" w:pos="720"/>
        </w:tabs>
        <w:spacing w:line="360" w:lineRule="auto"/>
        <w:ind w:firstLine="480" w:firstLineChars="2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每面屏的顶部安装有用于屏内照明灯的控制开关，控制开关为15A、交流220V，安装在屏内方便操作的位置上。屏内照明灯为220V、50Hz，安装在屏内方便接线和通道的位置上。</w:t>
      </w:r>
    </w:p>
    <w:p w14:paraId="4B284F53">
      <w:pPr>
        <w:pStyle w:val="8"/>
        <w:tabs>
          <w:tab w:val="left" w:pos="720"/>
        </w:tabs>
        <w:spacing w:before="72" w:beforeLines="30" w:after="72" w:afterLines="30" w:line="360" w:lineRule="auto"/>
        <w:rPr>
          <w:rStyle w:val="20"/>
          <w:rFonts w:hint="eastAsia" w:ascii="宋体" w:hAnsi="宋体" w:cs="宋体"/>
          <w:b/>
          <w:color w:val="auto"/>
          <w:sz w:val="28"/>
          <w:szCs w:val="28"/>
          <w:highlight w:val="none"/>
        </w:rPr>
      </w:pPr>
      <w:bookmarkStart w:id="86" w:name="_Toc250764306"/>
      <w:bookmarkStart w:id="87" w:name="_Toc269480644"/>
      <w:bookmarkStart w:id="88" w:name="_Toc250524123"/>
      <w:r>
        <w:rPr>
          <w:rStyle w:val="20"/>
          <w:rFonts w:hint="eastAsia" w:ascii="宋体" w:hAnsi="宋体" w:cs="宋体"/>
          <w:b/>
          <w:color w:val="auto"/>
          <w:sz w:val="28"/>
          <w:szCs w:val="28"/>
          <w:highlight w:val="none"/>
        </w:rPr>
        <w:t>5试验</w:t>
      </w:r>
    </w:p>
    <w:p w14:paraId="6D58953E">
      <w:pPr>
        <w:pStyle w:val="8"/>
        <w:numPr>
          <w:ilvl w:val="1"/>
          <w:numId w:val="7"/>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试验要求</w:t>
      </w:r>
      <w:bookmarkEnd w:id="86"/>
      <w:bookmarkEnd w:id="87"/>
      <w:bookmarkEnd w:id="88"/>
    </w:p>
    <w:p w14:paraId="4032ED49">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投标人提供的设备试验标准应符合IEC及国标、行标的有关规范，并提供型式试验、出厂检验及现场试验三种类型的检验报告。</w:t>
      </w:r>
    </w:p>
    <w:p w14:paraId="5C7625C9">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投标人提供的每一种型式的产品都应提供型式试验报告和报告结论证明。</w:t>
      </w:r>
    </w:p>
    <w:p w14:paraId="7B2DF543">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投标人提供的每一套设备出厂之前都应按规范要求、国家和行业标准以及工厂规定的调试大纲进行出厂检查、性能试验，试验报告应随产品提供。当需做动态模拟试验时，模拟系统的接线和参数由投标人与招标人在试验前协商确定，按实际系统参数进行动模试验。</w:t>
      </w:r>
    </w:p>
    <w:p w14:paraId="2C8A6A96">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投标人应在工厂验收试验之前30天，向招标人提交电能量采集装置详细的工厂验收及联调试验大纲，并通知相关的联调设备供货商，该大纲至少应该包括：试验日期，试验接线，试验项目，试验方法，以及测量仪器仪表等。该大纲需经招标人确认方可执行。</w:t>
      </w:r>
      <w:bookmarkStart w:id="89" w:name="_Toc248379851"/>
      <w:bookmarkStart w:id="90" w:name="_Toc290105171"/>
      <w:bookmarkStart w:id="91" w:name="_Toc269480645"/>
      <w:bookmarkStart w:id="92" w:name="_Toc250764308"/>
      <w:bookmarkStart w:id="93" w:name="_Toc250524125"/>
    </w:p>
    <w:bookmarkEnd w:id="89"/>
    <w:p w14:paraId="1954947A">
      <w:pPr>
        <w:pStyle w:val="8"/>
        <w:numPr>
          <w:ilvl w:val="1"/>
          <w:numId w:val="7"/>
        </w:numPr>
        <w:spacing w:line="360" w:lineRule="auto"/>
        <w:ind w:left="0" w:firstLine="0"/>
        <w:jc w:val="left"/>
        <w:rPr>
          <w:rStyle w:val="20"/>
          <w:rFonts w:hint="eastAsia" w:asciiTheme="minorEastAsia" w:hAnsiTheme="minorEastAsia" w:eastAsiaTheme="minorEastAsia" w:cstheme="minorEastAsia"/>
          <w:bCs/>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性能试验</w:t>
      </w:r>
      <w:bookmarkEnd w:id="90"/>
    </w:p>
    <w:p w14:paraId="17B9ACAD">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为保证工程进度，确保系统满足标书的性能指标要求，招标人将保留参加投标人的工厂试验的权利，投标人应予配合。</w:t>
      </w:r>
    </w:p>
    <w:p w14:paraId="33BD97BC">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工厂试验应包括装置系统功能试验及系统指标试验，应包括以下试验项目，且不仅限于以下试验项目：</w:t>
      </w:r>
    </w:p>
    <w:p w14:paraId="61BB1D9D">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性能试验（包括信号输入检查、命令输出检查等）。设备上应可以方便地观察到测量结果。</w:t>
      </w:r>
    </w:p>
    <w:p w14:paraId="5F9950E3">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系统功能试验（包括标书描述的各项功能检查）。</w:t>
      </w:r>
    </w:p>
    <w:p w14:paraId="4C9CE6C9">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3）</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时钟同步系统对时精度试验。</w:t>
      </w:r>
    </w:p>
    <w:p w14:paraId="008BDDFD">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与多个电能量主站系统的各种通信方式模拟试验。</w:t>
      </w:r>
    </w:p>
    <w:p w14:paraId="3622080A">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5）</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与多个电能表的抄表试验。</w:t>
      </w:r>
    </w:p>
    <w:p w14:paraId="2A23BF67">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6）</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根据实际系统经双方协商认为需进行的试验。</w:t>
      </w:r>
    </w:p>
    <w:p w14:paraId="64709E46">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在工厂试验期间，投标人应根据标书的技术要求，完成工厂试验报告。试验报告应包括但不限于以下项目：</w:t>
      </w:r>
    </w:p>
    <w:p w14:paraId="21822C43">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设备的编号、数量和出厂序号。</w:t>
      </w:r>
    </w:p>
    <w:p w14:paraId="77D83C6C">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试验日期和试验地点。</w:t>
      </w:r>
    </w:p>
    <w:p w14:paraId="0ACBCD73">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3）</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试验条件（包括环境温度、湿度、试验电源等）。</w:t>
      </w:r>
    </w:p>
    <w:p w14:paraId="2F84F0F5">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试验方法和试验仪器仪表（对于精度试验，应标明所使用的测试设备的精度）。</w:t>
      </w:r>
    </w:p>
    <w:p w14:paraId="77BA447B">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5）</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试验依据的标准，如为厂家标准，应提交标准文本供招标人确认，是否满足标书要求。</w:t>
      </w:r>
    </w:p>
    <w:p w14:paraId="53EE36DD">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6）</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试验结果，包括试验数据，试验点，打印数据和示波器图形等。</w:t>
      </w:r>
    </w:p>
    <w:p w14:paraId="6BB93293">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7）</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试验者和审批者的签名。</w:t>
      </w:r>
    </w:p>
    <w:p w14:paraId="6CD8D28E">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投标人完成工厂试验后，应及时通知招标人，以便安排工厂验收试验。</w:t>
      </w:r>
    </w:p>
    <w:p w14:paraId="4286B524">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投标人应按本规范书要求，向招标人提供工厂试验报告，有关设备的型式试验报告，同时提供设备和软件的使用和测试说明书。</w:t>
      </w:r>
    </w:p>
    <w:p w14:paraId="3A8C1EA6">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在工厂验收试验期间，投标人应向招标人参加试验的工作人员提供检查、测试和记录设备。</w:t>
      </w:r>
    </w:p>
    <w:p w14:paraId="495F7F79">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招标人参加工厂验收试验并不意味着解除投标人保证系统质量的责任，也不能代替设备到现场后的检查和测试。</w:t>
      </w:r>
    </w:p>
    <w:p w14:paraId="5C42EE3F">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工厂验收试验在工厂试验的基础上进行，主要根据标书要求进行系统的功能和性能试验，以便确认：系统各项功能满足标书要求；系统各项指标满足标书要求；所有的硬件和软件缺陷已发现并改正；各项切换功能满足标书要求；系统的稳定性满足标书要求等。</w:t>
      </w:r>
    </w:p>
    <w:p w14:paraId="423C83B5">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工厂验收试验应包括系统性能试验、功能试验和稳定性试验。</w:t>
      </w:r>
    </w:p>
    <w:p w14:paraId="26C1F69C">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工厂验收试验应该按电气接线的最终规模进行，应该模拟预期的最大系统负荷。测试分三部分，第一部分为工厂试验项目的抽测，第二部分为系统试验，第三部分为系统稳定性试验。</w:t>
      </w:r>
    </w:p>
    <w:p w14:paraId="540E6BA3">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第一部分工厂试验项目的抽测项目由招标人参加验收人员在验收现场确定，若测试结果与工厂试验报告有较大出入，且投标人无法给出合理的解释，招标人有权要求投标人重新进行有关试验，由此造成的工厂验收时间延长的责任和费用应由投标人承担。</w:t>
      </w:r>
    </w:p>
    <w:p w14:paraId="705AC686">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第二部分系统试验主要包括但不限于以下试验项目：</w:t>
      </w:r>
    </w:p>
    <w:p w14:paraId="5C72CF5D">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采集装置的起动、重新起动、系统初始化、故障和通信等试验。</w:t>
      </w:r>
    </w:p>
    <w:p w14:paraId="7237F035">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网络通信测试。</w:t>
      </w:r>
    </w:p>
    <w:p w14:paraId="027B7B86">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3）</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数据采集系统测试。</w:t>
      </w:r>
    </w:p>
    <w:p w14:paraId="09E4B0CF">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告警系统测试（包括系统自诊断异常告警）。</w:t>
      </w:r>
    </w:p>
    <w:p w14:paraId="76D9A83C">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5）</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时钟对时准确度试验。</w:t>
      </w:r>
    </w:p>
    <w:p w14:paraId="08BF3B48">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6）</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与电能量主站端的通信模拟接口试验。</w:t>
      </w:r>
    </w:p>
    <w:p w14:paraId="31E53837">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7）</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与电能表及其他智能设备等的通信模拟接口试验。</w:t>
      </w:r>
    </w:p>
    <w:p w14:paraId="62F24781">
      <w:pPr>
        <w:pStyle w:val="8"/>
        <w:topLinePunct/>
        <w:adjustRightInd w:val="0"/>
        <w:spacing w:line="360" w:lineRule="auto"/>
        <w:ind w:firstLine="480" w:firstLineChars="200"/>
        <w:textAlignment w:val="center"/>
        <w:rPr>
          <w:rStyle w:val="20"/>
          <w:rFonts w:hint="eastAsia" w:asciiTheme="minorEastAsia" w:hAnsiTheme="minorEastAsia" w:eastAsiaTheme="minorEastAsia" w:cstheme="minorEastAsia"/>
          <w:bCs/>
          <w:color w:val="auto"/>
          <w:sz w:val="24"/>
          <w:szCs w:val="24"/>
          <w:highlight w:val="none"/>
        </w:rPr>
      </w:pPr>
      <w:r>
        <w:rPr>
          <w:rStyle w:val="20"/>
          <w:rFonts w:hint="eastAsia" w:asciiTheme="minorEastAsia" w:hAnsiTheme="minorEastAsia" w:eastAsiaTheme="minorEastAsia" w:cstheme="minorEastAsia"/>
          <w:bCs/>
          <w:color w:val="auto"/>
          <w:sz w:val="24"/>
          <w:szCs w:val="24"/>
          <w:highlight w:val="none"/>
        </w:rPr>
        <w:t>若系统的性能指标不满足标书要求，投标人应承诺在交货前改进，并在现场试验时验证，若仍不能满足要求，将按合同的相关条款进行赔偿。</w:t>
      </w:r>
    </w:p>
    <w:p w14:paraId="66AB8D38">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第三部分系统稳定性试验在系统试验后进行，系统在全负载全功能下进行72h的连续运行，并应遵循下列原则：</w:t>
      </w:r>
    </w:p>
    <w:p w14:paraId="0432C2E5">
      <w:pPr>
        <w:pStyle w:val="42"/>
        <w:spacing w:line="360" w:lineRule="auto"/>
        <w:rPr>
          <w:rStyle w:val="20"/>
          <w:rFonts w:hint="eastAsia" w:asciiTheme="minorEastAsia" w:hAnsiTheme="minorEastAsia" w:eastAsiaTheme="minorEastAsia" w:cstheme="minorEastAsia"/>
          <w:bCs/>
          <w:color w:val="auto"/>
          <w:sz w:val="24"/>
          <w:szCs w:val="24"/>
          <w:highlight w:val="none"/>
        </w:rPr>
      </w:pPr>
      <w:r>
        <w:rPr>
          <w:rStyle w:val="20"/>
          <w:rFonts w:hint="eastAsia" w:asciiTheme="minorEastAsia" w:hAnsiTheme="minorEastAsia" w:eastAsiaTheme="minorEastAsia" w:cstheme="minorEastAsia"/>
          <w:bCs/>
          <w:color w:val="auto"/>
          <w:sz w:val="24"/>
          <w:szCs w:val="24"/>
          <w:highlight w:val="none"/>
        </w:rPr>
        <w:t>1）</w:t>
      </w:r>
      <w:r>
        <w:rPr>
          <w:rStyle w:val="20"/>
          <w:rFonts w:hint="eastAsia" w:asciiTheme="minorEastAsia" w:hAnsiTheme="minorEastAsia" w:eastAsiaTheme="minorEastAsia" w:cstheme="minorEastAsia"/>
          <w:bCs/>
          <w:color w:val="auto"/>
          <w:sz w:val="24"/>
          <w:szCs w:val="24"/>
          <w:highlight w:val="none"/>
        </w:rPr>
        <w:tab/>
      </w:r>
      <w:r>
        <w:rPr>
          <w:rStyle w:val="20"/>
          <w:rFonts w:hint="eastAsia" w:asciiTheme="minorEastAsia" w:hAnsiTheme="minorEastAsia" w:eastAsiaTheme="minorEastAsia" w:cstheme="minorEastAsia"/>
          <w:bCs/>
          <w:color w:val="auto"/>
          <w:sz w:val="24"/>
          <w:szCs w:val="24"/>
          <w:highlight w:val="none"/>
        </w:rPr>
        <w:t>稳定试验运行期间，未经招标人同意，投标人对外围设备不应有任何调整。</w:t>
      </w:r>
    </w:p>
    <w:p w14:paraId="59E28C25">
      <w:pPr>
        <w:pStyle w:val="42"/>
        <w:spacing w:line="360" w:lineRule="auto"/>
        <w:rPr>
          <w:rStyle w:val="20"/>
          <w:rFonts w:hint="eastAsia" w:asciiTheme="minorEastAsia" w:hAnsiTheme="minorEastAsia" w:eastAsiaTheme="minorEastAsia" w:cstheme="minorEastAsia"/>
          <w:bCs/>
          <w:color w:val="auto"/>
          <w:sz w:val="24"/>
          <w:szCs w:val="24"/>
          <w:highlight w:val="none"/>
        </w:rPr>
      </w:pPr>
      <w:r>
        <w:rPr>
          <w:rStyle w:val="20"/>
          <w:rFonts w:hint="eastAsia" w:asciiTheme="minorEastAsia" w:hAnsiTheme="minorEastAsia" w:eastAsiaTheme="minorEastAsia" w:cstheme="minorEastAsia"/>
          <w:bCs/>
          <w:color w:val="auto"/>
          <w:sz w:val="24"/>
          <w:szCs w:val="24"/>
          <w:highlight w:val="none"/>
        </w:rPr>
        <w:t>2）</w:t>
      </w:r>
      <w:r>
        <w:rPr>
          <w:rStyle w:val="20"/>
          <w:rFonts w:hint="eastAsia" w:asciiTheme="minorEastAsia" w:hAnsiTheme="minorEastAsia" w:eastAsiaTheme="minorEastAsia" w:cstheme="minorEastAsia"/>
          <w:bCs/>
          <w:color w:val="auto"/>
          <w:sz w:val="24"/>
          <w:szCs w:val="24"/>
          <w:highlight w:val="none"/>
        </w:rPr>
        <w:tab/>
      </w:r>
      <w:r>
        <w:rPr>
          <w:rStyle w:val="20"/>
          <w:rFonts w:hint="eastAsia" w:asciiTheme="minorEastAsia" w:hAnsiTheme="minorEastAsia" w:eastAsiaTheme="minorEastAsia" w:cstheme="minorEastAsia"/>
          <w:bCs/>
          <w:color w:val="auto"/>
          <w:sz w:val="24"/>
          <w:szCs w:val="24"/>
          <w:highlight w:val="none"/>
        </w:rPr>
        <w:t>无招标人的事先同意，不能修改程序或进行系统维护。</w:t>
      </w:r>
    </w:p>
    <w:p w14:paraId="5647D4C2">
      <w:pPr>
        <w:pStyle w:val="42"/>
        <w:spacing w:line="360" w:lineRule="auto"/>
        <w:rPr>
          <w:rStyle w:val="20"/>
          <w:rFonts w:hint="eastAsia" w:asciiTheme="minorEastAsia" w:hAnsiTheme="minorEastAsia" w:eastAsiaTheme="minorEastAsia" w:cstheme="minorEastAsia"/>
          <w:bCs/>
          <w:color w:val="auto"/>
          <w:sz w:val="24"/>
          <w:szCs w:val="24"/>
          <w:highlight w:val="none"/>
        </w:rPr>
      </w:pPr>
      <w:r>
        <w:rPr>
          <w:rStyle w:val="20"/>
          <w:rFonts w:hint="eastAsia" w:asciiTheme="minorEastAsia" w:hAnsiTheme="minorEastAsia" w:eastAsiaTheme="minorEastAsia" w:cstheme="minorEastAsia"/>
          <w:bCs/>
          <w:color w:val="auto"/>
          <w:sz w:val="24"/>
          <w:szCs w:val="24"/>
          <w:highlight w:val="none"/>
        </w:rPr>
        <w:t>3）</w:t>
      </w:r>
      <w:r>
        <w:rPr>
          <w:rStyle w:val="20"/>
          <w:rFonts w:hint="eastAsia" w:asciiTheme="minorEastAsia" w:hAnsiTheme="minorEastAsia" w:eastAsiaTheme="minorEastAsia" w:cstheme="minorEastAsia"/>
          <w:bCs/>
          <w:color w:val="auto"/>
          <w:sz w:val="24"/>
          <w:szCs w:val="24"/>
          <w:highlight w:val="none"/>
        </w:rPr>
        <w:tab/>
      </w:r>
      <w:r>
        <w:rPr>
          <w:rStyle w:val="20"/>
          <w:rFonts w:hint="eastAsia" w:asciiTheme="minorEastAsia" w:hAnsiTheme="minorEastAsia" w:eastAsiaTheme="minorEastAsia" w:cstheme="minorEastAsia"/>
          <w:bCs/>
          <w:color w:val="auto"/>
          <w:sz w:val="24"/>
          <w:szCs w:val="24"/>
          <w:highlight w:val="none"/>
        </w:rPr>
        <w:t>有故障的设备将用备件代替，故障单元运行时间应该被扣除。</w:t>
      </w:r>
    </w:p>
    <w:p w14:paraId="441C9B2D">
      <w:pPr>
        <w:pStyle w:val="42"/>
        <w:spacing w:line="360" w:lineRule="auto"/>
        <w:rPr>
          <w:rStyle w:val="20"/>
          <w:rFonts w:hint="eastAsia" w:asciiTheme="minorEastAsia" w:hAnsiTheme="minorEastAsia" w:eastAsiaTheme="minorEastAsia" w:cstheme="minorEastAsia"/>
          <w:bCs/>
          <w:color w:val="auto"/>
          <w:sz w:val="24"/>
          <w:szCs w:val="24"/>
          <w:highlight w:val="none"/>
        </w:rPr>
      </w:pPr>
      <w:r>
        <w:rPr>
          <w:rStyle w:val="20"/>
          <w:rFonts w:hint="eastAsia" w:asciiTheme="minorEastAsia" w:hAnsiTheme="minorEastAsia" w:eastAsiaTheme="minorEastAsia" w:cstheme="minorEastAsia"/>
          <w:bCs/>
          <w:color w:val="auto"/>
          <w:sz w:val="24"/>
          <w:szCs w:val="24"/>
          <w:highlight w:val="none"/>
        </w:rPr>
        <w:t>4）</w:t>
      </w:r>
      <w:r>
        <w:rPr>
          <w:rStyle w:val="20"/>
          <w:rFonts w:hint="eastAsia" w:asciiTheme="minorEastAsia" w:hAnsiTheme="minorEastAsia" w:eastAsiaTheme="minorEastAsia" w:cstheme="minorEastAsia"/>
          <w:bCs/>
          <w:color w:val="auto"/>
          <w:sz w:val="24"/>
          <w:szCs w:val="24"/>
          <w:highlight w:val="none"/>
        </w:rPr>
        <w:tab/>
      </w:r>
      <w:r>
        <w:rPr>
          <w:rStyle w:val="20"/>
          <w:rFonts w:hint="eastAsia" w:asciiTheme="minorEastAsia" w:hAnsiTheme="minorEastAsia" w:eastAsiaTheme="minorEastAsia" w:cstheme="minorEastAsia"/>
          <w:bCs/>
          <w:color w:val="auto"/>
          <w:sz w:val="24"/>
          <w:szCs w:val="24"/>
          <w:highlight w:val="none"/>
        </w:rPr>
        <w:t>除非招标人进行切换试验，试验期间不应有切换发生。</w:t>
      </w:r>
    </w:p>
    <w:p w14:paraId="4B9794B6">
      <w:pPr>
        <w:pStyle w:val="42"/>
        <w:spacing w:line="360" w:lineRule="auto"/>
        <w:rPr>
          <w:rStyle w:val="20"/>
          <w:rFonts w:hint="eastAsia" w:asciiTheme="minorEastAsia" w:hAnsiTheme="minorEastAsia" w:eastAsiaTheme="minorEastAsia" w:cstheme="minorEastAsia"/>
          <w:bCs/>
          <w:color w:val="auto"/>
          <w:sz w:val="24"/>
          <w:szCs w:val="24"/>
          <w:highlight w:val="none"/>
        </w:rPr>
      </w:pPr>
      <w:r>
        <w:rPr>
          <w:rStyle w:val="20"/>
          <w:rFonts w:hint="eastAsia" w:asciiTheme="minorEastAsia" w:hAnsiTheme="minorEastAsia" w:eastAsiaTheme="minorEastAsia" w:cstheme="minorEastAsia"/>
          <w:bCs/>
          <w:color w:val="auto"/>
          <w:sz w:val="24"/>
          <w:szCs w:val="24"/>
          <w:highlight w:val="none"/>
        </w:rPr>
        <w:t>5）</w:t>
      </w:r>
      <w:r>
        <w:rPr>
          <w:rStyle w:val="20"/>
          <w:rFonts w:hint="eastAsia" w:asciiTheme="minorEastAsia" w:hAnsiTheme="minorEastAsia" w:eastAsiaTheme="minorEastAsia" w:cstheme="minorEastAsia"/>
          <w:bCs/>
          <w:color w:val="auto"/>
          <w:sz w:val="24"/>
          <w:szCs w:val="24"/>
          <w:highlight w:val="none"/>
        </w:rPr>
        <w:tab/>
      </w:r>
      <w:r>
        <w:rPr>
          <w:rStyle w:val="20"/>
          <w:rFonts w:hint="eastAsia" w:asciiTheme="minorEastAsia" w:hAnsiTheme="minorEastAsia" w:eastAsiaTheme="minorEastAsia" w:cstheme="minorEastAsia"/>
          <w:bCs/>
          <w:color w:val="auto"/>
          <w:sz w:val="24"/>
          <w:szCs w:val="24"/>
          <w:highlight w:val="none"/>
        </w:rPr>
        <w:t>如果由于设备故障停止试验，该试验视为无效，试验应重新进行。</w:t>
      </w:r>
    </w:p>
    <w:p w14:paraId="401E822F">
      <w:pPr>
        <w:pStyle w:val="42"/>
        <w:spacing w:line="360" w:lineRule="auto"/>
        <w:rPr>
          <w:rStyle w:val="20"/>
          <w:rFonts w:hint="eastAsia" w:asciiTheme="minorEastAsia" w:hAnsiTheme="minorEastAsia" w:eastAsiaTheme="minorEastAsia" w:cstheme="minorEastAsia"/>
          <w:bCs/>
          <w:color w:val="auto"/>
          <w:sz w:val="24"/>
          <w:szCs w:val="24"/>
          <w:highlight w:val="none"/>
        </w:rPr>
      </w:pPr>
      <w:r>
        <w:rPr>
          <w:rStyle w:val="20"/>
          <w:rFonts w:hint="eastAsia" w:asciiTheme="minorEastAsia" w:hAnsiTheme="minorEastAsia" w:eastAsiaTheme="minorEastAsia" w:cstheme="minorEastAsia"/>
          <w:bCs/>
          <w:color w:val="auto"/>
          <w:sz w:val="24"/>
          <w:szCs w:val="24"/>
          <w:highlight w:val="none"/>
        </w:rPr>
        <w:t>6）</w:t>
      </w:r>
      <w:r>
        <w:rPr>
          <w:rStyle w:val="20"/>
          <w:rFonts w:hint="eastAsia" w:asciiTheme="minorEastAsia" w:hAnsiTheme="minorEastAsia" w:eastAsiaTheme="minorEastAsia" w:cstheme="minorEastAsia"/>
          <w:bCs/>
          <w:color w:val="auto"/>
          <w:sz w:val="24"/>
          <w:szCs w:val="24"/>
          <w:highlight w:val="none"/>
        </w:rPr>
        <w:tab/>
      </w:r>
      <w:r>
        <w:rPr>
          <w:rStyle w:val="20"/>
          <w:rFonts w:hint="eastAsia" w:asciiTheme="minorEastAsia" w:hAnsiTheme="minorEastAsia" w:eastAsiaTheme="minorEastAsia" w:cstheme="minorEastAsia"/>
          <w:bCs/>
          <w:color w:val="auto"/>
          <w:sz w:val="24"/>
          <w:szCs w:val="24"/>
          <w:highlight w:val="none"/>
        </w:rPr>
        <w:t>在试验过程的任何阶段，招标人有权在系统上进行模拟和正常操作。</w:t>
      </w:r>
    </w:p>
    <w:p w14:paraId="6E008682">
      <w:pPr>
        <w:pStyle w:val="42"/>
        <w:spacing w:line="360" w:lineRule="auto"/>
        <w:rPr>
          <w:rStyle w:val="20"/>
          <w:rFonts w:hint="eastAsia" w:asciiTheme="minorEastAsia" w:hAnsiTheme="minorEastAsia" w:eastAsiaTheme="minorEastAsia" w:cstheme="minorEastAsia"/>
          <w:bCs/>
          <w:color w:val="auto"/>
          <w:sz w:val="24"/>
          <w:szCs w:val="24"/>
          <w:highlight w:val="none"/>
        </w:rPr>
      </w:pPr>
      <w:r>
        <w:rPr>
          <w:rStyle w:val="20"/>
          <w:rFonts w:hint="eastAsia" w:asciiTheme="minorEastAsia" w:hAnsiTheme="minorEastAsia" w:eastAsiaTheme="minorEastAsia" w:cstheme="minorEastAsia"/>
          <w:bCs/>
          <w:color w:val="auto"/>
          <w:sz w:val="24"/>
          <w:szCs w:val="24"/>
          <w:highlight w:val="none"/>
        </w:rPr>
        <w:t>7）</w:t>
      </w:r>
      <w:r>
        <w:rPr>
          <w:rStyle w:val="20"/>
          <w:rFonts w:hint="eastAsia" w:asciiTheme="minorEastAsia" w:hAnsiTheme="minorEastAsia" w:eastAsiaTheme="minorEastAsia" w:cstheme="minorEastAsia"/>
          <w:bCs/>
          <w:color w:val="auto"/>
          <w:sz w:val="24"/>
          <w:szCs w:val="24"/>
          <w:highlight w:val="none"/>
        </w:rPr>
        <w:tab/>
      </w:r>
      <w:r>
        <w:rPr>
          <w:rStyle w:val="20"/>
          <w:rFonts w:hint="eastAsia" w:asciiTheme="minorEastAsia" w:hAnsiTheme="minorEastAsia" w:eastAsiaTheme="minorEastAsia" w:cstheme="minorEastAsia"/>
          <w:bCs/>
          <w:color w:val="auto"/>
          <w:sz w:val="24"/>
          <w:szCs w:val="24"/>
          <w:highlight w:val="none"/>
        </w:rPr>
        <w:t>若在稳定性试验期间，系统发生未经招标人认可的运行中断，则试验将重新进行，由此造成的工厂验收时间延长的责任和费用应由投标人承担。</w:t>
      </w:r>
    </w:p>
    <w:p w14:paraId="764248B3">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完成所有工厂验收试验后，经招标人参加工厂验收人员的认可后，设备可以装运至现场。</w:t>
      </w:r>
      <w:bookmarkStart w:id="94" w:name="_Toc248379852"/>
    </w:p>
    <w:p w14:paraId="4C920D8A">
      <w:pPr>
        <w:pStyle w:val="8"/>
        <w:numPr>
          <w:ilvl w:val="1"/>
          <w:numId w:val="7"/>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bookmarkStart w:id="95" w:name="_Toc290105172"/>
      <w:bookmarkStart w:id="96" w:name="_Toc244157920"/>
      <w:bookmarkStart w:id="97" w:name="_Toc247863768"/>
      <w:r>
        <w:rPr>
          <w:rStyle w:val="20"/>
          <w:rFonts w:hint="eastAsia" w:asciiTheme="minorEastAsia" w:hAnsiTheme="minorEastAsia" w:eastAsiaTheme="minorEastAsia" w:cstheme="minorEastAsia"/>
          <w:color w:val="auto"/>
          <w:sz w:val="24"/>
          <w:szCs w:val="24"/>
          <w:highlight w:val="none"/>
        </w:rPr>
        <w:t>现场试验</w:t>
      </w:r>
      <w:bookmarkEnd w:id="94"/>
      <w:bookmarkEnd w:id="95"/>
      <w:bookmarkEnd w:id="96"/>
      <w:bookmarkEnd w:id="97"/>
    </w:p>
    <w:p w14:paraId="08A9C4D8">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现场验收试验的时间和条件由招标人根据现场安装和调试的进度确定。投标人有责任指导和配合招标人完成现场安装和调试的各项工作，并应负责培训招标人技术人员，使其掌握系统维护的各项技能。</w:t>
      </w:r>
    </w:p>
    <w:p w14:paraId="48384A22">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现场验收试验有在正常运行条件下进行，也有对事故条件的模拟。</w:t>
      </w:r>
    </w:p>
    <w:p w14:paraId="5A9D9A33">
      <w:pPr>
        <w:pStyle w:val="8"/>
        <w:numPr>
          <w:ilvl w:val="2"/>
          <w:numId w:val="8"/>
        </w:numPr>
        <w:spacing w:line="360" w:lineRule="auto"/>
        <w:ind w:left="0" w:firstLine="0"/>
        <w:jc w:val="left"/>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现场验收试验主要目的是检验采集装置与省调</w:t>
      </w:r>
      <w:r>
        <w:rPr>
          <w:rStyle w:val="20"/>
          <w:rFonts w:hint="eastAsia" w:asciiTheme="minorEastAsia" w:hAnsiTheme="minorEastAsia" w:eastAsiaTheme="minorEastAsia" w:cstheme="minorEastAsia"/>
          <w:color w:val="auto"/>
          <w:sz w:val="24"/>
          <w:szCs w:val="24"/>
          <w:highlight w:val="none"/>
          <w:lang w:eastAsia="zh-CN"/>
        </w:rPr>
        <w:t>、</w:t>
      </w:r>
      <w:r>
        <w:rPr>
          <w:rStyle w:val="20"/>
          <w:rFonts w:hint="eastAsia" w:asciiTheme="minorEastAsia" w:hAnsiTheme="minorEastAsia" w:eastAsiaTheme="minorEastAsia" w:cstheme="minorEastAsia"/>
          <w:color w:val="auto"/>
          <w:sz w:val="24"/>
          <w:szCs w:val="24"/>
          <w:highlight w:val="none"/>
          <w:lang w:val="en-US" w:eastAsia="zh-CN"/>
        </w:rPr>
        <w:t>网调</w:t>
      </w:r>
      <w:r>
        <w:rPr>
          <w:rStyle w:val="20"/>
          <w:rFonts w:hint="eastAsia" w:asciiTheme="minorEastAsia" w:hAnsiTheme="minorEastAsia" w:eastAsiaTheme="minorEastAsia" w:cstheme="minorEastAsia"/>
          <w:color w:val="auto"/>
          <w:sz w:val="24"/>
          <w:szCs w:val="24"/>
          <w:highlight w:val="none"/>
        </w:rPr>
        <w:t>电能量采集主站系统及PI系统数据采集的配合，试验项目主要包括但不限于下列项目：</w:t>
      </w:r>
    </w:p>
    <w:p w14:paraId="5F4EF4FC">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性能试验（包括信号输入检查、命令输出检查等）。设备上应可以方便地观察到测量结果。</w:t>
      </w:r>
    </w:p>
    <w:p w14:paraId="5C0BAEEA">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系统功能试验（包括标书描述的各项功能检查）。</w:t>
      </w:r>
    </w:p>
    <w:p w14:paraId="38E9F7D1">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3）</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时钟同步系统对时精度试验。</w:t>
      </w:r>
    </w:p>
    <w:p w14:paraId="5085E17D">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与电能量主站系统的各种通信方式模拟试验。</w:t>
      </w:r>
    </w:p>
    <w:p w14:paraId="5449B503">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5）</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与多个电能表的抄表试验。</w:t>
      </w:r>
    </w:p>
    <w:p w14:paraId="291AA07A">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6）</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告警系统测试（包括系统自诊断异常告警，与站内其他设备配合进行）。</w:t>
      </w:r>
    </w:p>
    <w:p w14:paraId="148CBBD4">
      <w:pPr>
        <w:pStyle w:val="42"/>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7）</w:t>
      </w:r>
      <w:r>
        <w:rPr>
          <w:rStyle w:val="20"/>
          <w:rFonts w:hint="eastAsia" w:asciiTheme="minorEastAsia" w:hAnsiTheme="minorEastAsia" w:eastAsiaTheme="minorEastAsia" w:cstheme="minorEastAsia"/>
          <w:color w:val="auto"/>
          <w:sz w:val="24"/>
          <w:szCs w:val="24"/>
          <w:highlight w:val="none"/>
        </w:rPr>
        <w:tab/>
      </w:r>
      <w:r>
        <w:rPr>
          <w:rStyle w:val="20"/>
          <w:rFonts w:hint="eastAsia" w:asciiTheme="minorEastAsia" w:hAnsiTheme="minorEastAsia" w:eastAsiaTheme="minorEastAsia" w:cstheme="minorEastAsia"/>
          <w:color w:val="auto"/>
          <w:sz w:val="24"/>
          <w:szCs w:val="24"/>
          <w:highlight w:val="none"/>
        </w:rPr>
        <w:t>系统自诊断测试。</w:t>
      </w:r>
    </w:p>
    <w:p w14:paraId="3F7A61F3">
      <w:pPr>
        <w:pStyle w:val="8"/>
        <w:topLinePunct/>
        <w:adjustRightInd w:val="0"/>
        <w:spacing w:line="360" w:lineRule="auto"/>
        <w:textAlignment w:val="center"/>
        <w:rPr>
          <w:rStyle w:val="20"/>
          <w:rFonts w:hint="eastAsia" w:asciiTheme="minorEastAsia" w:hAnsiTheme="minorEastAsia" w:eastAsiaTheme="minorEastAsia" w:cstheme="minorEastAsia"/>
          <w:bCs/>
          <w:color w:val="auto"/>
          <w:sz w:val="24"/>
          <w:szCs w:val="24"/>
          <w:highlight w:val="none"/>
        </w:rPr>
      </w:pPr>
      <w:r>
        <w:rPr>
          <w:rStyle w:val="43"/>
          <w:rFonts w:hint="eastAsia" w:asciiTheme="minorEastAsia" w:hAnsiTheme="minorEastAsia" w:eastAsiaTheme="minorEastAsia" w:cstheme="minorEastAsia"/>
          <w:color w:val="auto"/>
          <w:sz w:val="24"/>
          <w:szCs w:val="24"/>
          <w:highlight w:val="none"/>
        </w:rPr>
        <w:t>3.3.4</w:t>
      </w:r>
      <w:r>
        <w:rPr>
          <w:rStyle w:val="20"/>
          <w:rFonts w:hint="eastAsia" w:asciiTheme="minorEastAsia" w:hAnsiTheme="minorEastAsia" w:eastAsiaTheme="minorEastAsia" w:cstheme="minorEastAsia"/>
          <w:bCs/>
          <w:color w:val="auto"/>
          <w:sz w:val="24"/>
          <w:szCs w:val="24"/>
          <w:highlight w:val="none"/>
        </w:rPr>
        <w:t>　在试验和调试期间所有损坏的供货范围内的设备，投标人应免费予以更换。对所有备品备件应加投入运行，有故障的备品备件由投标人负责免费更换。</w:t>
      </w:r>
    </w:p>
    <w:p w14:paraId="3D2C3E58">
      <w:pPr>
        <w:pStyle w:val="8"/>
        <w:widowControl/>
        <w:spacing w:line="360" w:lineRule="auto"/>
        <w:jc w:val="left"/>
        <w:rPr>
          <w:rStyle w:val="20"/>
          <w:rFonts w:hint="eastAsia" w:asciiTheme="minorEastAsia" w:hAnsiTheme="minorEastAsia" w:eastAsiaTheme="minorEastAsia" w:cstheme="minorEastAsia"/>
          <w:bCs/>
          <w:color w:val="auto"/>
          <w:sz w:val="24"/>
          <w:szCs w:val="24"/>
          <w:highlight w:val="none"/>
        </w:rPr>
        <w:sectPr>
          <w:footerReference r:id="rId7" w:type="default"/>
          <w:endnotePr>
            <w:numFmt w:val="decimal"/>
          </w:endnotePr>
          <w:pgSz w:w="11907" w:h="16840"/>
          <w:pgMar w:top="1418" w:right="1531" w:bottom="1418" w:left="1701" w:header="851" w:footer="1021" w:gutter="0"/>
          <w:pgNumType w:fmt="decimal" w:start="1"/>
          <w:cols w:space="720" w:num="1"/>
        </w:sectPr>
      </w:pPr>
    </w:p>
    <w:bookmarkEnd w:id="22"/>
    <w:bookmarkEnd w:id="23"/>
    <w:bookmarkEnd w:id="24"/>
    <w:bookmarkEnd w:id="91"/>
    <w:bookmarkEnd w:id="92"/>
    <w:bookmarkEnd w:id="93"/>
    <w:p w14:paraId="7AFA5CE2">
      <w:pPr>
        <w:pStyle w:val="8"/>
        <w:rPr>
          <w:rStyle w:val="20"/>
          <w:rFonts w:hint="eastAsia" w:ascii="Times New Roman" w:hAnsi="Times New Roman"/>
          <w:color w:val="auto"/>
          <w:highlight w:val="none"/>
        </w:rPr>
      </w:pPr>
      <w:bookmarkStart w:id="98" w:name="_Toc60567002"/>
      <w:bookmarkStart w:id="99" w:name="_Toc13465"/>
      <w:bookmarkStart w:id="100" w:name="_Toc31166"/>
      <w:bookmarkStart w:id="101" w:name="_Toc57640861"/>
      <w:bookmarkStart w:id="102" w:name="_Toc96238081"/>
      <w:bookmarkStart w:id="103" w:name="_Toc18813691"/>
      <w:bookmarkStart w:id="104" w:name="_Toc492697268"/>
      <w:bookmarkStart w:id="105" w:name="_Toc21623"/>
      <w:bookmarkStart w:id="106" w:name="_Toc496269570"/>
    </w:p>
    <w:p w14:paraId="75BC27E6">
      <w:pPr>
        <w:pStyle w:val="38"/>
        <w:keepNext/>
        <w:keepLines/>
        <w:pageBreakBefore w:val="0"/>
        <w:widowControl w:val="0"/>
        <w:kinsoku/>
        <w:wordWrap/>
        <w:overflowPunct/>
        <w:topLinePunct w:val="0"/>
        <w:autoSpaceDE/>
        <w:autoSpaceDN/>
        <w:bidi w:val="0"/>
        <w:adjustRightInd/>
        <w:snapToGrid/>
        <w:spacing w:before="0" w:after="0" w:line="360" w:lineRule="auto"/>
        <w:textAlignment w:val="auto"/>
        <w:rPr>
          <w:rStyle w:val="20"/>
          <w:rFonts w:hint="eastAsia" w:asciiTheme="minorEastAsia" w:hAnsiTheme="minorEastAsia" w:eastAsiaTheme="minorEastAsia" w:cstheme="minorEastAsia"/>
          <w:b/>
          <w:bCs/>
          <w:color w:val="auto"/>
          <w:sz w:val="30"/>
          <w:szCs w:val="30"/>
          <w:highlight w:val="none"/>
        </w:rPr>
      </w:pPr>
      <w:bookmarkStart w:id="107" w:name="_Toc356"/>
      <w:bookmarkStart w:id="108" w:name="_Toc11923"/>
      <w:bookmarkStart w:id="109" w:name="_Toc23483"/>
      <w:r>
        <w:rPr>
          <w:rStyle w:val="20"/>
          <w:rFonts w:hint="eastAsia" w:asciiTheme="minorEastAsia" w:hAnsiTheme="minorEastAsia" w:eastAsiaTheme="minorEastAsia" w:cstheme="minorEastAsia"/>
          <w:b/>
          <w:bCs/>
          <w:color w:val="auto"/>
          <w:sz w:val="30"/>
          <w:szCs w:val="30"/>
          <w:highlight w:val="none"/>
        </w:rPr>
        <w:t>附件2 供货范围</w:t>
      </w:r>
      <w:bookmarkEnd w:id="98"/>
      <w:bookmarkEnd w:id="99"/>
      <w:bookmarkEnd w:id="100"/>
      <w:bookmarkEnd w:id="101"/>
      <w:bookmarkEnd w:id="102"/>
      <w:bookmarkEnd w:id="103"/>
      <w:bookmarkEnd w:id="104"/>
      <w:bookmarkEnd w:id="105"/>
      <w:bookmarkEnd w:id="106"/>
      <w:bookmarkEnd w:id="107"/>
      <w:bookmarkEnd w:id="108"/>
      <w:bookmarkEnd w:id="109"/>
    </w:p>
    <w:p w14:paraId="2F6DD23A">
      <w:pPr>
        <w:pStyle w:val="8"/>
        <w:tabs>
          <w:tab w:val="left" w:pos="720"/>
        </w:tabs>
        <w:spacing w:before="72" w:beforeLines="30" w:after="72" w:afterLines="30" w:line="360" w:lineRule="auto"/>
        <w:rPr>
          <w:rStyle w:val="20"/>
          <w:rFonts w:hint="eastAsia" w:asciiTheme="minorEastAsia" w:hAnsiTheme="minorEastAsia" w:eastAsiaTheme="minorEastAsia" w:cstheme="minorEastAsia"/>
          <w:b/>
          <w:color w:val="auto"/>
          <w:sz w:val="28"/>
          <w:szCs w:val="28"/>
          <w:highlight w:val="none"/>
        </w:rPr>
      </w:pPr>
      <w:bookmarkStart w:id="110" w:name="_Toc58730874"/>
      <w:r>
        <w:rPr>
          <w:rStyle w:val="20"/>
          <w:rFonts w:hint="eastAsia" w:asciiTheme="minorEastAsia" w:hAnsiTheme="minorEastAsia" w:eastAsiaTheme="minorEastAsia" w:cstheme="minorEastAsia"/>
          <w:b/>
          <w:color w:val="auto"/>
          <w:sz w:val="28"/>
          <w:szCs w:val="28"/>
          <w:highlight w:val="none"/>
        </w:rPr>
        <w:t>1  一般要求</w:t>
      </w:r>
      <w:bookmarkEnd w:id="110"/>
    </w:p>
    <w:p w14:paraId="67EFDE64">
      <w:pPr>
        <w:pStyle w:val="8"/>
        <w:snapToGrid w:val="0"/>
        <w:spacing w:line="360" w:lineRule="auto"/>
        <w:ind w:left="525" w:hanging="600" w:hangingChars="25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1.1  本附件规定了合同设备的供货范围，投标人应保证提供</w:t>
      </w:r>
      <w:r>
        <w:rPr>
          <w:rStyle w:val="20"/>
          <w:rFonts w:hint="eastAsia" w:asciiTheme="minorEastAsia" w:hAnsiTheme="minorEastAsia" w:eastAsiaTheme="minorEastAsia" w:cstheme="minorEastAsia"/>
          <w:color w:val="auto"/>
          <w:sz w:val="24"/>
          <w:szCs w:val="24"/>
          <w:highlight w:val="none"/>
        </w:rPr>
        <w:t>的装置设备</w:t>
      </w:r>
      <w:r>
        <w:rPr>
          <w:rStyle w:val="20"/>
          <w:rFonts w:hint="eastAsia" w:asciiTheme="minorEastAsia" w:hAnsiTheme="minorEastAsia" w:eastAsiaTheme="minorEastAsia" w:cstheme="minorEastAsia"/>
          <w:color w:val="auto"/>
          <w:sz w:val="24"/>
          <w:szCs w:val="24"/>
          <w:highlight w:val="none"/>
        </w:rPr>
        <w:t>及附件为全新的、先进的、成熟的、完整的和安全可靠的，且设备的技术经济性能符合本卷的要求。</w:t>
      </w:r>
    </w:p>
    <w:p w14:paraId="6A731138">
      <w:pPr>
        <w:pStyle w:val="8"/>
        <w:snapToGrid w:val="0"/>
        <w:spacing w:line="360" w:lineRule="auto"/>
        <w:ind w:left="525" w:hanging="600" w:hangingChars="25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1.2  投标人应提供详细供货清单，清单中依此说明型号、数量、产地、生产厂家等内容。对于属于整套设备运行和施工所必需的部件，即使本规范书列出和/或数目不足，投标人仍须在执行的同时补足。</w:t>
      </w:r>
    </w:p>
    <w:p w14:paraId="65D0BB35">
      <w:pPr>
        <w:pStyle w:val="8"/>
        <w:snapToGrid w:val="0"/>
        <w:spacing w:line="360" w:lineRule="auto"/>
        <w:ind w:left="525" w:hanging="600" w:hangingChars="25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1.3  投标人应提供所有安装和调试所需专用工具和消耗材料等，并提供详细供货清单。</w:t>
      </w:r>
    </w:p>
    <w:p w14:paraId="44105B27">
      <w:pPr>
        <w:pStyle w:val="8"/>
        <w:snapToGrid w:val="0"/>
        <w:spacing w:line="360" w:lineRule="auto"/>
        <w:ind w:left="525" w:hanging="600" w:hangingChars="25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 xml:space="preserve">1.4  </w:t>
      </w:r>
      <w:r>
        <w:rPr>
          <w:rStyle w:val="20"/>
          <w:rFonts w:hint="eastAsia" w:asciiTheme="minorEastAsia" w:hAnsiTheme="minorEastAsia" w:eastAsiaTheme="minorEastAsia" w:cstheme="minorEastAsia"/>
          <w:color w:val="auto"/>
          <w:sz w:val="24"/>
          <w:szCs w:val="24"/>
          <w:highlight w:val="none"/>
        </w:rPr>
        <w:t>投标人应提供随机备品备件，并在投标书中给出具体清单。</w:t>
      </w:r>
    </w:p>
    <w:p w14:paraId="243A3520">
      <w:pPr>
        <w:pStyle w:val="8"/>
        <w:snapToGrid w:val="0"/>
        <w:spacing w:line="360" w:lineRule="auto"/>
        <w:ind w:left="525" w:hanging="600" w:hangingChars="25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1.5  提供所供设备中的主要部件件清单及其它需要的清单。任何进口设备在交货时均应提供原产地证明、进口报关等文件。</w:t>
      </w:r>
    </w:p>
    <w:p w14:paraId="18C19C49">
      <w:pPr>
        <w:pStyle w:val="8"/>
        <w:snapToGrid w:val="0"/>
        <w:spacing w:line="360" w:lineRule="auto"/>
        <w:ind w:left="525" w:hanging="600" w:hangingChars="25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1.6  对于本规范书及图纸要求的设备、元器件，附件的数量、参数及功能必须满足要求，未列出的部分或数量不足、参数及功能不能满足要求的，投标人必须无条件免费提供或更换。</w:t>
      </w:r>
    </w:p>
    <w:p w14:paraId="57F46601">
      <w:pPr>
        <w:pStyle w:val="8"/>
        <w:tabs>
          <w:tab w:val="left" w:pos="720"/>
        </w:tabs>
        <w:spacing w:before="72" w:beforeLines="30" w:after="72" w:afterLines="30" w:line="360" w:lineRule="auto"/>
        <w:rPr>
          <w:rStyle w:val="20"/>
          <w:rFonts w:hint="eastAsia" w:asciiTheme="minorEastAsia" w:hAnsiTheme="minorEastAsia" w:eastAsiaTheme="minorEastAsia" w:cstheme="minorEastAsia"/>
          <w:b/>
          <w:color w:val="auto"/>
          <w:sz w:val="28"/>
          <w:szCs w:val="28"/>
          <w:highlight w:val="none"/>
        </w:rPr>
      </w:pPr>
      <w:bookmarkStart w:id="111" w:name="_Toc227468218"/>
      <w:bookmarkStart w:id="112" w:name="_Toc58730875"/>
      <w:r>
        <w:rPr>
          <w:rStyle w:val="20"/>
          <w:rFonts w:hint="eastAsia" w:asciiTheme="minorEastAsia" w:hAnsiTheme="minorEastAsia" w:eastAsiaTheme="minorEastAsia" w:cstheme="minorEastAsia"/>
          <w:b/>
          <w:color w:val="auto"/>
          <w:sz w:val="28"/>
          <w:szCs w:val="28"/>
          <w:highlight w:val="none"/>
        </w:rPr>
        <w:t>2. 供货范围</w:t>
      </w:r>
      <w:bookmarkEnd w:id="111"/>
      <w:bookmarkEnd w:id="112"/>
    </w:p>
    <w:p w14:paraId="76122554">
      <w:pPr>
        <w:pStyle w:val="8"/>
        <w:snapToGrid w:val="0"/>
        <w:spacing w:line="360" w:lineRule="auto"/>
        <w:ind w:left="1" w:firstLine="559" w:firstLineChars="233"/>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投标人应确保供货范围完整，以能满足招标人安装、运行要求为原则。在技术规范中涉及的供货要求也作为本供货范围的补充，若在安装、调试、运行中发现缺项（属投标人供货范围）由投标人补充。</w:t>
      </w:r>
    </w:p>
    <w:p w14:paraId="2F44E702">
      <w:pPr>
        <w:pStyle w:val="8"/>
        <w:snapToGrid w:val="0"/>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2.1  设备范围</w:t>
      </w:r>
    </w:p>
    <w:p w14:paraId="5AD1C0FF">
      <w:pPr>
        <w:pStyle w:val="8"/>
        <w:snapToGrid w:val="0"/>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本工程所需的保护装置数量见下表，投标人应列出详细清单：（不限于此）</w:t>
      </w:r>
    </w:p>
    <w:p w14:paraId="633498D7">
      <w:pPr>
        <w:pStyle w:val="45"/>
        <w:spacing w:line="360" w:lineRule="auto"/>
        <w:rPr>
          <w:rStyle w:val="20"/>
          <w:rFonts w:ascii="Times New Roman" w:eastAsia="宋体"/>
          <w:color w:val="auto"/>
          <w:sz w:val="24"/>
          <w:szCs w:val="20"/>
          <w:highlight w:val="none"/>
        </w:rPr>
      </w:pPr>
      <w:r>
        <w:rPr>
          <w:rStyle w:val="20"/>
          <w:rFonts w:hint="eastAsia" w:ascii="Times New Roman" w:eastAsia="宋体"/>
          <w:color w:val="auto"/>
          <w:sz w:val="24"/>
          <w:szCs w:val="20"/>
          <w:highlight w:val="none"/>
        </w:rPr>
        <w:t>表</w:t>
      </w:r>
      <w:r>
        <w:rPr>
          <w:rStyle w:val="20"/>
          <w:rFonts w:ascii="Times New Roman" w:eastAsia="宋体"/>
          <w:color w:val="auto"/>
          <w:sz w:val="24"/>
          <w:szCs w:val="20"/>
          <w:highlight w:val="none"/>
        </w:rPr>
        <w:t>1</w:t>
      </w:r>
      <w:r>
        <w:rPr>
          <w:rStyle w:val="20"/>
          <w:rFonts w:hint="eastAsia" w:ascii="Times New Roman" w:eastAsia="宋体"/>
          <w:color w:val="auto"/>
          <w:sz w:val="24"/>
          <w:szCs w:val="20"/>
          <w:highlight w:val="none"/>
        </w:rPr>
        <w:t>　货物需求及供货范围一览表</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2741"/>
        <w:gridCol w:w="3040"/>
        <w:gridCol w:w="570"/>
        <w:gridCol w:w="730"/>
        <w:gridCol w:w="1235"/>
      </w:tblGrid>
      <w:tr w14:paraId="52E2B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3857D70A">
            <w:pPr>
              <w:pStyle w:val="8"/>
              <w:widowControl w:val="0"/>
              <w:spacing w:line="520" w:lineRule="exact"/>
              <w:jc w:val="center"/>
              <w:outlineLvl w:val="0"/>
              <w:rPr>
                <w:rStyle w:val="20"/>
                <w:rFonts w:ascii="楷体_GB2312" w:hAnsi="Calibri" w:eastAsia="宋体"/>
                <w:b w:val="0"/>
                <w:bCs w:val="0"/>
                <w:color w:val="auto"/>
                <w:kern w:val="2"/>
                <w:sz w:val="24"/>
                <w:szCs w:val="21"/>
                <w:highlight w:val="none"/>
                <w:lang w:val="en-US" w:eastAsia="zh-CN" w:bidi="ar-SA"/>
              </w:rPr>
            </w:pPr>
            <w:bookmarkStart w:id="113" w:name="_Toc14938"/>
            <w:r>
              <w:rPr>
                <w:rStyle w:val="20"/>
                <w:rFonts w:hint="eastAsia" w:ascii="楷体_GB2312" w:hAnsi="Calibri" w:eastAsia="宋体"/>
                <w:b w:val="0"/>
                <w:bCs w:val="0"/>
                <w:color w:val="auto"/>
                <w:kern w:val="2"/>
                <w:sz w:val="21"/>
                <w:szCs w:val="21"/>
                <w:highlight w:val="none"/>
                <w:lang w:val="en-US" w:eastAsia="zh-CN" w:bidi="ar-SA"/>
              </w:rPr>
              <w:t>序号</w:t>
            </w:r>
            <w:bookmarkEnd w:id="113"/>
          </w:p>
        </w:tc>
        <w:tc>
          <w:tcPr>
            <w:tcW w:w="2741" w:type="dxa"/>
            <w:tcBorders>
              <w:top w:val="single" w:color="auto" w:sz="4" w:space="0"/>
              <w:left w:val="single" w:color="auto" w:sz="4" w:space="0"/>
              <w:bottom w:val="single" w:color="auto" w:sz="4" w:space="0"/>
              <w:right w:val="single" w:color="auto" w:sz="4" w:space="0"/>
            </w:tcBorders>
            <w:noWrap w:val="0"/>
            <w:vAlign w:val="center"/>
          </w:tcPr>
          <w:p w14:paraId="35E2C4DA">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14" w:name="_Toc28117"/>
            <w:r>
              <w:rPr>
                <w:rStyle w:val="20"/>
                <w:rFonts w:hint="eastAsia" w:ascii="楷体_GB2312" w:hAnsi="Calibri" w:eastAsia="宋体"/>
                <w:b w:val="0"/>
                <w:bCs w:val="0"/>
                <w:color w:val="auto"/>
                <w:kern w:val="2"/>
                <w:sz w:val="21"/>
                <w:szCs w:val="21"/>
                <w:highlight w:val="none"/>
                <w:lang w:val="en-US" w:eastAsia="zh-CN" w:bidi="ar-SA"/>
              </w:rPr>
              <w:t>名称</w:t>
            </w:r>
            <w:bookmarkEnd w:id="114"/>
          </w:p>
        </w:tc>
        <w:tc>
          <w:tcPr>
            <w:tcW w:w="3040" w:type="dxa"/>
            <w:tcBorders>
              <w:top w:val="single" w:color="auto" w:sz="4" w:space="0"/>
              <w:left w:val="single" w:color="auto" w:sz="4" w:space="0"/>
              <w:bottom w:val="single" w:color="auto" w:sz="4" w:space="0"/>
              <w:right w:val="single" w:color="auto" w:sz="4" w:space="0"/>
            </w:tcBorders>
            <w:noWrap w:val="0"/>
            <w:vAlign w:val="center"/>
          </w:tcPr>
          <w:p w14:paraId="3A015420">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15" w:name="_Toc13713"/>
            <w:r>
              <w:rPr>
                <w:rStyle w:val="20"/>
                <w:rFonts w:hint="eastAsia" w:ascii="楷体_GB2312" w:hAnsi="Calibri" w:eastAsia="宋体"/>
                <w:b w:val="0"/>
                <w:bCs w:val="0"/>
                <w:color w:val="auto"/>
                <w:kern w:val="2"/>
                <w:sz w:val="21"/>
                <w:szCs w:val="21"/>
                <w:highlight w:val="none"/>
                <w:lang w:val="en-US" w:eastAsia="zh-CN" w:bidi="ar-SA"/>
              </w:rPr>
              <w:t>规格型号</w:t>
            </w:r>
            <w:bookmarkEnd w:id="115"/>
          </w:p>
        </w:tc>
        <w:tc>
          <w:tcPr>
            <w:tcW w:w="570" w:type="dxa"/>
            <w:tcBorders>
              <w:top w:val="single" w:color="auto" w:sz="4" w:space="0"/>
              <w:left w:val="single" w:color="auto" w:sz="4" w:space="0"/>
              <w:bottom w:val="single" w:color="auto" w:sz="4" w:space="0"/>
              <w:right w:val="single" w:color="auto" w:sz="4" w:space="0"/>
            </w:tcBorders>
            <w:noWrap w:val="0"/>
            <w:vAlign w:val="center"/>
          </w:tcPr>
          <w:p w14:paraId="32BF2F63">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16" w:name="_Toc1862"/>
            <w:r>
              <w:rPr>
                <w:rStyle w:val="20"/>
                <w:rFonts w:hint="eastAsia" w:ascii="楷体_GB2312" w:hAnsi="Calibri" w:eastAsia="宋体"/>
                <w:b w:val="0"/>
                <w:bCs w:val="0"/>
                <w:color w:val="auto"/>
                <w:kern w:val="2"/>
                <w:sz w:val="21"/>
                <w:szCs w:val="21"/>
                <w:highlight w:val="none"/>
                <w:lang w:val="en-US" w:eastAsia="zh-CN" w:bidi="ar-SA"/>
              </w:rPr>
              <w:t>单位</w:t>
            </w:r>
            <w:bookmarkEnd w:id="116"/>
          </w:p>
        </w:tc>
        <w:tc>
          <w:tcPr>
            <w:tcW w:w="730" w:type="dxa"/>
            <w:tcBorders>
              <w:top w:val="single" w:color="auto" w:sz="4" w:space="0"/>
              <w:left w:val="single" w:color="auto" w:sz="4" w:space="0"/>
              <w:bottom w:val="single" w:color="auto" w:sz="4" w:space="0"/>
              <w:right w:val="single" w:color="auto" w:sz="4" w:space="0"/>
            </w:tcBorders>
            <w:noWrap w:val="0"/>
            <w:vAlign w:val="center"/>
          </w:tcPr>
          <w:p w14:paraId="08F2690A">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17" w:name="_Toc26909"/>
            <w:r>
              <w:rPr>
                <w:rStyle w:val="20"/>
                <w:rFonts w:hint="eastAsia" w:ascii="楷体_GB2312" w:hAnsi="Calibri" w:eastAsia="宋体"/>
                <w:b w:val="0"/>
                <w:bCs w:val="0"/>
                <w:color w:val="auto"/>
                <w:kern w:val="2"/>
                <w:sz w:val="21"/>
                <w:szCs w:val="21"/>
                <w:highlight w:val="none"/>
                <w:lang w:val="en-US" w:eastAsia="zh-CN" w:bidi="ar-SA"/>
              </w:rPr>
              <w:t>数量</w:t>
            </w:r>
            <w:bookmarkEnd w:id="117"/>
          </w:p>
        </w:tc>
        <w:tc>
          <w:tcPr>
            <w:tcW w:w="1235" w:type="dxa"/>
            <w:tcBorders>
              <w:top w:val="single" w:color="auto" w:sz="4" w:space="0"/>
              <w:left w:val="single" w:color="auto" w:sz="4" w:space="0"/>
              <w:bottom w:val="single" w:color="auto" w:sz="4" w:space="0"/>
              <w:right w:val="single" w:color="auto" w:sz="4" w:space="0"/>
            </w:tcBorders>
            <w:noWrap w:val="0"/>
            <w:vAlign w:val="center"/>
          </w:tcPr>
          <w:p w14:paraId="4DCD5E07">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18" w:name="_Toc2469"/>
            <w:r>
              <w:rPr>
                <w:rStyle w:val="20"/>
                <w:rFonts w:hint="eastAsia" w:ascii="楷体_GB2312" w:hAnsi="Calibri" w:eastAsia="宋体"/>
                <w:b w:val="0"/>
                <w:bCs w:val="0"/>
                <w:color w:val="auto"/>
                <w:kern w:val="2"/>
                <w:sz w:val="21"/>
                <w:szCs w:val="21"/>
                <w:highlight w:val="none"/>
                <w:lang w:val="en-US" w:eastAsia="zh-CN" w:bidi="ar-SA"/>
              </w:rPr>
              <w:t>备注</w:t>
            </w:r>
            <w:bookmarkEnd w:id="118"/>
          </w:p>
        </w:tc>
      </w:tr>
      <w:tr w14:paraId="500B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1" w:type="dxa"/>
            <w:gridSpan w:val="6"/>
            <w:tcBorders>
              <w:top w:val="single" w:color="auto" w:sz="4" w:space="0"/>
              <w:left w:val="single" w:color="auto" w:sz="4" w:space="0"/>
              <w:bottom w:val="single" w:color="auto" w:sz="4" w:space="0"/>
              <w:right w:val="single" w:color="auto" w:sz="4" w:space="0"/>
            </w:tcBorders>
            <w:noWrap w:val="0"/>
            <w:vAlign w:val="center"/>
          </w:tcPr>
          <w:p w14:paraId="025EF394">
            <w:pPr>
              <w:pStyle w:val="8"/>
              <w:widowControl w:val="0"/>
              <w:spacing w:line="520" w:lineRule="exact"/>
              <w:jc w:val="left"/>
              <w:outlineLvl w:val="0"/>
              <w:rPr>
                <w:rStyle w:val="20"/>
                <w:rFonts w:hint="eastAsia" w:ascii="楷体_GB2312" w:hAnsi="Calibri" w:eastAsia="宋体"/>
                <w:b w:val="0"/>
                <w:bCs w:val="0"/>
                <w:color w:val="auto"/>
                <w:kern w:val="2"/>
                <w:sz w:val="21"/>
                <w:szCs w:val="21"/>
                <w:highlight w:val="none"/>
                <w:lang w:val="en-US" w:eastAsia="zh-CN" w:bidi="ar-SA"/>
              </w:rPr>
            </w:pPr>
            <w:bookmarkStart w:id="119" w:name="_Toc13586"/>
            <w:r>
              <w:rPr>
                <w:rStyle w:val="20"/>
                <w:rFonts w:hint="eastAsia" w:ascii="楷体_GB2312" w:hAnsi="Calibri" w:eastAsia="宋体"/>
                <w:b w:val="0"/>
                <w:bCs w:val="0"/>
                <w:color w:val="auto"/>
                <w:kern w:val="2"/>
                <w:sz w:val="21"/>
                <w:szCs w:val="21"/>
                <w:highlight w:val="none"/>
                <w:lang w:val="en-US" w:eastAsia="zh-CN" w:bidi="ar-SA"/>
              </w:rPr>
              <w:t>一、电能量采集装置屏</w:t>
            </w:r>
            <w:bookmarkEnd w:id="119"/>
          </w:p>
        </w:tc>
      </w:tr>
      <w:tr w14:paraId="0FA9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575" w:type="dxa"/>
            <w:tcBorders>
              <w:top w:val="single" w:color="auto" w:sz="4" w:space="0"/>
              <w:left w:val="single" w:color="auto" w:sz="4" w:space="0"/>
              <w:bottom w:val="single" w:color="auto" w:sz="4" w:space="0"/>
              <w:right w:val="single" w:color="auto" w:sz="4" w:space="0"/>
            </w:tcBorders>
            <w:noWrap w:val="0"/>
            <w:vAlign w:val="center"/>
          </w:tcPr>
          <w:p w14:paraId="017BB5A4">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20" w:name="_Toc11819"/>
            <w:r>
              <w:rPr>
                <w:rStyle w:val="20"/>
                <w:rFonts w:hint="eastAsia" w:ascii="楷体_GB2312" w:hAnsi="Calibri" w:eastAsia="宋体"/>
                <w:b w:val="0"/>
                <w:bCs w:val="0"/>
                <w:color w:val="auto"/>
                <w:kern w:val="2"/>
                <w:sz w:val="21"/>
                <w:szCs w:val="21"/>
                <w:highlight w:val="none"/>
                <w:lang w:val="en-US" w:eastAsia="zh-CN" w:bidi="ar-SA"/>
              </w:rPr>
              <w:t>1</w:t>
            </w:r>
            <w:bookmarkEnd w:id="120"/>
          </w:p>
        </w:tc>
        <w:tc>
          <w:tcPr>
            <w:tcW w:w="2741" w:type="dxa"/>
            <w:tcBorders>
              <w:top w:val="single" w:color="auto" w:sz="4" w:space="0"/>
              <w:left w:val="single" w:color="auto" w:sz="4" w:space="0"/>
              <w:bottom w:val="single" w:color="auto" w:sz="4" w:space="0"/>
              <w:right w:val="single" w:color="auto" w:sz="4" w:space="0"/>
            </w:tcBorders>
            <w:noWrap w:val="0"/>
            <w:vAlign w:val="center"/>
          </w:tcPr>
          <w:p w14:paraId="06906A25">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21" w:name="_Toc10613"/>
            <w:r>
              <w:rPr>
                <w:rStyle w:val="20"/>
                <w:rFonts w:hint="eastAsia" w:ascii="楷体_GB2312" w:hAnsi="Calibri" w:eastAsia="宋体"/>
                <w:b w:val="0"/>
                <w:bCs w:val="0"/>
                <w:color w:val="auto"/>
                <w:kern w:val="2"/>
                <w:sz w:val="21"/>
                <w:szCs w:val="21"/>
                <w:highlight w:val="none"/>
                <w:lang w:val="en-US" w:eastAsia="zh-CN" w:bidi="ar-SA"/>
              </w:rPr>
              <w:t>电能量采集装置</w:t>
            </w:r>
            <w:bookmarkEnd w:id="121"/>
          </w:p>
        </w:tc>
        <w:tc>
          <w:tcPr>
            <w:tcW w:w="3040" w:type="dxa"/>
            <w:tcBorders>
              <w:top w:val="single" w:color="auto" w:sz="4" w:space="0"/>
              <w:left w:val="single" w:color="auto" w:sz="4" w:space="0"/>
              <w:bottom w:val="single" w:color="auto" w:sz="4" w:space="0"/>
              <w:right w:val="single" w:color="auto" w:sz="4" w:space="0"/>
            </w:tcBorders>
            <w:noWrap w:val="0"/>
            <w:vAlign w:val="center"/>
          </w:tcPr>
          <w:p w14:paraId="2A93CFE2">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22" w:name="_Toc14792"/>
            <w:r>
              <w:rPr>
                <w:rStyle w:val="20"/>
                <w:rFonts w:hint="eastAsia" w:ascii="楷体_GB2312" w:hAnsi="Calibri" w:eastAsia="宋体"/>
                <w:b w:val="0"/>
                <w:bCs w:val="0"/>
                <w:color w:val="auto"/>
                <w:kern w:val="2"/>
                <w:sz w:val="21"/>
                <w:szCs w:val="21"/>
                <w:highlight w:val="none"/>
                <w:lang w:val="en-US" w:eastAsia="zh-CN" w:bidi="ar-SA"/>
              </w:rPr>
              <w:t>6网口、双电源冗余供电、2G存储容量</w:t>
            </w:r>
            <w:bookmarkEnd w:id="122"/>
          </w:p>
        </w:tc>
        <w:tc>
          <w:tcPr>
            <w:tcW w:w="570" w:type="dxa"/>
            <w:tcBorders>
              <w:top w:val="single" w:color="auto" w:sz="4" w:space="0"/>
              <w:left w:val="single" w:color="auto" w:sz="4" w:space="0"/>
              <w:bottom w:val="single" w:color="auto" w:sz="4" w:space="0"/>
              <w:right w:val="single" w:color="auto" w:sz="4" w:space="0"/>
            </w:tcBorders>
            <w:noWrap w:val="0"/>
            <w:vAlign w:val="center"/>
          </w:tcPr>
          <w:p w14:paraId="78FD9E16">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23" w:name="_Toc8299"/>
            <w:r>
              <w:rPr>
                <w:rStyle w:val="20"/>
                <w:rFonts w:hint="eastAsia" w:ascii="楷体_GB2312" w:hAnsi="Calibri" w:eastAsia="宋体"/>
                <w:b w:val="0"/>
                <w:bCs w:val="0"/>
                <w:color w:val="auto"/>
                <w:kern w:val="2"/>
                <w:sz w:val="21"/>
                <w:szCs w:val="21"/>
                <w:highlight w:val="none"/>
                <w:lang w:val="en-US" w:eastAsia="zh-CN" w:bidi="ar-SA"/>
              </w:rPr>
              <w:t>台</w:t>
            </w:r>
            <w:bookmarkEnd w:id="123"/>
          </w:p>
        </w:tc>
        <w:tc>
          <w:tcPr>
            <w:tcW w:w="730" w:type="dxa"/>
            <w:tcBorders>
              <w:top w:val="single" w:color="auto" w:sz="4" w:space="0"/>
              <w:left w:val="single" w:color="auto" w:sz="4" w:space="0"/>
              <w:bottom w:val="single" w:color="auto" w:sz="4" w:space="0"/>
              <w:right w:val="single" w:color="auto" w:sz="4" w:space="0"/>
            </w:tcBorders>
            <w:noWrap w:val="0"/>
            <w:vAlign w:val="center"/>
          </w:tcPr>
          <w:p w14:paraId="16D36F94">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24" w:name="_Toc2850"/>
            <w:r>
              <w:rPr>
                <w:rStyle w:val="20"/>
                <w:rFonts w:hint="eastAsia" w:ascii="楷体_GB2312" w:hAnsi="Calibri" w:eastAsia="宋体"/>
                <w:b w:val="0"/>
                <w:bCs w:val="0"/>
                <w:color w:val="auto"/>
                <w:kern w:val="2"/>
                <w:sz w:val="21"/>
                <w:szCs w:val="21"/>
                <w:highlight w:val="none"/>
                <w:lang w:val="en-US" w:eastAsia="zh-CN" w:bidi="ar-SA"/>
              </w:rPr>
              <w:t>2</w:t>
            </w:r>
            <w:bookmarkEnd w:id="124"/>
          </w:p>
        </w:tc>
        <w:tc>
          <w:tcPr>
            <w:tcW w:w="1235" w:type="dxa"/>
            <w:tcBorders>
              <w:top w:val="single" w:color="auto" w:sz="4" w:space="0"/>
              <w:left w:val="single" w:color="auto" w:sz="4" w:space="0"/>
              <w:bottom w:val="single" w:color="auto" w:sz="4" w:space="0"/>
              <w:right w:val="single" w:color="auto" w:sz="4" w:space="0"/>
            </w:tcBorders>
            <w:noWrap w:val="0"/>
            <w:vAlign w:val="center"/>
          </w:tcPr>
          <w:p w14:paraId="03BB097F">
            <w:pPr>
              <w:pStyle w:val="8"/>
              <w:widowControl w:val="0"/>
              <w:spacing w:line="520" w:lineRule="exact"/>
              <w:jc w:val="center"/>
              <w:rPr>
                <w:rStyle w:val="20"/>
                <w:rFonts w:hint="eastAsia" w:ascii="楷体_GB2312" w:hAnsi="Calibri" w:eastAsia="宋体"/>
                <w:b w:val="0"/>
                <w:bCs w:val="0"/>
                <w:color w:val="auto"/>
                <w:kern w:val="2"/>
                <w:sz w:val="21"/>
                <w:szCs w:val="21"/>
                <w:highlight w:val="none"/>
                <w:lang w:val="en-US" w:eastAsia="zh-CN" w:bidi="ar-SA"/>
              </w:rPr>
            </w:pPr>
          </w:p>
        </w:tc>
      </w:tr>
      <w:tr w14:paraId="2B3A3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7354E4E0">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25" w:name="_Toc32459"/>
            <w:r>
              <w:rPr>
                <w:rStyle w:val="20"/>
                <w:rFonts w:hint="eastAsia" w:ascii="楷体_GB2312" w:hAnsi="Calibri" w:eastAsia="宋体"/>
                <w:b w:val="0"/>
                <w:bCs w:val="0"/>
                <w:color w:val="auto"/>
                <w:kern w:val="2"/>
                <w:sz w:val="21"/>
                <w:szCs w:val="21"/>
                <w:highlight w:val="none"/>
                <w:lang w:val="en-US" w:eastAsia="zh-CN" w:bidi="ar-SA"/>
              </w:rPr>
              <w:t>2</w:t>
            </w:r>
            <w:bookmarkEnd w:id="125"/>
          </w:p>
        </w:tc>
        <w:tc>
          <w:tcPr>
            <w:tcW w:w="2741" w:type="dxa"/>
            <w:tcBorders>
              <w:top w:val="single" w:color="auto" w:sz="4" w:space="0"/>
              <w:left w:val="single" w:color="auto" w:sz="4" w:space="0"/>
              <w:bottom w:val="single" w:color="auto" w:sz="4" w:space="0"/>
              <w:right w:val="single" w:color="auto" w:sz="4" w:space="0"/>
            </w:tcBorders>
            <w:noWrap w:val="0"/>
            <w:vAlign w:val="center"/>
          </w:tcPr>
          <w:p w14:paraId="4904DC15">
            <w:pPr>
              <w:pStyle w:val="8"/>
              <w:widowControl w:val="0"/>
              <w:snapToGrid w:val="0"/>
              <w:jc w:val="center"/>
              <w:rPr>
                <w:rStyle w:val="20"/>
                <w:rFonts w:hint="eastAsia" w:ascii="Times New Roman" w:hAnsi="Calibri" w:eastAsia="宋体"/>
                <w:b w:val="0"/>
                <w:bCs w:val="0"/>
                <w:color w:val="auto"/>
                <w:kern w:val="2"/>
                <w:sz w:val="21"/>
                <w:szCs w:val="24"/>
                <w:highlight w:val="none"/>
                <w:lang w:val="en-US" w:eastAsia="zh-CN" w:bidi="ar-SA"/>
              </w:rPr>
            </w:pPr>
            <w:r>
              <w:rPr>
                <w:rStyle w:val="20"/>
                <w:rFonts w:hint="eastAsia" w:ascii="Calibri" w:hAnsi="Calibri" w:eastAsia="宋体"/>
                <w:b w:val="0"/>
                <w:bCs w:val="0"/>
                <w:color w:val="auto"/>
                <w:kern w:val="2"/>
                <w:sz w:val="21"/>
                <w:szCs w:val="22"/>
                <w:highlight w:val="none"/>
                <w:lang w:val="en-US" w:eastAsia="zh-CN" w:bidi="ar-SA"/>
              </w:rPr>
              <w:t>交换机</w:t>
            </w:r>
          </w:p>
        </w:tc>
        <w:tc>
          <w:tcPr>
            <w:tcW w:w="3040" w:type="dxa"/>
            <w:tcBorders>
              <w:top w:val="single" w:color="auto" w:sz="4" w:space="0"/>
              <w:left w:val="single" w:color="auto" w:sz="4" w:space="0"/>
              <w:bottom w:val="single" w:color="auto" w:sz="4" w:space="0"/>
              <w:right w:val="single" w:color="auto" w:sz="4" w:space="0"/>
            </w:tcBorders>
            <w:noWrap w:val="0"/>
            <w:vAlign w:val="center"/>
          </w:tcPr>
          <w:p w14:paraId="3323AF70">
            <w:pPr>
              <w:pStyle w:val="8"/>
              <w:widowControl w:val="0"/>
              <w:snapToGrid w:val="0"/>
              <w:jc w:val="both"/>
              <w:rPr>
                <w:rStyle w:val="20"/>
                <w:rFonts w:ascii="Calibri" w:hAnsi="Calibri" w:eastAsia="宋体"/>
                <w:b w:val="0"/>
                <w:bCs w:val="0"/>
                <w:color w:val="auto"/>
                <w:kern w:val="2"/>
                <w:sz w:val="21"/>
                <w:szCs w:val="22"/>
                <w:highlight w:val="none"/>
                <w:lang w:val="en-US" w:eastAsia="zh-CN" w:bidi="ar-SA"/>
              </w:rPr>
            </w:pPr>
            <w:r>
              <w:rPr>
                <w:rStyle w:val="20"/>
                <w:rFonts w:hint="eastAsia" w:ascii="Calibri" w:hAnsi="Calibri" w:eastAsia="宋体"/>
                <w:b w:val="0"/>
                <w:bCs w:val="0"/>
                <w:color w:val="auto"/>
                <w:kern w:val="2"/>
                <w:sz w:val="21"/>
                <w:szCs w:val="22"/>
                <w:highlight w:val="none"/>
                <w:lang w:val="en-US" w:eastAsia="zh-CN" w:bidi="ar-SA"/>
              </w:rPr>
              <w:t>两层交换机，双电源模块，工业级无风扇</w:t>
            </w:r>
            <w:r>
              <w:rPr>
                <w:rStyle w:val="20"/>
                <w:rFonts w:ascii="Calibri" w:hAnsi="Calibri" w:eastAsia="宋体"/>
                <w:b w:val="0"/>
                <w:bCs w:val="0"/>
                <w:color w:val="auto"/>
                <w:kern w:val="2"/>
                <w:sz w:val="21"/>
                <w:szCs w:val="22"/>
                <w:highlight w:val="none"/>
                <w:lang w:val="en-US" w:eastAsia="zh-CN" w:bidi="ar-SA"/>
              </w:rPr>
              <w:t>16</w:t>
            </w:r>
            <w:r>
              <w:rPr>
                <w:rStyle w:val="20"/>
                <w:rFonts w:hint="eastAsia" w:ascii="Calibri" w:hAnsi="Calibri" w:eastAsia="宋体"/>
                <w:b w:val="0"/>
                <w:bCs w:val="0"/>
                <w:color w:val="auto"/>
                <w:kern w:val="2"/>
                <w:sz w:val="21"/>
                <w:szCs w:val="22"/>
                <w:highlight w:val="none"/>
                <w:lang w:val="en-US" w:eastAsia="zh-CN" w:bidi="ar-SA"/>
              </w:rPr>
              <w:t>电</w:t>
            </w:r>
            <w:r>
              <w:rPr>
                <w:rStyle w:val="20"/>
                <w:rFonts w:ascii="Calibri" w:hAnsi="Calibri" w:eastAsia="宋体"/>
                <w:b w:val="0"/>
                <w:bCs w:val="0"/>
                <w:color w:val="auto"/>
                <w:kern w:val="2"/>
                <w:sz w:val="21"/>
                <w:szCs w:val="22"/>
                <w:highlight w:val="none"/>
                <w:lang w:val="en-US" w:eastAsia="zh-CN" w:bidi="ar-SA"/>
              </w:rPr>
              <w:t>8</w:t>
            </w:r>
            <w:r>
              <w:rPr>
                <w:rStyle w:val="20"/>
                <w:rFonts w:hint="eastAsia" w:ascii="Calibri" w:hAnsi="Calibri" w:eastAsia="宋体"/>
                <w:b w:val="0"/>
                <w:bCs w:val="0"/>
                <w:color w:val="auto"/>
                <w:kern w:val="2"/>
                <w:sz w:val="21"/>
                <w:szCs w:val="22"/>
                <w:highlight w:val="none"/>
                <w:lang w:val="en-US" w:eastAsia="zh-CN" w:bidi="ar-SA"/>
              </w:rPr>
              <w:t>光</w:t>
            </w:r>
          </w:p>
        </w:tc>
        <w:tc>
          <w:tcPr>
            <w:tcW w:w="570" w:type="dxa"/>
            <w:tcBorders>
              <w:top w:val="single" w:color="auto" w:sz="4" w:space="0"/>
              <w:left w:val="single" w:color="auto" w:sz="4" w:space="0"/>
              <w:bottom w:val="single" w:color="auto" w:sz="4" w:space="0"/>
              <w:right w:val="single" w:color="auto" w:sz="4" w:space="0"/>
            </w:tcBorders>
            <w:noWrap w:val="0"/>
            <w:vAlign w:val="center"/>
          </w:tcPr>
          <w:p w14:paraId="16E7C82B">
            <w:pPr>
              <w:pStyle w:val="8"/>
              <w:widowControl w:val="0"/>
              <w:snapToGrid w:val="0"/>
              <w:jc w:val="center"/>
              <w:rPr>
                <w:rStyle w:val="20"/>
                <w:rFonts w:ascii="Calibri" w:hAnsi="Calibri" w:eastAsia="宋体"/>
                <w:b w:val="0"/>
                <w:bCs w:val="0"/>
                <w:color w:val="auto"/>
                <w:kern w:val="2"/>
                <w:sz w:val="21"/>
                <w:szCs w:val="22"/>
                <w:highlight w:val="none"/>
                <w:lang w:val="en-US" w:eastAsia="zh-CN" w:bidi="ar-SA"/>
              </w:rPr>
            </w:pPr>
            <w:r>
              <w:rPr>
                <w:rStyle w:val="20"/>
                <w:rFonts w:hint="eastAsia" w:ascii="Calibri" w:hAnsi="Calibri" w:eastAsia="宋体"/>
                <w:b w:val="0"/>
                <w:bCs w:val="0"/>
                <w:color w:val="auto"/>
                <w:kern w:val="2"/>
                <w:sz w:val="21"/>
                <w:szCs w:val="22"/>
                <w:highlight w:val="none"/>
                <w:lang w:val="en-US" w:eastAsia="zh-CN" w:bidi="ar-SA"/>
              </w:rPr>
              <w:t>台</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1BF37C52">
            <w:pPr>
              <w:pStyle w:val="8"/>
              <w:widowControl w:val="0"/>
              <w:snapToGrid w:val="0"/>
              <w:jc w:val="center"/>
              <w:rPr>
                <w:rStyle w:val="20"/>
                <w:rFonts w:ascii="Calibri" w:hAnsi="Calibri" w:eastAsia="宋体"/>
                <w:b w:val="0"/>
                <w:bCs w:val="0"/>
                <w:color w:val="auto"/>
                <w:kern w:val="2"/>
                <w:sz w:val="21"/>
                <w:szCs w:val="22"/>
                <w:highlight w:val="none"/>
                <w:lang w:val="en-US" w:eastAsia="zh-CN" w:bidi="ar-SA"/>
              </w:rPr>
            </w:pPr>
            <w:r>
              <w:rPr>
                <w:rStyle w:val="20"/>
                <w:rFonts w:ascii="Calibri" w:hAnsi="Calibri" w:eastAsia="宋体"/>
                <w:b w:val="0"/>
                <w:bCs w:val="0"/>
                <w:color w:val="auto"/>
                <w:kern w:val="2"/>
                <w:sz w:val="21"/>
                <w:szCs w:val="22"/>
                <w:highlight w:val="none"/>
                <w:lang w:val="en-US" w:eastAsia="zh-CN" w:bidi="ar-SA"/>
              </w:rPr>
              <w:t>2</w:t>
            </w:r>
          </w:p>
        </w:tc>
        <w:tc>
          <w:tcPr>
            <w:tcW w:w="1235" w:type="dxa"/>
            <w:tcBorders>
              <w:top w:val="single" w:color="auto" w:sz="4" w:space="0"/>
              <w:left w:val="single" w:color="auto" w:sz="4" w:space="0"/>
              <w:bottom w:val="single" w:color="auto" w:sz="4" w:space="0"/>
              <w:right w:val="single" w:color="auto" w:sz="4" w:space="0"/>
            </w:tcBorders>
            <w:noWrap w:val="0"/>
            <w:vAlign w:val="center"/>
          </w:tcPr>
          <w:p w14:paraId="34A76780">
            <w:pPr>
              <w:pStyle w:val="8"/>
              <w:widowControl w:val="0"/>
              <w:spacing w:line="520" w:lineRule="exact"/>
              <w:jc w:val="center"/>
              <w:rPr>
                <w:rStyle w:val="20"/>
                <w:rFonts w:ascii="楷体_GB2312" w:hAnsi="Calibri" w:eastAsia="宋体"/>
                <w:b w:val="0"/>
                <w:bCs w:val="0"/>
                <w:color w:val="auto"/>
                <w:kern w:val="2"/>
                <w:sz w:val="21"/>
                <w:szCs w:val="21"/>
                <w:highlight w:val="none"/>
                <w:lang w:val="en-US" w:eastAsia="zh-CN" w:bidi="ar-SA"/>
              </w:rPr>
            </w:pPr>
          </w:p>
        </w:tc>
      </w:tr>
      <w:tr w14:paraId="4FC73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2C178F6A">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26" w:name="_Toc6481"/>
            <w:r>
              <w:rPr>
                <w:rStyle w:val="20"/>
                <w:rFonts w:hint="eastAsia" w:ascii="楷体_GB2312" w:hAnsi="Calibri" w:eastAsia="宋体"/>
                <w:b w:val="0"/>
                <w:bCs w:val="0"/>
                <w:color w:val="auto"/>
                <w:kern w:val="2"/>
                <w:sz w:val="21"/>
                <w:szCs w:val="21"/>
                <w:highlight w:val="none"/>
                <w:lang w:val="en-US" w:eastAsia="zh-CN" w:bidi="ar-SA"/>
              </w:rPr>
              <w:t>3</w:t>
            </w:r>
            <w:bookmarkEnd w:id="126"/>
          </w:p>
        </w:tc>
        <w:tc>
          <w:tcPr>
            <w:tcW w:w="2741" w:type="dxa"/>
            <w:tcBorders>
              <w:top w:val="single" w:color="auto" w:sz="4" w:space="0"/>
              <w:left w:val="single" w:color="auto" w:sz="4" w:space="0"/>
              <w:bottom w:val="single" w:color="auto" w:sz="4" w:space="0"/>
              <w:right w:val="single" w:color="auto" w:sz="4" w:space="0"/>
            </w:tcBorders>
            <w:noWrap w:val="0"/>
            <w:vAlign w:val="center"/>
          </w:tcPr>
          <w:p w14:paraId="2940369F">
            <w:pPr>
              <w:pStyle w:val="8"/>
              <w:widowControl/>
              <w:jc w:val="both"/>
              <w:rPr>
                <w:rStyle w:val="20"/>
                <w:rFonts w:hint="eastAsia" w:ascii="楷体_GB2312" w:hAnsi="Calibri" w:eastAsia="宋体"/>
                <w:b w:val="0"/>
                <w:bCs w:val="0"/>
                <w:color w:val="auto"/>
                <w:kern w:val="2"/>
                <w:sz w:val="21"/>
                <w:szCs w:val="21"/>
                <w:highlight w:val="none"/>
                <w:lang w:val="en-US" w:eastAsia="zh-CN" w:bidi="ar-SA"/>
              </w:rPr>
            </w:pPr>
            <w:r>
              <w:rPr>
                <w:rStyle w:val="20"/>
                <w:rFonts w:hint="eastAsia" w:ascii="宋体" w:hAnsi="宋体" w:eastAsia="宋体" w:cs="宋体"/>
                <w:b w:val="0"/>
                <w:bCs w:val="0"/>
                <w:color w:val="auto"/>
                <w:kern w:val="2"/>
                <w:sz w:val="21"/>
                <w:szCs w:val="22"/>
                <w:highlight w:val="none"/>
                <w:lang w:val="en-US" w:eastAsia="zh-CN" w:bidi="ar-SA"/>
              </w:rPr>
              <w:t>双主冗余数据同步软件</w:t>
            </w:r>
          </w:p>
        </w:tc>
        <w:tc>
          <w:tcPr>
            <w:tcW w:w="3040" w:type="dxa"/>
            <w:tcBorders>
              <w:top w:val="single" w:color="auto" w:sz="4" w:space="0"/>
              <w:left w:val="single" w:color="auto" w:sz="4" w:space="0"/>
              <w:bottom w:val="single" w:color="auto" w:sz="4" w:space="0"/>
              <w:right w:val="single" w:color="auto" w:sz="4" w:space="0"/>
            </w:tcBorders>
            <w:noWrap w:val="0"/>
            <w:vAlign w:val="center"/>
          </w:tcPr>
          <w:p w14:paraId="4A99BFB5">
            <w:pPr>
              <w:pStyle w:val="8"/>
              <w:widowControl/>
              <w:jc w:val="center"/>
              <w:rPr>
                <w:rStyle w:val="20"/>
                <w:rFonts w:hint="eastAsia" w:ascii="楷体_GB2312" w:hAnsi="Calibri" w:eastAsia="宋体"/>
                <w:b w:val="0"/>
                <w:bCs w:val="0"/>
                <w:color w:val="auto"/>
                <w:kern w:val="2"/>
                <w:sz w:val="21"/>
                <w:szCs w:val="21"/>
                <w:highlight w:val="none"/>
                <w:lang w:val="en-US" w:eastAsia="zh-CN" w:bidi="ar-SA"/>
              </w:rPr>
            </w:pPr>
          </w:p>
        </w:tc>
        <w:tc>
          <w:tcPr>
            <w:tcW w:w="570" w:type="dxa"/>
            <w:tcBorders>
              <w:top w:val="single" w:color="auto" w:sz="4" w:space="0"/>
              <w:left w:val="single" w:color="auto" w:sz="4" w:space="0"/>
              <w:bottom w:val="single" w:color="auto" w:sz="4" w:space="0"/>
              <w:right w:val="single" w:color="auto" w:sz="4" w:space="0"/>
            </w:tcBorders>
            <w:noWrap w:val="0"/>
            <w:vAlign w:val="center"/>
          </w:tcPr>
          <w:p w14:paraId="01D91310">
            <w:pPr>
              <w:pStyle w:val="8"/>
              <w:widowControl/>
              <w:jc w:val="center"/>
              <w:rPr>
                <w:rStyle w:val="20"/>
                <w:rFonts w:hint="eastAsia" w:ascii="楷体_GB2312" w:hAnsi="Calibri" w:eastAsia="宋体"/>
                <w:b w:val="0"/>
                <w:bCs w:val="0"/>
                <w:color w:val="auto"/>
                <w:kern w:val="2"/>
                <w:sz w:val="21"/>
                <w:szCs w:val="21"/>
                <w:highlight w:val="none"/>
                <w:lang w:val="en-US" w:eastAsia="zh-CN" w:bidi="ar-SA"/>
              </w:rPr>
            </w:pPr>
            <w:r>
              <w:rPr>
                <w:rStyle w:val="20"/>
                <w:rFonts w:hint="eastAsia" w:ascii="宋体" w:hAnsi="宋体" w:eastAsia="宋体" w:cs="宋体"/>
                <w:b w:val="0"/>
                <w:bCs w:val="0"/>
                <w:color w:val="auto"/>
                <w:kern w:val="2"/>
                <w:sz w:val="21"/>
                <w:szCs w:val="22"/>
                <w:highlight w:val="none"/>
                <w:lang w:val="en-US" w:eastAsia="zh-CN" w:bidi="ar-SA"/>
              </w:rPr>
              <w:t>套</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4630F9D8">
            <w:pPr>
              <w:pStyle w:val="8"/>
              <w:widowControl/>
              <w:jc w:val="center"/>
              <w:rPr>
                <w:rStyle w:val="20"/>
                <w:rFonts w:hint="eastAsia" w:ascii="楷体_GB2312" w:hAnsi="Calibri" w:eastAsia="宋体"/>
                <w:b w:val="0"/>
                <w:bCs w:val="0"/>
                <w:color w:val="auto"/>
                <w:kern w:val="2"/>
                <w:sz w:val="21"/>
                <w:szCs w:val="21"/>
                <w:highlight w:val="none"/>
                <w:lang w:val="en-US" w:eastAsia="zh-CN" w:bidi="ar-SA"/>
              </w:rPr>
            </w:pPr>
            <w:r>
              <w:rPr>
                <w:rStyle w:val="20"/>
                <w:rFonts w:hint="eastAsia" w:ascii="楷体_GB2312" w:hAnsi="Calibri" w:eastAsia="宋体"/>
                <w:b w:val="0"/>
                <w:bCs w:val="0"/>
                <w:color w:val="auto"/>
                <w:kern w:val="2"/>
                <w:sz w:val="21"/>
                <w:szCs w:val="21"/>
                <w:highlight w:val="none"/>
                <w:lang w:val="en-US" w:eastAsia="zh-CN" w:bidi="ar-SA"/>
              </w:rPr>
              <w:t>1</w:t>
            </w:r>
          </w:p>
        </w:tc>
        <w:tc>
          <w:tcPr>
            <w:tcW w:w="1235" w:type="dxa"/>
            <w:tcBorders>
              <w:top w:val="single" w:color="auto" w:sz="4" w:space="0"/>
              <w:left w:val="single" w:color="auto" w:sz="4" w:space="0"/>
              <w:bottom w:val="single" w:color="auto" w:sz="4" w:space="0"/>
              <w:right w:val="single" w:color="auto" w:sz="4" w:space="0"/>
            </w:tcBorders>
            <w:noWrap w:val="0"/>
            <w:vAlign w:val="center"/>
          </w:tcPr>
          <w:p w14:paraId="38DAE6BF">
            <w:pPr>
              <w:pStyle w:val="8"/>
              <w:widowControl w:val="0"/>
              <w:spacing w:line="520" w:lineRule="exact"/>
              <w:jc w:val="center"/>
              <w:rPr>
                <w:rStyle w:val="20"/>
                <w:rFonts w:hint="eastAsia" w:ascii="楷体_GB2312" w:hAnsi="Calibri" w:eastAsia="宋体"/>
                <w:b w:val="0"/>
                <w:bCs w:val="0"/>
                <w:color w:val="auto"/>
                <w:kern w:val="2"/>
                <w:sz w:val="21"/>
                <w:szCs w:val="21"/>
                <w:highlight w:val="none"/>
                <w:lang w:val="en-US" w:eastAsia="zh-CN" w:bidi="ar-SA"/>
              </w:rPr>
            </w:pPr>
          </w:p>
        </w:tc>
      </w:tr>
      <w:tr w14:paraId="364C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29F1DD5E">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27" w:name="_Toc30317"/>
            <w:r>
              <w:rPr>
                <w:rStyle w:val="20"/>
                <w:rFonts w:hint="eastAsia" w:ascii="楷体_GB2312" w:hAnsi="Calibri" w:eastAsia="宋体"/>
                <w:b w:val="0"/>
                <w:bCs w:val="0"/>
                <w:color w:val="auto"/>
                <w:kern w:val="2"/>
                <w:sz w:val="21"/>
                <w:szCs w:val="21"/>
                <w:highlight w:val="none"/>
                <w:lang w:val="en-US" w:eastAsia="zh-CN" w:bidi="ar-SA"/>
              </w:rPr>
              <w:t>4</w:t>
            </w:r>
            <w:bookmarkEnd w:id="127"/>
          </w:p>
        </w:tc>
        <w:tc>
          <w:tcPr>
            <w:tcW w:w="2741" w:type="dxa"/>
            <w:tcBorders>
              <w:top w:val="single" w:color="auto" w:sz="4" w:space="0"/>
              <w:left w:val="single" w:color="auto" w:sz="4" w:space="0"/>
              <w:bottom w:val="single" w:color="auto" w:sz="4" w:space="0"/>
              <w:right w:val="single" w:color="auto" w:sz="4" w:space="0"/>
            </w:tcBorders>
            <w:noWrap w:val="0"/>
            <w:vAlign w:val="center"/>
          </w:tcPr>
          <w:p w14:paraId="22D43C80">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28" w:name="_Toc29062"/>
            <w:r>
              <w:rPr>
                <w:rStyle w:val="20"/>
                <w:rFonts w:hint="eastAsia" w:ascii="楷体_GB2312" w:hAnsi="Calibri" w:eastAsia="宋体"/>
                <w:b w:val="0"/>
                <w:bCs w:val="0"/>
                <w:color w:val="auto"/>
                <w:kern w:val="2"/>
                <w:sz w:val="21"/>
                <w:szCs w:val="21"/>
                <w:highlight w:val="none"/>
                <w:lang w:val="en-US" w:eastAsia="zh-CN" w:bidi="ar-SA"/>
              </w:rPr>
              <w:t>双机切换板</w:t>
            </w:r>
            <w:bookmarkEnd w:id="128"/>
          </w:p>
        </w:tc>
        <w:tc>
          <w:tcPr>
            <w:tcW w:w="3040" w:type="dxa"/>
            <w:tcBorders>
              <w:top w:val="single" w:color="auto" w:sz="4" w:space="0"/>
              <w:left w:val="single" w:color="auto" w:sz="4" w:space="0"/>
              <w:bottom w:val="single" w:color="auto" w:sz="4" w:space="0"/>
              <w:right w:val="single" w:color="auto" w:sz="4" w:space="0"/>
            </w:tcBorders>
            <w:noWrap w:val="0"/>
            <w:vAlign w:val="center"/>
          </w:tcPr>
          <w:p w14:paraId="180BC9EB">
            <w:pPr>
              <w:pStyle w:val="8"/>
              <w:widowControl w:val="0"/>
              <w:spacing w:line="520" w:lineRule="exact"/>
              <w:jc w:val="center"/>
              <w:rPr>
                <w:rStyle w:val="20"/>
                <w:rFonts w:hint="eastAsia" w:ascii="楷体_GB2312" w:hAnsi="Calibri" w:eastAsia="宋体"/>
                <w:b w:val="0"/>
                <w:bCs w:val="0"/>
                <w:color w:val="auto"/>
                <w:kern w:val="2"/>
                <w:sz w:val="21"/>
                <w:szCs w:val="21"/>
                <w:highlight w:val="none"/>
                <w:lang w:val="en-US" w:eastAsia="zh-CN" w:bidi="ar-SA"/>
              </w:rPr>
            </w:pPr>
          </w:p>
        </w:tc>
        <w:tc>
          <w:tcPr>
            <w:tcW w:w="570" w:type="dxa"/>
            <w:tcBorders>
              <w:top w:val="single" w:color="auto" w:sz="4" w:space="0"/>
              <w:left w:val="single" w:color="auto" w:sz="4" w:space="0"/>
              <w:bottom w:val="single" w:color="auto" w:sz="4" w:space="0"/>
              <w:right w:val="single" w:color="auto" w:sz="4" w:space="0"/>
            </w:tcBorders>
            <w:noWrap w:val="0"/>
            <w:vAlign w:val="center"/>
          </w:tcPr>
          <w:p w14:paraId="614BB5AD">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29" w:name="_Toc16287"/>
            <w:r>
              <w:rPr>
                <w:rStyle w:val="20"/>
                <w:rFonts w:hint="eastAsia" w:ascii="楷体_GB2312" w:hAnsi="Calibri" w:eastAsia="宋体"/>
                <w:b w:val="0"/>
                <w:bCs w:val="0"/>
                <w:color w:val="auto"/>
                <w:kern w:val="2"/>
                <w:sz w:val="21"/>
                <w:szCs w:val="21"/>
                <w:highlight w:val="none"/>
                <w:lang w:val="en-US" w:eastAsia="zh-CN" w:bidi="ar-SA"/>
              </w:rPr>
              <w:t>块</w:t>
            </w:r>
            <w:bookmarkEnd w:id="129"/>
          </w:p>
        </w:tc>
        <w:tc>
          <w:tcPr>
            <w:tcW w:w="730" w:type="dxa"/>
            <w:tcBorders>
              <w:top w:val="single" w:color="auto" w:sz="4" w:space="0"/>
              <w:left w:val="single" w:color="auto" w:sz="4" w:space="0"/>
              <w:bottom w:val="single" w:color="auto" w:sz="4" w:space="0"/>
              <w:right w:val="single" w:color="auto" w:sz="4" w:space="0"/>
            </w:tcBorders>
            <w:noWrap w:val="0"/>
            <w:vAlign w:val="center"/>
          </w:tcPr>
          <w:p w14:paraId="61A2F6EA">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30" w:name="_Toc29458"/>
            <w:r>
              <w:rPr>
                <w:rStyle w:val="20"/>
                <w:rFonts w:hint="eastAsia" w:ascii="楷体_GB2312" w:hAnsi="Calibri" w:eastAsia="宋体"/>
                <w:b w:val="0"/>
                <w:bCs w:val="0"/>
                <w:color w:val="auto"/>
                <w:kern w:val="2"/>
                <w:sz w:val="21"/>
                <w:szCs w:val="21"/>
                <w:highlight w:val="none"/>
                <w:lang w:val="en-US" w:eastAsia="zh-CN" w:bidi="ar-SA"/>
              </w:rPr>
              <w:t>1</w:t>
            </w:r>
            <w:bookmarkEnd w:id="130"/>
          </w:p>
        </w:tc>
        <w:tc>
          <w:tcPr>
            <w:tcW w:w="1235" w:type="dxa"/>
            <w:tcBorders>
              <w:top w:val="single" w:color="auto" w:sz="4" w:space="0"/>
              <w:left w:val="single" w:color="auto" w:sz="4" w:space="0"/>
              <w:bottom w:val="single" w:color="auto" w:sz="4" w:space="0"/>
              <w:right w:val="single" w:color="auto" w:sz="4" w:space="0"/>
            </w:tcBorders>
            <w:noWrap w:val="0"/>
            <w:vAlign w:val="center"/>
          </w:tcPr>
          <w:p w14:paraId="1605E176">
            <w:pPr>
              <w:pStyle w:val="8"/>
              <w:widowControl w:val="0"/>
              <w:spacing w:line="520" w:lineRule="exact"/>
              <w:jc w:val="center"/>
              <w:rPr>
                <w:rStyle w:val="20"/>
                <w:rFonts w:hint="eastAsia" w:ascii="楷体_GB2312" w:hAnsi="Calibri" w:eastAsia="宋体"/>
                <w:b w:val="0"/>
                <w:bCs w:val="0"/>
                <w:color w:val="auto"/>
                <w:kern w:val="2"/>
                <w:sz w:val="21"/>
                <w:szCs w:val="21"/>
                <w:highlight w:val="none"/>
                <w:lang w:val="en-US" w:eastAsia="zh-CN" w:bidi="ar-SA"/>
              </w:rPr>
            </w:pPr>
          </w:p>
        </w:tc>
      </w:tr>
      <w:tr w14:paraId="3F58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575" w:type="dxa"/>
            <w:tcBorders>
              <w:top w:val="single" w:color="auto" w:sz="4" w:space="0"/>
              <w:left w:val="single" w:color="auto" w:sz="4" w:space="0"/>
              <w:bottom w:val="single" w:color="auto" w:sz="4" w:space="0"/>
              <w:right w:val="single" w:color="auto" w:sz="4" w:space="0"/>
            </w:tcBorders>
            <w:noWrap w:val="0"/>
            <w:vAlign w:val="center"/>
          </w:tcPr>
          <w:p w14:paraId="63018939">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31" w:name="_Toc11186"/>
            <w:r>
              <w:rPr>
                <w:rStyle w:val="20"/>
                <w:rFonts w:hint="eastAsia" w:ascii="楷体_GB2312" w:hAnsi="Calibri" w:eastAsia="宋体"/>
                <w:b w:val="0"/>
                <w:bCs w:val="0"/>
                <w:color w:val="auto"/>
                <w:kern w:val="2"/>
                <w:sz w:val="21"/>
                <w:szCs w:val="21"/>
                <w:highlight w:val="none"/>
                <w:lang w:val="en-US" w:eastAsia="zh-CN" w:bidi="ar-SA"/>
              </w:rPr>
              <w:t>5</w:t>
            </w:r>
            <w:bookmarkEnd w:id="131"/>
          </w:p>
        </w:tc>
        <w:tc>
          <w:tcPr>
            <w:tcW w:w="2741" w:type="dxa"/>
            <w:tcBorders>
              <w:top w:val="single" w:color="auto" w:sz="4" w:space="0"/>
              <w:left w:val="single" w:color="auto" w:sz="4" w:space="0"/>
              <w:bottom w:val="single" w:color="auto" w:sz="4" w:space="0"/>
              <w:right w:val="single" w:color="auto" w:sz="4" w:space="0"/>
            </w:tcBorders>
            <w:noWrap w:val="0"/>
            <w:vAlign w:val="center"/>
          </w:tcPr>
          <w:p w14:paraId="7F2F73CA">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32" w:name="_Toc17498"/>
            <w:r>
              <w:rPr>
                <w:rStyle w:val="20"/>
                <w:rFonts w:hint="eastAsia" w:ascii="宋体" w:hAnsi="宋体" w:eastAsia="宋体" w:cs="宋体"/>
                <w:b w:val="0"/>
                <w:bCs w:val="0"/>
                <w:color w:val="auto"/>
                <w:kern w:val="2"/>
                <w:sz w:val="21"/>
                <w:szCs w:val="22"/>
                <w:highlight w:val="none"/>
                <w:lang w:val="en-US" w:eastAsia="zh-CN" w:bidi="ar-SA"/>
              </w:rPr>
              <w:t>双机切换软件</w:t>
            </w:r>
            <w:bookmarkEnd w:id="132"/>
          </w:p>
        </w:tc>
        <w:tc>
          <w:tcPr>
            <w:tcW w:w="3040" w:type="dxa"/>
            <w:tcBorders>
              <w:top w:val="single" w:color="auto" w:sz="4" w:space="0"/>
              <w:left w:val="single" w:color="auto" w:sz="4" w:space="0"/>
              <w:bottom w:val="single" w:color="auto" w:sz="4" w:space="0"/>
              <w:right w:val="single" w:color="auto" w:sz="4" w:space="0"/>
            </w:tcBorders>
            <w:noWrap w:val="0"/>
            <w:vAlign w:val="center"/>
          </w:tcPr>
          <w:p w14:paraId="37395129">
            <w:pPr>
              <w:pStyle w:val="8"/>
              <w:widowControl w:val="0"/>
              <w:spacing w:line="520" w:lineRule="exact"/>
              <w:jc w:val="center"/>
              <w:rPr>
                <w:rStyle w:val="20"/>
                <w:rFonts w:hint="eastAsia" w:ascii="楷体_GB2312" w:hAnsi="Calibri" w:eastAsia="宋体"/>
                <w:b w:val="0"/>
                <w:bCs w:val="0"/>
                <w:color w:val="auto"/>
                <w:kern w:val="2"/>
                <w:sz w:val="21"/>
                <w:szCs w:val="21"/>
                <w:highlight w:val="none"/>
                <w:lang w:val="en-US" w:eastAsia="zh-CN" w:bidi="ar-SA"/>
              </w:rPr>
            </w:pPr>
          </w:p>
        </w:tc>
        <w:tc>
          <w:tcPr>
            <w:tcW w:w="570" w:type="dxa"/>
            <w:tcBorders>
              <w:top w:val="single" w:color="auto" w:sz="4" w:space="0"/>
              <w:left w:val="single" w:color="auto" w:sz="4" w:space="0"/>
              <w:bottom w:val="single" w:color="auto" w:sz="4" w:space="0"/>
              <w:right w:val="single" w:color="auto" w:sz="4" w:space="0"/>
            </w:tcBorders>
            <w:noWrap w:val="0"/>
            <w:vAlign w:val="center"/>
          </w:tcPr>
          <w:p w14:paraId="27DEB5F1">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33" w:name="_Toc16506"/>
            <w:r>
              <w:rPr>
                <w:rStyle w:val="20"/>
                <w:rFonts w:hint="eastAsia" w:ascii="宋体" w:hAnsi="宋体" w:eastAsia="宋体" w:cs="宋体"/>
                <w:b w:val="0"/>
                <w:bCs w:val="0"/>
                <w:color w:val="auto"/>
                <w:kern w:val="2"/>
                <w:sz w:val="21"/>
                <w:szCs w:val="22"/>
                <w:highlight w:val="none"/>
                <w:lang w:val="en-US" w:eastAsia="zh-CN" w:bidi="ar-SA"/>
              </w:rPr>
              <w:t>套</w:t>
            </w:r>
            <w:bookmarkEnd w:id="133"/>
          </w:p>
        </w:tc>
        <w:tc>
          <w:tcPr>
            <w:tcW w:w="730" w:type="dxa"/>
            <w:tcBorders>
              <w:top w:val="single" w:color="auto" w:sz="4" w:space="0"/>
              <w:left w:val="single" w:color="auto" w:sz="4" w:space="0"/>
              <w:bottom w:val="single" w:color="auto" w:sz="4" w:space="0"/>
              <w:right w:val="single" w:color="auto" w:sz="4" w:space="0"/>
            </w:tcBorders>
            <w:noWrap w:val="0"/>
            <w:vAlign w:val="center"/>
          </w:tcPr>
          <w:p w14:paraId="1AF1DD96">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34" w:name="_Toc4287"/>
            <w:r>
              <w:rPr>
                <w:rStyle w:val="20"/>
                <w:rFonts w:hint="eastAsia" w:ascii="楷体_GB2312" w:hAnsi="Calibri" w:eastAsia="宋体"/>
                <w:b w:val="0"/>
                <w:bCs w:val="0"/>
                <w:color w:val="auto"/>
                <w:kern w:val="2"/>
                <w:sz w:val="21"/>
                <w:szCs w:val="21"/>
                <w:highlight w:val="none"/>
                <w:lang w:val="en-US" w:eastAsia="zh-CN" w:bidi="ar-SA"/>
              </w:rPr>
              <w:t>1</w:t>
            </w:r>
            <w:bookmarkEnd w:id="134"/>
          </w:p>
        </w:tc>
        <w:tc>
          <w:tcPr>
            <w:tcW w:w="1235" w:type="dxa"/>
            <w:tcBorders>
              <w:top w:val="single" w:color="auto" w:sz="4" w:space="0"/>
              <w:left w:val="single" w:color="auto" w:sz="4" w:space="0"/>
              <w:bottom w:val="single" w:color="auto" w:sz="4" w:space="0"/>
              <w:right w:val="single" w:color="auto" w:sz="4" w:space="0"/>
            </w:tcBorders>
            <w:noWrap w:val="0"/>
            <w:vAlign w:val="center"/>
          </w:tcPr>
          <w:p w14:paraId="61BE4E4B">
            <w:pPr>
              <w:pStyle w:val="8"/>
              <w:widowControl w:val="0"/>
              <w:spacing w:line="520" w:lineRule="exact"/>
              <w:jc w:val="center"/>
              <w:rPr>
                <w:rStyle w:val="20"/>
                <w:rFonts w:hint="eastAsia" w:ascii="楷体_GB2312" w:hAnsi="Calibri" w:eastAsia="宋体"/>
                <w:b w:val="0"/>
                <w:bCs w:val="0"/>
                <w:color w:val="auto"/>
                <w:kern w:val="2"/>
                <w:sz w:val="21"/>
                <w:szCs w:val="21"/>
                <w:highlight w:val="none"/>
                <w:lang w:val="en-US" w:eastAsia="zh-CN" w:bidi="ar-SA"/>
              </w:rPr>
            </w:pPr>
          </w:p>
        </w:tc>
      </w:tr>
      <w:tr w14:paraId="0ACF8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30950F93">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35" w:name="_Toc19760"/>
            <w:r>
              <w:rPr>
                <w:rStyle w:val="20"/>
                <w:rFonts w:hint="eastAsia" w:ascii="楷体_GB2312" w:hAnsi="Calibri" w:eastAsia="宋体"/>
                <w:b w:val="0"/>
                <w:bCs w:val="0"/>
                <w:color w:val="auto"/>
                <w:kern w:val="2"/>
                <w:sz w:val="21"/>
                <w:szCs w:val="21"/>
                <w:highlight w:val="none"/>
                <w:lang w:val="en-US" w:eastAsia="zh-CN" w:bidi="ar-SA"/>
              </w:rPr>
              <w:t>6</w:t>
            </w:r>
            <w:bookmarkEnd w:id="135"/>
          </w:p>
        </w:tc>
        <w:tc>
          <w:tcPr>
            <w:tcW w:w="2741" w:type="dxa"/>
            <w:tcBorders>
              <w:top w:val="single" w:color="auto" w:sz="4" w:space="0"/>
              <w:left w:val="single" w:color="auto" w:sz="4" w:space="0"/>
              <w:bottom w:val="single" w:color="auto" w:sz="4" w:space="0"/>
              <w:right w:val="single" w:color="auto" w:sz="4" w:space="0"/>
            </w:tcBorders>
            <w:noWrap w:val="0"/>
            <w:vAlign w:val="center"/>
          </w:tcPr>
          <w:p w14:paraId="681B2302">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36" w:name="_Toc24203"/>
            <w:r>
              <w:rPr>
                <w:rStyle w:val="20"/>
                <w:rFonts w:hint="eastAsia" w:ascii="楷体_GB2312" w:hAnsi="Calibri" w:eastAsia="宋体"/>
                <w:b w:val="0"/>
                <w:bCs w:val="0"/>
                <w:color w:val="auto"/>
                <w:kern w:val="2"/>
                <w:sz w:val="21"/>
                <w:szCs w:val="21"/>
                <w:highlight w:val="none"/>
                <w:lang w:val="en-US" w:eastAsia="zh-CN" w:bidi="ar-SA"/>
              </w:rPr>
              <w:t>屏柜</w:t>
            </w:r>
            <w:bookmarkEnd w:id="136"/>
          </w:p>
        </w:tc>
        <w:tc>
          <w:tcPr>
            <w:tcW w:w="3040" w:type="dxa"/>
            <w:tcBorders>
              <w:top w:val="single" w:color="auto" w:sz="4" w:space="0"/>
              <w:left w:val="single" w:color="auto" w:sz="4" w:space="0"/>
              <w:bottom w:val="single" w:color="auto" w:sz="4" w:space="0"/>
              <w:right w:val="single" w:color="auto" w:sz="4" w:space="0"/>
            </w:tcBorders>
            <w:noWrap w:val="0"/>
            <w:vAlign w:val="center"/>
          </w:tcPr>
          <w:p w14:paraId="3C962115">
            <w:pPr>
              <w:pStyle w:val="8"/>
              <w:widowControl w:val="0"/>
              <w:spacing w:line="520" w:lineRule="exact"/>
              <w:jc w:val="center"/>
              <w:rPr>
                <w:rStyle w:val="20"/>
                <w:rFonts w:hint="eastAsia" w:ascii="楷体_GB2312" w:hAnsi="Calibri" w:eastAsia="宋体"/>
                <w:b w:val="0"/>
                <w:bCs w:val="0"/>
                <w:color w:val="auto"/>
                <w:kern w:val="2"/>
                <w:sz w:val="21"/>
                <w:szCs w:val="21"/>
                <w:highlight w:val="none"/>
                <w:lang w:val="en-US" w:eastAsia="zh-CN" w:bidi="ar-SA"/>
              </w:rPr>
            </w:pPr>
          </w:p>
        </w:tc>
        <w:tc>
          <w:tcPr>
            <w:tcW w:w="570" w:type="dxa"/>
            <w:tcBorders>
              <w:top w:val="single" w:color="auto" w:sz="4" w:space="0"/>
              <w:left w:val="single" w:color="auto" w:sz="4" w:space="0"/>
              <w:bottom w:val="single" w:color="auto" w:sz="4" w:space="0"/>
              <w:right w:val="single" w:color="auto" w:sz="4" w:space="0"/>
            </w:tcBorders>
            <w:noWrap w:val="0"/>
            <w:vAlign w:val="center"/>
          </w:tcPr>
          <w:p w14:paraId="2F0456C5">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37" w:name="_Toc11044"/>
            <w:r>
              <w:rPr>
                <w:rStyle w:val="20"/>
                <w:rFonts w:hint="eastAsia" w:ascii="楷体_GB2312" w:hAnsi="Calibri" w:eastAsia="宋体"/>
                <w:b w:val="0"/>
                <w:bCs w:val="0"/>
                <w:color w:val="auto"/>
                <w:kern w:val="2"/>
                <w:sz w:val="21"/>
                <w:szCs w:val="21"/>
                <w:highlight w:val="none"/>
                <w:lang w:val="en-US" w:eastAsia="zh-CN" w:bidi="ar-SA"/>
              </w:rPr>
              <w:t>面</w:t>
            </w:r>
            <w:bookmarkEnd w:id="137"/>
          </w:p>
        </w:tc>
        <w:tc>
          <w:tcPr>
            <w:tcW w:w="730" w:type="dxa"/>
            <w:tcBorders>
              <w:top w:val="single" w:color="auto" w:sz="4" w:space="0"/>
              <w:left w:val="single" w:color="auto" w:sz="4" w:space="0"/>
              <w:bottom w:val="single" w:color="auto" w:sz="4" w:space="0"/>
              <w:right w:val="single" w:color="auto" w:sz="4" w:space="0"/>
            </w:tcBorders>
            <w:noWrap w:val="0"/>
            <w:vAlign w:val="center"/>
          </w:tcPr>
          <w:p w14:paraId="0BC65F8F">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38" w:name="_Toc1361"/>
            <w:r>
              <w:rPr>
                <w:rStyle w:val="20"/>
                <w:rFonts w:hint="eastAsia" w:ascii="楷体_GB2312" w:hAnsi="Calibri" w:eastAsia="宋体"/>
                <w:b w:val="0"/>
                <w:bCs w:val="0"/>
                <w:color w:val="auto"/>
                <w:kern w:val="2"/>
                <w:sz w:val="21"/>
                <w:szCs w:val="21"/>
                <w:highlight w:val="none"/>
                <w:lang w:val="en-US" w:eastAsia="zh-CN" w:bidi="ar-SA"/>
              </w:rPr>
              <w:t>1</w:t>
            </w:r>
            <w:bookmarkEnd w:id="138"/>
          </w:p>
        </w:tc>
        <w:tc>
          <w:tcPr>
            <w:tcW w:w="1235" w:type="dxa"/>
            <w:tcBorders>
              <w:top w:val="single" w:color="auto" w:sz="4" w:space="0"/>
              <w:left w:val="single" w:color="auto" w:sz="4" w:space="0"/>
              <w:bottom w:val="single" w:color="auto" w:sz="4" w:space="0"/>
              <w:right w:val="single" w:color="auto" w:sz="4" w:space="0"/>
            </w:tcBorders>
            <w:noWrap w:val="0"/>
            <w:vAlign w:val="center"/>
          </w:tcPr>
          <w:p w14:paraId="08F87690">
            <w:pPr>
              <w:pStyle w:val="8"/>
              <w:widowControl w:val="0"/>
              <w:spacing w:line="520" w:lineRule="exact"/>
              <w:jc w:val="center"/>
              <w:rPr>
                <w:rStyle w:val="20"/>
                <w:rFonts w:hint="eastAsia" w:ascii="楷体_GB2312" w:hAnsi="Calibri" w:eastAsia="宋体"/>
                <w:b w:val="0"/>
                <w:bCs w:val="0"/>
                <w:color w:val="auto"/>
                <w:kern w:val="2"/>
                <w:sz w:val="21"/>
                <w:szCs w:val="21"/>
                <w:highlight w:val="none"/>
                <w:lang w:val="en-US" w:eastAsia="zh-CN" w:bidi="ar-SA"/>
              </w:rPr>
            </w:pPr>
          </w:p>
        </w:tc>
      </w:tr>
      <w:tr w14:paraId="12E93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06D71C0E">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39" w:name="_Toc12559"/>
            <w:r>
              <w:rPr>
                <w:rStyle w:val="20"/>
                <w:rFonts w:hint="eastAsia" w:ascii="楷体_GB2312" w:hAnsi="Calibri" w:eastAsia="宋体"/>
                <w:b w:val="0"/>
                <w:bCs w:val="0"/>
                <w:color w:val="auto"/>
                <w:kern w:val="2"/>
                <w:sz w:val="21"/>
                <w:szCs w:val="21"/>
                <w:highlight w:val="none"/>
                <w:lang w:val="en-US" w:eastAsia="zh-CN" w:bidi="ar-SA"/>
              </w:rPr>
              <w:t>7</w:t>
            </w:r>
            <w:bookmarkEnd w:id="139"/>
          </w:p>
        </w:tc>
        <w:tc>
          <w:tcPr>
            <w:tcW w:w="2741" w:type="dxa"/>
            <w:tcBorders>
              <w:top w:val="single" w:color="auto" w:sz="4" w:space="0"/>
              <w:left w:val="single" w:color="auto" w:sz="4" w:space="0"/>
              <w:bottom w:val="single" w:color="auto" w:sz="4" w:space="0"/>
              <w:right w:val="single" w:color="auto" w:sz="4" w:space="0"/>
            </w:tcBorders>
            <w:noWrap w:val="0"/>
            <w:vAlign w:val="center"/>
          </w:tcPr>
          <w:p w14:paraId="1C75CDAE">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40" w:name="_Toc20596"/>
            <w:r>
              <w:rPr>
                <w:rStyle w:val="20"/>
                <w:rFonts w:hint="eastAsia" w:ascii="楷体_GB2312" w:hAnsi="Calibri" w:eastAsia="宋体"/>
                <w:b w:val="0"/>
                <w:bCs w:val="0"/>
                <w:color w:val="auto"/>
                <w:kern w:val="2"/>
                <w:sz w:val="21"/>
                <w:szCs w:val="21"/>
                <w:highlight w:val="none"/>
                <w:lang w:val="en-US" w:eastAsia="zh-CN" w:bidi="ar-SA"/>
              </w:rPr>
              <w:t>屏柜电源</w:t>
            </w:r>
            <w:bookmarkEnd w:id="140"/>
          </w:p>
        </w:tc>
        <w:tc>
          <w:tcPr>
            <w:tcW w:w="3040" w:type="dxa"/>
            <w:tcBorders>
              <w:top w:val="single" w:color="auto" w:sz="4" w:space="0"/>
              <w:left w:val="single" w:color="auto" w:sz="4" w:space="0"/>
              <w:bottom w:val="single" w:color="auto" w:sz="4" w:space="0"/>
              <w:right w:val="single" w:color="auto" w:sz="4" w:space="0"/>
            </w:tcBorders>
            <w:noWrap w:val="0"/>
            <w:vAlign w:val="center"/>
          </w:tcPr>
          <w:p w14:paraId="20738D9D">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41" w:name="_Toc22038"/>
            <w:r>
              <w:rPr>
                <w:rStyle w:val="20"/>
                <w:rFonts w:hint="eastAsia" w:ascii="楷体_GB2312" w:hAnsi="Calibri" w:eastAsia="宋体"/>
                <w:b w:val="0"/>
                <w:bCs w:val="0"/>
                <w:color w:val="auto"/>
                <w:kern w:val="2"/>
                <w:sz w:val="21"/>
                <w:szCs w:val="21"/>
                <w:highlight w:val="none"/>
                <w:lang w:val="en-US" w:eastAsia="zh-CN" w:bidi="ar-SA"/>
              </w:rPr>
              <w:t>屏柜电源（220VAC、110VDC双路输入，24VDC输出）</w:t>
            </w:r>
            <w:bookmarkEnd w:id="141"/>
          </w:p>
        </w:tc>
        <w:tc>
          <w:tcPr>
            <w:tcW w:w="570" w:type="dxa"/>
            <w:tcBorders>
              <w:top w:val="single" w:color="auto" w:sz="4" w:space="0"/>
              <w:left w:val="single" w:color="auto" w:sz="4" w:space="0"/>
              <w:bottom w:val="single" w:color="auto" w:sz="4" w:space="0"/>
              <w:right w:val="single" w:color="auto" w:sz="4" w:space="0"/>
            </w:tcBorders>
            <w:noWrap w:val="0"/>
            <w:vAlign w:val="center"/>
          </w:tcPr>
          <w:p w14:paraId="52429514">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42" w:name="_Toc30377"/>
            <w:r>
              <w:rPr>
                <w:rStyle w:val="20"/>
                <w:rFonts w:hint="eastAsia" w:ascii="楷体_GB2312" w:hAnsi="Calibri" w:eastAsia="宋体"/>
                <w:b w:val="0"/>
                <w:bCs w:val="0"/>
                <w:color w:val="auto"/>
                <w:kern w:val="2"/>
                <w:sz w:val="21"/>
                <w:szCs w:val="21"/>
                <w:highlight w:val="none"/>
                <w:lang w:val="en-US" w:eastAsia="zh-CN" w:bidi="ar-SA"/>
              </w:rPr>
              <w:t>套</w:t>
            </w:r>
            <w:bookmarkEnd w:id="142"/>
          </w:p>
        </w:tc>
        <w:tc>
          <w:tcPr>
            <w:tcW w:w="730" w:type="dxa"/>
            <w:tcBorders>
              <w:top w:val="single" w:color="auto" w:sz="4" w:space="0"/>
              <w:left w:val="single" w:color="auto" w:sz="4" w:space="0"/>
              <w:bottom w:val="single" w:color="auto" w:sz="4" w:space="0"/>
              <w:right w:val="single" w:color="auto" w:sz="4" w:space="0"/>
            </w:tcBorders>
            <w:noWrap w:val="0"/>
            <w:vAlign w:val="center"/>
          </w:tcPr>
          <w:p w14:paraId="567607D0">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43" w:name="_Toc10680"/>
            <w:r>
              <w:rPr>
                <w:rStyle w:val="20"/>
                <w:rFonts w:hint="eastAsia" w:ascii="楷体_GB2312" w:hAnsi="Calibri" w:eastAsia="宋体"/>
                <w:b w:val="0"/>
                <w:bCs w:val="0"/>
                <w:color w:val="auto"/>
                <w:kern w:val="2"/>
                <w:sz w:val="21"/>
                <w:szCs w:val="21"/>
                <w:highlight w:val="none"/>
                <w:lang w:val="en-US" w:eastAsia="zh-CN" w:bidi="ar-SA"/>
              </w:rPr>
              <w:t>1</w:t>
            </w:r>
            <w:bookmarkEnd w:id="143"/>
          </w:p>
        </w:tc>
        <w:tc>
          <w:tcPr>
            <w:tcW w:w="1235" w:type="dxa"/>
            <w:tcBorders>
              <w:top w:val="single" w:color="auto" w:sz="4" w:space="0"/>
              <w:left w:val="single" w:color="auto" w:sz="4" w:space="0"/>
              <w:bottom w:val="single" w:color="auto" w:sz="4" w:space="0"/>
              <w:right w:val="single" w:color="auto" w:sz="4" w:space="0"/>
            </w:tcBorders>
            <w:noWrap w:val="0"/>
            <w:vAlign w:val="center"/>
          </w:tcPr>
          <w:p w14:paraId="4396A839">
            <w:pPr>
              <w:pStyle w:val="8"/>
              <w:widowControl w:val="0"/>
              <w:spacing w:line="520" w:lineRule="exact"/>
              <w:jc w:val="center"/>
              <w:rPr>
                <w:rStyle w:val="20"/>
                <w:rFonts w:hint="eastAsia" w:ascii="楷体_GB2312" w:hAnsi="Calibri" w:eastAsia="宋体"/>
                <w:b w:val="0"/>
                <w:bCs w:val="0"/>
                <w:color w:val="auto"/>
                <w:kern w:val="2"/>
                <w:sz w:val="21"/>
                <w:szCs w:val="21"/>
                <w:highlight w:val="none"/>
                <w:lang w:val="en-US" w:eastAsia="zh-CN" w:bidi="ar-SA"/>
              </w:rPr>
            </w:pPr>
          </w:p>
        </w:tc>
      </w:tr>
      <w:tr w14:paraId="7006E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47EE7B4B">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44" w:name="_Toc5799"/>
            <w:r>
              <w:rPr>
                <w:rStyle w:val="20"/>
                <w:rFonts w:hint="eastAsia" w:ascii="楷体_GB2312" w:hAnsi="Calibri" w:eastAsia="宋体"/>
                <w:b w:val="0"/>
                <w:bCs w:val="0"/>
                <w:color w:val="auto"/>
                <w:kern w:val="2"/>
                <w:sz w:val="21"/>
                <w:szCs w:val="21"/>
                <w:highlight w:val="none"/>
                <w:lang w:val="en-US" w:eastAsia="zh-CN" w:bidi="ar-SA"/>
              </w:rPr>
              <w:t>8</w:t>
            </w:r>
            <w:bookmarkEnd w:id="144"/>
          </w:p>
        </w:tc>
        <w:tc>
          <w:tcPr>
            <w:tcW w:w="2741" w:type="dxa"/>
            <w:tcBorders>
              <w:top w:val="single" w:color="auto" w:sz="4" w:space="0"/>
              <w:left w:val="single" w:color="auto" w:sz="4" w:space="0"/>
              <w:bottom w:val="single" w:color="auto" w:sz="4" w:space="0"/>
              <w:right w:val="single" w:color="auto" w:sz="4" w:space="0"/>
            </w:tcBorders>
            <w:noWrap w:val="0"/>
            <w:vAlign w:val="center"/>
          </w:tcPr>
          <w:p w14:paraId="09AD26DD">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45" w:name="_Toc12338"/>
            <w:r>
              <w:rPr>
                <w:rStyle w:val="20"/>
                <w:rFonts w:hint="eastAsia" w:ascii="楷体_GB2312" w:hAnsi="Calibri" w:eastAsia="宋体"/>
                <w:b w:val="0"/>
                <w:bCs w:val="0"/>
                <w:color w:val="auto"/>
                <w:kern w:val="2"/>
                <w:sz w:val="21"/>
                <w:szCs w:val="21"/>
                <w:highlight w:val="none"/>
                <w:lang w:val="en-US" w:eastAsia="zh-CN" w:bidi="ar-SA"/>
              </w:rPr>
              <w:t>组屏附件及配线</w:t>
            </w:r>
            <w:bookmarkEnd w:id="145"/>
          </w:p>
        </w:tc>
        <w:tc>
          <w:tcPr>
            <w:tcW w:w="3040" w:type="dxa"/>
            <w:tcBorders>
              <w:top w:val="single" w:color="auto" w:sz="4" w:space="0"/>
              <w:left w:val="single" w:color="auto" w:sz="4" w:space="0"/>
              <w:bottom w:val="single" w:color="auto" w:sz="4" w:space="0"/>
              <w:right w:val="single" w:color="auto" w:sz="4" w:space="0"/>
            </w:tcBorders>
            <w:noWrap w:val="0"/>
            <w:vAlign w:val="center"/>
          </w:tcPr>
          <w:p w14:paraId="17963926">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46" w:name="_Toc10870"/>
            <w:r>
              <w:rPr>
                <w:rStyle w:val="20"/>
                <w:rFonts w:hint="eastAsia" w:ascii="楷体_GB2312" w:hAnsi="Calibri" w:eastAsia="宋体"/>
                <w:b w:val="0"/>
                <w:bCs w:val="0"/>
                <w:color w:val="auto"/>
                <w:kern w:val="2"/>
                <w:sz w:val="21"/>
                <w:szCs w:val="21"/>
                <w:highlight w:val="none"/>
                <w:lang w:val="en-US" w:eastAsia="zh-CN" w:bidi="ar-SA"/>
              </w:rPr>
              <w:t>含端子、空开、配线</w:t>
            </w:r>
            <w:bookmarkEnd w:id="146"/>
          </w:p>
        </w:tc>
        <w:tc>
          <w:tcPr>
            <w:tcW w:w="570" w:type="dxa"/>
            <w:tcBorders>
              <w:top w:val="single" w:color="auto" w:sz="4" w:space="0"/>
              <w:left w:val="single" w:color="auto" w:sz="4" w:space="0"/>
              <w:bottom w:val="single" w:color="auto" w:sz="4" w:space="0"/>
              <w:right w:val="single" w:color="auto" w:sz="4" w:space="0"/>
            </w:tcBorders>
            <w:noWrap w:val="0"/>
            <w:vAlign w:val="center"/>
          </w:tcPr>
          <w:p w14:paraId="47044DBB">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47" w:name="_Toc28463"/>
            <w:r>
              <w:rPr>
                <w:rStyle w:val="20"/>
                <w:rFonts w:hint="eastAsia" w:ascii="楷体_GB2312" w:hAnsi="Calibri" w:eastAsia="宋体"/>
                <w:b w:val="0"/>
                <w:bCs w:val="0"/>
                <w:color w:val="auto"/>
                <w:kern w:val="2"/>
                <w:sz w:val="21"/>
                <w:szCs w:val="21"/>
                <w:highlight w:val="none"/>
                <w:lang w:val="en-US" w:eastAsia="zh-CN" w:bidi="ar-SA"/>
              </w:rPr>
              <w:t>套</w:t>
            </w:r>
            <w:bookmarkEnd w:id="147"/>
          </w:p>
        </w:tc>
        <w:tc>
          <w:tcPr>
            <w:tcW w:w="730" w:type="dxa"/>
            <w:tcBorders>
              <w:top w:val="single" w:color="auto" w:sz="4" w:space="0"/>
              <w:left w:val="single" w:color="auto" w:sz="4" w:space="0"/>
              <w:bottom w:val="single" w:color="auto" w:sz="4" w:space="0"/>
              <w:right w:val="single" w:color="auto" w:sz="4" w:space="0"/>
            </w:tcBorders>
            <w:noWrap w:val="0"/>
            <w:vAlign w:val="center"/>
          </w:tcPr>
          <w:p w14:paraId="341A97FB">
            <w:pPr>
              <w:pStyle w:val="8"/>
              <w:widowControl w:val="0"/>
              <w:spacing w:line="520" w:lineRule="exact"/>
              <w:jc w:val="center"/>
              <w:outlineLvl w:val="0"/>
              <w:rPr>
                <w:rStyle w:val="20"/>
                <w:rFonts w:hint="eastAsia" w:ascii="楷体_GB2312" w:hAnsi="Calibri" w:eastAsia="宋体"/>
                <w:b w:val="0"/>
                <w:bCs w:val="0"/>
                <w:color w:val="auto"/>
                <w:kern w:val="2"/>
                <w:sz w:val="21"/>
                <w:szCs w:val="21"/>
                <w:highlight w:val="none"/>
                <w:lang w:val="en-US" w:eastAsia="zh-CN" w:bidi="ar-SA"/>
              </w:rPr>
            </w:pPr>
            <w:bookmarkStart w:id="148" w:name="_Toc11755"/>
            <w:r>
              <w:rPr>
                <w:rStyle w:val="20"/>
                <w:rFonts w:hint="eastAsia" w:ascii="楷体_GB2312" w:hAnsi="Calibri" w:eastAsia="宋体"/>
                <w:b w:val="0"/>
                <w:bCs w:val="0"/>
                <w:color w:val="auto"/>
                <w:kern w:val="2"/>
                <w:sz w:val="21"/>
                <w:szCs w:val="21"/>
                <w:highlight w:val="none"/>
                <w:lang w:val="en-US" w:eastAsia="zh-CN" w:bidi="ar-SA"/>
              </w:rPr>
              <w:t>1</w:t>
            </w:r>
            <w:bookmarkEnd w:id="148"/>
          </w:p>
        </w:tc>
        <w:tc>
          <w:tcPr>
            <w:tcW w:w="1235" w:type="dxa"/>
            <w:tcBorders>
              <w:top w:val="single" w:color="auto" w:sz="4" w:space="0"/>
              <w:left w:val="single" w:color="auto" w:sz="4" w:space="0"/>
              <w:bottom w:val="single" w:color="auto" w:sz="4" w:space="0"/>
              <w:right w:val="single" w:color="auto" w:sz="4" w:space="0"/>
            </w:tcBorders>
            <w:noWrap w:val="0"/>
            <w:vAlign w:val="center"/>
          </w:tcPr>
          <w:p w14:paraId="46D01530">
            <w:pPr>
              <w:pStyle w:val="8"/>
              <w:widowControl w:val="0"/>
              <w:spacing w:line="520" w:lineRule="exact"/>
              <w:jc w:val="center"/>
              <w:rPr>
                <w:rStyle w:val="20"/>
                <w:rFonts w:hint="eastAsia" w:ascii="楷体_GB2312" w:hAnsi="Calibri" w:eastAsia="宋体"/>
                <w:b w:val="0"/>
                <w:bCs w:val="0"/>
                <w:color w:val="auto"/>
                <w:kern w:val="2"/>
                <w:sz w:val="21"/>
                <w:szCs w:val="21"/>
                <w:highlight w:val="none"/>
                <w:lang w:val="en-US" w:eastAsia="zh-CN" w:bidi="ar-SA"/>
              </w:rPr>
            </w:pPr>
          </w:p>
        </w:tc>
      </w:tr>
      <w:tr w14:paraId="1EB2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2BFBF7A9">
            <w:pPr>
              <w:pStyle w:val="8"/>
              <w:widowControl w:val="0"/>
              <w:spacing w:line="520" w:lineRule="exact"/>
              <w:jc w:val="center"/>
              <w:outlineLvl w:val="0"/>
              <w:rPr>
                <w:rStyle w:val="20"/>
                <w:rFonts w:hint="eastAsia" w:ascii="楷体_GB2312" w:hAnsi="Calibri" w:eastAsia="宋体"/>
                <w:b w:val="0"/>
                <w:bCs w:val="0"/>
                <w:color w:val="auto"/>
                <w:kern w:val="2"/>
                <w:sz w:val="21"/>
                <w:szCs w:val="24"/>
                <w:highlight w:val="none"/>
                <w:lang w:val="en-US" w:eastAsia="zh-CN" w:bidi="ar-SA"/>
              </w:rPr>
            </w:pPr>
            <w:bookmarkStart w:id="149" w:name="_Toc5298"/>
            <w:r>
              <w:rPr>
                <w:rStyle w:val="20"/>
                <w:rFonts w:hint="eastAsia" w:ascii="楷体_GB2312" w:hAnsi="Calibri" w:eastAsia="宋体"/>
                <w:b w:val="0"/>
                <w:bCs w:val="0"/>
                <w:color w:val="auto"/>
                <w:kern w:val="2"/>
                <w:sz w:val="21"/>
                <w:szCs w:val="22"/>
                <w:highlight w:val="none"/>
                <w:lang w:val="en-US" w:eastAsia="zh-CN" w:bidi="ar-SA"/>
              </w:rPr>
              <w:t>9</w:t>
            </w:r>
            <w:bookmarkEnd w:id="149"/>
          </w:p>
        </w:tc>
        <w:tc>
          <w:tcPr>
            <w:tcW w:w="2741" w:type="dxa"/>
            <w:tcBorders>
              <w:top w:val="single" w:color="auto" w:sz="4" w:space="0"/>
              <w:left w:val="single" w:color="auto" w:sz="4" w:space="0"/>
              <w:bottom w:val="single" w:color="auto" w:sz="4" w:space="0"/>
              <w:right w:val="single" w:color="auto" w:sz="4" w:space="0"/>
            </w:tcBorders>
            <w:noWrap w:val="0"/>
            <w:vAlign w:val="center"/>
          </w:tcPr>
          <w:p w14:paraId="5AE00893">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50" w:name="_Toc23128"/>
            <w:r>
              <w:rPr>
                <w:rStyle w:val="20"/>
                <w:rFonts w:hint="eastAsia" w:ascii="楷体_GB2312" w:hAnsi="Calibri" w:eastAsia="宋体"/>
                <w:b w:val="0"/>
                <w:bCs w:val="0"/>
                <w:color w:val="auto"/>
                <w:kern w:val="2"/>
                <w:sz w:val="21"/>
                <w:szCs w:val="22"/>
                <w:highlight w:val="none"/>
                <w:lang w:val="en-US" w:eastAsia="zh-CN" w:bidi="ar-SA"/>
              </w:rPr>
              <w:t>屏间通迅电缆</w:t>
            </w:r>
            <w:bookmarkEnd w:id="150"/>
          </w:p>
        </w:tc>
        <w:tc>
          <w:tcPr>
            <w:tcW w:w="3040" w:type="dxa"/>
            <w:tcBorders>
              <w:top w:val="single" w:color="auto" w:sz="4" w:space="0"/>
              <w:left w:val="single" w:color="auto" w:sz="4" w:space="0"/>
              <w:bottom w:val="single" w:color="auto" w:sz="4" w:space="0"/>
              <w:right w:val="single" w:color="auto" w:sz="4" w:space="0"/>
            </w:tcBorders>
            <w:noWrap w:val="0"/>
            <w:vAlign w:val="center"/>
          </w:tcPr>
          <w:p w14:paraId="7050B20B">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51" w:name="_Toc12962"/>
            <w:r>
              <w:rPr>
                <w:rStyle w:val="20"/>
                <w:rFonts w:hint="eastAsia" w:ascii="楷体_GB2312" w:hAnsi="Calibri" w:eastAsia="宋体"/>
                <w:b w:val="0"/>
                <w:bCs w:val="0"/>
                <w:color w:val="auto"/>
                <w:kern w:val="2"/>
                <w:sz w:val="21"/>
                <w:szCs w:val="22"/>
                <w:highlight w:val="none"/>
                <w:lang w:val="en-US" w:eastAsia="zh-CN" w:bidi="ar-SA"/>
              </w:rPr>
              <w:t>屏蔽双绞线</w:t>
            </w:r>
            <w:bookmarkEnd w:id="151"/>
          </w:p>
        </w:tc>
        <w:tc>
          <w:tcPr>
            <w:tcW w:w="570" w:type="dxa"/>
            <w:tcBorders>
              <w:top w:val="single" w:color="auto" w:sz="4" w:space="0"/>
              <w:left w:val="single" w:color="auto" w:sz="4" w:space="0"/>
              <w:bottom w:val="single" w:color="auto" w:sz="4" w:space="0"/>
              <w:right w:val="single" w:color="auto" w:sz="4" w:space="0"/>
            </w:tcBorders>
            <w:noWrap w:val="0"/>
            <w:vAlign w:val="center"/>
          </w:tcPr>
          <w:p w14:paraId="40102A62">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52" w:name="_Toc10369"/>
            <w:r>
              <w:rPr>
                <w:rStyle w:val="20"/>
                <w:rFonts w:hint="eastAsia" w:ascii="楷体_GB2312" w:hAnsi="Calibri" w:eastAsia="宋体"/>
                <w:b w:val="0"/>
                <w:bCs w:val="0"/>
                <w:color w:val="auto"/>
                <w:kern w:val="2"/>
                <w:sz w:val="21"/>
                <w:szCs w:val="22"/>
                <w:highlight w:val="none"/>
                <w:lang w:val="en-US" w:eastAsia="zh-CN" w:bidi="ar-SA"/>
              </w:rPr>
              <w:t>米</w:t>
            </w:r>
            <w:bookmarkEnd w:id="152"/>
          </w:p>
        </w:tc>
        <w:tc>
          <w:tcPr>
            <w:tcW w:w="730" w:type="dxa"/>
            <w:tcBorders>
              <w:top w:val="single" w:color="auto" w:sz="4" w:space="0"/>
              <w:left w:val="single" w:color="auto" w:sz="4" w:space="0"/>
              <w:bottom w:val="single" w:color="auto" w:sz="4" w:space="0"/>
              <w:right w:val="single" w:color="auto" w:sz="4" w:space="0"/>
            </w:tcBorders>
            <w:noWrap w:val="0"/>
            <w:vAlign w:val="center"/>
          </w:tcPr>
          <w:p w14:paraId="77A30B2F">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53" w:name="_Toc7007"/>
            <w:r>
              <w:rPr>
                <w:rStyle w:val="20"/>
                <w:rFonts w:hint="eastAsia" w:ascii="楷体_GB2312" w:hAnsi="Calibri" w:eastAsia="宋体"/>
                <w:b w:val="0"/>
                <w:bCs w:val="0"/>
                <w:color w:val="auto"/>
                <w:kern w:val="2"/>
                <w:sz w:val="21"/>
                <w:szCs w:val="22"/>
                <w:highlight w:val="none"/>
                <w:lang w:val="en-US" w:eastAsia="zh-CN" w:bidi="ar-SA"/>
              </w:rPr>
              <w:t>按需</w:t>
            </w:r>
            <w:bookmarkEnd w:id="153"/>
          </w:p>
        </w:tc>
        <w:tc>
          <w:tcPr>
            <w:tcW w:w="1235" w:type="dxa"/>
            <w:tcBorders>
              <w:top w:val="single" w:color="auto" w:sz="4" w:space="0"/>
              <w:left w:val="single" w:color="auto" w:sz="4" w:space="0"/>
              <w:bottom w:val="single" w:color="auto" w:sz="4" w:space="0"/>
              <w:right w:val="single" w:color="auto" w:sz="4" w:space="0"/>
            </w:tcBorders>
            <w:noWrap w:val="0"/>
            <w:vAlign w:val="center"/>
          </w:tcPr>
          <w:p w14:paraId="1368C849">
            <w:pPr>
              <w:pStyle w:val="8"/>
              <w:widowControl w:val="0"/>
              <w:spacing w:line="520" w:lineRule="exact"/>
              <w:jc w:val="center"/>
              <w:rPr>
                <w:rStyle w:val="20"/>
                <w:rFonts w:hint="eastAsia" w:ascii="楷体_GB2312" w:hAnsi="Calibri" w:eastAsia="宋体"/>
                <w:b w:val="0"/>
                <w:bCs w:val="0"/>
                <w:color w:val="auto"/>
                <w:kern w:val="2"/>
                <w:sz w:val="21"/>
                <w:szCs w:val="22"/>
                <w:highlight w:val="none"/>
                <w:lang w:val="en-US" w:eastAsia="zh-CN" w:bidi="ar-SA"/>
              </w:rPr>
            </w:pPr>
          </w:p>
        </w:tc>
      </w:tr>
      <w:tr w14:paraId="13C89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5FAAB11D">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54" w:name="_Toc4934"/>
            <w:r>
              <w:rPr>
                <w:rStyle w:val="20"/>
                <w:rFonts w:hint="eastAsia" w:ascii="楷体_GB2312" w:hAnsi="Calibri" w:eastAsia="宋体"/>
                <w:b w:val="0"/>
                <w:bCs w:val="0"/>
                <w:color w:val="auto"/>
                <w:kern w:val="2"/>
                <w:sz w:val="21"/>
                <w:szCs w:val="22"/>
                <w:highlight w:val="none"/>
                <w:lang w:val="en-US" w:eastAsia="zh-CN" w:bidi="ar-SA"/>
              </w:rPr>
              <w:t>10</w:t>
            </w:r>
            <w:bookmarkEnd w:id="154"/>
          </w:p>
        </w:tc>
        <w:tc>
          <w:tcPr>
            <w:tcW w:w="2741" w:type="dxa"/>
            <w:tcBorders>
              <w:top w:val="single" w:color="auto" w:sz="4" w:space="0"/>
              <w:left w:val="single" w:color="auto" w:sz="4" w:space="0"/>
              <w:bottom w:val="single" w:color="auto" w:sz="4" w:space="0"/>
              <w:right w:val="single" w:color="auto" w:sz="4" w:space="0"/>
            </w:tcBorders>
            <w:noWrap w:val="0"/>
            <w:vAlign w:val="center"/>
          </w:tcPr>
          <w:p w14:paraId="50CFDFA0">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55" w:name="_Toc4162"/>
            <w:r>
              <w:rPr>
                <w:rStyle w:val="20"/>
                <w:rFonts w:hint="eastAsia" w:ascii="楷体_GB2312" w:hAnsi="Calibri" w:eastAsia="宋体"/>
                <w:b w:val="0"/>
                <w:bCs w:val="0"/>
                <w:color w:val="auto"/>
                <w:kern w:val="2"/>
                <w:sz w:val="21"/>
                <w:szCs w:val="22"/>
                <w:highlight w:val="none"/>
                <w:lang w:val="en-US" w:eastAsia="zh-CN" w:bidi="ar-SA"/>
              </w:rPr>
              <w:t>电能量采集装置网络安全监测接口软件</w:t>
            </w:r>
            <w:bookmarkEnd w:id="155"/>
          </w:p>
        </w:tc>
        <w:tc>
          <w:tcPr>
            <w:tcW w:w="3040" w:type="dxa"/>
            <w:tcBorders>
              <w:top w:val="single" w:color="auto" w:sz="4" w:space="0"/>
              <w:left w:val="single" w:color="auto" w:sz="4" w:space="0"/>
              <w:bottom w:val="single" w:color="auto" w:sz="4" w:space="0"/>
              <w:right w:val="single" w:color="auto" w:sz="4" w:space="0"/>
            </w:tcBorders>
            <w:noWrap w:val="0"/>
            <w:vAlign w:val="center"/>
          </w:tcPr>
          <w:p w14:paraId="6EBA7B1C">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56" w:name="_Toc10412"/>
            <w:r>
              <w:rPr>
                <w:rStyle w:val="20"/>
                <w:rFonts w:hint="eastAsia" w:ascii="楷体_GB2312" w:hAnsi="Calibri" w:eastAsia="宋体"/>
                <w:b w:val="0"/>
                <w:bCs w:val="0"/>
                <w:color w:val="auto"/>
                <w:kern w:val="2"/>
                <w:sz w:val="21"/>
                <w:szCs w:val="22"/>
                <w:highlight w:val="none"/>
                <w:lang w:val="en-US" w:eastAsia="zh-CN" w:bidi="ar-SA"/>
              </w:rPr>
              <w:t>电能量采集装置网络安全监测接口软件Agent</w:t>
            </w:r>
            <w:bookmarkEnd w:id="156"/>
          </w:p>
        </w:tc>
        <w:tc>
          <w:tcPr>
            <w:tcW w:w="570" w:type="dxa"/>
            <w:tcBorders>
              <w:top w:val="single" w:color="auto" w:sz="4" w:space="0"/>
              <w:left w:val="single" w:color="auto" w:sz="4" w:space="0"/>
              <w:bottom w:val="single" w:color="auto" w:sz="4" w:space="0"/>
              <w:right w:val="single" w:color="auto" w:sz="4" w:space="0"/>
            </w:tcBorders>
            <w:noWrap w:val="0"/>
            <w:vAlign w:val="center"/>
          </w:tcPr>
          <w:p w14:paraId="423437AD">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57" w:name="_Toc14595"/>
            <w:r>
              <w:rPr>
                <w:rStyle w:val="20"/>
                <w:rFonts w:hint="eastAsia" w:ascii="楷体_GB2312" w:hAnsi="Calibri" w:eastAsia="宋体"/>
                <w:b w:val="0"/>
                <w:bCs w:val="0"/>
                <w:color w:val="auto"/>
                <w:kern w:val="2"/>
                <w:sz w:val="21"/>
                <w:szCs w:val="22"/>
                <w:highlight w:val="none"/>
                <w:lang w:val="en-US" w:eastAsia="zh-CN" w:bidi="ar-SA"/>
              </w:rPr>
              <w:t>套</w:t>
            </w:r>
            <w:bookmarkEnd w:id="157"/>
          </w:p>
        </w:tc>
        <w:tc>
          <w:tcPr>
            <w:tcW w:w="730" w:type="dxa"/>
            <w:tcBorders>
              <w:top w:val="single" w:color="auto" w:sz="4" w:space="0"/>
              <w:left w:val="single" w:color="auto" w:sz="4" w:space="0"/>
              <w:bottom w:val="single" w:color="auto" w:sz="4" w:space="0"/>
              <w:right w:val="single" w:color="auto" w:sz="4" w:space="0"/>
            </w:tcBorders>
            <w:noWrap w:val="0"/>
            <w:vAlign w:val="center"/>
          </w:tcPr>
          <w:p w14:paraId="57FB2513">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58" w:name="_Toc9261"/>
            <w:r>
              <w:rPr>
                <w:rStyle w:val="20"/>
                <w:rFonts w:hint="eastAsia" w:ascii="楷体_GB2312" w:hAnsi="Calibri" w:eastAsia="宋体"/>
                <w:b w:val="0"/>
                <w:bCs w:val="0"/>
                <w:color w:val="auto"/>
                <w:kern w:val="2"/>
                <w:sz w:val="21"/>
                <w:szCs w:val="22"/>
                <w:highlight w:val="none"/>
                <w:lang w:val="en-US" w:eastAsia="zh-CN" w:bidi="ar-SA"/>
              </w:rPr>
              <w:t>2</w:t>
            </w:r>
            <w:bookmarkEnd w:id="158"/>
          </w:p>
        </w:tc>
        <w:tc>
          <w:tcPr>
            <w:tcW w:w="1235" w:type="dxa"/>
            <w:tcBorders>
              <w:top w:val="single" w:color="auto" w:sz="4" w:space="0"/>
              <w:left w:val="single" w:color="auto" w:sz="4" w:space="0"/>
              <w:bottom w:val="single" w:color="auto" w:sz="4" w:space="0"/>
              <w:right w:val="single" w:color="auto" w:sz="4" w:space="0"/>
            </w:tcBorders>
            <w:noWrap w:val="0"/>
            <w:vAlign w:val="center"/>
          </w:tcPr>
          <w:p w14:paraId="7FDF9195">
            <w:pPr>
              <w:pStyle w:val="8"/>
              <w:widowControl w:val="0"/>
              <w:spacing w:line="520" w:lineRule="exact"/>
              <w:jc w:val="center"/>
              <w:rPr>
                <w:rStyle w:val="20"/>
                <w:rFonts w:hint="eastAsia" w:ascii="楷体_GB2312" w:hAnsi="Calibri" w:eastAsia="宋体"/>
                <w:b w:val="0"/>
                <w:bCs w:val="0"/>
                <w:color w:val="auto"/>
                <w:kern w:val="2"/>
                <w:sz w:val="21"/>
                <w:szCs w:val="22"/>
                <w:highlight w:val="none"/>
                <w:lang w:val="en-US" w:eastAsia="zh-CN" w:bidi="ar-SA"/>
              </w:rPr>
            </w:pPr>
          </w:p>
        </w:tc>
      </w:tr>
      <w:tr w14:paraId="33039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4D3A3F11">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59" w:name="_Toc21329"/>
            <w:r>
              <w:rPr>
                <w:rStyle w:val="20"/>
                <w:rFonts w:hint="eastAsia" w:ascii="楷体_GB2312" w:hAnsi="Calibri" w:eastAsia="宋体"/>
                <w:b w:val="0"/>
                <w:bCs w:val="0"/>
                <w:color w:val="auto"/>
                <w:kern w:val="2"/>
                <w:sz w:val="21"/>
                <w:szCs w:val="22"/>
                <w:highlight w:val="none"/>
                <w:lang w:val="en-US" w:eastAsia="zh-CN" w:bidi="ar-SA"/>
              </w:rPr>
              <w:t>11</w:t>
            </w:r>
            <w:bookmarkEnd w:id="159"/>
          </w:p>
        </w:tc>
        <w:tc>
          <w:tcPr>
            <w:tcW w:w="2741" w:type="dxa"/>
            <w:tcBorders>
              <w:top w:val="single" w:color="auto" w:sz="4" w:space="0"/>
              <w:left w:val="single" w:color="auto" w:sz="4" w:space="0"/>
              <w:bottom w:val="single" w:color="auto" w:sz="4" w:space="0"/>
              <w:right w:val="single" w:color="auto" w:sz="4" w:space="0"/>
            </w:tcBorders>
            <w:noWrap w:val="0"/>
            <w:vAlign w:val="center"/>
          </w:tcPr>
          <w:p w14:paraId="3CAF69D3">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60" w:name="_Toc25712"/>
            <w:r>
              <w:rPr>
                <w:rStyle w:val="20"/>
                <w:rFonts w:hint="eastAsia" w:ascii="Calibri" w:hAnsi="Calibri" w:eastAsia="宋体"/>
                <w:b w:val="0"/>
                <w:bCs w:val="0"/>
                <w:color w:val="auto"/>
                <w:kern w:val="2"/>
                <w:sz w:val="21"/>
                <w:szCs w:val="22"/>
                <w:highlight w:val="none"/>
                <w:lang w:val="en-US" w:eastAsia="zh-CN" w:bidi="ar-SA"/>
              </w:rPr>
              <w:t>与</w:t>
            </w:r>
            <w:r>
              <w:rPr>
                <w:rStyle w:val="20"/>
                <w:rFonts w:ascii="Calibri" w:hAnsi="Calibri" w:eastAsia="宋体"/>
                <w:b w:val="0"/>
                <w:bCs w:val="0"/>
                <w:color w:val="auto"/>
                <w:kern w:val="2"/>
                <w:sz w:val="21"/>
                <w:szCs w:val="22"/>
                <w:highlight w:val="none"/>
                <w:lang w:val="en-US" w:eastAsia="zh-CN" w:bidi="ar-SA"/>
              </w:rPr>
              <w:t>NCS</w:t>
            </w:r>
            <w:r>
              <w:rPr>
                <w:rStyle w:val="20"/>
                <w:rFonts w:hint="eastAsia" w:ascii="Calibri" w:hAnsi="Calibri" w:eastAsia="宋体"/>
                <w:b w:val="0"/>
                <w:bCs w:val="0"/>
                <w:color w:val="auto"/>
                <w:kern w:val="2"/>
                <w:sz w:val="21"/>
                <w:szCs w:val="22"/>
                <w:highlight w:val="none"/>
                <w:lang w:val="en-US" w:eastAsia="zh-CN" w:bidi="ar-SA"/>
              </w:rPr>
              <w:t>接口调试</w:t>
            </w:r>
            <w:bookmarkEnd w:id="160"/>
          </w:p>
        </w:tc>
        <w:tc>
          <w:tcPr>
            <w:tcW w:w="3040" w:type="dxa"/>
            <w:tcBorders>
              <w:top w:val="single" w:color="auto" w:sz="4" w:space="0"/>
              <w:left w:val="single" w:color="auto" w:sz="4" w:space="0"/>
              <w:bottom w:val="single" w:color="auto" w:sz="4" w:space="0"/>
              <w:right w:val="single" w:color="auto" w:sz="4" w:space="0"/>
            </w:tcBorders>
            <w:noWrap w:val="0"/>
            <w:vAlign w:val="center"/>
          </w:tcPr>
          <w:p w14:paraId="5F83B26B">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61" w:name="_Toc17440"/>
            <w:r>
              <w:rPr>
                <w:rStyle w:val="20"/>
                <w:rFonts w:hint="eastAsia" w:ascii="楷体_GB2312" w:hAnsi="Calibri" w:eastAsia="宋体"/>
                <w:b w:val="0"/>
                <w:bCs w:val="0"/>
                <w:color w:val="auto"/>
                <w:kern w:val="2"/>
                <w:sz w:val="21"/>
                <w:szCs w:val="22"/>
                <w:highlight w:val="none"/>
                <w:lang w:val="en-US" w:eastAsia="zh-CN" w:bidi="ar-SA"/>
              </w:rPr>
              <w:t>电量信息在NCS展示</w:t>
            </w:r>
            <w:bookmarkEnd w:id="161"/>
          </w:p>
        </w:tc>
        <w:tc>
          <w:tcPr>
            <w:tcW w:w="570" w:type="dxa"/>
            <w:tcBorders>
              <w:top w:val="single" w:color="auto" w:sz="4" w:space="0"/>
              <w:left w:val="single" w:color="auto" w:sz="4" w:space="0"/>
              <w:bottom w:val="single" w:color="auto" w:sz="4" w:space="0"/>
              <w:right w:val="single" w:color="auto" w:sz="4" w:space="0"/>
            </w:tcBorders>
            <w:noWrap w:val="0"/>
            <w:vAlign w:val="center"/>
          </w:tcPr>
          <w:p w14:paraId="71650BD1">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62" w:name="_Toc24537"/>
            <w:r>
              <w:rPr>
                <w:rStyle w:val="20"/>
                <w:rFonts w:hint="eastAsia" w:ascii="楷体_GB2312" w:hAnsi="Calibri" w:eastAsia="宋体"/>
                <w:b w:val="0"/>
                <w:bCs w:val="0"/>
                <w:color w:val="auto"/>
                <w:kern w:val="2"/>
                <w:sz w:val="21"/>
                <w:szCs w:val="22"/>
                <w:highlight w:val="none"/>
                <w:lang w:val="en-US" w:eastAsia="zh-CN" w:bidi="ar-SA"/>
              </w:rPr>
              <w:t>套</w:t>
            </w:r>
            <w:bookmarkEnd w:id="162"/>
          </w:p>
        </w:tc>
        <w:tc>
          <w:tcPr>
            <w:tcW w:w="730" w:type="dxa"/>
            <w:tcBorders>
              <w:top w:val="single" w:color="auto" w:sz="4" w:space="0"/>
              <w:left w:val="single" w:color="auto" w:sz="4" w:space="0"/>
              <w:bottom w:val="single" w:color="auto" w:sz="4" w:space="0"/>
              <w:right w:val="single" w:color="auto" w:sz="4" w:space="0"/>
            </w:tcBorders>
            <w:noWrap w:val="0"/>
            <w:vAlign w:val="center"/>
          </w:tcPr>
          <w:p w14:paraId="07DA267F">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63" w:name="_Toc16508"/>
            <w:r>
              <w:rPr>
                <w:rStyle w:val="20"/>
                <w:rFonts w:hint="eastAsia" w:ascii="楷体_GB2312" w:hAnsi="Calibri" w:eastAsia="宋体"/>
                <w:b w:val="0"/>
                <w:bCs w:val="0"/>
                <w:color w:val="auto"/>
                <w:kern w:val="2"/>
                <w:sz w:val="21"/>
                <w:szCs w:val="22"/>
                <w:highlight w:val="none"/>
                <w:lang w:val="en-US" w:eastAsia="zh-CN" w:bidi="ar-SA"/>
              </w:rPr>
              <w:t>1</w:t>
            </w:r>
            <w:bookmarkEnd w:id="163"/>
          </w:p>
        </w:tc>
        <w:tc>
          <w:tcPr>
            <w:tcW w:w="1235" w:type="dxa"/>
            <w:tcBorders>
              <w:top w:val="single" w:color="auto" w:sz="4" w:space="0"/>
              <w:left w:val="single" w:color="auto" w:sz="4" w:space="0"/>
              <w:bottom w:val="single" w:color="auto" w:sz="4" w:space="0"/>
              <w:right w:val="single" w:color="auto" w:sz="4" w:space="0"/>
            </w:tcBorders>
            <w:noWrap w:val="0"/>
            <w:vAlign w:val="center"/>
          </w:tcPr>
          <w:p w14:paraId="35DE021C">
            <w:pPr>
              <w:pStyle w:val="8"/>
              <w:widowControl w:val="0"/>
              <w:spacing w:line="520" w:lineRule="exact"/>
              <w:jc w:val="center"/>
              <w:rPr>
                <w:rStyle w:val="20"/>
                <w:rFonts w:hint="eastAsia" w:ascii="楷体_GB2312" w:hAnsi="Calibri" w:eastAsia="宋体"/>
                <w:b w:val="0"/>
                <w:bCs w:val="0"/>
                <w:color w:val="auto"/>
                <w:kern w:val="2"/>
                <w:sz w:val="21"/>
                <w:szCs w:val="22"/>
                <w:highlight w:val="none"/>
                <w:lang w:val="en-US" w:eastAsia="zh-CN" w:bidi="ar-SA"/>
              </w:rPr>
            </w:pPr>
          </w:p>
        </w:tc>
      </w:tr>
      <w:tr w14:paraId="7DC71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2B014B68">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64" w:name="_Toc5785"/>
            <w:r>
              <w:rPr>
                <w:rStyle w:val="20"/>
                <w:rFonts w:hint="eastAsia" w:ascii="楷体_GB2312" w:hAnsi="Calibri" w:eastAsia="宋体"/>
                <w:b w:val="0"/>
                <w:bCs w:val="0"/>
                <w:color w:val="auto"/>
                <w:kern w:val="2"/>
                <w:sz w:val="21"/>
                <w:szCs w:val="22"/>
                <w:highlight w:val="none"/>
                <w:lang w:val="en-US" w:eastAsia="zh-CN" w:bidi="ar-SA"/>
              </w:rPr>
              <w:t>12</w:t>
            </w:r>
            <w:bookmarkEnd w:id="164"/>
          </w:p>
        </w:tc>
        <w:tc>
          <w:tcPr>
            <w:tcW w:w="2741" w:type="dxa"/>
            <w:tcBorders>
              <w:top w:val="single" w:color="auto" w:sz="4" w:space="0"/>
              <w:left w:val="single" w:color="auto" w:sz="4" w:space="0"/>
              <w:bottom w:val="single" w:color="auto" w:sz="4" w:space="0"/>
              <w:right w:val="single" w:color="auto" w:sz="4" w:space="0"/>
            </w:tcBorders>
            <w:noWrap w:val="0"/>
            <w:vAlign w:val="center"/>
          </w:tcPr>
          <w:p w14:paraId="082A81CE">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65" w:name="_Toc12770"/>
            <w:r>
              <w:rPr>
                <w:rStyle w:val="20"/>
                <w:rFonts w:hint="eastAsia" w:ascii="Calibri" w:hAnsi="Calibri" w:eastAsia="宋体"/>
                <w:b w:val="0"/>
                <w:bCs w:val="0"/>
                <w:color w:val="auto"/>
                <w:kern w:val="2"/>
                <w:sz w:val="21"/>
                <w:szCs w:val="22"/>
                <w:highlight w:val="none"/>
                <w:lang w:val="en-US" w:eastAsia="zh-CN" w:bidi="ar-SA"/>
              </w:rPr>
              <w:t>现场安装、调试和验收</w:t>
            </w:r>
            <w:bookmarkEnd w:id="165"/>
          </w:p>
        </w:tc>
        <w:tc>
          <w:tcPr>
            <w:tcW w:w="3040" w:type="dxa"/>
            <w:tcBorders>
              <w:top w:val="single" w:color="auto" w:sz="4" w:space="0"/>
              <w:left w:val="single" w:color="auto" w:sz="4" w:space="0"/>
              <w:bottom w:val="single" w:color="auto" w:sz="4" w:space="0"/>
              <w:right w:val="single" w:color="auto" w:sz="4" w:space="0"/>
            </w:tcBorders>
            <w:noWrap w:val="0"/>
            <w:vAlign w:val="center"/>
          </w:tcPr>
          <w:p w14:paraId="0D56981D">
            <w:pPr>
              <w:pStyle w:val="8"/>
              <w:widowControl w:val="0"/>
              <w:spacing w:line="520" w:lineRule="exact"/>
              <w:jc w:val="center"/>
              <w:rPr>
                <w:rStyle w:val="20"/>
                <w:rFonts w:hint="eastAsia" w:ascii="楷体_GB2312" w:hAnsi="Calibri" w:eastAsia="宋体"/>
                <w:b w:val="0"/>
                <w:bCs w:val="0"/>
                <w:color w:val="auto"/>
                <w:kern w:val="2"/>
                <w:sz w:val="21"/>
                <w:szCs w:val="22"/>
                <w:highlight w:val="none"/>
                <w:lang w:val="en-US" w:eastAsia="zh-CN" w:bidi="ar-SA"/>
              </w:rPr>
            </w:pPr>
          </w:p>
        </w:tc>
        <w:tc>
          <w:tcPr>
            <w:tcW w:w="570" w:type="dxa"/>
            <w:tcBorders>
              <w:top w:val="single" w:color="auto" w:sz="4" w:space="0"/>
              <w:left w:val="single" w:color="auto" w:sz="4" w:space="0"/>
              <w:bottom w:val="single" w:color="auto" w:sz="4" w:space="0"/>
              <w:right w:val="single" w:color="auto" w:sz="4" w:space="0"/>
            </w:tcBorders>
            <w:noWrap w:val="0"/>
            <w:vAlign w:val="center"/>
          </w:tcPr>
          <w:p w14:paraId="41602B3E">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66" w:name="_Toc13849"/>
            <w:r>
              <w:rPr>
                <w:rStyle w:val="20"/>
                <w:rFonts w:hint="eastAsia" w:ascii="楷体_GB2312" w:hAnsi="Calibri" w:eastAsia="宋体"/>
                <w:b w:val="0"/>
                <w:bCs w:val="0"/>
                <w:color w:val="auto"/>
                <w:kern w:val="2"/>
                <w:sz w:val="21"/>
                <w:szCs w:val="22"/>
                <w:highlight w:val="none"/>
                <w:lang w:val="en-US" w:eastAsia="zh-CN" w:bidi="ar-SA"/>
              </w:rPr>
              <w:t>次</w:t>
            </w:r>
            <w:bookmarkEnd w:id="166"/>
          </w:p>
        </w:tc>
        <w:tc>
          <w:tcPr>
            <w:tcW w:w="730" w:type="dxa"/>
            <w:tcBorders>
              <w:top w:val="single" w:color="auto" w:sz="4" w:space="0"/>
              <w:left w:val="single" w:color="auto" w:sz="4" w:space="0"/>
              <w:bottom w:val="single" w:color="auto" w:sz="4" w:space="0"/>
              <w:right w:val="single" w:color="auto" w:sz="4" w:space="0"/>
            </w:tcBorders>
            <w:noWrap w:val="0"/>
            <w:vAlign w:val="center"/>
          </w:tcPr>
          <w:p w14:paraId="2A64CB8A">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67" w:name="_Toc23148"/>
            <w:r>
              <w:rPr>
                <w:rStyle w:val="20"/>
                <w:rFonts w:hint="eastAsia" w:ascii="楷体_GB2312" w:hAnsi="Calibri" w:eastAsia="宋体"/>
                <w:b w:val="0"/>
                <w:bCs w:val="0"/>
                <w:color w:val="auto"/>
                <w:kern w:val="2"/>
                <w:sz w:val="21"/>
                <w:szCs w:val="22"/>
                <w:highlight w:val="none"/>
                <w:lang w:val="en-US" w:eastAsia="zh-CN" w:bidi="ar-SA"/>
              </w:rPr>
              <w:t>1</w:t>
            </w:r>
            <w:bookmarkEnd w:id="167"/>
          </w:p>
        </w:tc>
        <w:tc>
          <w:tcPr>
            <w:tcW w:w="1235" w:type="dxa"/>
            <w:tcBorders>
              <w:top w:val="single" w:color="auto" w:sz="4" w:space="0"/>
              <w:left w:val="single" w:color="auto" w:sz="4" w:space="0"/>
              <w:bottom w:val="single" w:color="auto" w:sz="4" w:space="0"/>
              <w:right w:val="single" w:color="auto" w:sz="4" w:space="0"/>
            </w:tcBorders>
            <w:noWrap w:val="0"/>
            <w:vAlign w:val="center"/>
          </w:tcPr>
          <w:p w14:paraId="748B87E9">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68" w:name="_Toc255"/>
            <w:r>
              <w:rPr>
                <w:rStyle w:val="20"/>
                <w:rFonts w:hint="eastAsia" w:ascii="宋体" w:hAnsi="Calibri" w:eastAsia="宋体"/>
                <w:b w:val="0"/>
                <w:bCs w:val="0"/>
                <w:color w:val="auto"/>
                <w:kern w:val="2"/>
                <w:sz w:val="21"/>
                <w:szCs w:val="22"/>
                <w:highlight w:val="none"/>
                <w:lang w:val="en-US" w:eastAsia="zh-CN" w:bidi="ar-SA"/>
              </w:rPr>
              <w:t>以调试完成为1次</w:t>
            </w:r>
            <w:bookmarkEnd w:id="168"/>
          </w:p>
        </w:tc>
      </w:tr>
      <w:tr w14:paraId="5F13A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25BED5C4">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69" w:name="_Toc8019"/>
            <w:r>
              <w:rPr>
                <w:rStyle w:val="20"/>
                <w:rFonts w:hint="eastAsia" w:ascii="楷体_GB2312" w:hAnsi="Calibri" w:eastAsia="宋体"/>
                <w:b w:val="0"/>
                <w:bCs w:val="0"/>
                <w:color w:val="auto"/>
                <w:kern w:val="2"/>
                <w:sz w:val="21"/>
                <w:szCs w:val="22"/>
                <w:highlight w:val="none"/>
                <w:lang w:val="en-US" w:eastAsia="zh-CN" w:bidi="ar-SA"/>
              </w:rPr>
              <w:t>13</w:t>
            </w:r>
            <w:bookmarkEnd w:id="169"/>
          </w:p>
        </w:tc>
        <w:tc>
          <w:tcPr>
            <w:tcW w:w="2741" w:type="dxa"/>
            <w:tcBorders>
              <w:top w:val="single" w:color="auto" w:sz="4" w:space="0"/>
              <w:left w:val="single" w:color="auto" w:sz="4" w:space="0"/>
              <w:bottom w:val="single" w:color="auto" w:sz="4" w:space="0"/>
              <w:right w:val="single" w:color="auto" w:sz="4" w:space="0"/>
            </w:tcBorders>
            <w:noWrap w:val="0"/>
            <w:vAlign w:val="center"/>
          </w:tcPr>
          <w:p w14:paraId="38C4EEAF">
            <w:pPr>
              <w:pStyle w:val="8"/>
              <w:widowControl w:val="0"/>
              <w:spacing w:line="360" w:lineRule="auto"/>
              <w:jc w:val="both"/>
              <w:rPr>
                <w:rStyle w:val="20"/>
                <w:rFonts w:hint="eastAsia" w:ascii="Times New Roman" w:hAnsi="Calibri" w:eastAsia="宋体"/>
                <w:b w:val="0"/>
                <w:bCs w:val="0"/>
                <w:color w:val="auto"/>
                <w:kern w:val="2"/>
                <w:sz w:val="21"/>
                <w:szCs w:val="22"/>
                <w:highlight w:val="none"/>
                <w:lang w:val="en-US" w:eastAsia="zh-CN" w:bidi="ar-SA"/>
              </w:rPr>
            </w:pPr>
            <w:r>
              <w:rPr>
                <w:rStyle w:val="20"/>
                <w:rFonts w:hint="eastAsia" w:ascii="宋体" w:hAnsi="Calibri" w:eastAsia="宋体"/>
                <w:b w:val="0"/>
                <w:bCs w:val="0"/>
                <w:color w:val="auto"/>
                <w:kern w:val="2"/>
                <w:sz w:val="21"/>
                <w:szCs w:val="22"/>
                <w:highlight w:val="none"/>
                <w:lang w:val="en-US" w:eastAsia="zh-CN" w:bidi="ar-SA"/>
              </w:rPr>
              <w:t>与调度主站的调试工作</w:t>
            </w:r>
          </w:p>
        </w:tc>
        <w:tc>
          <w:tcPr>
            <w:tcW w:w="3040" w:type="dxa"/>
            <w:tcBorders>
              <w:top w:val="single" w:color="auto" w:sz="4" w:space="0"/>
              <w:left w:val="single" w:color="auto" w:sz="4" w:space="0"/>
              <w:bottom w:val="single" w:color="auto" w:sz="4" w:space="0"/>
              <w:right w:val="single" w:color="auto" w:sz="4" w:space="0"/>
            </w:tcBorders>
            <w:noWrap w:val="0"/>
            <w:vAlign w:val="center"/>
          </w:tcPr>
          <w:p w14:paraId="19B73378">
            <w:pPr>
              <w:pStyle w:val="8"/>
              <w:widowControl w:val="0"/>
              <w:spacing w:line="360" w:lineRule="auto"/>
              <w:jc w:val="both"/>
              <w:rPr>
                <w:rStyle w:val="20"/>
                <w:rFonts w:ascii="楷体_GB2312" w:hAnsi="Calibri" w:eastAsia="宋体"/>
                <w:b w:val="0"/>
                <w:bCs w:val="0"/>
                <w:color w:val="auto"/>
                <w:kern w:val="2"/>
                <w:sz w:val="21"/>
                <w:szCs w:val="22"/>
                <w:highlight w:val="none"/>
                <w:lang w:val="en-US" w:eastAsia="zh-CN" w:bidi="ar-SA"/>
              </w:rPr>
            </w:pPr>
            <w:r>
              <w:rPr>
                <w:rStyle w:val="20"/>
                <w:rFonts w:hint="eastAsia" w:ascii="宋体" w:hAnsi="Calibri" w:eastAsia="宋体"/>
                <w:b w:val="0"/>
                <w:bCs w:val="0"/>
                <w:color w:val="auto"/>
                <w:kern w:val="2"/>
                <w:sz w:val="21"/>
                <w:szCs w:val="22"/>
                <w:highlight w:val="none"/>
                <w:lang w:val="en-US" w:eastAsia="zh-CN" w:bidi="ar-SA"/>
              </w:rPr>
              <w:t>包含电度量数据的核对</w:t>
            </w:r>
          </w:p>
        </w:tc>
        <w:tc>
          <w:tcPr>
            <w:tcW w:w="570" w:type="dxa"/>
            <w:tcBorders>
              <w:top w:val="single" w:color="auto" w:sz="4" w:space="0"/>
              <w:left w:val="single" w:color="auto" w:sz="4" w:space="0"/>
              <w:bottom w:val="single" w:color="auto" w:sz="4" w:space="0"/>
              <w:right w:val="single" w:color="auto" w:sz="4" w:space="0"/>
            </w:tcBorders>
            <w:noWrap w:val="0"/>
            <w:vAlign w:val="center"/>
          </w:tcPr>
          <w:p w14:paraId="14BA8457">
            <w:pPr>
              <w:pStyle w:val="8"/>
              <w:widowControl w:val="0"/>
              <w:spacing w:line="520" w:lineRule="exact"/>
              <w:jc w:val="center"/>
              <w:outlineLvl w:val="0"/>
              <w:rPr>
                <w:rStyle w:val="20"/>
                <w:rFonts w:hint="eastAsia" w:ascii="楷体_GB2312" w:hAnsi="Calibri" w:eastAsia="宋体"/>
                <w:b w:val="0"/>
                <w:bCs w:val="0"/>
                <w:color w:val="auto"/>
                <w:kern w:val="2"/>
                <w:sz w:val="21"/>
                <w:szCs w:val="22"/>
                <w:highlight w:val="none"/>
                <w:lang w:val="en-US" w:eastAsia="zh-CN" w:bidi="ar-SA"/>
              </w:rPr>
            </w:pPr>
            <w:bookmarkStart w:id="170" w:name="_Toc26654"/>
            <w:r>
              <w:rPr>
                <w:rStyle w:val="20"/>
                <w:rFonts w:hint="eastAsia" w:ascii="宋体" w:hAnsi="Calibri" w:eastAsia="宋体"/>
                <w:b w:val="0"/>
                <w:bCs w:val="0"/>
                <w:color w:val="auto"/>
                <w:kern w:val="2"/>
                <w:sz w:val="21"/>
                <w:szCs w:val="22"/>
                <w:highlight w:val="none"/>
                <w:lang w:val="en-US" w:eastAsia="zh-CN" w:bidi="ar-SA"/>
              </w:rPr>
              <w:t>次</w:t>
            </w:r>
            <w:bookmarkEnd w:id="170"/>
          </w:p>
        </w:tc>
        <w:tc>
          <w:tcPr>
            <w:tcW w:w="730" w:type="dxa"/>
            <w:tcBorders>
              <w:top w:val="single" w:color="auto" w:sz="4" w:space="0"/>
              <w:left w:val="single" w:color="auto" w:sz="4" w:space="0"/>
              <w:bottom w:val="single" w:color="auto" w:sz="4" w:space="0"/>
              <w:right w:val="single" w:color="auto" w:sz="4" w:space="0"/>
            </w:tcBorders>
            <w:noWrap w:val="0"/>
            <w:vAlign w:val="center"/>
          </w:tcPr>
          <w:p w14:paraId="565A2349">
            <w:pPr>
              <w:pStyle w:val="8"/>
              <w:widowControl w:val="0"/>
              <w:spacing w:line="520" w:lineRule="exact"/>
              <w:ind w:firstLine="0" w:firstLineChars="0"/>
              <w:jc w:val="center"/>
              <w:outlineLvl w:val="0"/>
              <w:rPr>
                <w:rStyle w:val="20"/>
                <w:rFonts w:hint="eastAsia" w:ascii="楷体_GB2312" w:hAnsi="Calibri" w:eastAsia="宋体"/>
                <w:b w:val="0"/>
                <w:bCs w:val="0"/>
                <w:color w:val="auto"/>
                <w:kern w:val="2"/>
                <w:sz w:val="21"/>
                <w:szCs w:val="22"/>
                <w:highlight w:val="none"/>
                <w:lang w:val="en-US" w:eastAsia="zh-CN" w:bidi="ar-SA"/>
              </w:rPr>
            </w:pPr>
            <w:r>
              <w:rPr>
                <w:rStyle w:val="20"/>
                <w:rFonts w:hint="eastAsia" w:ascii="楷体_GB2312" w:hAnsi="Calibri" w:eastAsia="宋体"/>
                <w:b w:val="0"/>
                <w:bCs w:val="0"/>
                <w:color w:val="auto"/>
                <w:kern w:val="2"/>
                <w:sz w:val="21"/>
                <w:szCs w:val="22"/>
                <w:highlight w:val="none"/>
                <w:lang w:val="en-US" w:eastAsia="zh-CN" w:bidi="ar-SA"/>
              </w:rPr>
              <w:t>1</w:t>
            </w:r>
          </w:p>
        </w:tc>
        <w:tc>
          <w:tcPr>
            <w:tcW w:w="1235" w:type="dxa"/>
            <w:tcBorders>
              <w:top w:val="single" w:color="auto" w:sz="4" w:space="0"/>
              <w:left w:val="single" w:color="auto" w:sz="4" w:space="0"/>
              <w:bottom w:val="single" w:color="auto" w:sz="4" w:space="0"/>
              <w:right w:val="single" w:color="auto" w:sz="4" w:space="0"/>
            </w:tcBorders>
            <w:noWrap w:val="0"/>
            <w:vAlign w:val="center"/>
          </w:tcPr>
          <w:p w14:paraId="28694A52">
            <w:pPr>
              <w:pStyle w:val="8"/>
              <w:widowControl w:val="0"/>
              <w:spacing w:line="360" w:lineRule="auto"/>
              <w:jc w:val="both"/>
              <w:rPr>
                <w:rStyle w:val="20"/>
                <w:rFonts w:hint="eastAsia" w:ascii="宋体" w:hAnsi="Calibri" w:eastAsia="宋体"/>
                <w:b w:val="0"/>
                <w:bCs w:val="0"/>
                <w:color w:val="auto"/>
                <w:kern w:val="2"/>
                <w:sz w:val="21"/>
                <w:szCs w:val="22"/>
                <w:highlight w:val="none"/>
                <w:lang w:val="en-US" w:eastAsia="zh-CN" w:bidi="ar-SA"/>
              </w:rPr>
            </w:pPr>
            <w:r>
              <w:rPr>
                <w:rStyle w:val="20"/>
                <w:rFonts w:hint="eastAsia" w:ascii="宋体" w:hAnsi="Calibri" w:eastAsia="宋体"/>
                <w:b w:val="0"/>
                <w:bCs w:val="0"/>
                <w:color w:val="auto"/>
                <w:kern w:val="2"/>
                <w:sz w:val="21"/>
                <w:szCs w:val="22"/>
                <w:highlight w:val="none"/>
                <w:lang w:val="en-US" w:eastAsia="zh-CN" w:bidi="ar-SA"/>
              </w:rPr>
              <w:t>以调试完成为1次</w:t>
            </w:r>
          </w:p>
        </w:tc>
      </w:tr>
      <w:tr w14:paraId="349E2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noWrap w:val="0"/>
            <w:vAlign w:val="center"/>
          </w:tcPr>
          <w:p w14:paraId="61542362">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二</w:t>
            </w:r>
          </w:p>
        </w:tc>
        <w:tc>
          <w:tcPr>
            <w:tcW w:w="2741" w:type="dxa"/>
            <w:tcBorders>
              <w:top w:val="single" w:color="auto" w:sz="4" w:space="0"/>
              <w:left w:val="single" w:color="auto" w:sz="4" w:space="0"/>
              <w:bottom w:val="single" w:color="auto" w:sz="4" w:space="0"/>
              <w:right w:val="single" w:color="auto" w:sz="4" w:space="0"/>
            </w:tcBorders>
            <w:noWrap w:val="0"/>
            <w:vAlign w:val="center"/>
          </w:tcPr>
          <w:p w14:paraId="762783FD">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厂用电电能采集系统</w:t>
            </w:r>
          </w:p>
        </w:tc>
        <w:tc>
          <w:tcPr>
            <w:tcW w:w="3040" w:type="dxa"/>
            <w:tcBorders>
              <w:top w:val="single" w:color="auto" w:sz="4" w:space="0"/>
              <w:left w:val="single" w:color="auto" w:sz="4" w:space="0"/>
              <w:bottom w:val="single" w:color="auto" w:sz="4" w:space="0"/>
              <w:right w:val="single" w:color="auto" w:sz="4" w:space="0"/>
            </w:tcBorders>
            <w:noWrap w:val="0"/>
            <w:vAlign w:val="center"/>
          </w:tcPr>
          <w:p w14:paraId="2F5AB6B5">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c>
          <w:tcPr>
            <w:tcW w:w="570" w:type="dxa"/>
            <w:tcBorders>
              <w:top w:val="single" w:color="auto" w:sz="4" w:space="0"/>
              <w:left w:val="single" w:color="auto" w:sz="4" w:space="0"/>
              <w:bottom w:val="single" w:color="auto" w:sz="4" w:space="0"/>
              <w:right w:val="single" w:color="auto" w:sz="4" w:space="0"/>
            </w:tcBorders>
            <w:noWrap w:val="0"/>
            <w:vAlign w:val="center"/>
          </w:tcPr>
          <w:p w14:paraId="315D7E7F">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套</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3990AE79">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1</w:t>
            </w:r>
          </w:p>
        </w:tc>
        <w:tc>
          <w:tcPr>
            <w:tcW w:w="1235" w:type="dxa"/>
            <w:tcBorders>
              <w:top w:val="single" w:color="auto" w:sz="4" w:space="0"/>
              <w:left w:val="single" w:color="auto" w:sz="4" w:space="0"/>
              <w:bottom w:val="single" w:color="auto" w:sz="4" w:space="0"/>
              <w:right w:val="single" w:color="auto" w:sz="4" w:space="0"/>
            </w:tcBorders>
            <w:noWrap w:val="0"/>
            <w:vAlign w:val="center"/>
          </w:tcPr>
          <w:p w14:paraId="5FB06AB9">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r>
      <w:tr w14:paraId="1D4D9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3A42E7CF">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bookmarkStart w:id="171" w:name="_Toc173689303"/>
            <w:r>
              <w:rPr>
                <w:rFonts w:hint="eastAsia" w:asciiTheme="minorEastAsia" w:hAnsiTheme="minorEastAsia" w:eastAsiaTheme="minorEastAsia" w:cstheme="minorEastAsia"/>
                <w:b w:val="0"/>
                <w:bCs w:val="0"/>
                <w:color w:val="auto"/>
                <w:szCs w:val="21"/>
                <w:highlight w:val="none"/>
                <w:lang w:val="en-US" w:eastAsia="zh-CN"/>
              </w:rPr>
              <w:t>1</w:t>
            </w:r>
          </w:p>
        </w:tc>
        <w:tc>
          <w:tcPr>
            <w:tcW w:w="2741" w:type="dxa"/>
            <w:vAlign w:val="center"/>
          </w:tcPr>
          <w:p w14:paraId="4D1733A7">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厂用电电能采集主站</w:t>
            </w:r>
          </w:p>
        </w:tc>
        <w:tc>
          <w:tcPr>
            <w:tcW w:w="0" w:type="auto"/>
            <w:vAlign w:val="center"/>
          </w:tcPr>
          <w:p w14:paraId="7665156A">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c>
          <w:tcPr>
            <w:tcW w:w="0" w:type="auto"/>
            <w:vAlign w:val="center"/>
          </w:tcPr>
          <w:p w14:paraId="03C97482">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套</w:t>
            </w:r>
          </w:p>
        </w:tc>
        <w:tc>
          <w:tcPr>
            <w:tcW w:w="0" w:type="auto"/>
            <w:vAlign w:val="center"/>
          </w:tcPr>
          <w:p w14:paraId="542B9019">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1</w:t>
            </w:r>
          </w:p>
        </w:tc>
        <w:tc>
          <w:tcPr>
            <w:tcW w:w="0" w:type="auto"/>
            <w:vAlign w:val="center"/>
          </w:tcPr>
          <w:p w14:paraId="764D9844">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r>
      <w:tr w14:paraId="02B6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0D2CA146">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2</w:t>
            </w:r>
          </w:p>
        </w:tc>
        <w:tc>
          <w:tcPr>
            <w:tcW w:w="2741" w:type="dxa"/>
            <w:vAlign w:val="center"/>
          </w:tcPr>
          <w:p w14:paraId="4D25FB7E">
            <w:pPr>
              <w:snapToGrid w:val="0"/>
              <w:jc w:val="center"/>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厂用电采集终端系统</w:t>
            </w:r>
          </w:p>
        </w:tc>
        <w:tc>
          <w:tcPr>
            <w:tcW w:w="0" w:type="auto"/>
            <w:vAlign w:val="center"/>
          </w:tcPr>
          <w:p w14:paraId="7AD3F0D0">
            <w:pPr>
              <w:snapToGrid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c>
          <w:tcPr>
            <w:tcW w:w="0" w:type="auto"/>
            <w:vAlign w:val="center"/>
          </w:tcPr>
          <w:p w14:paraId="1017B2C8">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套</w:t>
            </w:r>
          </w:p>
        </w:tc>
        <w:tc>
          <w:tcPr>
            <w:tcW w:w="0" w:type="auto"/>
            <w:vAlign w:val="center"/>
          </w:tcPr>
          <w:p w14:paraId="7CC08744">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2</w:t>
            </w:r>
          </w:p>
        </w:tc>
        <w:tc>
          <w:tcPr>
            <w:tcW w:w="0" w:type="auto"/>
            <w:vAlign w:val="center"/>
          </w:tcPr>
          <w:p w14:paraId="41CAA405">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r>
      <w:tr w14:paraId="65AC1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47AA075C">
            <w:pPr>
              <w:spacing w:line="520" w:lineRule="exact"/>
              <w:jc w:val="center"/>
              <w:outlineLvl w:val="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3</w:t>
            </w:r>
          </w:p>
        </w:tc>
        <w:tc>
          <w:tcPr>
            <w:tcW w:w="2741" w:type="dxa"/>
            <w:vAlign w:val="center"/>
          </w:tcPr>
          <w:p w14:paraId="7EE935C8">
            <w:pPr>
              <w:snapToGrid w:val="0"/>
              <w:jc w:val="center"/>
              <w:rPr>
                <w:rFonts w:hint="default" w:asciiTheme="minorEastAsia" w:hAnsiTheme="minorEastAsia" w:eastAsiaTheme="minorEastAsia" w:cstheme="minorEastAsia"/>
                <w:b w:val="0"/>
                <w:bCs w:val="0"/>
                <w:color w:val="auto"/>
                <w:kern w:val="2"/>
                <w:sz w:val="21"/>
                <w:szCs w:val="21"/>
                <w:highlight w:val="none"/>
                <w:lang w:val="en-US" w:eastAsia="zh-CN" w:bidi="ar-SA"/>
              </w:rPr>
            </w:pPr>
            <w:r>
              <w:rPr>
                <w:rStyle w:val="20"/>
                <w:rFonts w:hint="eastAsia" w:ascii="楷体_GB2312" w:hAnsi="Calibri" w:eastAsia="宋体"/>
                <w:b w:val="0"/>
                <w:bCs w:val="0"/>
                <w:color w:val="auto"/>
                <w:kern w:val="2"/>
                <w:sz w:val="21"/>
                <w:szCs w:val="22"/>
                <w:highlight w:val="none"/>
                <w:lang w:val="en-US" w:eastAsia="zh-CN" w:bidi="ar-SA"/>
              </w:rPr>
              <w:t>电能量采集装置网络安全监测接口软件</w:t>
            </w:r>
          </w:p>
        </w:tc>
        <w:tc>
          <w:tcPr>
            <w:tcW w:w="0" w:type="auto"/>
            <w:vAlign w:val="center"/>
          </w:tcPr>
          <w:p w14:paraId="098D5F93">
            <w:pPr>
              <w:snapToGrid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Style w:val="20"/>
                <w:rFonts w:hint="eastAsia" w:ascii="楷体_GB2312" w:hAnsi="Calibri" w:eastAsia="宋体"/>
                <w:b w:val="0"/>
                <w:bCs w:val="0"/>
                <w:color w:val="auto"/>
                <w:kern w:val="2"/>
                <w:sz w:val="21"/>
                <w:szCs w:val="22"/>
                <w:highlight w:val="none"/>
                <w:lang w:val="en-US" w:eastAsia="zh-CN" w:bidi="ar-SA"/>
              </w:rPr>
              <w:t>电能量采集装置网络安全监测接口软件Agent</w:t>
            </w:r>
          </w:p>
        </w:tc>
        <w:tc>
          <w:tcPr>
            <w:tcW w:w="0" w:type="auto"/>
            <w:vAlign w:val="center"/>
          </w:tcPr>
          <w:p w14:paraId="2EF6C0DA">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Style w:val="20"/>
                <w:rFonts w:hint="eastAsia" w:ascii="楷体_GB2312" w:hAnsi="Calibri" w:eastAsia="宋体"/>
                <w:b w:val="0"/>
                <w:bCs w:val="0"/>
                <w:color w:val="auto"/>
                <w:kern w:val="2"/>
                <w:sz w:val="21"/>
                <w:szCs w:val="22"/>
                <w:highlight w:val="none"/>
                <w:lang w:val="en-US" w:eastAsia="zh-CN" w:bidi="ar-SA"/>
              </w:rPr>
              <w:t>套</w:t>
            </w:r>
          </w:p>
        </w:tc>
        <w:tc>
          <w:tcPr>
            <w:tcW w:w="0" w:type="auto"/>
            <w:vAlign w:val="center"/>
          </w:tcPr>
          <w:p w14:paraId="698EA38D">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3</w:t>
            </w:r>
          </w:p>
        </w:tc>
        <w:tc>
          <w:tcPr>
            <w:tcW w:w="0" w:type="auto"/>
            <w:vAlign w:val="center"/>
          </w:tcPr>
          <w:p w14:paraId="0B406027">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r>
      <w:tr w14:paraId="6C7FA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7E7B413B">
            <w:pPr>
              <w:spacing w:line="520" w:lineRule="exact"/>
              <w:jc w:val="center"/>
              <w:outlineLvl w:val="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4</w:t>
            </w:r>
          </w:p>
        </w:tc>
        <w:tc>
          <w:tcPr>
            <w:tcW w:w="2741" w:type="dxa"/>
            <w:vAlign w:val="center"/>
          </w:tcPr>
          <w:p w14:paraId="223E88F1">
            <w:pPr>
              <w:snapToGrid w:val="0"/>
              <w:jc w:val="center"/>
              <w:rPr>
                <w:rFonts w:hint="eastAsia" w:ascii="楷体_GB2312" w:hAnsi="Calibri" w:eastAsia="宋体" w:cs="Times New Roman"/>
                <w:b w:val="0"/>
                <w:bCs w:val="0"/>
                <w:color w:val="auto"/>
                <w:kern w:val="2"/>
                <w:sz w:val="21"/>
                <w:szCs w:val="22"/>
                <w:highlight w:val="none"/>
                <w:lang w:val="en-US" w:eastAsia="zh-CN" w:bidi="ar-SA"/>
              </w:rPr>
            </w:pPr>
            <w:r>
              <w:rPr>
                <w:rStyle w:val="20"/>
                <w:rFonts w:hint="eastAsia" w:ascii="Calibri" w:hAnsi="Calibri" w:eastAsia="宋体"/>
                <w:b w:val="0"/>
                <w:bCs w:val="0"/>
                <w:color w:val="auto"/>
                <w:kern w:val="2"/>
                <w:sz w:val="21"/>
                <w:szCs w:val="22"/>
                <w:highlight w:val="none"/>
                <w:lang w:val="en-US" w:eastAsia="zh-CN" w:bidi="ar-SA"/>
              </w:rPr>
              <w:t>与</w:t>
            </w:r>
            <w:r>
              <w:rPr>
                <w:rStyle w:val="20"/>
                <w:rFonts w:hint="eastAsia"/>
                <w:b w:val="0"/>
                <w:bCs w:val="0"/>
                <w:color w:val="auto"/>
                <w:kern w:val="2"/>
                <w:sz w:val="21"/>
                <w:szCs w:val="22"/>
                <w:highlight w:val="none"/>
                <w:lang w:val="en-US" w:eastAsia="zh-CN" w:bidi="ar-SA"/>
              </w:rPr>
              <w:t>DCS</w:t>
            </w:r>
            <w:r>
              <w:rPr>
                <w:rStyle w:val="20"/>
                <w:rFonts w:hint="eastAsia" w:ascii="Calibri" w:hAnsi="Calibri" w:eastAsia="宋体"/>
                <w:b w:val="0"/>
                <w:bCs w:val="0"/>
                <w:color w:val="auto"/>
                <w:kern w:val="2"/>
                <w:sz w:val="21"/>
                <w:szCs w:val="22"/>
                <w:highlight w:val="none"/>
                <w:lang w:val="en-US" w:eastAsia="zh-CN" w:bidi="ar-SA"/>
              </w:rPr>
              <w:t>接口调试</w:t>
            </w:r>
          </w:p>
        </w:tc>
        <w:tc>
          <w:tcPr>
            <w:tcW w:w="0" w:type="auto"/>
            <w:vAlign w:val="center"/>
          </w:tcPr>
          <w:p w14:paraId="3434FBF7">
            <w:pPr>
              <w:snapToGrid w:val="0"/>
              <w:rPr>
                <w:rFonts w:hint="eastAsia" w:ascii="楷体_GB2312" w:hAnsi="Calibri" w:eastAsia="宋体" w:cs="Times New Roman"/>
                <w:b w:val="0"/>
                <w:bCs w:val="0"/>
                <w:color w:val="auto"/>
                <w:kern w:val="2"/>
                <w:sz w:val="21"/>
                <w:szCs w:val="22"/>
                <w:highlight w:val="none"/>
                <w:lang w:val="en-US" w:eastAsia="zh-CN" w:bidi="ar-SA"/>
              </w:rPr>
            </w:pPr>
            <w:r>
              <w:rPr>
                <w:rStyle w:val="20"/>
                <w:rFonts w:hint="eastAsia" w:ascii="楷体_GB2312" w:hAnsi="Calibri" w:eastAsia="宋体"/>
                <w:b w:val="0"/>
                <w:bCs w:val="0"/>
                <w:color w:val="auto"/>
                <w:kern w:val="2"/>
                <w:sz w:val="21"/>
                <w:szCs w:val="22"/>
                <w:highlight w:val="none"/>
                <w:lang w:val="en-US" w:eastAsia="zh-CN" w:bidi="ar-SA"/>
              </w:rPr>
              <w:t>电量信息在</w:t>
            </w:r>
            <w:r>
              <w:rPr>
                <w:rStyle w:val="20"/>
                <w:rFonts w:hint="eastAsia" w:ascii="楷体_GB2312"/>
                <w:b w:val="0"/>
                <w:bCs w:val="0"/>
                <w:color w:val="auto"/>
                <w:kern w:val="2"/>
                <w:sz w:val="21"/>
                <w:szCs w:val="22"/>
                <w:highlight w:val="none"/>
                <w:lang w:val="en-US" w:eastAsia="zh-CN" w:bidi="ar-SA"/>
              </w:rPr>
              <w:t>DCS</w:t>
            </w:r>
            <w:r>
              <w:rPr>
                <w:rStyle w:val="20"/>
                <w:rFonts w:hint="eastAsia" w:ascii="楷体_GB2312" w:hAnsi="Calibri" w:eastAsia="宋体"/>
                <w:b w:val="0"/>
                <w:bCs w:val="0"/>
                <w:color w:val="auto"/>
                <w:kern w:val="2"/>
                <w:sz w:val="21"/>
                <w:szCs w:val="22"/>
                <w:highlight w:val="none"/>
                <w:lang w:val="en-US" w:eastAsia="zh-CN" w:bidi="ar-SA"/>
              </w:rPr>
              <w:t>展示</w:t>
            </w:r>
          </w:p>
        </w:tc>
        <w:tc>
          <w:tcPr>
            <w:tcW w:w="0" w:type="auto"/>
            <w:vAlign w:val="center"/>
          </w:tcPr>
          <w:p w14:paraId="65FF98BC">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Style w:val="20"/>
                <w:rFonts w:hint="eastAsia" w:ascii="楷体_GB2312" w:hAnsi="Calibri" w:eastAsia="宋体"/>
                <w:b w:val="0"/>
                <w:bCs w:val="0"/>
                <w:color w:val="auto"/>
                <w:kern w:val="2"/>
                <w:sz w:val="21"/>
                <w:szCs w:val="22"/>
                <w:highlight w:val="none"/>
                <w:lang w:val="en-US" w:eastAsia="zh-CN" w:bidi="ar-SA"/>
              </w:rPr>
              <w:t>套</w:t>
            </w:r>
          </w:p>
        </w:tc>
        <w:tc>
          <w:tcPr>
            <w:tcW w:w="0" w:type="auto"/>
            <w:vAlign w:val="center"/>
          </w:tcPr>
          <w:p w14:paraId="50F1835B">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1</w:t>
            </w:r>
          </w:p>
        </w:tc>
        <w:tc>
          <w:tcPr>
            <w:tcW w:w="0" w:type="auto"/>
            <w:vAlign w:val="center"/>
          </w:tcPr>
          <w:p w14:paraId="746A55ED">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r>
      <w:tr w14:paraId="0472D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1D017016">
            <w:pPr>
              <w:spacing w:line="520" w:lineRule="exact"/>
              <w:jc w:val="center"/>
              <w:outlineLvl w:val="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5</w:t>
            </w:r>
          </w:p>
        </w:tc>
        <w:tc>
          <w:tcPr>
            <w:tcW w:w="2741" w:type="dxa"/>
            <w:vAlign w:val="center"/>
          </w:tcPr>
          <w:p w14:paraId="1005A46A">
            <w:pPr>
              <w:snapToGrid w:val="0"/>
              <w:jc w:val="center"/>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屏柜、组屏附件及通讯电缆等</w:t>
            </w:r>
          </w:p>
        </w:tc>
        <w:tc>
          <w:tcPr>
            <w:tcW w:w="3040" w:type="dxa"/>
            <w:vAlign w:val="center"/>
          </w:tcPr>
          <w:p w14:paraId="24778E5A">
            <w:pPr>
              <w:snapToGrid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满足工程需求</w:t>
            </w:r>
          </w:p>
        </w:tc>
        <w:tc>
          <w:tcPr>
            <w:tcW w:w="570" w:type="dxa"/>
            <w:vAlign w:val="center"/>
          </w:tcPr>
          <w:p w14:paraId="35508E20">
            <w:pPr>
              <w:snapToGrid w:val="0"/>
              <w:jc w:val="center"/>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套</w:t>
            </w:r>
          </w:p>
        </w:tc>
        <w:tc>
          <w:tcPr>
            <w:tcW w:w="730" w:type="dxa"/>
            <w:vAlign w:val="center"/>
          </w:tcPr>
          <w:p w14:paraId="555C6A89">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1</w:t>
            </w:r>
          </w:p>
        </w:tc>
        <w:tc>
          <w:tcPr>
            <w:tcW w:w="1235" w:type="dxa"/>
            <w:vAlign w:val="center"/>
          </w:tcPr>
          <w:p w14:paraId="27BE13C1">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r>
      <w:tr w14:paraId="3683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31ABC700">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6</w:t>
            </w:r>
          </w:p>
        </w:tc>
        <w:tc>
          <w:tcPr>
            <w:tcW w:w="2741" w:type="dxa"/>
            <w:vAlign w:val="center"/>
          </w:tcPr>
          <w:p w14:paraId="0DA2ED23">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系统调试</w:t>
            </w:r>
          </w:p>
        </w:tc>
        <w:tc>
          <w:tcPr>
            <w:tcW w:w="0" w:type="auto"/>
            <w:vAlign w:val="center"/>
          </w:tcPr>
          <w:p w14:paraId="5555AC2B">
            <w:pPr>
              <w:snapToGrid w:val="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与电能表数据调试</w:t>
            </w:r>
          </w:p>
        </w:tc>
        <w:tc>
          <w:tcPr>
            <w:tcW w:w="0" w:type="auto"/>
            <w:vAlign w:val="center"/>
          </w:tcPr>
          <w:p w14:paraId="52929E65">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次</w:t>
            </w:r>
          </w:p>
        </w:tc>
        <w:tc>
          <w:tcPr>
            <w:tcW w:w="0" w:type="auto"/>
            <w:vAlign w:val="center"/>
          </w:tcPr>
          <w:p w14:paraId="14FF3191">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1</w:t>
            </w:r>
          </w:p>
        </w:tc>
        <w:tc>
          <w:tcPr>
            <w:tcW w:w="0" w:type="auto"/>
            <w:vAlign w:val="center"/>
          </w:tcPr>
          <w:p w14:paraId="1E74B65B">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rPr>
              <w:t>以调试完成为1次</w:t>
            </w:r>
          </w:p>
        </w:tc>
      </w:tr>
      <w:tr w14:paraId="3BC3C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33042DEC">
            <w:pPr>
              <w:spacing w:line="520" w:lineRule="exact"/>
              <w:jc w:val="center"/>
              <w:outlineLvl w:val="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三</w:t>
            </w:r>
          </w:p>
        </w:tc>
        <w:tc>
          <w:tcPr>
            <w:tcW w:w="2741" w:type="dxa"/>
            <w:vAlign w:val="center"/>
          </w:tcPr>
          <w:p w14:paraId="7CE98800">
            <w:pPr>
              <w:snapToGrid w:val="0"/>
              <w:jc w:val="center"/>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自动抄表系统</w:t>
            </w:r>
          </w:p>
        </w:tc>
        <w:tc>
          <w:tcPr>
            <w:tcW w:w="0" w:type="auto"/>
            <w:vAlign w:val="center"/>
          </w:tcPr>
          <w:p w14:paraId="4EBBC5CF">
            <w:pPr>
              <w:snapToGrid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c>
          <w:tcPr>
            <w:tcW w:w="0" w:type="auto"/>
            <w:vAlign w:val="center"/>
          </w:tcPr>
          <w:p w14:paraId="10490992">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套</w:t>
            </w:r>
          </w:p>
        </w:tc>
        <w:tc>
          <w:tcPr>
            <w:tcW w:w="0" w:type="auto"/>
            <w:vAlign w:val="center"/>
          </w:tcPr>
          <w:p w14:paraId="6F4A8398">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1</w:t>
            </w:r>
          </w:p>
        </w:tc>
        <w:tc>
          <w:tcPr>
            <w:tcW w:w="0" w:type="auto"/>
            <w:vAlign w:val="center"/>
          </w:tcPr>
          <w:p w14:paraId="6579BAE3">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r>
      <w:tr w14:paraId="7DDB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362E19AB">
            <w:pPr>
              <w:spacing w:line="520" w:lineRule="exact"/>
              <w:jc w:val="center"/>
              <w:outlineLvl w:val="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1</w:t>
            </w:r>
          </w:p>
        </w:tc>
        <w:tc>
          <w:tcPr>
            <w:tcW w:w="2741" w:type="dxa"/>
            <w:vAlign w:val="center"/>
          </w:tcPr>
          <w:p w14:paraId="00B0B6A9">
            <w:pPr>
              <w:snapToGrid w:val="0"/>
              <w:jc w:val="center"/>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自动抄表系统</w:t>
            </w:r>
          </w:p>
        </w:tc>
        <w:tc>
          <w:tcPr>
            <w:tcW w:w="0" w:type="auto"/>
            <w:vAlign w:val="center"/>
          </w:tcPr>
          <w:p w14:paraId="4F0ECD92">
            <w:pPr>
              <w:snapToGrid w:val="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含抄表系统、网络安全监测接口等</w:t>
            </w:r>
          </w:p>
        </w:tc>
        <w:tc>
          <w:tcPr>
            <w:tcW w:w="0" w:type="auto"/>
            <w:vAlign w:val="center"/>
          </w:tcPr>
          <w:p w14:paraId="1A5FFDEC">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套</w:t>
            </w:r>
          </w:p>
        </w:tc>
        <w:tc>
          <w:tcPr>
            <w:tcW w:w="0" w:type="auto"/>
            <w:vAlign w:val="center"/>
          </w:tcPr>
          <w:p w14:paraId="2A29EC7F">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1</w:t>
            </w:r>
          </w:p>
        </w:tc>
        <w:tc>
          <w:tcPr>
            <w:tcW w:w="0" w:type="auto"/>
            <w:vAlign w:val="center"/>
          </w:tcPr>
          <w:p w14:paraId="0E17BCE1">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r>
      <w:tr w14:paraId="524AC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2DCD6B68">
            <w:pPr>
              <w:spacing w:line="520" w:lineRule="exact"/>
              <w:jc w:val="center"/>
              <w:outlineLvl w:val="0"/>
              <w:rPr>
                <w:rFonts w:hint="default" w:asciiTheme="minorEastAsia" w:hAnsiTheme="minorEastAsia" w:eastAsiaTheme="minorEastAsia" w:cstheme="minorEastAsia"/>
                <w:b w:val="0"/>
                <w:bCs w:val="0"/>
                <w:color w:val="auto"/>
                <w:szCs w:val="21"/>
                <w:highlight w:val="none"/>
                <w:lang w:val="en-US" w:eastAsia="zh-CN"/>
              </w:rPr>
            </w:pPr>
            <w:r>
              <w:rPr>
                <w:rFonts w:hint="eastAsia" w:asciiTheme="minorEastAsia" w:hAnsiTheme="minorEastAsia" w:eastAsiaTheme="minorEastAsia" w:cstheme="minorEastAsia"/>
                <w:b w:val="0"/>
                <w:bCs w:val="0"/>
                <w:color w:val="auto"/>
                <w:szCs w:val="21"/>
                <w:highlight w:val="none"/>
                <w:lang w:val="en-US" w:eastAsia="zh-CN"/>
              </w:rPr>
              <w:t>2</w:t>
            </w:r>
          </w:p>
        </w:tc>
        <w:tc>
          <w:tcPr>
            <w:tcW w:w="2741" w:type="dxa"/>
            <w:vAlign w:val="center"/>
          </w:tcPr>
          <w:p w14:paraId="6649BF9A">
            <w:pPr>
              <w:snapToGrid w:val="0"/>
              <w:jc w:val="center"/>
              <w:rPr>
                <w:rFonts w:hint="eastAsia" w:asciiTheme="minorEastAsia" w:hAnsiTheme="minorEastAsia" w:eastAsiaTheme="minorEastAsia" w:cstheme="minorEastAsia"/>
                <w:b w:val="0"/>
                <w:bCs w:val="0"/>
                <w:color w:val="auto"/>
                <w:szCs w:val="21"/>
                <w:highlight w:val="none"/>
                <w:lang w:val="en-US" w:eastAsia="zh-CN"/>
              </w:rPr>
            </w:pPr>
            <w:r>
              <w:rPr>
                <w:rFonts w:hint="eastAsia" w:asciiTheme="minorEastAsia" w:hAnsiTheme="minorEastAsia" w:eastAsiaTheme="minorEastAsia" w:cstheme="minorEastAsia"/>
                <w:b w:val="0"/>
                <w:bCs w:val="0"/>
                <w:color w:val="auto"/>
                <w:szCs w:val="21"/>
                <w:highlight w:val="none"/>
                <w:lang w:val="en-US" w:eastAsia="zh-CN"/>
              </w:rPr>
              <w:t>自动抄表系统</w:t>
            </w:r>
            <w:r>
              <w:rPr>
                <w:rFonts w:hint="eastAsia" w:asciiTheme="minorEastAsia" w:hAnsiTheme="minorEastAsia" w:eastAsiaTheme="minorEastAsia" w:cstheme="minorEastAsia"/>
                <w:b w:val="0"/>
                <w:bCs w:val="0"/>
                <w:color w:val="auto"/>
                <w:szCs w:val="21"/>
                <w:highlight w:val="none"/>
              </w:rPr>
              <w:t>网络安全监测接口软件</w:t>
            </w:r>
            <w:r>
              <w:rPr>
                <w:rFonts w:hint="eastAsia" w:asciiTheme="minorEastAsia" w:hAnsiTheme="minorEastAsia" w:eastAsiaTheme="minorEastAsia" w:cstheme="minorEastAsia"/>
                <w:b w:val="0"/>
                <w:bCs w:val="0"/>
                <w:color w:val="auto"/>
                <w:szCs w:val="21"/>
                <w:highlight w:val="none"/>
              </w:rPr>
              <w:tab/>
            </w:r>
          </w:p>
        </w:tc>
        <w:tc>
          <w:tcPr>
            <w:tcW w:w="0" w:type="auto"/>
            <w:vAlign w:val="center"/>
          </w:tcPr>
          <w:p w14:paraId="3105A1A7">
            <w:pPr>
              <w:snapToGrid w:val="0"/>
              <w:rPr>
                <w:rFonts w:hint="eastAsia" w:asciiTheme="minorEastAsia" w:hAnsiTheme="minorEastAsia" w:eastAsiaTheme="minorEastAsia" w:cstheme="minorEastAsia"/>
                <w:b w:val="0"/>
                <w:bCs w:val="0"/>
                <w:color w:val="auto"/>
                <w:szCs w:val="21"/>
                <w:highlight w:val="none"/>
                <w:lang w:val="en-US" w:eastAsia="zh-CN"/>
              </w:rPr>
            </w:pPr>
            <w:r>
              <w:rPr>
                <w:rFonts w:hint="eastAsia" w:asciiTheme="minorEastAsia" w:hAnsiTheme="minorEastAsia" w:eastAsiaTheme="minorEastAsia" w:cstheme="minorEastAsia"/>
                <w:b w:val="0"/>
                <w:bCs w:val="0"/>
                <w:color w:val="auto"/>
                <w:szCs w:val="21"/>
                <w:highlight w:val="none"/>
                <w:lang w:val="en-US" w:eastAsia="zh-CN"/>
              </w:rPr>
              <w:t>自动抄表系统</w:t>
            </w:r>
            <w:r>
              <w:rPr>
                <w:rFonts w:hint="eastAsia" w:asciiTheme="minorEastAsia" w:hAnsiTheme="minorEastAsia" w:eastAsiaTheme="minorEastAsia" w:cstheme="minorEastAsia"/>
                <w:b w:val="0"/>
                <w:bCs w:val="0"/>
                <w:color w:val="auto"/>
                <w:szCs w:val="21"/>
                <w:highlight w:val="none"/>
              </w:rPr>
              <w:t>网络安全监测接口软件</w:t>
            </w:r>
            <w:r>
              <w:rPr>
                <w:rFonts w:hint="eastAsia" w:asciiTheme="minorEastAsia" w:hAnsiTheme="minorEastAsia" w:eastAsiaTheme="minorEastAsia" w:cstheme="minorEastAsia"/>
                <w:b w:val="0"/>
                <w:bCs w:val="0"/>
                <w:color w:val="auto"/>
                <w:szCs w:val="21"/>
                <w:highlight w:val="none"/>
              </w:rPr>
              <w:tab/>
            </w:r>
            <w:r>
              <w:rPr>
                <w:rFonts w:hint="eastAsia" w:asciiTheme="minorEastAsia" w:hAnsiTheme="minorEastAsia" w:eastAsiaTheme="minorEastAsia" w:cstheme="minorEastAsia"/>
                <w:b w:val="0"/>
                <w:bCs w:val="0"/>
                <w:color w:val="auto"/>
                <w:szCs w:val="21"/>
                <w:highlight w:val="none"/>
              </w:rPr>
              <w:t>Agent</w:t>
            </w:r>
          </w:p>
        </w:tc>
        <w:tc>
          <w:tcPr>
            <w:tcW w:w="0" w:type="auto"/>
            <w:vAlign w:val="center"/>
          </w:tcPr>
          <w:p w14:paraId="723B9EDC">
            <w:pPr>
              <w:snapToGrid w:val="0"/>
              <w:jc w:val="center"/>
              <w:rPr>
                <w:rFonts w:hint="default" w:asciiTheme="minorEastAsia" w:hAnsiTheme="minorEastAsia" w:eastAsiaTheme="minorEastAsia" w:cstheme="minorEastAsia"/>
                <w:b w:val="0"/>
                <w:bCs w:val="0"/>
                <w:color w:val="auto"/>
                <w:szCs w:val="21"/>
                <w:highlight w:val="none"/>
                <w:lang w:val="en-US" w:eastAsia="zh-CN"/>
              </w:rPr>
            </w:pPr>
            <w:r>
              <w:rPr>
                <w:rFonts w:hint="eastAsia" w:asciiTheme="minorEastAsia" w:hAnsiTheme="minorEastAsia" w:eastAsiaTheme="minorEastAsia" w:cstheme="minorEastAsia"/>
                <w:b w:val="0"/>
                <w:bCs w:val="0"/>
                <w:color w:val="auto"/>
                <w:szCs w:val="21"/>
                <w:highlight w:val="none"/>
                <w:lang w:val="en-US" w:eastAsia="zh-CN"/>
              </w:rPr>
              <w:t>套</w:t>
            </w:r>
          </w:p>
        </w:tc>
        <w:tc>
          <w:tcPr>
            <w:tcW w:w="0" w:type="auto"/>
            <w:vAlign w:val="center"/>
          </w:tcPr>
          <w:p w14:paraId="15975871">
            <w:pPr>
              <w:snapToGrid w:val="0"/>
              <w:jc w:val="center"/>
              <w:rPr>
                <w:rFonts w:hint="default" w:asciiTheme="minorEastAsia" w:hAnsiTheme="minorEastAsia" w:eastAsiaTheme="minorEastAsia" w:cstheme="minorEastAsia"/>
                <w:b w:val="0"/>
                <w:bCs w:val="0"/>
                <w:color w:val="auto"/>
                <w:szCs w:val="21"/>
                <w:highlight w:val="none"/>
                <w:lang w:val="en-US" w:eastAsia="zh-CN"/>
              </w:rPr>
            </w:pPr>
            <w:r>
              <w:rPr>
                <w:rFonts w:hint="eastAsia" w:asciiTheme="minorEastAsia" w:hAnsiTheme="minorEastAsia" w:eastAsiaTheme="minorEastAsia" w:cstheme="minorEastAsia"/>
                <w:b w:val="0"/>
                <w:bCs w:val="0"/>
                <w:color w:val="auto"/>
                <w:szCs w:val="21"/>
                <w:highlight w:val="none"/>
                <w:lang w:val="en-US" w:eastAsia="zh-CN"/>
              </w:rPr>
              <w:t>1</w:t>
            </w:r>
          </w:p>
        </w:tc>
        <w:tc>
          <w:tcPr>
            <w:tcW w:w="0" w:type="auto"/>
            <w:vAlign w:val="center"/>
          </w:tcPr>
          <w:p w14:paraId="5CA2CE75">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r>
      <w:tr w14:paraId="513D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715E1E10">
            <w:pPr>
              <w:spacing w:line="520" w:lineRule="exact"/>
              <w:jc w:val="center"/>
              <w:outlineLvl w:val="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3</w:t>
            </w:r>
          </w:p>
        </w:tc>
        <w:tc>
          <w:tcPr>
            <w:tcW w:w="2741" w:type="dxa"/>
            <w:vAlign w:val="center"/>
          </w:tcPr>
          <w:p w14:paraId="54557E86">
            <w:pPr>
              <w:snapToGrid w:val="0"/>
              <w:jc w:val="center"/>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屏柜、组屏附件及通讯电缆等</w:t>
            </w:r>
          </w:p>
        </w:tc>
        <w:tc>
          <w:tcPr>
            <w:tcW w:w="0" w:type="auto"/>
            <w:vAlign w:val="center"/>
          </w:tcPr>
          <w:p w14:paraId="1EB4A349">
            <w:pPr>
              <w:snapToGrid w:val="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满足工程需求</w:t>
            </w:r>
          </w:p>
        </w:tc>
        <w:tc>
          <w:tcPr>
            <w:tcW w:w="0" w:type="auto"/>
            <w:vAlign w:val="center"/>
          </w:tcPr>
          <w:p w14:paraId="08DE7120">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套</w:t>
            </w:r>
          </w:p>
        </w:tc>
        <w:tc>
          <w:tcPr>
            <w:tcW w:w="0" w:type="auto"/>
            <w:vAlign w:val="center"/>
          </w:tcPr>
          <w:p w14:paraId="3971C210">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1</w:t>
            </w:r>
          </w:p>
        </w:tc>
        <w:tc>
          <w:tcPr>
            <w:tcW w:w="0" w:type="auto"/>
            <w:vAlign w:val="center"/>
          </w:tcPr>
          <w:p w14:paraId="06687B6B">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r>
      <w:tr w14:paraId="3C6F7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41D9B84E">
            <w:pPr>
              <w:spacing w:line="520" w:lineRule="exact"/>
              <w:jc w:val="center"/>
              <w:outlineLvl w:val="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4</w:t>
            </w:r>
          </w:p>
        </w:tc>
        <w:tc>
          <w:tcPr>
            <w:tcW w:w="2741" w:type="dxa"/>
            <w:vAlign w:val="center"/>
          </w:tcPr>
          <w:p w14:paraId="4B521455">
            <w:pPr>
              <w:snapToGrid w:val="0"/>
              <w:jc w:val="center"/>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系统调试</w:t>
            </w:r>
          </w:p>
        </w:tc>
        <w:tc>
          <w:tcPr>
            <w:tcW w:w="0" w:type="auto"/>
            <w:vAlign w:val="center"/>
          </w:tcPr>
          <w:p w14:paraId="47638842">
            <w:pPr>
              <w:snapToGrid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c>
          <w:tcPr>
            <w:tcW w:w="0" w:type="auto"/>
            <w:vAlign w:val="center"/>
          </w:tcPr>
          <w:p w14:paraId="4C8CED2C">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次</w:t>
            </w:r>
          </w:p>
        </w:tc>
        <w:tc>
          <w:tcPr>
            <w:tcW w:w="0" w:type="auto"/>
            <w:vAlign w:val="center"/>
          </w:tcPr>
          <w:p w14:paraId="7309E5EB">
            <w:pPr>
              <w:snapToGrid w:val="0"/>
              <w:jc w:val="center"/>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zCs w:val="21"/>
                <w:highlight w:val="none"/>
                <w:lang w:val="en-US" w:eastAsia="zh-CN"/>
              </w:rPr>
              <w:t>1</w:t>
            </w:r>
          </w:p>
        </w:tc>
        <w:tc>
          <w:tcPr>
            <w:tcW w:w="0" w:type="auto"/>
            <w:vAlign w:val="center"/>
          </w:tcPr>
          <w:p w14:paraId="4C6623C6">
            <w:pPr>
              <w:spacing w:line="520" w:lineRule="exact"/>
              <w:jc w:val="center"/>
              <w:outlineLvl w:val="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以调试完成为1次</w:t>
            </w:r>
          </w:p>
        </w:tc>
      </w:tr>
      <w:tr w14:paraId="7EE6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048D94BD">
            <w:pPr>
              <w:spacing w:line="520" w:lineRule="exact"/>
              <w:jc w:val="center"/>
              <w:outlineLvl w:val="0"/>
              <w:rPr>
                <w:rFonts w:hint="default" w:asciiTheme="minorEastAsia" w:hAnsiTheme="minorEastAsia" w:eastAsiaTheme="minorEastAsia" w:cstheme="minorEastAsia"/>
                <w:b w:val="0"/>
                <w:bCs w:val="0"/>
                <w:color w:val="auto"/>
                <w:szCs w:val="21"/>
                <w:highlight w:val="none"/>
                <w:lang w:val="en-US" w:eastAsia="zh-CN"/>
              </w:rPr>
            </w:pPr>
            <w:r>
              <w:rPr>
                <w:rFonts w:hint="eastAsia" w:asciiTheme="minorEastAsia" w:hAnsiTheme="minorEastAsia" w:eastAsiaTheme="minorEastAsia" w:cstheme="minorEastAsia"/>
                <w:b w:val="0"/>
                <w:bCs w:val="0"/>
                <w:color w:val="auto"/>
                <w:szCs w:val="21"/>
                <w:highlight w:val="none"/>
                <w:lang w:val="en-US" w:eastAsia="zh-CN"/>
              </w:rPr>
              <w:t>四</w:t>
            </w:r>
          </w:p>
        </w:tc>
        <w:tc>
          <w:tcPr>
            <w:tcW w:w="2741" w:type="dxa"/>
            <w:vAlign w:val="center"/>
          </w:tcPr>
          <w:p w14:paraId="43F4AB82">
            <w:pPr>
              <w:snapToGrid w:val="0"/>
              <w:jc w:val="center"/>
              <w:rPr>
                <w:rFonts w:hint="default" w:asciiTheme="minorEastAsia" w:hAnsiTheme="minorEastAsia" w:eastAsiaTheme="minorEastAsia" w:cstheme="minorEastAsia"/>
                <w:b w:val="0"/>
                <w:bCs w:val="0"/>
                <w:color w:val="auto"/>
                <w:szCs w:val="21"/>
                <w:highlight w:val="none"/>
                <w:lang w:val="en-US" w:eastAsia="zh-CN"/>
              </w:rPr>
            </w:pPr>
            <w:r>
              <w:rPr>
                <w:rFonts w:hint="eastAsia" w:asciiTheme="minorEastAsia" w:hAnsiTheme="minorEastAsia" w:eastAsiaTheme="minorEastAsia" w:cstheme="minorEastAsia"/>
                <w:b w:val="0"/>
                <w:bCs w:val="0"/>
                <w:color w:val="auto"/>
                <w:szCs w:val="21"/>
                <w:highlight w:val="none"/>
                <w:lang w:val="en-US" w:eastAsia="zh-CN"/>
              </w:rPr>
              <w:t>电能量计量计费系统</w:t>
            </w:r>
          </w:p>
        </w:tc>
        <w:tc>
          <w:tcPr>
            <w:tcW w:w="0" w:type="auto"/>
            <w:vAlign w:val="center"/>
          </w:tcPr>
          <w:p w14:paraId="2946CB7B">
            <w:pPr>
              <w:snapToGrid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c>
          <w:tcPr>
            <w:tcW w:w="0" w:type="auto"/>
            <w:vAlign w:val="center"/>
          </w:tcPr>
          <w:p w14:paraId="4C02AA70">
            <w:pPr>
              <w:snapToGrid w:val="0"/>
              <w:jc w:val="center"/>
              <w:rPr>
                <w:rFonts w:hint="default" w:asciiTheme="minorEastAsia" w:hAnsiTheme="minorEastAsia" w:eastAsiaTheme="minorEastAsia" w:cstheme="minorEastAsia"/>
                <w:b w:val="0"/>
                <w:bCs w:val="0"/>
                <w:color w:val="auto"/>
                <w:szCs w:val="21"/>
                <w:highlight w:val="none"/>
                <w:lang w:val="en-US" w:eastAsia="zh-CN"/>
              </w:rPr>
            </w:pPr>
            <w:r>
              <w:rPr>
                <w:rFonts w:hint="eastAsia" w:asciiTheme="minorEastAsia" w:hAnsiTheme="minorEastAsia" w:eastAsiaTheme="minorEastAsia" w:cstheme="minorEastAsia"/>
                <w:b w:val="0"/>
                <w:bCs w:val="0"/>
                <w:color w:val="auto"/>
                <w:szCs w:val="21"/>
                <w:highlight w:val="none"/>
                <w:lang w:val="en-US" w:eastAsia="zh-CN"/>
              </w:rPr>
              <w:t>套</w:t>
            </w:r>
          </w:p>
        </w:tc>
        <w:tc>
          <w:tcPr>
            <w:tcW w:w="0" w:type="auto"/>
            <w:vAlign w:val="center"/>
          </w:tcPr>
          <w:p w14:paraId="6155DE21">
            <w:pPr>
              <w:snapToGrid w:val="0"/>
              <w:jc w:val="center"/>
              <w:rPr>
                <w:rFonts w:hint="default" w:asciiTheme="minorEastAsia" w:hAnsiTheme="minorEastAsia" w:eastAsiaTheme="minorEastAsia" w:cstheme="minorEastAsia"/>
                <w:b w:val="0"/>
                <w:bCs w:val="0"/>
                <w:color w:val="auto"/>
                <w:szCs w:val="21"/>
                <w:highlight w:val="none"/>
                <w:lang w:val="en-US" w:eastAsia="zh-CN"/>
              </w:rPr>
            </w:pPr>
            <w:r>
              <w:rPr>
                <w:rFonts w:hint="eastAsia" w:asciiTheme="minorEastAsia" w:hAnsiTheme="minorEastAsia" w:eastAsiaTheme="minorEastAsia" w:cstheme="minorEastAsia"/>
                <w:b w:val="0"/>
                <w:bCs w:val="0"/>
                <w:color w:val="auto"/>
                <w:szCs w:val="21"/>
                <w:highlight w:val="none"/>
                <w:lang w:val="en-US" w:eastAsia="zh-CN"/>
              </w:rPr>
              <w:t>1</w:t>
            </w:r>
          </w:p>
        </w:tc>
        <w:tc>
          <w:tcPr>
            <w:tcW w:w="0" w:type="auto"/>
            <w:vAlign w:val="center"/>
          </w:tcPr>
          <w:p w14:paraId="3FCF7CFA">
            <w:pPr>
              <w:spacing w:line="520" w:lineRule="exact"/>
              <w:jc w:val="center"/>
              <w:outlineLvl w:val="0"/>
              <w:rPr>
                <w:rFonts w:hint="eastAsia" w:asciiTheme="minorEastAsia" w:hAnsiTheme="minorEastAsia" w:eastAsiaTheme="minorEastAsia" w:cstheme="minorEastAsia"/>
                <w:b w:val="0"/>
                <w:bCs w:val="0"/>
                <w:color w:val="auto"/>
                <w:kern w:val="2"/>
                <w:sz w:val="21"/>
                <w:szCs w:val="21"/>
                <w:highlight w:val="none"/>
                <w:lang w:val="en-US" w:eastAsia="zh-CN" w:bidi="ar-SA"/>
              </w:rPr>
            </w:pPr>
          </w:p>
        </w:tc>
      </w:tr>
    </w:tbl>
    <w:p w14:paraId="25F2BD13">
      <w:pPr>
        <w:pStyle w:val="8"/>
        <w:spacing w:line="360" w:lineRule="auto"/>
        <w:rPr>
          <w:rStyle w:val="20"/>
          <w:rFonts w:hint="eastAsia" w:ascii="Times New Roman" w:hAnsi="Times New Roman"/>
          <w:b/>
          <w:color w:val="auto"/>
          <w:highlight w:val="none"/>
        </w:rPr>
      </w:pPr>
    </w:p>
    <w:p w14:paraId="06A317C0">
      <w:pPr>
        <w:pStyle w:val="8"/>
        <w:spacing w:line="360" w:lineRule="auto"/>
        <w:rPr>
          <w:rStyle w:val="20"/>
          <w:rFonts w:hint="eastAsia" w:asciiTheme="minorEastAsia" w:hAnsiTheme="minorEastAsia" w:eastAsiaTheme="minorEastAsia" w:cstheme="minorEastAsia"/>
          <w:b/>
          <w:color w:val="auto"/>
          <w:sz w:val="24"/>
          <w:szCs w:val="24"/>
          <w:highlight w:val="none"/>
        </w:rPr>
      </w:pPr>
      <w:r>
        <w:rPr>
          <w:rStyle w:val="20"/>
          <w:rFonts w:hint="eastAsia" w:asciiTheme="minorEastAsia" w:hAnsiTheme="minorEastAsia" w:eastAsiaTheme="minorEastAsia" w:cstheme="minorEastAsia"/>
          <w:b/>
          <w:color w:val="auto"/>
          <w:sz w:val="24"/>
          <w:szCs w:val="24"/>
          <w:highlight w:val="none"/>
        </w:rPr>
        <w:t>2.2 备品备件</w:t>
      </w:r>
      <w:bookmarkEnd w:id="171"/>
    </w:p>
    <w:p w14:paraId="43FFCAF5">
      <w:pPr>
        <w:pStyle w:val="12"/>
        <w:spacing w:before="120" w:after="120"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2.2.1  备品备件</w:t>
      </w:r>
    </w:p>
    <w:p w14:paraId="167BB9B5">
      <w:pPr>
        <w:pStyle w:val="8"/>
        <w:snapToGrid w:val="0"/>
        <w:spacing w:line="360" w:lineRule="auto"/>
        <w:ind w:firstLine="405"/>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投标人应向招标人提供安装、调试、运行和维护所需的最低限度备品备件，按表2和表3格式要求提供详细的备品备件清单（注明零部件的名称、型号或规格、生产厂家等）。</w:t>
      </w:r>
    </w:p>
    <w:p w14:paraId="057513A3">
      <w:pPr>
        <w:pStyle w:val="8"/>
        <w:snapToGrid w:val="0"/>
        <w:spacing w:before="156" w:line="360" w:lineRule="auto"/>
        <w:rPr>
          <w:rStyle w:val="20"/>
          <w:color w:val="auto"/>
          <w:highlight w:val="none"/>
        </w:rPr>
      </w:pPr>
      <w:r>
        <w:rPr>
          <w:rStyle w:val="20"/>
          <w:rFonts w:hint="eastAsia"/>
          <w:color w:val="auto"/>
          <w:highlight w:val="none"/>
        </w:rPr>
        <w:t>表</w:t>
      </w:r>
      <w:r>
        <w:rPr>
          <w:rStyle w:val="20"/>
          <w:color w:val="auto"/>
          <w:highlight w:val="none"/>
        </w:rPr>
        <w:t xml:space="preserve">2               </w:t>
      </w:r>
      <w:r>
        <w:rPr>
          <w:rStyle w:val="20"/>
          <w:rFonts w:hint="eastAsia"/>
          <w:color w:val="auto"/>
          <w:highlight w:val="none"/>
        </w:rPr>
        <w:t>安装调试用备品备件，包括消耗性材料</w:t>
      </w:r>
    </w:p>
    <w:p w14:paraId="631D1A86">
      <w:pPr>
        <w:pStyle w:val="8"/>
        <w:spacing w:line="360" w:lineRule="auto"/>
        <w:jc w:val="center"/>
        <w:rPr>
          <w:rStyle w:val="20"/>
          <w:color w:val="auto"/>
          <w:highlight w:val="none"/>
        </w:rPr>
      </w:pPr>
      <w:r>
        <w:rPr>
          <w:rStyle w:val="20"/>
          <w:rFonts w:hint="eastAsia"/>
          <w:color w:val="auto"/>
          <w:highlight w:val="none"/>
        </w:rPr>
        <w:t>（此次合同设备，不仅限于此，投标人填写，</w:t>
      </w:r>
      <w:r>
        <w:rPr>
          <w:rStyle w:val="20"/>
          <w:rFonts w:hint="eastAsia" w:hAnsi="宋体"/>
          <w:color w:val="auto"/>
          <w:highlight w:val="none"/>
        </w:rPr>
        <w:t>计入投标总价</w:t>
      </w:r>
      <w:r>
        <w:rPr>
          <w:rStyle w:val="20"/>
          <w:rFonts w:hint="eastAsia"/>
          <w:color w:val="auto"/>
          <w:highlight w:val="none"/>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280"/>
        <w:gridCol w:w="1440"/>
        <w:gridCol w:w="720"/>
        <w:gridCol w:w="720"/>
        <w:gridCol w:w="720"/>
        <w:gridCol w:w="1200"/>
        <w:gridCol w:w="1255"/>
      </w:tblGrid>
      <w:tr w14:paraId="7FDEA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14:paraId="17850948">
            <w:pPr>
              <w:pStyle w:val="8"/>
              <w:widowControl w:val="0"/>
              <w:spacing w:line="360" w:lineRule="auto"/>
              <w:jc w:val="both"/>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序号</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5C461875">
            <w:pPr>
              <w:pStyle w:val="12"/>
              <w:widowControl w:val="0"/>
              <w:spacing w:line="360" w:lineRule="auto"/>
              <w:jc w:val="center"/>
              <w:rPr>
                <w:rStyle w:val="20"/>
                <w:rFonts w:ascii="Times New Roman" w:hAnsi="Times New Roman" w:eastAsia="宋体"/>
                <w:color w:val="auto"/>
                <w:kern w:val="2"/>
                <w:sz w:val="20"/>
                <w:szCs w:val="20"/>
                <w:highlight w:val="none"/>
                <w:lang w:val="en-US" w:eastAsia="zh-CN" w:bidi="ar-SA"/>
              </w:rPr>
            </w:pPr>
            <w:r>
              <w:rPr>
                <w:rStyle w:val="20"/>
                <w:rFonts w:hint="eastAsia" w:ascii="Times New Roman" w:hAnsi="Times New Roman" w:eastAsia="宋体"/>
                <w:color w:val="auto"/>
                <w:kern w:val="2"/>
                <w:sz w:val="20"/>
                <w:szCs w:val="20"/>
                <w:highlight w:val="none"/>
                <w:lang w:val="en-US" w:eastAsia="zh-CN" w:bidi="ar-SA"/>
              </w:rPr>
              <w:t>名称</w:t>
            </w:r>
          </w:p>
        </w:tc>
        <w:tc>
          <w:tcPr>
            <w:tcW w:w="1440" w:type="dxa"/>
            <w:tcBorders>
              <w:top w:val="single" w:color="auto" w:sz="4" w:space="0"/>
              <w:left w:val="single" w:color="auto" w:sz="4" w:space="0"/>
              <w:bottom w:val="single" w:color="auto" w:sz="4" w:space="0"/>
              <w:right w:val="single" w:color="auto" w:sz="4" w:space="0"/>
            </w:tcBorders>
            <w:noWrap w:val="0"/>
            <w:vAlign w:val="top"/>
          </w:tcPr>
          <w:p w14:paraId="28933145">
            <w:pPr>
              <w:pStyle w:val="12"/>
              <w:widowControl w:val="0"/>
              <w:spacing w:line="360" w:lineRule="auto"/>
              <w:jc w:val="center"/>
              <w:rPr>
                <w:rStyle w:val="20"/>
                <w:rFonts w:ascii="Times New Roman" w:hAnsi="Times New Roman" w:eastAsia="宋体"/>
                <w:color w:val="auto"/>
                <w:kern w:val="2"/>
                <w:sz w:val="20"/>
                <w:szCs w:val="20"/>
                <w:highlight w:val="none"/>
                <w:lang w:val="en-US" w:eastAsia="zh-CN" w:bidi="ar-SA"/>
              </w:rPr>
            </w:pPr>
            <w:r>
              <w:rPr>
                <w:rStyle w:val="20"/>
                <w:rFonts w:hint="eastAsia" w:ascii="Times New Roman" w:hAnsi="Times New Roman" w:eastAsia="宋体"/>
                <w:color w:val="auto"/>
                <w:kern w:val="2"/>
                <w:sz w:val="20"/>
                <w:szCs w:val="20"/>
                <w:highlight w:val="none"/>
                <w:lang w:val="en-US" w:eastAsia="zh-CN" w:bidi="ar-SA"/>
              </w:rPr>
              <w:t>规格型号</w:t>
            </w:r>
          </w:p>
        </w:tc>
        <w:tc>
          <w:tcPr>
            <w:tcW w:w="720" w:type="dxa"/>
            <w:tcBorders>
              <w:top w:val="single" w:color="auto" w:sz="4" w:space="0"/>
              <w:left w:val="single" w:color="auto" w:sz="4" w:space="0"/>
              <w:bottom w:val="single" w:color="auto" w:sz="4" w:space="0"/>
              <w:right w:val="single" w:color="auto" w:sz="4" w:space="0"/>
            </w:tcBorders>
            <w:noWrap w:val="0"/>
            <w:vAlign w:val="top"/>
          </w:tcPr>
          <w:p w14:paraId="15D25868">
            <w:pPr>
              <w:pStyle w:val="8"/>
              <w:widowControl w:val="0"/>
              <w:spacing w:line="360" w:lineRule="auto"/>
              <w:jc w:val="both"/>
              <w:rPr>
                <w:rStyle w:val="20"/>
                <w:rFonts w:ascii="Times New Roman"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单位</w:t>
            </w:r>
          </w:p>
        </w:tc>
        <w:tc>
          <w:tcPr>
            <w:tcW w:w="720" w:type="dxa"/>
            <w:tcBorders>
              <w:top w:val="single" w:color="auto" w:sz="4" w:space="0"/>
              <w:left w:val="single" w:color="auto" w:sz="4" w:space="0"/>
              <w:bottom w:val="single" w:color="auto" w:sz="4" w:space="0"/>
              <w:right w:val="single" w:color="auto" w:sz="4" w:space="0"/>
            </w:tcBorders>
            <w:noWrap w:val="0"/>
            <w:vAlign w:val="top"/>
          </w:tcPr>
          <w:p w14:paraId="3C2BA3C8">
            <w:pPr>
              <w:pStyle w:val="8"/>
              <w:widowControl w:val="0"/>
              <w:spacing w:line="360" w:lineRule="auto"/>
              <w:jc w:val="both"/>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数量</w:t>
            </w:r>
          </w:p>
        </w:tc>
        <w:tc>
          <w:tcPr>
            <w:tcW w:w="720" w:type="dxa"/>
            <w:tcBorders>
              <w:top w:val="single" w:color="auto" w:sz="4" w:space="0"/>
              <w:left w:val="single" w:color="auto" w:sz="4" w:space="0"/>
              <w:bottom w:val="single" w:color="auto" w:sz="4" w:space="0"/>
              <w:right w:val="single" w:color="auto" w:sz="4" w:space="0"/>
            </w:tcBorders>
            <w:noWrap w:val="0"/>
            <w:vAlign w:val="top"/>
          </w:tcPr>
          <w:p w14:paraId="2BF237A9">
            <w:pPr>
              <w:pStyle w:val="8"/>
              <w:widowControl w:val="0"/>
              <w:spacing w:line="360" w:lineRule="auto"/>
              <w:jc w:val="both"/>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产地</w:t>
            </w:r>
          </w:p>
        </w:tc>
        <w:tc>
          <w:tcPr>
            <w:tcW w:w="1200" w:type="dxa"/>
            <w:tcBorders>
              <w:top w:val="single" w:color="auto" w:sz="4" w:space="0"/>
              <w:left w:val="single" w:color="auto" w:sz="4" w:space="0"/>
              <w:bottom w:val="single" w:color="auto" w:sz="4" w:space="0"/>
              <w:right w:val="single" w:color="auto" w:sz="4" w:space="0"/>
            </w:tcBorders>
            <w:noWrap w:val="0"/>
            <w:vAlign w:val="top"/>
          </w:tcPr>
          <w:p w14:paraId="220887B7">
            <w:pPr>
              <w:pStyle w:val="8"/>
              <w:widowControl w:val="0"/>
              <w:spacing w:line="360" w:lineRule="auto"/>
              <w:jc w:val="both"/>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生产厂家</w:t>
            </w:r>
          </w:p>
        </w:tc>
        <w:tc>
          <w:tcPr>
            <w:tcW w:w="1255" w:type="dxa"/>
            <w:tcBorders>
              <w:top w:val="single" w:color="auto" w:sz="4" w:space="0"/>
              <w:left w:val="single" w:color="auto" w:sz="4" w:space="0"/>
              <w:bottom w:val="single" w:color="auto" w:sz="4" w:space="0"/>
              <w:right w:val="single" w:color="auto" w:sz="4" w:space="0"/>
            </w:tcBorders>
            <w:noWrap w:val="0"/>
            <w:vAlign w:val="top"/>
          </w:tcPr>
          <w:p w14:paraId="4328D8D7">
            <w:pPr>
              <w:pStyle w:val="8"/>
              <w:widowControl w:val="0"/>
              <w:spacing w:line="360" w:lineRule="auto"/>
              <w:jc w:val="both"/>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备注</w:t>
            </w:r>
          </w:p>
        </w:tc>
      </w:tr>
      <w:tr w14:paraId="035EC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14:paraId="10818A13">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ascii="Calibri" w:hAnsi="Calibri" w:eastAsia="宋体"/>
                <w:color w:val="auto"/>
                <w:kern w:val="2"/>
                <w:sz w:val="21"/>
                <w:szCs w:val="22"/>
                <w:highlight w:val="none"/>
                <w:lang w:val="en-US" w:eastAsia="zh-CN" w:bidi="ar-SA"/>
              </w:rPr>
              <w:t>1</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4134BE40">
            <w:pPr>
              <w:pStyle w:val="12"/>
              <w:widowControl w:val="0"/>
              <w:spacing w:line="360" w:lineRule="auto"/>
              <w:jc w:val="both"/>
              <w:rPr>
                <w:rStyle w:val="20"/>
                <w:rFonts w:ascii="Times New Roman" w:hAnsi="Times New Roman" w:eastAsia="宋体"/>
                <w:i/>
                <w:color w:val="auto"/>
                <w:kern w:val="2"/>
                <w:sz w:val="20"/>
                <w:szCs w:val="20"/>
                <w:highlight w:val="none"/>
                <w:u w:val="singl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591EF6B9">
            <w:pPr>
              <w:pStyle w:val="8"/>
              <w:widowControl w:val="0"/>
              <w:spacing w:line="360" w:lineRule="auto"/>
              <w:jc w:val="both"/>
              <w:rPr>
                <w:rStyle w:val="20"/>
                <w:rFonts w:ascii="Times New Roman" w:hAnsi="Calibri" w:eastAsia="宋体"/>
                <w:i/>
                <w:color w:val="auto"/>
                <w:kern w:val="2"/>
                <w:sz w:val="21"/>
                <w:szCs w:val="22"/>
                <w:highlight w:val="none"/>
                <w:u w:val="singl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541A15B3">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73420B2E">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3FF0535C">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758A8FD">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1255" w:type="dxa"/>
            <w:tcBorders>
              <w:top w:val="single" w:color="auto" w:sz="4" w:space="0"/>
              <w:left w:val="single" w:color="auto" w:sz="4" w:space="0"/>
              <w:bottom w:val="single" w:color="auto" w:sz="4" w:space="0"/>
              <w:right w:val="single" w:color="auto" w:sz="4" w:space="0"/>
            </w:tcBorders>
            <w:noWrap w:val="0"/>
            <w:vAlign w:val="top"/>
          </w:tcPr>
          <w:p w14:paraId="09307DF7">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r>
      <w:tr w14:paraId="5B6F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14:paraId="47257A12">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ascii="Calibri" w:hAnsi="Calibri" w:eastAsia="宋体"/>
                <w:color w:val="auto"/>
                <w:kern w:val="2"/>
                <w:sz w:val="21"/>
                <w:szCs w:val="22"/>
                <w:highlight w:val="none"/>
                <w:lang w:val="en-US" w:eastAsia="zh-CN" w:bidi="ar-SA"/>
              </w:rPr>
              <w:t>2</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7F50A0AC">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168CB360">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377554D6">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2BDF05EE">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4802E56B">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06887E51">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1255" w:type="dxa"/>
            <w:tcBorders>
              <w:top w:val="single" w:color="auto" w:sz="4" w:space="0"/>
              <w:left w:val="single" w:color="auto" w:sz="4" w:space="0"/>
              <w:bottom w:val="single" w:color="auto" w:sz="4" w:space="0"/>
              <w:right w:val="single" w:color="auto" w:sz="4" w:space="0"/>
            </w:tcBorders>
            <w:noWrap w:val="0"/>
            <w:vAlign w:val="top"/>
          </w:tcPr>
          <w:p w14:paraId="1306744C">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r>
      <w:tr w14:paraId="45339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14:paraId="32D8F42D">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ascii="Calibri" w:hAnsi="Calibri" w:eastAsia="宋体"/>
                <w:color w:val="auto"/>
                <w:kern w:val="2"/>
                <w:sz w:val="21"/>
                <w:szCs w:val="22"/>
                <w:highlight w:val="none"/>
                <w:lang w:val="en-US" w:eastAsia="zh-CN" w:bidi="ar-SA"/>
              </w:rPr>
              <w:t>3</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0817030E">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2476A8D3">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36D9D87F">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549CC113">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3EE3E9B6">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45F4B9D3">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255" w:type="dxa"/>
            <w:tcBorders>
              <w:top w:val="single" w:color="auto" w:sz="4" w:space="0"/>
              <w:left w:val="single" w:color="auto" w:sz="4" w:space="0"/>
              <w:bottom w:val="single" w:color="auto" w:sz="4" w:space="0"/>
              <w:right w:val="single" w:color="auto" w:sz="4" w:space="0"/>
            </w:tcBorders>
            <w:noWrap w:val="0"/>
            <w:vAlign w:val="top"/>
          </w:tcPr>
          <w:p w14:paraId="0CF9F580">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r>
    </w:tbl>
    <w:p w14:paraId="1F2D89D9">
      <w:pPr>
        <w:pStyle w:val="8"/>
        <w:snapToGrid w:val="0"/>
        <w:spacing w:before="156" w:line="360" w:lineRule="auto"/>
        <w:rPr>
          <w:rStyle w:val="20"/>
          <w:rFonts w:ascii="Times New Roman" w:hAnsi="Times New Roman"/>
          <w:color w:val="auto"/>
          <w:highlight w:val="none"/>
        </w:rPr>
      </w:pPr>
      <w:r>
        <w:rPr>
          <w:rStyle w:val="20"/>
          <w:rFonts w:hint="eastAsia"/>
          <w:color w:val="auto"/>
          <w:highlight w:val="none"/>
        </w:rPr>
        <w:t>表</w:t>
      </w:r>
      <w:r>
        <w:rPr>
          <w:rStyle w:val="20"/>
          <w:color w:val="auto"/>
          <w:highlight w:val="none"/>
        </w:rPr>
        <w:t xml:space="preserve">3                      </w:t>
      </w:r>
      <w:r>
        <w:rPr>
          <w:rStyle w:val="20"/>
          <w:rFonts w:hint="eastAsia"/>
          <w:color w:val="auto"/>
          <w:highlight w:val="none"/>
        </w:rPr>
        <w:t>三年生产运行用备品备件</w:t>
      </w:r>
    </w:p>
    <w:p w14:paraId="67B3C3DB">
      <w:pPr>
        <w:pStyle w:val="8"/>
        <w:snapToGrid w:val="0"/>
        <w:spacing w:before="156" w:line="360" w:lineRule="auto"/>
        <w:jc w:val="center"/>
        <w:rPr>
          <w:rStyle w:val="20"/>
          <w:color w:val="auto"/>
          <w:highlight w:val="none"/>
        </w:rPr>
      </w:pPr>
      <w:r>
        <w:rPr>
          <w:rStyle w:val="20"/>
          <w:rFonts w:hint="eastAsia"/>
          <w:color w:val="auto"/>
          <w:highlight w:val="none"/>
        </w:rPr>
        <w:t>（此次合同设备，不仅限于此，投标人填写，不计入投标总价）</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280"/>
        <w:gridCol w:w="1440"/>
        <w:gridCol w:w="720"/>
        <w:gridCol w:w="720"/>
        <w:gridCol w:w="720"/>
        <w:gridCol w:w="1200"/>
        <w:gridCol w:w="840"/>
      </w:tblGrid>
      <w:tr w14:paraId="0200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noWrap w:val="0"/>
            <w:vAlign w:val="center"/>
          </w:tcPr>
          <w:p w14:paraId="584C9C33">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序号</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0250B52F">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名称</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815F46C">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规格型号</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29D3DF54">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单位</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476BDB7C">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数量</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54C522A6">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产地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8EEF6A">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生产厂家</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2DE15E71">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备注</w:t>
            </w:r>
          </w:p>
        </w:tc>
      </w:tr>
      <w:tr w14:paraId="46DC6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14:paraId="0BB6C48D">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ascii="Calibri" w:hAnsi="Calibri" w:eastAsia="宋体"/>
                <w:color w:val="auto"/>
                <w:kern w:val="2"/>
                <w:sz w:val="21"/>
                <w:szCs w:val="22"/>
                <w:highlight w:val="none"/>
                <w:lang w:val="en-US" w:eastAsia="zh-CN" w:bidi="ar-SA"/>
              </w:rPr>
              <w:t>1</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31D9E467">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1CB62B79">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6FAF6B11">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5A66FBCD">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2F6A3026">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8C186A3">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4C3A4FD1">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r>
      <w:tr w14:paraId="11FE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14:paraId="705BF43D">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ascii="Calibri" w:hAnsi="Calibri" w:eastAsia="宋体"/>
                <w:color w:val="auto"/>
                <w:kern w:val="2"/>
                <w:sz w:val="21"/>
                <w:szCs w:val="22"/>
                <w:highlight w:val="none"/>
                <w:lang w:val="en-US" w:eastAsia="zh-CN" w:bidi="ar-SA"/>
              </w:rPr>
              <w:t>2</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538C44B0">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7B68AFC0">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4810C979">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1E2EA643">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23217B01">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2EF8C9A5">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2EEF9BF8">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r>
      <w:tr w14:paraId="34D9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14:paraId="172D06D9">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ascii="Calibri" w:hAnsi="Calibri" w:eastAsia="宋体"/>
                <w:color w:val="auto"/>
                <w:kern w:val="2"/>
                <w:sz w:val="21"/>
                <w:szCs w:val="22"/>
                <w:highlight w:val="none"/>
                <w:lang w:val="en-US" w:eastAsia="zh-CN" w:bidi="ar-SA"/>
              </w:rPr>
              <w:t>3</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33507EBB">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642CE6E">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07E49C07">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101E60DF">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7E192734">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6EA55FA">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2527C0E9">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r>
    </w:tbl>
    <w:p w14:paraId="32B88850">
      <w:pPr>
        <w:pStyle w:val="8"/>
        <w:spacing w:line="360" w:lineRule="auto"/>
        <w:rPr>
          <w:rStyle w:val="20"/>
          <w:rFonts w:hint="eastAsia" w:asciiTheme="minorEastAsia" w:hAnsiTheme="minorEastAsia" w:eastAsiaTheme="minorEastAsia" w:cstheme="minorEastAsia"/>
          <w:b/>
          <w:color w:val="auto"/>
          <w:sz w:val="24"/>
          <w:szCs w:val="24"/>
          <w:highlight w:val="none"/>
        </w:rPr>
      </w:pPr>
      <w:bookmarkStart w:id="172" w:name="_Toc173689304"/>
      <w:r>
        <w:rPr>
          <w:rStyle w:val="20"/>
          <w:rFonts w:hint="eastAsia" w:asciiTheme="minorEastAsia" w:hAnsiTheme="minorEastAsia" w:eastAsiaTheme="minorEastAsia" w:cstheme="minorEastAsia"/>
          <w:b/>
          <w:color w:val="auto"/>
          <w:sz w:val="24"/>
          <w:szCs w:val="24"/>
          <w:highlight w:val="none"/>
        </w:rPr>
        <w:t>2.3专用工具</w:t>
      </w:r>
      <w:bookmarkEnd w:id="172"/>
      <w:r>
        <w:rPr>
          <w:rStyle w:val="20"/>
          <w:rFonts w:hint="eastAsia" w:asciiTheme="minorEastAsia" w:hAnsiTheme="minorEastAsia" w:eastAsiaTheme="minorEastAsia" w:cstheme="minorEastAsia"/>
          <w:b/>
          <w:color w:val="auto"/>
          <w:sz w:val="24"/>
          <w:szCs w:val="24"/>
          <w:highlight w:val="none"/>
        </w:rPr>
        <w:t>：</w:t>
      </w:r>
    </w:p>
    <w:p w14:paraId="4C6F46F3">
      <w:pPr>
        <w:pStyle w:val="8"/>
        <w:snapToGrid w:val="0"/>
        <w:spacing w:line="360" w:lineRule="auto"/>
        <w:ind w:firstLine="405"/>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投标人应向招标人提供必要的专用工具，按表4格式要求提供详细的专用工具清单（注明零部件的名称、型号或规格、生产厂家等）。</w:t>
      </w:r>
    </w:p>
    <w:p w14:paraId="28E62A51">
      <w:pPr>
        <w:pStyle w:val="8"/>
        <w:snapToGrid w:val="0"/>
        <w:spacing w:before="156" w:line="360" w:lineRule="auto"/>
        <w:rPr>
          <w:rStyle w:val="20"/>
          <w:color w:val="auto"/>
          <w:highlight w:val="none"/>
        </w:rPr>
      </w:pPr>
      <w:r>
        <w:rPr>
          <w:rStyle w:val="20"/>
          <w:rFonts w:hint="eastAsia"/>
          <w:color w:val="auto"/>
          <w:highlight w:val="none"/>
        </w:rPr>
        <w:t>表</w:t>
      </w:r>
      <w:r>
        <w:rPr>
          <w:rStyle w:val="20"/>
          <w:color w:val="auto"/>
          <w:highlight w:val="none"/>
        </w:rPr>
        <w:t xml:space="preserve">4                          </w:t>
      </w:r>
      <w:r>
        <w:rPr>
          <w:rStyle w:val="20"/>
          <w:rFonts w:hint="eastAsia"/>
          <w:color w:val="auto"/>
          <w:highlight w:val="none"/>
        </w:rPr>
        <w:t>专用工具</w:t>
      </w:r>
    </w:p>
    <w:p w14:paraId="084B66B8">
      <w:pPr>
        <w:pStyle w:val="8"/>
        <w:snapToGrid w:val="0"/>
        <w:spacing w:before="156" w:line="360" w:lineRule="auto"/>
        <w:jc w:val="center"/>
        <w:rPr>
          <w:rStyle w:val="20"/>
          <w:color w:val="auto"/>
          <w:highlight w:val="none"/>
        </w:rPr>
      </w:pPr>
      <w:r>
        <w:rPr>
          <w:rStyle w:val="20"/>
          <w:rFonts w:hint="eastAsia"/>
          <w:color w:val="auto"/>
          <w:highlight w:val="none"/>
        </w:rPr>
        <w:t>（此次合同设备，不仅限于此，投标人填写，计入投标总价）</w:t>
      </w:r>
    </w:p>
    <w:tbl>
      <w:tblPr>
        <w:tblStyle w:val="19"/>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8"/>
        <w:gridCol w:w="2280"/>
        <w:gridCol w:w="1440"/>
        <w:gridCol w:w="720"/>
        <w:gridCol w:w="720"/>
        <w:gridCol w:w="720"/>
        <w:gridCol w:w="1260"/>
        <w:gridCol w:w="1440"/>
      </w:tblGrid>
      <w:tr w14:paraId="3432D4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68" w:hRule="atLeast"/>
        </w:trPr>
        <w:tc>
          <w:tcPr>
            <w:tcW w:w="628" w:type="dxa"/>
            <w:tcBorders>
              <w:top w:val="single" w:color="000000" w:sz="6" w:space="0"/>
              <w:left w:val="single" w:color="000000" w:sz="6" w:space="0"/>
              <w:bottom w:val="single" w:color="000000" w:sz="6" w:space="0"/>
              <w:right w:val="single" w:color="000000" w:sz="6" w:space="0"/>
            </w:tcBorders>
            <w:noWrap w:val="0"/>
            <w:vAlign w:val="center"/>
          </w:tcPr>
          <w:p w14:paraId="6112CB9E">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序号</w:t>
            </w:r>
          </w:p>
        </w:tc>
        <w:tc>
          <w:tcPr>
            <w:tcW w:w="2280" w:type="dxa"/>
            <w:tcBorders>
              <w:top w:val="single" w:color="000000" w:sz="6" w:space="0"/>
              <w:left w:val="single" w:color="000000" w:sz="6" w:space="0"/>
              <w:bottom w:val="single" w:color="000000" w:sz="6" w:space="0"/>
              <w:right w:val="single" w:color="000000" w:sz="6" w:space="0"/>
            </w:tcBorders>
            <w:noWrap w:val="0"/>
            <w:vAlign w:val="center"/>
          </w:tcPr>
          <w:p w14:paraId="002C051D">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名称</w:t>
            </w:r>
          </w:p>
        </w:tc>
        <w:tc>
          <w:tcPr>
            <w:tcW w:w="1440" w:type="dxa"/>
            <w:tcBorders>
              <w:top w:val="single" w:color="000000" w:sz="6" w:space="0"/>
              <w:left w:val="single" w:color="000000" w:sz="6" w:space="0"/>
              <w:bottom w:val="single" w:color="000000" w:sz="6" w:space="0"/>
              <w:right w:val="single" w:color="000000" w:sz="6" w:space="0"/>
            </w:tcBorders>
            <w:noWrap w:val="0"/>
            <w:vAlign w:val="center"/>
          </w:tcPr>
          <w:p w14:paraId="5B858BEF">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规格和型号</w:t>
            </w: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7990E5E0">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单位</w:t>
            </w: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71AF627D">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数量</w:t>
            </w: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02E52884">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产地</w:t>
            </w:r>
          </w:p>
        </w:tc>
        <w:tc>
          <w:tcPr>
            <w:tcW w:w="1260" w:type="dxa"/>
            <w:tcBorders>
              <w:top w:val="single" w:color="000000" w:sz="6" w:space="0"/>
              <w:left w:val="single" w:color="000000" w:sz="6" w:space="0"/>
              <w:bottom w:val="single" w:color="000000" w:sz="6" w:space="0"/>
              <w:right w:val="single" w:color="000000" w:sz="6" w:space="0"/>
            </w:tcBorders>
            <w:noWrap w:val="0"/>
            <w:vAlign w:val="center"/>
          </w:tcPr>
          <w:p w14:paraId="49F96EB0">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生产厂家</w:t>
            </w:r>
          </w:p>
        </w:tc>
        <w:tc>
          <w:tcPr>
            <w:tcW w:w="1440" w:type="dxa"/>
            <w:tcBorders>
              <w:top w:val="single" w:color="000000" w:sz="6" w:space="0"/>
              <w:left w:val="single" w:color="000000" w:sz="6" w:space="0"/>
              <w:bottom w:val="single" w:color="000000" w:sz="6" w:space="0"/>
              <w:right w:val="single" w:color="000000" w:sz="6" w:space="0"/>
            </w:tcBorders>
            <w:noWrap w:val="0"/>
            <w:vAlign w:val="center"/>
          </w:tcPr>
          <w:p w14:paraId="179515BD">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备注</w:t>
            </w:r>
          </w:p>
        </w:tc>
      </w:tr>
      <w:tr w14:paraId="6249E6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Borders>
              <w:top w:val="single" w:color="000000" w:sz="6" w:space="0"/>
              <w:left w:val="single" w:color="000000" w:sz="6" w:space="0"/>
              <w:bottom w:val="single" w:color="000000" w:sz="6" w:space="0"/>
              <w:right w:val="single" w:color="000000" w:sz="6" w:space="0"/>
            </w:tcBorders>
            <w:noWrap w:val="0"/>
            <w:vAlign w:val="center"/>
          </w:tcPr>
          <w:p w14:paraId="11967CED">
            <w:pPr>
              <w:pStyle w:val="46"/>
              <w:widowControl w:val="0"/>
              <w:autoSpaceDE w:val="0"/>
              <w:autoSpaceDN w:val="0"/>
              <w:adjustRightInd/>
              <w:spacing w:line="360" w:lineRule="auto"/>
              <w:jc w:val="both"/>
              <w:rPr>
                <w:rStyle w:val="20"/>
                <w:rFonts w:ascii="Times New Roman" w:hAnsi="宋体" w:eastAsia="宋体"/>
                <w:color w:val="auto"/>
                <w:spacing w:val="-20"/>
                <w:kern w:val="2"/>
                <w:sz w:val="28"/>
                <w:szCs w:val="20"/>
                <w:highlight w:val="none"/>
                <w:lang w:val="en-US" w:eastAsia="zh-CN" w:bidi="ar-SA"/>
              </w:rPr>
            </w:pPr>
            <w:r>
              <w:rPr>
                <w:rStyle w:val="20"/>
                <w:rFonts w:ascii="Times New Roman" w:hAnsi="宋体" w:eastAsia="宋体"/>
                <w:color w:val="auto"/>
                <w:spacing w:val="-20"/>
                <w:kern w:val="2"/>
                <w:sz w:val="28"/>
                <w:szCs w:val="20"/>
                <w:highlight w:val="none"/>
                <w:lang w:val="en-US" w:eastAsia="zh-CN" w:bidi="ar-SA"/>
              </w:rPr>
              <w:t>1</w:t>
            </w:r>
          </w:p>
        </w:tc>
        <w:tc>
          <w:tcPr>
            <w:tcW w:w="2280" w:type="dxa"/>
            <w:tcBorders>
              <w:top w:val="single" w:color="000000" w:sz="6" w:space="0"/>
              <w:left w:val="single" w:color="000000" w:sz="6" w:space="0"/>
              <w:bottom w:val="single" w:color="000000" w:sz="6" w:space="0"/>
              <w:right w:val="single" w:color="000000" w:sz="6" w:space="0"/>
            </w:tcBorders>
            <w:noWrap w:val="0"/>
            <w:vAlign w:val="center"/>
          </w:tcPr>
          <w:p w14:paraId="248B13B4">
            <w:pPr>
              <w:pStyle w:val="8"/>
              <w:widowControl w:val="0"/>
              <w:spacing w:line="360" w:lineRule="auto"/>
              <w:jc w:val="both"/>
              <w:rPr>
                <w:rStyle w:val="20"/>
                <w:rFonts w:ascii="Times New Roman" w:hAnsi="Calibri" w:eastAsia="宋体"/>
                <w:color w:val="auto"/>
                <w:kern w:val="2"/>
                <w:sz w:val="21"/>
                <w:szCs w:val="22"/>
                <w:highlight w:val="none"/>
                <w:lang w:val="en-US" w:eastAsia="zh-CN" w:bidi="ar-SA"/>
              </w:rPr>
            </w:pPr>
          </w:p>
        </w:tc>
        <w:tc>
          <w:tcPr>
            <w:tcW w:w="1440" w:type="dxa"/>
            <w:tcBorders>
              <w:top w:val="single" w:color="000000" w:sz="6" w:space="0"/>
              <w:left w:val="single" w:color="000000" w:sz="6" w:space="0"/>
              <w:bottom w:val="single" w:color="000000" w:sz="6" w:space="0"/>
              <w:right w:val="single" w:color="000000" w:sz="6" w:space="0"/>
            </w:tcBorders>
            <w:noWrap w:val="0"/>
            <w:vAlign w:val="center"/>
          </w:tcPr>
          <w:p w14:paraId="1E713474">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5CB84267">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4CD3FB56">
            <w:pPr>
              <w:pStyle w:val="46"/>
              <w:widowControl w:val="0"/>
              <w:autoSpaceDE w:val="0"/>
              <w:autoSpaceDN w:val="0"/>
              <w:adjustRightInd/>
              <w:spacing w:line="360" w:lineRule="auto"/>
              <w:jc w:val="both"/>
              <w:rPr>
                <w:rStyle w:val="20"/>
                <w:rFonts w:ascii="Times New Roman" w:hAnsi="宋体" w:eastAsia="宋体"/>
                <w:color w:val="auto"/>
                <w:spacing w:val="-20"/>
                <w:kern w:val="2"/>
                <w:sz w:val="28"/>
                <w:szCs w:val="20"/>
                <w:highlight w:val="none"/>
                <w:lang w:val="en-US" w:eastAsia="zh-CN" w:bidi="ar-SA"/>
              </w:rPr>
            </w:pP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6163ABAE">
            <w:pPr>
              <w:pStyle w:val="8"/>
              <w:widowControl w:val="0"/>
              <w:spacing w:line="360" w:lineRule="auto"/>
              <w:jc w:val="both"/>
              <w:rPr>
                <w:rStyle w:val="20"/>
                <w:rFonts w:ascii="Times New Roman" w:hAnsi="Calibri" w:eastAsia="宋体"/>
                <w:color w:val="auto"/>
                <w:kern w:val="2"/>
                <w:sz w:val="21"/>
                <w:szCs w:val="22"/>
                <w:highlight w:val="none"/>
                <w:lang w:val="en-US" w:eastAsia="zh-CN" w:bidi="ar-SA"/>
              </w:rPr>
            </w:pPr>
          </w:p>
        </w:tc>
        <w:tc>
          <w:tcPr>
            <w:tcW w:w="1260" w:type="dxa"/>
            <w:tcBorders>
              <w:top w:val="single" w:color="000000" w:sz="6" w:space="0"/>
              <w:left w:val="single" w:color="000000" w:sz="6" w:space="0"/>
              <w:bottom w:val="single" w:color="000000" w:sz="6" w:space="0"/>
              <w:right w:val="single" w:color="000000" w:sz="6" w:space="0"/>
            </w:tcBorders>
            <w:noWrap w:val="0"/>
            <w:vAlign w:val="center"/>
          </w:tcPr>
          <w:p w14:paraId="41BFEA90">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440" w:type="dxa"/>
            <w:tcBorders>
              <w:top w:val="single" w:color="000000" w:sz="6" w:space="0"/>
              <w:left w:val="single" w:color="000000" w:sz="6" w:space="0"/>
              <w:bottom w:val="single" w:color="000000" w:sz="6" w:space="0"/>
              <w:right w:val="single" w:color="000000" w:sz="6" w:space="0"/>
            </w:tcBorders>
            <w:noWrap w:val="0"/>
            <w:vAlign w:val="center"/>
          </w:tcPr>
          <w:p w14:paraId="2CD20575">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r>
      <w:tr w14:paraId="60F105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Borders>
              <w:top w:val="single" w:color="000000" w:sz="6" w:space="0"/>
              <w:left w:val="single" w:color="000000" w:sz="6" w:space="0"/>
              <w:bottom w:val="single" w:color="000000" w:sz="6" w:space="0"/>
              <w:right w:val="single" w:color="000000" w:sz="6" w:space="0"/>
            </w:tcBorders>
            <w:noWrap w:val="0"/>
            <w:vAlign w:val="center"/>
          </w:tcPr>
          <w:p w14:paraId="5385FE13">
            <w:pPr>
              <w:pStyle w:val="46"/>
              <w:widowControl w:val="0"/>
              <w:autoSpaceDE w:val="0"/>
              <w:autoSpaceDN w:val="0"/>
              <w:adjustRightInd/>
              <w:spacing w:line="360" w:lineRule="auto"/>
              <w:jc w:val="both"/>
              <w:rPr>
                <w:rStyle w:val="20"/>
                <w:rFonts w:ascii="Times New Roman" w:hAnsi="宋体" w:eastAsia="宋体"/>
                <w:color w:val="auto"/>
                <w:spacing w:val="-20"/>
                <w:kern w:val="2"/>
                <w:sz w:val="28"/>
                <w:szCs w:val="20"/>
                <w:highlight w:val="none"/>
                <w:lang w:val="en-US" w:eastAsia="zh-CN" w:bidi="ar-SA"/>
              </w:rPr>
            </w:pPr>
            <w:r>
              <w:rPr>
                <w:rStyle w:val="20"/>
                <w:rFonts w:ascii="Times New Roman" w:hAnsi="宋体" w:eastAsia="宋体"/>
                <w:color w:val="auto"/>
                <w:spacing w:val="-20"/>
                <w:kern w:val="2"/>
                <w:sz w:val="28"/>
                <w:szCs w:val="20"/>
                <w:highlight w:val="none"/>
                <w:lang w:val="en-US" w:eastAsia="zh-CN" w:bidi="ar-SA"/>
              </w:rPr>
              <w:t>2</w:t>
            </w:r>
          </w:p>
        </w:tc>
        <w:tc>
          <w:tcPr>
            <w:tcW w:w="2280" w:type="dxa"/>
            <w:tcBorders>
              <w:top w:val="single" w:color="000000" w:sz="6" w:space="0"/>
              <w:left w:val="single" w:color="000000" w:sz="6" w:space="0"/>
              <w:bottom w:val="single" w:color="000000" w:sz="6" w:space="0"/>
              <w:right w:val="single" w:color="000000" w:sz="6" w:space="0"/>
            </w:tcBorders>
            <w:noWrap w:val="0"/>
            <w:vAlign w:val="center"/>
          </w:tcPr>
          <w:p w14:paraId="543690C1">
            <w:pPr>
              <w:pStyle w:val="8"/>
              <w:widowControl w:val="0"/>
              <w:spacing w:line="360" w:lineRule="auto"/>
              <w:jc w:val="both"/>
              <w:rPr>
                <w:rStyle w:val="20"/>
                <w:rFonts w:ascii="Times New Roman" w:hAnsi="Calibri" w:eastAsia="宋体"/>
                <w:color w:val="auto"/>
                <w:kern w:val="2"/>
                <w:sz w:val="21"/>
                <w:szCs w:val="22"/>
                <w:highlight w:val="none"/>
                <w:lang w:val="en-US" w:eastAsia="zh-CN" w:bidi="ar-SA"/>
              </w:rPr>
            </w:pPr>
          </w:p>
        </w:tc>
        <w:tc>
          <w:tcPr>
            <w:tcW w:w="1440" w:type="dxa"/>
            <w:tcBorders>
              <w:top w:val="single" w:color="000000" w:sz="6" w:space="0"/>
              <w:left w:val="single" w:color="000000" w:sz="6" w:space="0"/>
              <w:bottom w:val="single" w:color="000000" w:sz="6" w:space="0"/>
              <w:right w:val="single" w:color="000000" w:sz="6" w:space="0"/>
            </w:tcBorders>
            <w:noWrap w:val="0"/>
            <w:vAlign w:val="center"/>
          </w:tcPr>
          <w:p w14:paraId="27F3DB4B">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72C53650">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60726BFC">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73D1A2FD">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260" w:type="dxa"/>
            <w:tcBorders>
              <w:top w:val="single" w:color="000000" w:sz="6" w:space="0"/>
              <w:left w:val="single" w:color="000000" w:sz="6" w:space="0"/>
              <w:bottom w:val="single" w:color="000000" w:sz="6" w:space="0"/>
              <w:right w:val="single" w:color="000000" w:sz="6" w:space="0"/>
            </w:tcBorders>
            <w:noWrap w:val="0"/>
            <w:vAlign w:val="center"/>
          </w:tcPr>
          <w:p w14:paraId="02300892">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440" w:type="dxa"/>
            <w:tcBorders>
              <w:top w:val="single" w:color="000000" w:sz="6" w:space="0"/>
              <w:left w:val="single" w:color="000000" w:sz="6" w:space="0"/>
              <w:bottom w:val="single" w:color="000000" w:sz="6" w:space="0"/>
              <w:right w:val="single" w:color="000000" w:sz="6" w:space="0"/>
            </w:tcBorders>
            <w:noWrap w:val="0"/>
            <w:vAlign w:val="center"/>
          </w:tcPr>
          <w:p w14:paraId="0001318C">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r>
      <w:tr w14:paraId="72B35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Borders>
              <w:top w:val="single" w:color="000000" w:sz="6" w:space="0"/>
              <w:left w:val="single" w:color="000000" w:sz="6" w:space="0"/>
              <w:bottom w:val="single" w:color="000000" w:sz="6" w:space="0"/>
              <w:right w:val="single" w:color="000000" w:sz="6" w:space="0"/>
            </w:tcBorders>
            <w:noWrap w:val="0"/>
            <w:vAlign w:val="center"/>
          </w:tcPr>
          <w:p w14:paraId="7F3D092A">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ascii="Calibri" w:hAnsi="Calibri" w:eastAsia="宋体"/>
                <w:color w:val="auto"/>
                <w:kern w:val="2"/>
                <w:sz w:val="21"/>
                <w:szCs w:val="22"/>
                <w:highlight w:val="none"/>
                <w:lang w:val="en-US" w:eastAsia="zh-CN" w:bidi="ar-SA"/>
              </w:rPr>
              <w:t>3</w:t>
            </w:r>
          </w:p>
        </w:tc>
        <w:tc>
          <w:tcPr>
            <w:tcW w:w="2280" w:type="dxa"/>
            <w:tcBorders>
              <w:top w:val="single" w:color="000000" w:sz="6" w:space="0"/>
              <w:left w:val="single" w:color="000000" w:sz="6" w:space="0"/>
              <w:bottom w:val="single" w:color="000000" w:sz="6" w:space="0"/>
              <w:right w:val="single" w:color="000000" w:sz="6" w:space="0"/>
            </w:tcBorders>
            <w:noWrap w:val="0"/>
            <w:vAlign w:val="center"/>
          </w:tcPr>
          <w:p w14:paraId="45ED6094">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1440" w:type="dxa"/>
            <w:tcBorders>
              <w:top w:val="single" w:color="000000" w:sz="6" w:space="0"/>
              <w:left w:val="single" w:color="000000" w:sz="6" w:space="0"/>
              <w:bottom w:val="single" w:color="000000" w:sz="6" w:space="0"/>
              <w:right w:val="single" w:color="000000" w:sz="6" w:space="0"/>
            </w:tcBorders>
            <w:noWrap w:val="0"/>
            <w:vAlign w:val="center"/>
          </w:tcPr>
          <w:p w14:paraId="7CCF50E5">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16AAF368">
            <w:pPr>
              <w:pStyle w:val="8"/>
              <w:widowControl w:val="0"/>
              <w:spacing w:line="360" w:lineRule="auto"/>
              <w:jc w:val="center"/>
              <w:rPr>
                <w:rStyle w:val="20"/>
                <w:rFonts w:ascii="Calibri" w:hAnsi="Calibri" w:eastAsia="宋体"/>
                <w:i/>
                <w:color w:val="auto"/>
                <w:kern w:val="2"/>
                <w:sz w:val="21"/>
                <w:szCs w:val="22"/>
                <w:highlight w:val="none"/>
                <w:u w:val="single"/>
                <w:lang w:val="en-US" w:eastAsia="zh-CN" w:bidi="ar-SA"/>
              </w:rPr>
            </w:pP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3CB4E4BB">
            <w:pPr>
              <w:pStyle w:val="8"/>
              <w:widowControl w:val="0"/>
              <w:spacing w:line="360" w:lineRule="auto"/>
              <w:jc w:val="center"/>
              <w:rPr>
                <w:rStyle w:val="20"/>
                <w:rFonts w:ascii="Calibri" w:hAnsi="Calibri" w:eastAsia="宋体"/>
                <w:i/>
                <w:color w:val="auto"/>
                <w:kern w:val="2"/>
                <w:sz w:val="21"/>
                <w:szCs w:val="22"/>
                <w:highlight w:val="none"/>
                <w:u w:val="single"/>
                <w:lang w:val="en-US" w:eastAsia="zh-CN" w:bidi="ar-SA"/>
              </w:rPr>
            </w:pPr>
          </w:p>
        </w:tc>
        <w:tc>
          <w:tcPr>
            <w:tcW w:w="720" w:type="dxa"/>
            <w:tcBorders>
              <w:top w:val="single" w:color="000000" w:sz="6" w:space="0"/>
              <w:left w:val="single" w:color="000000" w:sz="6" w:space="0"/>
              <w:bottom w:val="single" w:color="000000" w:sz="6" w:space="0"/>
              <w:right w:val="single" w:color="000000" w:sz="6" w:space="0"/>
            </w:tcBorders>
            <w:noWrap w:val="0"/>
            <w:vAlign w:val="center"/>
          </w:tcPr>
          <w:p w14:paraId="63873CF1">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1260" w:type="dxa"/>
            <w:tcBorders>
              <w:top w:val="single" w:color="000000" w:sz="6" w:space="0"/>
              <w:left w:val="single" w:color="000000" w:sz="6" w:space="0"/>
              <w:bottom w:val="single" w:color="000000" w:sz="6" w:space="0"/>
              <w:right w:val="single" w:color="000000" w:sz="6" w:space="0"/>
            </w:tcBorders>
            <w:noWrap w:val="0"/>
            <w:vAlign w:val="center"/>
          </w:tcPr>
          <w:p w14:paraId="3DBB8ADC">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c>
          <w:tcPr>
            <w:tcW w:w="1440" w:type="dxa"/>
            <w:tcBorders>
              <w:top w:val="single" w:color="000000" w:sz="6" w:space="0"/>
              <w:left w:val="single" w:color="000000" w:sz="6" w:space="0"/>
              <w:bottom w:val="single" w:color="000000" w:sz="6" w:space="0"/>
              <w:right w:val="single" w:color="000000" w:sz="6" w:space="0"/>
            </w:tcBorders>
            <w:noWrap w:val="0"/>
            <w:vAlign w:val="center"/>
          </w:tcPr>
          <w:p w14:paraId="430D9D4B">
            <w:pPr>
              <w:pStyle w:val="8"/>
              <w:widowControl w:val="0"/>
              <w:spacing w:line="360" w:lineRule="auto"/>
              <w:jc w:val="both"/>
              <w:rPr>
                <w:rStyle w:val="20"/>
                <w:rFonts w:ascii="Calibri" w:hAnsi="Calibri" w:eastAsia="宋体"/>
                <w:i/>
                <w:color w:val="auto"/>
                <w:kern w:val="2"/>
                <w:sz w:val="21"/>
                <w:szCs w:val="22"/>
                <w:highlight w:val="none"/>
                <w:u w:val="single"/>
                <w:lang w:val="en-US" w:eastAsia="zh-CN" w:bidi="ar-SA"/>
              </w:rPr>
            </w:pPr>
          </w:p>
        </w:tc>
      </w:tr>
    </w:tbl>
    <w:p w14:paraId="0538E8D5">
      <w:pPr>
        <w:pStyle w:val="8"/>
        <w:spacing w:line="360" w:lineRule="auto"/>
        <w:rPr>
          <w:rStyle w:val="20"/>
          <w:rFonts w:hint="eastAsia" w:asciiTheme="minorEastAsia" w:hAnsiTheme="minorEastAsia" w:eastAsiaTheme="minorEastAsia" w:cstheme="minorEastAsia"/>
          <w:b/>
          <w:color w:val="auto"/>
          <w:sz w:val="24"/>
          <w:szCs w:val="24"/>
          <w:highlight w:val="none"/>
        </w:rPr>
      </w:pPr>
      <w:r>
        <w:rPr>
          <w:rStyle w:val="20"/>
          <w:rFonts w:hint="eastAsia" w:asciiTheme="minorEastAsia" w:hAnsiTheme="minorEastAsia" w:eastAsiaTheme="minorEastAsia" w:cstheme="minorEastAsia"/>
          <w:b/>
          <w:color w:val="auto"/>
          <w:sz w:val="24"/>
          <w:szCs w:val="24"/>
          <w:highlight w:val="none"/>
        </w:rPr>
        <w:t>2.4 服务范围</w:t>
      </w:r>
    </w:p>
    <w:p w14:paraId="72D2A148">
      <w:pPr>
        <w:pStyle w:val="8"/>
        <w:spacing w:line="360" w:lineRule="auto"/>
        <w:rPr>
          <w:rStyle w:val="20"/>
          <w:rFonts w:hint="eastAsia" w:asciiTheme="minorEastAsia" w:hAnsiTheme="minorEastAsia" w:eastAsiaTheme="minorEastAsia" w:cstheme="minorEastAsia"/>
          <w:b/>
          <w:color w:val="auto"/>
          <w:sz w:val="24"/>
          <w:szCs w:val="24"/>
          <w:highlight w:val="none"/>
        </w:rPr>
      </w:pPr>
      <w:r>
        <w:rPr>
          <w:rStyle w:val="20"/>
          <w:rFonts w:hint="eastAsia" w:asciiTheme="minorEastAsia" w:hAnsiTheme="minorEastAsia" w:eastAsiaTheme="minorEastAsia" w:cstheme="minorEastAsia"/>
          <w:b/>
          <w:color w:val="auto"/>
          <w:sz w:val="24"/>
          <w:szCs w:val="24"/>
          <w:highlight w:val="none"/>
        </w:rPr>
        <w:t xml:space="preserve">    </w:t>
      </w:r>
      <w:r>
        <w:rPr>
          <w:rStyle w:val="20"/>
          <w:rFonts w:hint="eastAsia" w:asciiTheme="minorEastAsia" w:hAnsiTheme="minorEastAsia" w:eastAsiaTheme="minorEastAsia" w:cstheme="minorEastAsia"/>
          <w:color w:val="auto"/>
          <w:sz w:val="24"/>
          <w:szCs w:val="24"/>
          <w:highlight w:val="none"/>
        </w:rPr>
        <w:t>本供货范围</w:t>
      </w:r>
      <w:r>
        <w:rPr>
          <w:rStyle w:val="20"/>
          <w:rFonts w:hint="eastAsia" w:asciiTheme="minorEastAsia" w:hAnsiTheme="minorEastAsia" w:eastAsiaTheme="minorEastAsia" w:cstheme="minorEastAsia"/>
          <w:color w:val="auto"/>
          <w:kern w:val="0"/>
          <w:sz w:val="24"/>
          <w:szCs w:val="24"/>
          <w:highlight w:val="none"/>
        </w:rPr>
        <w:t>包括本次电能量采集装置双主冗余系统电能量采集装置设备及相关配件的设计、供货、安装、接线、调试。</w:t>
      </w:r>
    </w:p>
    <w:p w14:paraId="42A6AD01">
      <w:pPr>
        <w:pStyle w:val="38"/>
        <w:keepNext/>
        <w:keepLines/>
        <w:pageBreakBefore w:val="0"/>
        <w:widowControl w:val="0"/>
        <w:kinsoku/>
        <w:wordWrap/>
        <w:overflowPunct/>
        <w:topLinePunct w:val="0"/>
        <w:autoSpaceDE/>
        <w:autoSpaceDN/>
        <w:bidi w:val="0"/>
        <w:adjustRightInd/>
        <w:snapToGrid/>
        <w:spacing w:before="0" w:after="0" w:line="360" w:lineRule="auto"/>
        <w:textAlignment w:val="auto"/>
        <w:rPr>
          <w:rStyle w:val="20"/>
          <w:rFonts w:hint="eastAsia" w:asciiTheme="minorEastAsia" w:hAnsiTheme="minorEastAsia" w:eastAsiaTheme="minorEastAsia" w:cstheme="minorEastAsia"/>
          <w:b/>
          <w:bCs/>
          <w:color w:val="auto"/>
          <w:sz w:val="30"/>
          <w:szCs w:val="30"/>
          <w:highlight w:val="none"/>
        </w:rPr>
      </w:pPr>
      <w:r>
        <w:rPr>
          <w:rStyle w:val="20"/>
          <w:rFonts w:hint="eastAsia" w:ascii="宋体"/>
          <w:b/>
          <w:color w:val="auto"/>
          <w:sz w:val="30"/>
          <w:szCs w:val="30"/>
          <w:highlight w:val="none"/>
        </w:rPr>
        <w:br w:type="page"/>
      </w:r>
      <w:bookmarkStart w:id="173" w:name="_Toc96238084"/>
      <w:bookmarkStart w:id="174" w:name="_Toc60567004"/>
      <w:bookmarkStart w:id="175" w:name="_Toc64705877"/>
      <w:bookmarkStart w:id="176" w:name="_Toc18813692"/>
      <w:bookmarkStart w:id="177" w:name="_Toc4986"/>
      <w:bookmarkStart w:id="178" w:name="_Toc30839"/>
      <w:bookmarkStart w:id="179" w:name="_Toc15019"/>
      <w:bookmarkStart w:id="180" w:name="_Toc20155"/>
      <w:bookmarkStart w:id="181" w:name="_Toc57640862"/>
      <w:bookmarkStart w:id="182" w:name="_Toc21656"/>
      <w:bookmarkStart w:id="183" w:name="_Toc7820"/>
      <w:r>
        <w:rPr>
          <w:rStyle w:val="20"/>
          <w:rFonts w:hint="eastAsia" w:asciiTheme="minorEastAsia" w:hAnsiTheme="minorEastAsia" w:eastAsiaTheme="minorEastAsia" w:cstheme="minorEastAsia"/>
          <w:b/>
          <w:bCs/>
          <w:color w:val="auto"/>
          <w:sz w:val="30"/>
          <w:szCs w:val="30"/>
          <w:highlight w:val="none"/>
        </w:rPr>
        <w:t>附件3 技术</w:t>
      </w:r>
      <w:bookmarkEnd w:id="173"/>
      <w:bookmarkEnd w:id="174"/>
      <w:bookmarkEnd w:id="175"/>
      <w:bookmarkEnd w:id="176"/>
      <w:r>
        <w:rPr>
          <w:rStyle w:val="20"/>
          <w:rFonts w:hint="eastAsia" w:asciiTheme="minorEastAsia" w:hAnsiTheme="minorEastAsia" w:eastAsiaTheme="minorEastAsia" w:cstheme="minorEastAsia"/>
          <w:b/>
          <w:bCs/>
          <w:color w:val="auto"/>
          <w:sz w:val="30"/>
          <w:szCs w:val="30"/>
          <w:highlight w:val="none"/>
        </w:rPr>
        <w:t>资料</w:t>
      </w:r>
      <w:r>
        <w:rPr>
          <w:rStyle w:val="20"/>
          <w:rFonts w:hint="eastAsia" w:asciiTheme="minorEastAsia" w:hAnsiTheme="minorEastAsia" w:eastAsiaTheme="minorEastAsia" w:cstheme="minorEastAsia"/>
          <w:b/>
          <w:bCs/>
          <w:color w:val="auto"/>
          <w:sz w:val="30"/>
          <w:szCs w:val="30"/>
          <w:highlight w:val="none"/>
          <w:lang w:val="en-US" w:eastAsia="zh-CN"/>
        </w:rPr>
        <w:t>和</w:t>
      </w:r>
      <w:r>
        <w:rPr>
          <w:rStyle w:val="20"/>
          <w:rFonts w:hint="eastAsia" w:asciiTheme="minorEastAsia" w:hAnsiTheme="minorEastAsia" w:eastAsiaTheme="minorEastAsia" w:cstheme="minorEastAsia"/>
          <w:b/>
          <w:bCs/>
          <w:color w:val="auto"/>
          <w:sz w:val="30"/>
          <w:szCs w:val="30"/>
          <w:highlight w:val="none"/>
        </w:rPr>
        <w:t>交付进度</w:t>
      </w:r>
      <w:bookmarkEnd w:id="177"/>
      <w:bookmarkEnd w:id="178"/>
      <w:bookmarkEnd w:id="179"/>
      <w:bookmarkEnd w:id="180"/>
      <w:bookmarkEnd w:id="181"/>
      <w:bookmarkEnd w:id="182"/>
      <w:bookmarkEnd w:id="183"/>
    </w:p>
    <w:p w14:paraId="3F2233BA">
      <w:pPr>
        <w:pStyle w:val="8"/>
        <w:spacing w:line="360" w:lineRule="auto"/>
        <w:rPr>
          <w:rStyle w:val="20"/>
          <w:rFonts w:hint="eastAsia" w:asciiTheme="minorEastAsia" w:hAnsiTheme="minorEastAsia" w:eastAsiaTheme="minorEastAsia" w:cstheme="minorEastAsia"/>
          <w:b/>
          <w:color w:val="auto"/>
          <w:sz w:val="28"/>
          <w:szCs w:val="28"/>
          <w:highlight w:val="none"/>
        </w:rPr>
      </w:pPr>
      <w:bookmarkStart w:id="184" w:name="_Toc64705879"/>
      <w:bookmarkStart w:id="185" w:name="_Toc170462609"/>
      <w:bookmarkStart w:id="186" w:name="_Toc96238086"/>
      <w:bookmarkStart w:id="187" w:name="_Toc170270583"/>
      <w:r>
        <w:rPr>
          <w:rStyle w:val="20"/>
          <w:rFonts w:hint="eastAsia" w:asciiTheme="minorEastAsia" w:hAnsiTheme="minorEastAsia" w:eastAsiaTheme="minorEastAsia" w:cstheme="minorEastAsia"/>
          <w:b/>
          <w:color w:val="auto"/>
          <w:sz w:val="28"/>
          <w:szCs w:val="28"/>
          <w:highlight w:val="none"/>
        </w:rPr>
        <w:t>1  资料提供总则</w:t>
      </w:r>
      <w:bookmarkEnd w:id="184"/>
      <w:bookmarkEnd w:id="185"/>
      <w:bookmarkEnd w:id="186"/>
      <w:bookmarkEnd w:id="187"/>
    </w:p>
    <w:p w14:paraId="097C326A">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1.1投标人提供的资料应使用国家法定单位制 (语言为中文) ，进口部件的外文图纸及文件应由投标人免费翻译成中文。图纸资料除提供书面文件外还应提供光盘形式电子文件。图纸应为AutoCAD格式，文本文件应为Word/Excel格式。</w:t>
      </w:r>
    </w:p>
    <w:p w14:paraId="6484DA0E">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1.2 资料的组织结构清晰、逻辑性强。资料内容正确、准确、一致、清晰完整，满足工程要求，不得提供缩微复印的图纸。</w:t>
      </w:r>
    </w:p>
    <w:p w14:paraId="53793123">
      <w:pPr>
        <w:pStyle w:val="8"/>
        <w:tabs>
          <w:tab w:val="left" w:pos="600"/>
        </w:tabs>
        <w:adjustRightInd w:val="0"/>
        <w:spacing w:line="360" w:lineRule="auto"/>
        <w:jc w:val="left"/>
        <w:textAlignment w:val="baseline"/>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1.3投标人资料的提交应及时、充分、正确，满足工程进度要求。合同签订后 5 天内给出配合工程设计的全部技术资料和交付进度清单，并经招标人确认。</w:t>
      </w:r>
    </w:p>
    <w:p w14:paraId="7AC35B54">
      <w:pPr>
        <w:pStyle w:val="8"/>
        <w:tabs>
          <w:tab w:val="left" w:pos="600"/>
        </w:tabs>
        <w:adjustRightInd w:val="0"/>
        <w:spacing w:line="360" w:lineRule="auto"/>
        <w:jc w:val="left"/>
        <w:textAlignment w:val="baseline"/>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1.4投标人提供的技术资料分为投标阶段、配合设计阶段、设备监造检验、施工调试试运、性能试验验收和运行维护等阶段。投标人须满足以上各阶段的具体要求。</w:t>
      </w:r>
    </w:p>
    <w:p w14:paraId="100162A4">
      <w:pPr>
        <w:pStyle w:val="8"/>
        <w:tabs>
          <w:tab w:val="left" w:pos="600"/>
        </w:tabs>
        <w:adjustRightInd w:val="0"/>
        <w:spacing w:line="360" w:lineRule="auto"/>
        <w:jc w:val="left"/>
        <w:textAlignment w:val="baseline"/>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1.5对于其它没有列入合同技术资料清单，却是工程所必需文件和资料，一经发现，投标人应及时免费提供。如本期工程为多台设备构成，后续设备有改进时，投标人也应及时免费提供新的技术资料。</w:t>
      </w:r>
    </w:p>
    <w:p w14:paraId="2656B17F">
      <w:pPr>
        <w:pStyle w:val="8"/>
        <w:tabs>
          <w:tab w:val="left" w:pos="600"/>
        </w:tabs>
        <w:adjustRightInd w:val="0"/>
        <w:spacing w:line="360" w:lineRule="auto"/>
        <w:jc w:val="left"/>
        <w:textAlignment w:val="baseline"/>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1.6招标人要及时提供与合同设备设计制造有关的资料。</w:t>
      </w:r>
    </w:p>
    <w:p w14:paraId="086157D8">
      <w:pPr>
        <w:pStyle w:val="8"/>
        <w:tabs>
          <w:tab w:val="left" w:pos="600"/>
        </w:tabs>
        <w:adjustRightInd w:val="0"/>
        <w:spacing w:line="360" w:lineRule="auto"/>
        <w:jc w:val="left"/>
        <w:textAlignment w:val="baseline"/>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1.7投标人应在合同签订后15天内，向招标人提供满足设计院初步设计需要的资料共10套，另加2套电子文档。</w:t>
      </w:r>
    </w:p>
    <w:p w14:paraId="0EC00C82">
      <w:pPr>
        <w:pStyle w:val="8"/>
        <w:tabs>
          <w:tab w:val="left" w:pos="600"/>
        </w:tabs>
        <w:adjustRightInd w:val="0"/>
        <w:spacing w:line="360" w:lineRule="auto"/>
        <w:jc w:val="left"/>
        <w:textAlignment w:val="baseline"/>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1.8投标人应在合同签订后1个月内，向招标人提供与设备设计、制造、监造、检验、施工、安装、调试、验收等有关的技术资料，为每台机组8套纸质文件，电子文件每台机组2套。</w:t>
      </w:r>
    </w:p>
    <w:p w14:paraId="08252D5F">
      <w:pPr>
        <w:pStyle w:val="8"/>
        <w:tabs>
          <w:tab w:val="left" w:pos="600"/>
        </w:tabs>
        <w:adjustRightInd w:val="0"/>
        <w:spacing w:line="360" w:lineRule="auto"/>
        <w:jc w:val="left"/>
        <w:textAlignment w:val="baseline"/>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1.9设备安装调试完毕后，投标人应按机组分别提供8套完整的设备竣工图，另加2套电子版。</w:t>
      </w:r>
    </w:p>
    <w:p w14:paraId="632E5C68">
      <w:pPr>
        <w:pStyle w:val="8"/>
        <w:tabs>
          <w:tab w:val="left" w:pos="600"/>
        </w:tabs>
        <w:adjustRightInd w:val="0"/>
        <w:spacing w:line="360" w:lineRule="auto"/>
        <w:jc w:val="left"/>
        <w:textAlignment w:val="baseline"/>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1.10投标人提供运行和维护手册、培训手册每台机组8套纸质文件，另加2套电子版。其它资料（标准规范、质量计划等）提供*套。</w:t>
      </w:r>
    </w:p>
    <w:p w14:paraId="4DA83B9B">
      <w:pPr>
        <w:pStyle w:val="8"/>
        <w:tabs>
          <w:tab w:val="left" w:pos="600"/>
        </w:tabs>
        <w:adjustRightInd w:val="0"/>
        <w:spacing w:line="360" w:lineRule="auto"/>
        <w:jc w:val="left"/>
        <w:textAlignment w:val="baseline"/>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1.11投标人提供的图纸应清晰，不得提供缩微复印的图纸。</w:t>
      </w:r>
    </w:p>
    <w:p w14:paraId="2955396D">
      <w:pPr>
        <w:pStyle w:val="8"/>
        <w:tabs>
          <w:tab w:val="left" w:pos="600"/>
        </w:tabs>
        <w:adjustRightInd w:val="0"/>
        <w:spacing w:line="360" w:lineRule="auto"/>
        <w:jc w:val="left"/>
        <w:textAlignment w:val="baseline"/>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1.12投标人提供的所有资料（包括图纸）均应有本工程专用标识，即盖有“</w:t>
      </w:r>
      <w:r>
        <w:rPr>
          <w:rStyle w:val="20"/>
          <w:rFonts w:hint="eastAsia" w:asciiTheme="minorEastAsia" w:hAnsiTheme="minorEastAsia" w:eastAsiaTheme="minorEastAsia" w:cstheme="minorEastAsia"/>
          <w:color w:val="auto"/>
          <w:sz w:val="24"/>
          <w:szCs w:val="24"/>
          <w:highlight w:val="none"/>
          <w:lang w:eastAsia="zh-CN"/>
        </w:rPr>
        <w:t>浙能武威2×1000MW调峰火电</w:t>
      </w:r>
      <w:r>
        <w:rPr>
          <w:rStyle w:val="20"/>
          <w:rFonts w:hint="eastAsia" w:asciiTheme="minorEastAsia" w:hAnsiTheme="minorEastAsia" w:eastAsiaTheme="minorEastAsia" w:cstheme="minorEastAsia"/>
          <w:color w:val="auto"/>
          <w:sz w:val="24"/>
          <w:szCs w:val="24"/>
          <w:highlight w:val="none"/>
          <w:lang w:val="en-US" w:eastAsia="zh-CN"/>
        </w:rPr>
        <w:t>机组工程</w:t>
      </w:r>
      <w:r>
        <w:rPr>
          <w:rStyle w:val="20"/>
          <w:rFonts w:hint="eastAsia" w:asciiTheme="minorEastAsia" w:hAnsiTheme="minorEastAsia" w:eastAsiaTheme="minorEastAsia" w:cstheme="minorEastAsia"/>
          <w:color w:val="auto"/>
          <w:sz w:val="24"/>
          <w:szCs w:val="24"/>
          <w:highlight w:val="none"/>
        </w:rPr>
        <w:t>专用”图章，修改版资料对修改部分应有明显的标识或标注。</w:t>
      </w:r>
    </w:p>
    <w:p w14:paraId="22ED7A38">
      <w:pPr>
        <w:pStyle w:val="8"/>
        <w:tabs>
          <w:tab w:val="left" w:pos="600"/>
        </w:tabs>
        <w:adjustRightInd w:val="0"/>
        <w:spacing w:line="360" w:lineRule="auto"/>
        <w:jc w:val="left"/>
        <w:textAlignment w:val="baseline"/>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1.13投标人按招标人的要求，编制所供设备的电厂标识系统编码。</w:t>
      </w:r>
    </w:p>
    <w:p w14:paraId="20D0D593">
      <w:pPr>
        <w:pStyle w:val="8"/>
        <w:spacing w:line="360" w:lineRule="auto"/>
        <w:rPr>
          <w:rStyle w:val="20"/>
          <w:rFonts w:hint="eastAsia" w:asciiTheme="minorEastAsia" w:hAnsiTheme="minorEastAsia" w:eastAsiaTheme="minorEastAsia" w:cstheme="minorEastAsia"/>
          <w:b/>
          <w:color w:val="auto"/>
          <w:sz w:val="28"/>
          <w:szCs w:val="28"/>
          <w:highlight w:val="none"/>
        </w:rPr>
      </w:pPr>
      <w:r>
        <w:rPr>
          <w:rStyle w:val="20"/>
          <w:rFonts w:hint="eastAsia" w:asciiTheme="minorEastAsia" w:hAnsiTheme="minorEastAsia" w:eastAsiaTheme="minorEastAsia" w:cstheme="minorEastAsia"/>
          <w:b/>
          <w:color w:val="auto"/>
          <w:sz w:val="28"/>
          <w:szCs w:val="28"/>
          <w:highlight w:val="none"/>
        </w:rPr>
        <w:t>2. 资料提交的基本要求</w:t>
      </w:r>
    </w:p>
    <w:p w14:paraId="17EB9FC7">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2.1  电子文件提供要求</w:t>
      </w:r>
    </w:p>
    <w:p w14:paraId="499AFCD9">
      <w:pPr>
        <w:pStyle w:val="8"/>
        <w:spacing w:line="360" w:lineRule="auto"/>
        <w:ind w:left="630" w:hanging="720" w:hanging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2.1.1 投标人所提供的电子文件必须以光盘形式提供，与纸质文件内容相一致。</w:t>
      </w:r>
    </w:p>
    <w:p w14:paraId="62D19C8B">
      <w:pPr>
        <w:pStyle w:val="8"/>
        <w:spacing w:line="360" w:lineRule="auto"/>
        <w:ind w:left="630" w:hanging="720" w:hanging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2.1.2 投标人所提供的光盘数据不得加密、压缩，无计算机病毒。若出现光盘损坏、文件无法打开等情况，投标人应重新提供。</w:t>
      </w:r>
    </w:p>
    <w:p w14:paraId="42211709">
      <w:pPr>
        <w:pStyle w:val="8"/>
        <w:spacing w:line="360" w:lineRule="auto"/>
        <w:ind w:left="630" w:hanging="720" w:hanging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2.1.3 光盘背面特制的书写面上必须有明显的、不易被擦除的标识，包括合同号、光盘ID号、资料清单号、提供日期、投标人标记及责任人的手写签名等，其中光盘ID号应同时作为光盘卷标刻录到光盘上，光盘ID号可与资料清单号一致。</w:t>
      </w:r>
    </w:p>
    <w:p w14:paraId="357A0294">
      <w:pPr>
        <w:pStyle w:val="8"/>
        <w:spacing w:line="360" w:lineRule="auto"/>
        <w:ind w:left="630" w:hanging="720" w:hanging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2.1.4 投标人所提供的电子文件格式应为Word、Excel和AutoCAD格式（或在本</w:t>
      </w:r>
      <w:r>
        <w:rPr>
          <w:rStyle w:val="20"/>
          <w:rFonts w:hint="eastAsia" w:asciiTheme="minorEastAsia" w:hAnsiTheme="minorEastAsia" w:eastAsiaTheme="minorEastAsia" w:cstheme="minorEastAsia"/>
          <w:color w:val="auto"/>
          <w:sz w:val="24"/>
          <w:szCs w:val="24"/>
          <w:highlight w:val="none"/>
          <w:lang w:val="en-US" w:eastAsia="zh-CN"/>
        </w:rPr>
        <w:t>规范书</w:t>
      </w:r>
      <w:r>
        <w:rPr>
          <w:rStyle w:val="20"/>
          <w:rFonts w:hint="eastAsia" w:asciiTheme="minorEastAsia" w:hAnsiTheme="minorEastAsia" w:eastAsiaTheme="minorEastAsia" w:cstheme="minorEastAsia"/>
          <w:color w:val="auto"/>
          <w:sz w:val="24"/>
          <w:szCs w:val="24"/>
          <w:highlight w:val="none"/>
        </w:rPr>
        <w:t>中明确的其他格式）。投标人提供的竣工资料的所有文件还应同时提供PDF或TIF格式的副本。</w:t>
      </w:r>
    </w:p>
    <w:p w14:paraId="5C4C5F08">
      <w:pPr>
        <w:pStyle w:val="8"/>
        <w:spacing w:line="360" w:lineRule="auto"/>
        <w:ind w:left="630" w:hanging="720" w:hanging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2.1.5 所提供电子文件所用语种为简体中文，中文汉字内码以GB2312为标准。AutoCAD文件应同时提供使用的字库文件。</w:t>
      </w:r>
    </w:p>
    <w:p w14:paraId="199B7893">
      <w:pPr>
        <w:pStyle w:val="8"/>
        <w:spacing w:line="360" w:lineRule="auto"/>
        <w:ind w:left="630" w:hanging="720" w:hanging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2.1.6 电子文件用图号来命名，一个图号的图纸对应一个电子文件。</w:t>
      </w:r>
    </w:p>
    <w:p w14:paraId="6A92BA38">
      <w:pPr>
        <w:pStyle w:val="8"/>
        <w:spacing w:line="360" w:lineRule="auto"/>
        <w:ind w:left="630" w:hanging="720" w:hanging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2.1.7 同一套技术资料的电子文件必须存放在同一张光盘内，一张光盘内可存放多套技术资料。在每张光盘根目录还应提供如下目录和文件：</w:t>
      </w:r>
    </w:p>
    <w:p w14:paraId="2FC97E34">
      <w:pPr>
        <w:pStyle w:val="8"/>
        <w:spacing w:line="360" w:lineRule="auto"/>
        <w:ind w:firstLine="720" w:firstLine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说明文件Readme.txt/doc：用于说明该光盘的整体信息；</w:t>
      </w:r>
    </w:p>
    <w:p w14:paraId="7DB7A9A6">
      <w:pPr>
        <w:pStyle w:val="8"/>
        <w:spacing w:line="360" w:lineRule="auto"/>
        <w:ind w:firstLine="720" w:firstLine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辅读信息文件Assist.txt/doc：用于说明该光盘内各种格式电子文件的环境信息；</w:t>
      </w:r>
    </w:p>
    <w:p w14:paraId="0FC16082">
      <w:pPr>
        <w:pStyle w:val="8"/>
        <w:spacing w:line="360" w:lineRule="auto"/>
        <w:ind w:firstLine="720" w:firstLine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著录文件QD.xls；电子文件清单，用于表明电子文件数据信息，包括序号、电子文件名、格式、合同号、资料清单号、图号、图纸名称、幅面、张数、版次、日期、备注等；</w:t>
      </w:r>
    </w:p>
    <w:p w14:paraId="0D1E503D">
      <w:pPr>
        <w:pStyle w:val="8"/>
        <w:spacing w:line="360" w:lineRule="auto"/>
        <w:ind w:firstLine="720" w:firstLine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子目录DATA：用于存放Word、Excel、AutoCAD格式（或在本</w:t>
      </w:r>
      <w:r>
        <w:rPr>
          <w:rStyle w:val="20"/>
          <w:rFonts w:hint="eastAsia" w:asciiTheme="minorEastAsia" w:hAnsiTheme="minorEastAsia" w:eastAsiaTheme="minorEastAsia" w:cstheme="minorEastAsia"/>
          <w:color w:val="auto"/>
          <w:sz w:val="24"/>
          <w:szCs w:val="24"/>
          <w:highlight w:val="none"/>
          <w:lang w:val="en-US" w:eastAsia="zh-CN"/>
        </w:rPr>
        <w:t>规范书</w:t>
      </w:r>
      <w:r>
        <w:rPr>
          <w:rStyle w:val="20"/>
          <w:rFonts w:hint="eastAsia" w:asciiTheme="minorEastAsia" w:hAnsiTheme="minorEastAsia" w:eastAsiaTheme="minorEastAsia" w:cstheme="minorEastAsia"/>
          <w:color w:val="auto"/>
          <w:sz w:val="24"/>
          <w:szCs w:val="24"/>
          <w:highlight w:val="none"/>
        </w:rPr>
        <w:t>中明确的其他格式）的正式文件；</w:t>
      </w:r>
    </w:p>
    <w:p w14:paraId="210AFEFE">
      <w:pPr>
        <w:pStyle w:val="8"/>
        <w:spacing w:line="360" w:lineRule="auto"/>
        <w:ind w:firstLine="720" w:firstLine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子目录DATAB：用于存放PDF和TIF格式的文件副本（仅指竣工资料）；</w:t>
      </w:r>
    </w:p>
    <w:p w14:paraId="54EF680E">
      <w:pPr>
        <w:pStyle w:val="8"/>
        <w:spacing w:line="360" w:lineRule="auto"/>
        <w:ind w:firstLine="720" w:firstLineChars="3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子目录OTHERS：用于存放相关字库、符号库、数据字典、外部参考等保证文件准确还原的环境文件及其它说明文件等。</w:t>
      </w:r>
    </w:p>
    <w:p w14:paraId="0A0867D0">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2.2  需要配合工程初步设计进度提供资料与图纸</w:t>
      </w:r>
    </w:p>
    <w:p w14:paraId="4A1B662E">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2.3  需要配合工程施工图设计进度提供资料与图纸</w:t>
      </w:r>
    </w:p>
    <w:p w14:paraId="327473E6">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2.4  根据工程进展中的其它方面的需要，配合提供资料与图纸</w:t>
      </w:r>
    </w:p>
    <w:p w14:paraId="21245A80">
      <w:pPr>
        <w:pStyle w:val="8"/>
        <w:tabs>
          <w:tab w:val="left" w:pos="720"/>
        </w:tabs>
        <w:spacing w:before="72" w:beforeLines="30" w:after="72" w:afterLines="30" w:line="360" w:lineRule="auto"/>
        <w:rPr>
          <w:rStyle w:val="20"/>
          <w:rFonts w:hint="eastAsia" w:asciiTheme="minorEastAsia" w:hAnsiTheme="minorEastAsia" w:eastAsiaTheme="minorEastAsia" w:cstheme="minorEastAsia"/>
          <w:b/>
          <w:color w:val="auto"/>
          <w:sz w:val="28"/>
          <w:szCs w:val="28"/>
          <w:highlight w:val="none"/>
        </w:rPr>
      </w:pPr>
      <w:bookmarkStart w:id="188" w:name="_Toc227468221"/>
      <w:bookmarkStart w:id="189" w:name="_Toc35225881"/>
      <w:r>
        <w:rPr>
          <w:rStyle w:val="20"/>
          <w:rFonts w:hint="eastAsia" w:asciiTheme="minorEastAsia" w:hAnsiTheme="minorEastAsia" w:eastAsiaTheme="minorEastAsia" w:cstheme="minorEastAsia"/>
          <w:b/>
          <w:color w:val="auto"/>
          <w:sz w:val="28"/>
          <w:szCs w:val="28"/>
          <w:highlight w:val="none"/>
        </w:rPr>
        <w:t>3  资料提交的基本</w:t>
      </w:r>
      <w:bookmarkEnd w:id="188"/>
      <w:bookmarkEnd w:id="189"/>
      <w:r>
        <w:rPr>
          <w:rStyle w:val="20"/>
          <w:rFonts w:hint="eastAsia" w:asciiTheme="minorEastAsia" w:hAnsiTheme="minorEastAsia" w:eastAsiaTheme="minorEastAsia" w:cstheme="minorEastAsia"/>
          <w:b/>
          <w:color w:val="auto"/>
          <w:sz w:val="28"/>
          <w:szCs w:val="28"/>
          <w:highlight w:val="none"/>
        </w:rPr>
        <w:t>内容</w:t>
      </w:r>
    </w:p>
    <w:p w14:paraId="673A5E2F">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 xml:space="preserve">3.1  </w:t>
      </w:r>
      <w:r>
        <w:rPr>
          <w:rStyle w:val="20"/>
          <w:rFonts w:hint="eastAsia" w:asciiTheme="minorEastAsia" w:hAnsiTheme="minorEastAsia" w:eastAsiaTheme="minorEastAsia" w:cstheme="minorEastAsia"/>
          <w:color w:val="auto"/>
          <w:sz w:val="24"/>
          <w:szCs w:val="24"/>
          <w:highlight w:val="none"/>
        </w:rPr>
        <w:t>投标人在投标阶段向招标人提供一般性资料如：鉴定证书、报价书、典型说明书、屏面布置图、系统原理图、保护配置图和主要技术参数等。</w:t>
      </w:r>
    </w:p>
    <w:p w14:paraId="1080D057">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3.2  在合同签定30天内，投标人向招标人提供下列技术文件以供确认。</w:t>
      </w:r>
    </w:p>
    <w:p w14:paraId="79A8B92C">
      <w:pPr>
        <w:pStyle w:val="8"/>
        <w:numPr>
          <w:ilvl w:val="2"/>
          <w:numId w:val="9"/>
        </w:numPr>
        <w:tabs>
          <w:tab w:val="left" w:pos="420"/>
        </w:tabs>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柜面布置图、柜体重量、安装要求</w:t>
      </w:r>
    </w:p>
    <w:p w14:paraId="1BCF7254">
      <w:pPr>
        <w:pStyle w:val="8"/>
        <w:numPr>
          <w:ilvl w:val="2"/>
          <w:numId w:val="9"/>
        </w:numPr>
        <w:tabs>
          <w:tab w:val="left" w:pos="420"/>
        </w:tabs>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电源回路图</w:t>
      </w:r>
    </w:p>
    <w:p w14:paraId="74D8B0D0">
      <w:pPr>
        <w:pStyle w:val="8"/>
        <w:numPr>
          <w:ilvl w:val="2"/>
          <w:numId w:val="9"/>
        </w:numPr>
        <w:tabs>
          <w:tab w:val="left" w:pos="420"/>
        </w:tabs>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背板接线图及端子排图</w:t>
      </w:r>
    </w:p>
    <w:p w14:paraId="2AA33D86">
      <w:pPr>
        <w:pStyle w:val="8"/>
        <w:numPr>
          <w:ilvl w:val="2"/>
          <w:numId w:val="9"/>
        </w:numPr>
        <w:tabs>
          <w:tab w:val="left" w:pos="420"/>
        </w:tabs>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技术说明书，内含额定电气参数、使用条件、插件分配图、外部输入输出原理接线图等。</w:t>
      </w:r>
    </w:p>
    <w:p w14:paraId="4DF3F1BE">
      <w:pPr>
        <w:pStyle w:val="8"/>
        <w:numPr>
          <w:ilvl w:val="2"/>
          <w:numId w:val="9"/>
        </w:numPr>
        <w:tabs>
          <w:tab w:val="left" w:pos="420"/>
        </w:tabs>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使用说明书，内有装置操作使用方法、参数整定方法、现场试验、投运步骤等。</w:t>
      </w:r>
    </w:p>
    <w:p w14:paraId="57AA1988">
      <w:pPr>
        <w:pStyle w:val="8"/>
        <w:spacing w:line="360" w:lineRule="auto"/>
        <w:ind w:firstLine="42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投标人在提供确认图纸时必须提供为审核该张图纸所需的资料。招标人有权要求投标人对其图纸中的任一装置任一部件作必要修改，而招标人不需承担额外费用。</w:t>
      </w:r>
    </w:p>
    <w:p w14:paraId="44BDE2DD">
      <w:pPr>
        <w:pStyle w:val="8"/>
        <w:spacing w:line="360" w:lineRule="auto"/>
        <w:ind w:firstLine="42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在收到招标人最终认可图纸前，投标人所购买的材料或制造所发生的费用及其风险全由投标人单独承担。</w:t>
      </w:r>
    </w:p>
    <w:p w14:paraId="11EAAE0C">
      <w:pPr>
        <w:pStyle w:val="8"/>
        <w:spacing w:line="360" w:lineRule="auto"/>
        <w:ind w:firstLine="42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生产的成品应符合合同的技术规范。招标人对图纸的确认并不能解除投标人对其图纸的完善性和准确性应承担的责任。</w:t>
      </w:r>
    </w:p>
    <w:p w14:paraId="7C9D2D3F">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 xml:space="preserve">    在第一次设计联络会后30天内，投标人应提供全部正式图纸的最终图和所有图纸的CAD光盘（AUTOCAD14）及其相关的支撑软件。</w:t>
      </w:r>
    </w:p>
    <w:p w14:paraId="38992EB9">
      <w:pPr>
        <w:pStyle w:val="8"/>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3.3  设备供货时提供下列资料:</w:t>
      </w:r>
    </w:p>
    <w:p w14:paraId="062B1146">
      <w:pPr>
        <w:pStyle w:val="8"/>
        <w:spacing w:line="360" w:lineRule="auto"/>
        <w:ind w:firstLine="42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设备的开箱资料，除了3.2所述图纸还应包括安装、运行、维护、修理说明书，部件清单资料，工厂试验报告，产品合格证，产品原产地证明等。</w:t>
      </w:r>
    </w:p>
    <w:p w14:paraId="2B7EAB02">
      <w:pPr>
        <w:pStyle w:val="38"/>
        <w:keepNext/>
        <w:keepLines/>
        <w:pageBreakBefore w:val="0"/>
        <w:widowControl w:val="0"/>
        <w:kinsoku/>
        <w:wordWrap/>
        <w:overflowPunct/>
        <w:topLinePunct w:val="0"/>
        <w:autoSpaceDE/>
        <w:autoSpaceDN/>
        <w:bidi w:val="0"/>
        <w:adjustRightInd/>
        <w:snapToGrid/>
        <w:spacing w:before="0" w:after="0" w:line="360" w:lineRule="auto"/>
        <w:textAlignment w:val="auto"/>
        <w:rPr>
          <w:rStyle w:val="20"/>
          <w:rFonts w:hint="eastAsia" w:asciiTheme="minorEastAsia" w:hAnsiTheme="minorEastAsia" w:eastAsiaTheme="minorEastAsia" w:cstheme="minorEastAsia"/>
          <w:b/>
          <w:bCs/>
          <w:color w:val="auto"/>
          <w:sz w:val="30"/>
          <w:szCs w:val="30"/>
          <w:highlight w:val="none"/>
        </w:rPr>
      </w:pPr>
      <w:r>
        <w:rPr>
          <w:rStyle w:val="20"/>
          <w:rFonts w:hint="eastAsia" w:asciiTheme="minorEastAsia" w:hAnsiTheme="minorEastAsia" w:eastAsiaTheme="minorEastAsia" w:cstheme="minorEastAsia"/>
          <w:b/>
          <w:color w:val="auto"/>
          <w:sz w:val="32"/>
          <w:szCs w:val="20"/>
          <w:highlight w:val="none"/>
        </w:rPr>
        <w:br w:type="page"/>
      </w:r>
      <w:bookmarkStart w:id="190" w:name="_Hlt515349389"/>
      <w:bookmarkEnd w:id="190"/>
      <w:bookmarkStart w:id="191" w:name="_Toc505746939"/>
      <w:bookmarkEnd w:id="191"/>
      <w:bookmarkStart w:id="192" w:name="_Toc399326517"/>
      <w:bookmarkEnd w:id="192"/>
      <w:bookmarkStart w:id="193" w:name="_Toc478439473"/>
      <w:bookmarkEnd w:id="193"/>
      <w:bookmarkStart w:id="194" w:name="_Toc399318773"/>
      <w:bookmarkEnd w:id="194"/>
      <w:bookmarkStart w:id="195" w:name="_Toc23514"/>
      <w:bookmarkStart w:id="196" w:name="_Toc25609"/>
      <w:bookmarkStart w:id="197" w:name="_Toc6072"/>
      <w:bookmarkStart w:id="198" w:name="_Toc12698"/>
      <w:bookmarkStart w:id="199" w:name="_Toc30418"/>
      <w:bookmarkStart w:id="200" w:name="_Toc15712"/>
      <w:r>
        <w:rPr>
          <w:rStyle w:val="20"/>
          <w:rFonts w:hint="eastAsia" w:asciiTheme="minorEastAsia" w:hAnsiTheme="minorEastAsia" w:eastAsiaTheme="minorEastAsia" w:cstheme="minorEastAsia"/>
          <w:b/>
          <w:bCs/>
          <w:color w:val="auto"/>
          <w:sz w:val="30"/>
          <w:szCs w:val="30"/>
          <w:highlight w:val="none"/>
        </w:rPr>
        <w:t xml:space="preserve">附件4 </w:t>
      </w:r>
      <w:bookmarkEnd w:id="195"/>
      <w:r>
        <w:rPr>
          <w:rStyle w:val="20"/>
          <w:rFonts w:hint="eastAsia" w:asciiTheme="minorEastAsia" w:hAnsiTheme="minorEastAsia" w:eastAsiaTheme="minorEastAsia" w:cstheme="minorEastAsia"/>
          <w:b/>
          <w:bCs/>
          <w:color w:val="auto"/>
          <w:sz w:val="30"/>
          <w:szCs w:val="30"/>
          <w:highlight w:val="none"/>
        </w:rPr>
        <w:t>交货进度</w:t>
      </w:r>
      <w:bookmarkEnd w:id="196"/>
      <w:bookmarkEnd w:id="197"/>
      <w:bookmarkEnd w:id="198"/>
      <w:bookmarkEnd w:id="199"/>
      <w:bookmarkEnd w:id="200"/>
    </w:p>
    <w:tbl>
      <w:tblPr>
        <w:tblStyle w:val="19"/>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2322"/>
        <w:gridCol w:w="2791"/>
        <w:gridCol w:w="3056"/>
      </w:tblGrid>
      <w:tr w14:paraId="0C0B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19" w:type="dxa"/>
            <w:tcBorders>
              <w:top w:val="single" w:color="auto" w:sz="4" w:space="0"/>
              <w:left w:val="single" w:color="auto" w:sz="4" w:space="0"/>
              <w:bottom w:val="single" w:color="auto" w:sz="4" w:space="0"/>
              <w:right w:val="single" w:color="auto" w:sz="4" w:space="0"/>
            </w:tcBorders>
            <w:noWrap w:val="0"/>
            <w:vAlign w:val="center"/>
          </w:tcPr>
          <w:p w14:paraId="0ACBB35E">
            <w:pPr>
              <w:pStyle w:val="8"/>
              <w:widowControl w:val="0"/>
              <w:spacing w:line="400" w:lineRule="atLeast"/>
              <w:jc w:val="center"/>
              <w:rPr>
                <w:rStyle w:val="20"/>
                <w:rFonts w:hint="eastAsia" w:ascii="宋体" w:hAnsi="Calibri" w:eastAsia="宋体"/>
                <w:color w:val="auto"/>
                <w:kern w:val="2"/>
                <w:sz w:val="24"/>
                <w:szCs w:val="24"/>
                <w:highlight w:val="none"/>
                <w:lang w:val="en-US" w:eastAsia="zh-CN" w:bidi="ar-SA"/>
              </w:rPr>
            </w:pPr>
            <w:r>
              <w:rPr>
                <w:rStyle w:val="20"/>
                <w:rFonts w:hint="eastAsia" w:ascii="宋体" w:hAnsi="宋体" w:eastAsia="宋体"/>
                <w:color w:val="auto"/>
                <w:kern w:val="2"/>
                <w:sz w:val="21"/>
                <w:szCs w:val="22"/>
                <w:highlight w:val="none"/>
                <w:lang w:val="en-US" w:eastAsia="zh-CN" w:bidi="ar-SA"/>
              </w:rPr>
              <w:t>序号</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187726F5">
            <w:pPr>
              <w:pStyle w:val="8"/>
              <w:widowControl w:val="0"/>
              <w:spacing w:line="400" w:lineRule="atLeast"/>
              <w:jc w:val="center"/>
              <w:rPr>
                <w:rStyle w:val="20"/>
                <w:rFonts w:hint="eastAsia" w:ascii="宋体" w:hAnsi="Calibri"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设备/部件名称、型号</w:t>
            </w:r>
          </w:p>
        </w:tc>
        <w:tc>
          <w:tcPr>
            <w:tcW w:w="2791" w:type="dxa"/>
            <w:tcBorders>
              <w:top w:val="single" w:color="auto" w:sz="4" w:space="0"/>
              <w:left w:val="single" w:color="auto" w:sz="4" w:space="0"/>
              <w:bottom w:val="single" w:color="auto" w:sz="4" w:space="0"/>
              <w:right w:val="single" w:color="auto" w:sz="4" w:space="0"/>
            </w:tcBorders>
            <w:noWrap w:val="0"/>
            <w:vAlign w:val="center"/>
          </w:tcPr>
          <w:p w14:paraId="21DA7FE3">
            <w:pPr>
              <w:pStyle w:val="8"/>
              <w:widowControl w:val="0"/>
              <w:spacing w:line="400" w:lineRule="atLeast"/>
              <w:jc w:val="both"/>
              <w:rPr>
                <w:rStyle w:val="20"/>
                <w:rFonts w:hint="eastAsia" w:ascii="宋体" w:hAnsi="Calibri"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交货地点</w:t>
            </w:r>
          </w:p>
        </w:tc>
        <w:tc>
          <w:tcPr>
            <w:tcW w:w="3056" w:type="dxa"/>
            <w:tcBorders>
              <w:top w:val="single" w:color="auto" w:sz="4" w:space="0"/>
              <w:left w:val="single" w:color="auto" w:sz="4" w:space="0"/>
              <w:bottom w:val="single" w:color="auto" w:sz="4" w:space="0"/>
              <w:right w:val="single" w:color="auto" w:sz="4" w:space="0"/>
            </w:tcBorders>
            <w:noWrap w:val="0"/>
            <w:vAlign w:val="center"/>
          </w:tcPr>
          <w:p w14:paraId="10FA6E7E">
            <w:pPr>
              <w:pStyle w:val="8"/>
              <w:widowControl w:val="0"/>
              <w:spacing w:line="400" w:lineRule="atLeast"/>
              <w:jc w:val="center"/>
              <w:rPr>
                <w:rStyle w:val="20"/>
                <w:rFonts w:hint="eastAsia" w:ascii="宋体" w:hAnsi="Calibri"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交货时间</w:t>
            </w:r>
          </w:p>
        </w:tc>
      </w:tr>
      <w:tr w14:paraId="57E2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Borders>
              <w:top w:val="single" w:color="auto" w:sz="4" w:space="0"/>
              <w:left w:val="single" w:color="auto" w:sz="4" w:space="0"/>
              <w:bottom w:val="single" w:color="auto" w:sz="4" w:space="0"/>
              <w:right w:val="single" w:color="auto" w:sz="4" w:space="0"/>
            </w:tcBorders>
            <w:noWrap w:val="0"/>
            <w:vAlign w:val="center"/>
          </w:tcPr>
          <w:p w14:paraId="5C9B3245">
            <w:pPr>
              <w:pStyle w:val="8"/>
              <w:widowControl w:val="0"/>
              <w:spacing w:line="400" w:lineRule="atLeast"/>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1</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0136B28E">
            <w:pPr>
              <w:pStyle w:val="8"/>
              <w:widowControl w:val="0"/>
              <w:spacing w:line="400" w:lineRule="atLeast"/>
              <w:jc w:val="center"/>
              <w:rPr>
                <w:rStyle w:val="20"/>
                <w:rFonts w:hint="eastAsia" w:ascii="宋体" w:hAnsi="Times New Roman"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设备本体</w:t>
            </w:r>
          </w:p>
        </w:tc>
        <w:tc>
          <w:tcPr>
            <w:tcW w:w="2791" w:type="dxa"/>
            <w:vMerge w:val="restart"/>
            <w:tcBorders>
              <w:top w:val="single" w:color="auto" w:sz="4" w:space="0"/>
              <w:left w:val="single" w:color="auto" w:sz="4" w:space="0"/>
              <w:right w:val="single" w:color="auto" w:sz="4" w:space="0"/>
            </w:tcBorders>
            <w:noWrap w:val="0"/>
            <w:vAlign w:val="center"/>
          </w:tcPr>
          <w:p w14:paraId="731F3F3D">
            <w:pPr>
              <w:pStyle w:val="8"/>
              <w:widowControl w:val="0"/>
              <w:spacing w:line="400" w:lineRule="atLeast"/>
              <w:jc w:val="both"/>
              <w:rPr>
                <w:rStyle w:val="20"/>
                <w:rFonts w:hint="eastAsia" w:ascii="宋体" w:hAnsi="Calibri" w:eastAsia="宋体"/>
                <w:color w:val="auto"/>
                <w:kern w:val="2"/>
                <w:sz w:val="21"/>
                <w:szCs w:val="22"/>
                <w:highlight w:val="none"/>
                <w:lang w:val="en-US" w:eastAsia="zh-CN" w:bidi="ar-SA"/>
              </w:rPr>
            </w:pPr>
            <w:r>
              <w:rPr>
                <w:rStyle w:val="20"/>
                <w:rFonts w:ascii="Times New Roman" w:hAnsi="Times New Roman" w:eastAsia="宋体" w:cs="Times New Roman"/>
                <w:color w:val="auto"/>
                <w:sz w:val="24"/>
                <w:highlight w:val="none"/>
              </w:rPr>
              <w:t>甘肃省武威市民勤县红砂岗镇能源化工工业集中区浙能路1号</w:t>
            </w:r>
          </w:p>
        </w:tc>
        <w:tc>
          <w:tcPr>
            <w:tcW w:w="3056" w:type="dxa"/>
            <w:vMerge w:val="restart"/>
            <w:tcBorders>
              <w:top w:val="single" w:color="auto" w:sz="4" w:space="0"/>
              <w:left w:val="single" w:color="auto" w:sz="4" w:space="0"/>
              <w:right w:val="single" w:color="auto" w:sz="4" w:space="0"/>
            </w:tcBorders>
            <w:noWrap w:val="0"/>
            <w:vAlign w:val="center"/>
          </w:tcPr>
          <w:p w14:paraId="3F486587">
            <w:pPr>
              <w:pStyle w:val="8"/>
              <w:widowControl w:val="0"/>
              <w:spacing w:line="400" w:lineRule="atLeast"/>
              <w:jc w:val="center"/>
              <w:rPr>
                <w:rStyle w:val="20"/>
                <w:rFonts w:hint="default" w:ascii="宋体" w:hAnsi="Calibri" w:eastAsia="宋体"/>
                <w:color w:val="auto"/>
                <w:kern w:val="2"/>
                <w:sz w:val="21"/>
                <w:szCs w:val="22"/>
                <w:highlight w:val="none"/>
                <w:lang w:val="en-US" w:eastAsia="zh-CN" w:bidi="ar-SA"/>
              </w:rPr>
            </w:pPr>
            <w:r>
              <w:rPr>
                <w:rFonts w:hint="eastAsia"/>
                <w:snapToGrid w:val="0"/>
                <w:color w:val="auto"/>
                <w:sz w:val="24"/>
                <w:highlight w:val="none"/>
                <w:lang w:val="en-US" w:eastAsia="zh-CN"/>
              </w:rPr>
              <w:t>2025年8月10日前</w:t>
            </w:r>
          </w:p>
        </w:tc>
      </w:tr>
      <w:tr w14:paraId="41D2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Borders>
              <w:top w:val="single" w:color="auto" w:sz="4" w:space="0"/>
              <w:left w:val="single" w:color="auto" w:sz="4" w:space="0"/>
              <w:bottom w:val="single" w:color="auto" w:sz="4" w:space="0"/>
              <w:right w:val="single" w:color="auto" w:sz="4" w:space="0"/>
            </w:tcBorders>
            <w:noWrap w:val="0"/>
            <w:vAlign w:val="center"/>
          </w:tcPr>
          <w:p w14:paraId="37CB0C8B">
            <w:pPr>
              <w:pStyle w:val="8"/>
              <w:widowControl w:val="0"/>
              <w:spacing w:line="400" w:lineRule="atLeast"/>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2</w:t>
            </w:r>
          </w:p>
        </w:tc>
        <w:tc>
          <w:tcPr>
            <w:tcW w:w="2322" w:type="dxa"/>
            <w:tcBorders>
              <w:top w:val="single" w:color="auto" w:sz="4" w:space="0"/>
              <w:left w:val="single" w:color="auto" w:sz="4" w:space="0"/>
              <w:bottom w:val="single" w:color="auto" w:sz="4" w:space="0"/>
              <w:right w:val="single" w:color="auto" w:sz="4" w:space="0"/>
            </w:tcBorders>
            <w:noWrap w:val="0"/>
            <w:vAlign w:val="top"/>
          </w:tcPr>
          <w:p w14:paraId="2A121A08">
            <w:pPr>
              <w:pStyle w:val="8"/>
              <w:widowControl w:val="0"/>
              <w:spacing w:line="400" w:lineRule="atLeast"/>
              <w:jc w:val="center"/>
              <w:rPr>
                <w:rStyle w:val="20"/>
                <w:rFonts w:hint="eastAsia" w:ascii="宋体" w:hAnsi="Times New Roman"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备品备件</w:t>
            </w:r>
          </w:p>
        </w:tc>
        <w:tc>
          <w:tcPr>
            <w:tcW w:w="2791" w:type="dxa"/>
            <w:vMerge w:val="continue"/>
            <w:tcBorders>
              <w:left w:val="single" w:color="auto" w:sz="4" w:space="0"/>
              <w:right w:val="single" w:color="auto" w:sz="4" w:space="0"/>
            </w:tcBorders>
            <w:noWrap w:val="0"/>
            <w:vAlign w:val="top"/>
          </w:tcPr>
          <w:p w14:paraId="0DC26760">
            <w:pPr>
              <w:pStyle w:val="8"/>
              <w:widowControl w:val="0"/>
              <w:spacing w:line="400" w:lineRule="atLeast"/>
              <w:jc w:val="both"/>
              <w:rPr>
                <w:rStyle w:val="20"/>
                <w:rFonts w:hint="eastAsia" w:ascii="宋体" w:hAnsi="Calibri" w:eastAsia="宋体"/>
                <w:color w:val="auto"/>
                <w:kern w:val="2"/>
                <w:sz w:val="21"/>
                <w:szCs w:val="22"/>
                <w:highlight w:val="none"/>
                <w:lang w:val="en-US" w:eastAsia="zh-CN" w:bidi="ar-SA"/>
              </w:rPr>
            </w:pPr>
          </w:p>
        </w:tc>
        <w:tc>
          <w:tcPr>
            <w:tcW w:w="3056" w:type="dxa"/>
            <w:vMerge w:val="continue"/>
            <w:tcBorders>
              <w:left w:val="single" w:color="auto" w:sz="4" w:space="0"/>
              <w:right w:val="single" w:color="auto" w:sz="4" w:space="0"/>
            </w:tcBorders>
            <w:noWrap w:val="0"/>
            <w:vAlign w:val="center"/>
          </w:tcPr>
          <w:p w14:paraId="4777EAF8">
            <w:pPr>
              <w:pStyle w:val="8"/>
              <w:widowControl w:val="0"/>
              <w:spacing w:line="400" w:lineRule="atLeast"/>
              <w:jc w:val="center"/>
              <w:rPr>
                <w:rStyle w:val="20"/>
                <w:rFonts w:hint="eastAsia" w:ascii="宋体" w:hAnsi="Calibri" w:eastAsia="宋体"/>
                <w:color w:val="auto"/>
                <w:kern w:val="2"/>
                <w:sz w:val="21"/>
                <w:szCs w:val="22"/>
                <w:highlight w:val="none"/>
                <w:lang w:val="en-US" w:eastAsia="zh-CN" w:bidi="ar-SA"/>
              </w:rPr>
            </w:pPr>
          </w:p>
        </w:tc>
      </w:tr>
      <w:tr w14:paraId="56D2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Borders>
              <w:top w:val="single" w:color="auto" w:sz="4" w:space="0"/>
              <w:left w:val="single" w:color="auto" w:sz="4" w:space="0"/>
              <w:bottom w:val="single" w:color="auto" w:sz="4" w:space="0"/>
              <w:right w:val="single" w:color="auto" w:sz="4" w:space="0"/>
            </w:tcBorders>
            <w:noWrap w:val="0"/>
            <w:vAlign w:val="center"/>
          </w:tcPr>
          <w:p w14:paraId="5F5ECF96">
            <w:pPr>
              <w:pStyle w:val="8"/>
              <w:widowControl w:val="0"/>
              <w:spacing w:line="400" w:lineRule="atLeast"/>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3</w:t>
            </w:r>
          </w:p>
        </w:tc>
        <w:tc>
          <w:tcPr>
            <w:tcW w:w="2322" w:type="dxa"/>
            <w:tcBorders>
              <w:top w:val="single" w:color="auto" w:sz="4" w:space="0"/>
              <w:left w:val="single" w:color="auto" w:sz="4" w:space="0"/>
              <w:bottom w:val="single" w:color="auto" w:sz="4" w:space="0"/>
              <w:right w:val="single" w:color="auto" w:sz="4" w:space="0"/>
            </w:tcBorders>
            <w:noWrap w:val="0"/>
            <w:vAlign w:val="top"/>
          </w:tcPr>
          <w:p w14:paraId="2BB22ECD">
            <w:pPr>
              <w:pStyle w:val="8"/>
              <w:widowControl w:val="0"/>
              <w:spacing w:line="400" w:lineRule="atLeast"/>
              <w:jc w:val="center"/>
              <w:rPr>
                <w:rStyle w:val="20"/>
                <w:rFonts w:hint="eastAsia" w:ascii="宋体" w:hAnsi="Times New Roman"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专用工具</w:t>
            </w:r>
          </w:p>
        </w:tc>
        <w:tc>
          <w:tcPr>
            <w:tcW w:w="2791" w:type="dxa"/>
            <w:vMerge w:val="continue"/>
            <w:tcBorders>
              <w:left w:val="single" w:color="auto" w:sz="4" w:space="0"/>
              <w:right w:val="single" w:color="auto" w:sz="4" w:space="0"/>
            </w:tcBorders>
            <w:noWrap w:val="0"/>
            <w:vAlign w:val="top"/>
          </w:tcPr>
          <w:p w14:paraId="6586C027">
            <w:pPr>
              <w:pStyle w:val="8"/>
              <w:widowControl w:val="0"/>
              <w:spacing w:line="400" w:lineRule="atLeast"/>
              <w:jc w:val="both"/>
              <w:rPr>
                <w:rStyle w:val="20"/>
                <w:rFonts w:hint="eastAsia" w:ascii="宋体" w:hAnsi="Calibri" w:eastAsia="宋体"/>
                <w:color w:val="auto"/>
                <w:kern w:val="2"/>
                <w:sz w:val="21"/>
                <w:szCs w:val="22"/>
                <w:highlight w:val="none"/>
                <w:lang w:val="en-US" w:eastAsia="zh-CN" w:bidi="ar-SA"/>
              </w:rPr>
            </w:pPr>
          </w:p>
        </w:tc>
        <w:tc>
          <w:tcPr>
            <w:tcW w:w="3056" w:type="dxa"/>
            <w:vMerge w:val="continue"/>
            <w:tcBorders>
              <w:left w:val="single" w:color="auto" w:sz="4" w:space="0"/>
              <w:right w:val="single" w:color="auto" w:sz="4" w:space="0"/>
            </w:tcBorders>
            <w:noWrap w:val="0"/>
            <w:vAlign w:val="center"/>
          </w:tcPr>
          <w:p w14:paraId="59F13897">
            <w:pPr>
              <w:pStyle w:val="8"/>
              <w:widowControl w:val="0"/>
              <w:spacing w:line="400" w:lineRule="atLeast"/>
              <w:jc w:val="center"/>
              <w:rPr>
                <w:rStyle w:val="20"/>
                <w:rFonts w:hint="eastAsia" w:ascii="宋体" w:hAnsi="Calibri" w:eastAsia="宋体"/>
                <w:color w:val="auto"/>
                <w:kern w:val="2"/>
                <w:sz w:val="21"/>
                <w:szCs w:val="22"/>
                <w:highlight w:val="none"/>
                <w:lang w:val="en-US" w:eastAsia="zh-CN" w:bidi="ar-SA"/>
              </w:rPr>
            </w:pPr>
          </w:p>
        </w:tc>
      </w:tr>
      <w:tr w14:paraId="72EE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Borders>
              <w:top w:val="single" w:color="auto" w:sz="4" w:space="0"/>
              <w:left w:val="single" w:color="auto" w:sz="4" w:space="0"/>
              <w:bottom w:val="single" w:color="auto" w:sz="4" w:space="0"/>
              <w:right w:val="single" w:color="auto" w:sz="4" w:space="0"/>
            </w:tcBorders>
            <w:noWrap w:val="0"/>
            <w:vAlign w:val="center"/>
          </w:tcPr>
          <w:p w14:paraId="4E246196">
            <w:pPr>
              <w:pStyle w:val="8"/>
              <w:widowControl w:val="0"/>
              <w:spacing w:line="400" w:lineRule="atLeast"/>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4</w:t>
            </w:r>
          </w:p>
        </w:tc>
        <w:tc>
          <w:tcPr>
            <w:tcW w:w="2322" w:type="dxa"/>
            <w:tcBorders>
              <w:top w:val="single" w:color="auto" w:sz="4" w:space="0"/>
              <w:left w:val="single" w:color="auto" w:sz="4" w:space="0"/>
              <w:bottom w:val="single" w:color="auto" w:sz="4" w:space="0"/>
              <w:right w:val="single" w:color="auto" w:sz="4" w:space="0"/>
            </w:tcBorders>
            <w:noWrap w:val="0"/>
            <w:vAlign w:val="top"/>
          </w:tcPr>
          <w:p w14:paraId="3D7B2E8D">
            <w:pPr>
              <w:pStyle w:val="8"/>
              <w:widowControl w:val="0"/>
              <w:spacing w:line="400" w:lineRule="atLeast"/>
              <w:jc w:val="center"/>
              <w:rPr>
                <w:rStyle w:val="20"/>
                <w:rFonts w:hint="eastAsia" w:ascii="宋体" w:hAnsi="Times New Roman"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其它</w:t>
            </w:r>
          </w:p>
        </w:tc>
        <w:tc>
          <w:tcPr>
            <w:tcW w:w="2791" w:type="dxa"/>
            <w:vMerge w:val="continue"/>
            <w:tcBorders>
              <w:left w:val="single" w:color="auto" w:sz="4" w:space="0"/>
              <w:bottom w:val="single" w:color="auto" w:sz="4" w:space="0"/>
              <w:right w:val="single" w:color="auto" w:sz="4" w:space="0"/>
            </w:tcBorders>
            <w:noWrap w:val="0"/>
            <w:vAlign w:val="top"/>
          </w:tcPr>
          <w:p w14:paraId="774CF256">
            <w:pPr>
              <w:pStyle w:val="8"/>
              <w:widowControl w:val="0"/>
              <w:spacing w:line="400" w:lineRule="atLeast"/>
              <w:jc w:val="both"/>
              <w:rPr>
                <w:rStyle w:val="20"/>
                <w:rFonts w:hint="eastAsia" w:ascii="宋体" w:hAnsi="Calibri" w:eastAsia="宋体"/>
                <w:color w:val="auto"/>
                <w:kern w:val="2"/>
                <w:sz w:val="21"/>
                <w:szCs w:val="22"/>
                <w:highlight w:val="none"/>
                <w:lang w:val="en-US" w:eastAsia="zh-CN" w:bidi="ar-SA"/>
              </w:rPr>
            </w:pPr>
          </w:p>
        </w:tc>
        <w:tc>
          <w:tcPr>
            <w:tcW w:w="3056" w:type="dxa"/>
            <w:vMerge w:val="continue"/>
            <w:tcBorders>
              <w:left w:val="single" w:color="auto" w:sz="4" w:space="0"/>
              <w:bottom w:val="single" w:color="auto" w:sz="4" w:space="0"/>
              <w:right w:val="single" w:color="auto" w:sz="4" w:space="0"/>
            </w:tcBorders>
            <w:noWrap w:val="0"/>
            <w:vAlign w:val="center"/>
          </w:tcPr>
          <w:p w14:paraId="5F00B8D8">
            <w:pPr>
              <w:pStyle w:val="8"/>
              <w:widowControl w:val="0"/>
              <w:spacing w:line="400" w:lineRule="atLeast"/>
              <w:jc w:val="center"/>
              <w:rPr>
                <w:rStyle w:val="20"/>
                <w:rFonts w:hint="eastAsia" w:ascii="宋体" w:hAnsi="Calibri" w:eastAsia="宋体"/>
                <w:color w:val="auto"/>
                <w:kern w:val="2"/>
                <w:sz w:val="21"/>
                <w:szCs w:val="22"/>
                <w:highlight w:val="none"/>
                <w:lang w:val="en-US" w:eastAsia="zh-CN" w:bidi="ar-SA"/>
              </w:rPr>
            </w:pPr>
          </w:p>
        </w:tc>
      </w:tr>
    </w:tbl>
    <w:p w14:paraId="3AA7A419">
      <w:pPr>
        <w:pStyle w:val="8"/>
        <w:spacing w:line="360" w:lineRule="auto"/>
        <w:rPr>
          <w:rStyle w:val="20"/>
          <w:rFonts w:hint="eastAsia" w:ascii="Times New Roman" w:hAnsi="Times New Roman"/>
          <w:color w:val="auto"/>
          <w:highlight w:val="none"/>
        </w:rPr>
      </w:pPr>
      <w:r>
        <w:rPr>
          <w:rStyle w:val="20"/>
          <w:rFonts w:hint="eastAsia"/>
          <w:color w:val="auto"/>
          <w:highlight w:val="none"/>
        </w:rPr>
        <w:t>备注：</w:t>
      </w:r>
      <w:r>
        <w:rPr>
          <w:rStyle w:val="20"/>
          <w:color w:val="auto"/>
          <w:highlight w:val="none"/>
        </w:rPr>
        <w:tab/>
      </w:r>
    </w:p>
    <w:p w14:paraId="69073446">
      <w:pPr>
        <w:pStyle w:val="8"/>
        <w:spacing w:line="360" w:lineRule="auto"/>
        <w:rPr>
          <w:rStyle w:val="20"/>
          <w:color w:val="auto"/>
          <w:highlight w:val="none"/>
        </w:rPr>
      </w:pPr>
      <w:r>
        <w:rPr>
          <w:rStyle w:val="20"/>
          <w:color w:val="auto"/>
          <w:highlight w:val="none"/>
        </w:rPr>
        <w:t>1</w:t>
      </w:r>
      <w:r>
        <w:rPr>
          <w:rStyle w:val="20"/>
          <w:rFonts w:hint="eastAsia"/>
          <w:color w:val="auto"/>
          <w:highlight w:val="none"/>
        </w:rPr>
        <w:t>、交货日期指该批设备到现场的日期；（交货地点为现场工地）</w:t>
      </w:r>
    </w:p>
    <w:p w14:paraId="66C0A8D1">
      <w:pPr>
        <w:pStyle w:val="8"/>
        <w:spacing w:line="360" w:lineRule="auto"/>
        <w:rPr>
          <w:rStyle w:val="20"/>
          <w:color w:val="auto"/>
          <w:highlight w:val="none"/>
        </w:rPr>
      </w:pPr>
      <w:r>
        <w:rPr>
          <w:rStyle w:val="20"/>
          <w:color w:val="auto"/>
          <w:highlight w:val="none"/>
        </w:rPr>
        <w:t>2</w:t>
      </w:r>
      <w:r>
        <w:rPr>
          <w:rStyle w:val="20"/>
          <w:rFonts w:hint="eastAsia"/>
          <w:color w:val="auto"/>
          <w:highlight w:val="none"/>
        </w:rPr>
        <w:t>、设备到达现场，投标人派人到现场办理交接。</w:t>
      </w:r>
    </w:p>
    <w:p w14:paraId="727A31C4">
      <w:pPr>
        <w:pStyle w:val="8"/>
        <w:spacing w:line="360" w:lineRule="auto"/>
        <w:rPr>
          <w:rStyle w:val="20"/>
          <w:color w:val="auto"/>
          <w:highlight w:val="none"/>
        </w:rPr>
      </w:pPr>
      <w:r>
        <w:rPr>
          <w:rStyle w:val="20"/>
          <w:color w:val="auto"/>
          <w:highlight w:val="none"/>
        </w:rPr>
        <w:t>3</w:t>
      </w:r>
      <w:r>
        <w:rPr>
          <w:rStyle w:val="20"/>
          <w:rFonts w:hint="eastAsia"/>
          <w:color w:val="auto"/>
          <w:highlight w:val="none"/>
        </w:rPr>
        <w:t>、本交货时间为暂定计划，具体交货时间根据工程进度要求调整。</w:t>
      </w:r>
    </w:p>
    <w:p w14:paraId="64E105F0">
      <w:pPr>
        <w:pStyle w:val="8"/>
        <w:spacing w:line="360" w:lineRule="auto"/>
        <w:rPr>
          <w:rStyle w:val="20"/>
          <w:rFonts w:ascii="宋体" w:hAnsi="宋体"/>
          <w:color w:val="auto"/>
          <w:highlight w:val="none"/>
        </w:rPr>
      </w:pPr>
    </w:p>
    <w:p w14:paraId="5A77BB56">
      <w:pPr>
        <w:pStyle w:val="8"/>
        <w:spacing w:line="360" w:lineRule="auto"/>
        <w:rPr>
          <w:rStyle w:val="20"/>
          <w:rFonts w:hint="eastAsia" w:ascii="宋体" w:hAnsi="宋体"/>
          <w:color w:val="auto"/>
          <w:highlight w:val="none"/>
        </w:rPr>
      </w:pPr>
    </w:p>
    <w:p w14:paraId="3C515E6F">
      <w:pPr>
        <w:pStyle w:val="8"/>
        <w:widowControl/>
        <w:spacing w:line="360" w:lineRule="auto"/>
        <w:jc w:val="left"/>
        <w:rPr>
          <w:rStyle w:val="20"/>
          <w:rFonts w:ascii="宋体" w:hAnsi="宋体"/>
          <w:bCs/>
          <w:color w:val="auto"/>
          <w:highlight w:val="none"/>
        </w:rPr>
        <w:sectPr>
          <w:endnotePr>
            <w:numFmt w:val="decimal"/>
          </w:endnotePr>
          <w:pgSz w:w="11907" w:h="16840"/>
          <w:pgMar w:top="1418" w:right="1531" w:bottom="1418" w:left="1701" w:header="851" w:footer="1021" w:gutter="0"/>
          <w:pgNumType w:fmt="decimal"/>
          <w:cols w:space="720" w:num="1"/>
        </w:sectPr>
      </w:pPr>
    </w:p>
    <w:p w14:paraId="7B8BAA08">
      <w:pPr>
        <w:pStyle w:val="38"/>
        <w:keepNext/>
        <w:keepLines/>
        <w:pageBreakBefore w:val="0"/>
        <w:widowControl w:val="0"/>
        <w:kinsoku/>
        <w:wordWrap/>
        <w:overflowPunct/>
        <w:topLinePunct w:val="0"/>
        <w:autoSpaceDE/>
        <w:autoSpaceDN/>
        <w:bidi w:val="0"/>
        <w:adjustRightInd/>
        <w:snapToGrid/>
        <w:spacing w:before="0" w:after="0" w:line="360" w:lineRule="auto"/>
        <w:textAlignment w:val="auto"/>
        <w:rPr>
          <w:rStyle w:val="20"/>
          <w:rFonts w:hint="eastAsia" w:ascii="宋体"/>
          <w:b/>
          <w:bCs/>
          <w:color w:val="auto"/>
          <w:sz w:val="30"/>
          <w:szCs w:val="30"/>
          <w:highlight w:val="none"/>
        </w:rPr>
      </w:pPr>
      <w:bookmarkStart w:id="201" w:name="_Toc15549"/>
      <w:bookmarkStart w:id="202" w:name="_Toc501817570"/>
      <w:bookmarkStart w:id="203" w:name="_Toc57640863"/>
      <w:bookmarkStart w:id="204" w:name="_Toc12660"/>
      <w:bookmarkStart w:id="205" w:name="_Toc513014514"/>
      <w:bookmarkStart w:id="206" w:name="_Toc286159473"/>
      <w:bookmarkStart w:id="207" w:name="_Toc22931"/>
      <w:bookmarkStart w:id="208" w:name="_Toc24566"/>
      <w:bookmarkStart w:id="209" w:name="_Toc515785176"/>
      <w:bookmarkStart w:id="210" w:name="_Toc31438"/>
      <w:bookmarkStart w:id="211" w:name="_Toc24492"/>
      <w:r>
        <w:rPr>
          <w:rStyle w:val="20"/>
          <w:rFonts w:hint="eastAsia"/>
          <w:b/>
          <w:bCs/>
          <w:color w:val="auto"/>
          <w:sz w:val="30"/>
          <w:szCs w:val="30"/>
          <w:highlight w:val="none"/>
        </w:rPr>
        <w:t xml:space="preserve">附件5 </w:t>
      </w:r>
      <w:r>
        <w:rPr>
          <w:rStyle w:val="20"/>
          <w:rFonts w:hint="eastAsia" w:ascii="Times New Roman" w:hAnsi="Times New Roman" w:eastAsia="宋体" w:cs="Times New Roman"/>
          <w:b/>
          <w:bCs/>
          <w:color w:val="auto"/>
          <w:sz w:val="30"/>
          <w:szCs w:val="30"/>
          <w:highlight w:val="none"/>
        </w:rPr>
        <w:t>设备监造、检查和性能验收试验</w:t>
      </w:r>
      <w:bookmarkEnd w:id="201"/>
      <w:bookmarkEnd w:id="202"/>
      <w:bookmarkEnd w:id="203"/>
      <w:bookmarkEnd w:id="204"/>
      <w:bookmarkEnd w:id="205"/>
      <w:bookmarkEnd w:id="206"/>
      <w:bookmarkEnd w:id="207"/>
      <w:bookmarkEnd w:id="208"/>
      <w:bookmarkEnd w:id="209"/>
      <w:bookmarkEnd w:id="210"/>
      <w:bookmarkEnd w:id="211"/>
      <w:bookmarkStart w:id="212" w:name="_Toc501817571"/>
      <w:bookmarkStart w:id="213" w:name="_Toc513014515"/>
      <w:bookmarkStart w:id="214" w:name="_Toc515785177"/>
    </w:p>
    <w:bookmarkEnd w:id="212"/>
    <w:bookmarkEnd w:id="213"/>
    <w:bookmarkEnd w:id="214"/>
    <w:p w14:paraId="24AA8294">
      <w:pPr>
        <w:pStyle w:val="8"/>
        <w:spacing w:line="360" w:lineRule="auto"/>
        <w:ind w:firstLine="420"/>
        <w:rPr>
          <w:rStyle w:val="20"/>
          <w:rFonts w:hint="eastAsia" w:asciiTheme="minorEastAsia" w:hAnsiTheme="minorEastAsia" w:eastAsiaTheme="minorEastAsia" w:cstheme="minorEastAsia"/>
          <w:b/>
          <w:color w:val="auto"/>
          <w:sz w:val="28"/>
          <w:szCs w:val="28"/>
          <w:highlight w:val="none"/>
        </w:rPr>
      </w:pPr>
      <w:bookmarkStart w:id="215" w:name="_Toc230665843"/>
      <w:bookmarkStart w:id="216" w:name="_Toc236708082"/>
      <w:bookmarkStart w:id="217" w:name="_Toc320557747"/>
      <w:bookmarkStart w:id="218" w:name="_Toc320557704"/>
      <w:r>
        <w:rPr>
          <w:rStyle w:val="20"/>
          <w:rFonts w:hint="eastAsia" w:asciiTheme="minorEastAsia" w:hAnsiTheme="minorEastAsia" w:eastAsiaTheme="minorEastAsia" w:cstheme="minorEastAsia"/>
          <w:b/>
          <w:color w:val="auto"/>
          <w:sz w:val="28"/>
          <w:szCs w:val="28"/>
          <w:highlight w:val="none"/>
        </w:rPr>
        <w:t>1 概述</w:t>
      </w:r>
      <w:bookmarkEnd w:id="215"/>
      <w:bookmarkEnd w:id="216"/>
      <w:bookmarkEnd w:id="217"/>
      <w:bookmarkEnd w:id="218"/>
    </w:p>
    <w:p w14:paraId="1C2C7372">
      <w:pPr>
        <w:pStyle w:val="8"/>
        <w:spacing w:line="360" w:lineRule="auto"/>
        <w:ind w:firstLine="42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1.1  本附件用于合同执行期间对投标人所提供的设备（包括对分包外购设备）进行检验、监造和性能验收试验，确保投标人所提供的设备符合附件1规定的要求。</w:t>
      </w:r>
    </w:p>
    <w:p w14:paraId="72F6EA14">
      <w:pPr>
        <w:pStyle w:val="8"/>
        <w:spacing w:line="360" w:lineRule="auto"/>
        <w:ind w:firstLine="42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1.2  投标人应在相关合同生效后1个月内，向招标人提供与本合同设备有关的监造、检验、性能验收试验标准。有关标准应符合附件1的规定。</w:t>
      </w:r>
    </w:p>
    <w:p w14:paraId="5CE31740">
      <w:pPr>
        <w:pStyle w:val="7"/>
        <w:spacing w:line="360" w:lineRule="auto"/>
        <w:ind w:firstLine="480"/>
        <w:rPr>
          <w:rStyle w:val="20"/>
          <w:rFonts w:hint="eastAsia" w:asciiTheme="minorEastAsia" w:hAnsiTheme="minorEastAsia" w:eastAsiaTheme="minorEastAsia" w:cstheme="minorEastAsia"/>
          <w:b/>
          <w:color w:val="auto"/>
          <w:sz w:val="28"/>
          <w:szCs w:val="28"/>
          <w:highlight w:val="none"/>
        </w:rPr>
      </w:pPr>
      <w:bookmarkStart w:id="219" w:name="_Toc320557749"/>
      <w:bookmarkStart w:id="220" w:name="_Toc320557706"/>
      <w:bookmarkStart w:id="221" w:name="_Toc230665845"/>
      <w:bookmarkStart w:id="222" w:name="_Toc236708084"/>
      <w:r>
        <w:rPr>
          <w:rStyle w:val="20"/>
          <w:rFonts w:hint="eastAsia" w:asciiTheme="minorEastAsia" w:hAnsiTheme="minorEastAsia" w:eastAsiaTheme="minorEastAsia" w:cstheme="minorEastAsia"/>
          <w:b/>
          <w:color w:val="auto"/>
          <w:sz w:val="28"/>
          <w:szCs w:val="28"/>
          <w:highlight w:val="none"/>
        </w:rPr>
        <w:t>2工厂检验</w:t>
      </w:r>
    </w:p>
    <w:p w14:paraId="321F2641">
      <w:pPr>
        <w:pStyle w:val="7"/>
        <w:spacing w:line="360" w:lineRule="auto"/>
        <w:ind w:firstLine="48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2.1  招标人有权派遣其检验人员到投标人及其分包商的车间场所, 对合同设备的加工制造进行检验。招标人将为此目的而派遣的代表的身份以书面形式通知投标人。</w:t>
      </w:r>
    </w:p>
    <w:p w14:paraId="000AF729">
      <w:pPr>
        <w:pStyle w:val="7"/>
        <w:spacing w:line="360" w:lineRule="auto"/>
        <w:ind w:firstLine="48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2.2如有合同设备经检验和试验不符合技术规范的要求,招标人可以拒收,投标人应更换被拒收的货物,或进行必要的改造使之符合技术规范的要求,招标人不承担上述的费用。</w:t>
      </w:r>
    </w:p>
    <w:p w14:paraId="6A36C818">
      <w:pPr>
        <w:pStyle w:val="7"/>
        <w:spacing w:line="360" w:lineRule="auto"/>
        <w:ind w:firstLine="48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2.3招标人对货物运到招标人所在地以后进行检验、试验和拒收(如果必要时)的权利,不得因该货物在原产地发运以前已经由招标人或其代表进行过检验并已通过作为理由而受到限制。招标人人员参加工厂试验,包括会签任何试验结果,既不免除投标人按合同规定应负的责任,也不能代替合同设备到达现场后招标人对其进行的检验。</w:t>
      </w:r>
    </w:p>
    <w:p w14:paraId="6FB955AD">
      <w:pPr>
        <w:pStyle w:val="7"/>
        <w:spacing w:line="360" w:lineRule="auto"/>
        <w:ind w:firstLine="48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2.4投标人应在开始进行工厂试验前15天,通知招标人其日程安排。根据这个日程安排,招标人将确定对合同设备的那些试验项目和阶段要进行现场验证,并将在接到投标人关于安装、试验和检验的日程安排通知后10天内通知投标人。然后招标人将派出技术人员前往投标人和(或)其分包商生产现场,以观察和了解该合同设备工厂试验的情况及其运输包装的情况 。若发现任一货物的质量不符合合同规定的标准,或包装不满足要求,招标人代表有权发表意见,投标人应认真考虑其意见,并采取必要措施以确保待运合同设备的质量, 现场验证检验程序由双方代表共同协商决定。</w:t>
      </w:r>
    </w:p>
    <w:p w14:paraId="24F5E061">
      <w:pPr>
        <w:pStyle w:val="7"/>
        <w:spacing w:line="360" w:lineRule="auto"/>
        <w:ind w:firstLine="48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4.8若招标人不派代表参加上述试验,投标人应在接到招标人关于不派员到投标人和(或)其分包商工厂的通知后,或招标人未按时派遣人员参加的情况下,自行组织检验。</w:t>
      </w:r>
    </w:p>
    <w:bookmarkEnd w:id="219"/>
    <w:bookmarkEnd w:id="220"/>
    <w:bookmarkEnd w:id="221"/>
    <w:bookmarkEnd w:id="222"/>
    <w:p w14:paraId="77219133">
      <w:pPr>
        <w:pStyle w:val="7"/>
        <w:spacing w:line="360" w:lineRule="auto"/>
        <w:ind w:firstLine="0"/>
        <w:rPr>
          <w:rStyle w:val="20"/>
          <w:rFonts w:hint="eastAsia" w:asciiTheme="minorEastAsia" w:hAnsiTheme="minorEastAsia" w:eastAsiaTheme="minorEastAsia" w:cstheme="minorEastAsia"/>
          <w:b/>
          <w:color w:val="auto"/>
          <w:sz w:val="28"/>
          <w:szCs w:val="28"/>
          <w:highlight w:val="none"/>
        </w:rPr>
      </w:pPr>
      <w:r>
        <w:rPr>
          <w:rStyle w:val="20"/>
          <w:rFonts w:hint="eastAsia" w:asciiTheme="minorEastAsia" w:hAnsiTheme="minorEastAsia" w:eastAsiaTheme="minorEastAsia" w:cstheme="minorEastAsia"/>
          <w:b/>
          <w:color w:val="auto"/>
          <w:sz w:val="28"/>
          <w:szCs w:val="28"/>
          <w:highlight w:val="none"/>
        </w:rPr>
        <w:t>3  质量保证和试验</w:t>
      </w:r>
    </w:p>
    <w:p w14:paraId="1D20247C">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3.1 质量保证</w:t>
      </w:r>
    </w:p>
    <w:p w14:paraId="48938EDA">
      <w:pPr>
        <w:pStyle w:val="8"/>
        <w:tabs>
          <w:tab w:val="left" w:pos="600"/>
        </w:tabs>
        <w:snapToGrid w:val="0"/>
        <w:spacing w:line="360" w:lineRule="auto"/>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3.1.1投标人提供的产品除应满足本规范书外，还应在提供该产品的鉴定证书。</w:t>
      </w:r>
    </w:p>
    <w:p w14:paraId="1C3E8570">
      <w:pPr>
        <w:pStyle w:val="8"/>
        <w:tabs>
          <w:tab w:val="left" w:pos="600"/>
        </w:tabs>
        <w:snapToGrid w:val="0"/>
        <w:spacing w:line="360" w:lineRule="auto"/>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3.1.2投标人应保证制造过程中的所有工艺、材料试验等（包括投标人的外购件在内）均应符合本规范书的规定。若招标人根据运行经验指定投标人提供某种外购零部件，投标人应积极配合。</w:t>
      </w:r>
    </w:p>
    <w:p w14:paraId="2A9A1728">
      <w:pPr>
        <w:pStyle w:val="8"/>
        <w:tabs>
          <w:tab w:val="left" w:pos="600"/>
        </w:tabs>
        <w:snapToGrid w:val="0"/>
        <w:spacing w:line="360" w:lineRule="auto"/>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3.1.3附属及配套设备必须满足本规范书的有关规定及相关国家标准和行业标准的要求，并提供试验报告和产品合格证。</w:t>
      </w:r>
    </w:p>
    <w:p w14:paraId="56B4313B">
      <w:pPr>
        <w:pStyle w:val="8"/>
        <w:snapToGrid w:val="0"/>
        <w:spacing w:line="300" w:lineRule="auto"/>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3.2 试验条件</w:t>
      </w:r>
    </w:p>
    <w:p w14:paraId="690D9AAA">
      <w:pPr>
        <w:pStyle w:val="8"/>
        <w:snapToGrid w:val="0"/>
        <w:spacing w:line="300" w:lineRule="auto"/>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3.2.1除另有规定外，各项试验均应在规定的试验的标准大气条件下进行。</w:t>
      </w:r>
    </w:p>
    <w:p w14:paraId="7B65DFBC">
      <w:pPr>
        <w:pStyle w:val="8"/>
        <w:snapToGrid w:val="0"/>
        <w:spacing w:line="300" w:lineRule="auto"/>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3.2.2被试验装置和测试仪表必须良好接地，并考虑周围环境电磁干扰对测试结果的影响。</w:t>
      </w:r>
    </w:p>
    <w:p w14:paraId="6103E395">
      <w:pPr>
        <w:pStyle w:val="8"/>
        <w:snapToGrid w:val="0"/>
        <w:spacing w:line="300" w:lineRule="auto"/>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3.3  结构和外观检查</w:t>
      </w:r>
    </w:p>
    <w:p w14:paraId="0EB1AF04">
      <w:pPr>
        <w:pStyle w:val="8"/>
        <w:snapToGrid w:val="0"/>
        <w:spacing w:line="300" w:lineRule="auto"/>
        <w:jc w:val="left"/>
        <w:rPr>
          <w:rStyle w:val="20"/>
          <w:rFonts w:hint="eastAsia" w:asciiTheme="minorEastAsia" w:hAnsiTheme="minorEastAsia" w:eastAsiaTheme="minorEastAsia" w:cstheme="minorEastAsia"/>
          <w:snapToGrid w:val="0"/>
          <w:color w:val="auto"/>
          <w:sz w:val="24"/>
          <w:szCs w:val="24"/>
          <w:highlight w:val="none"/>
        </w:rPr>
      </w:pPr>
      <w:bookmarkStart w:id="223" w:name="_Toc511000560"/>
      <w:r>
        <w:rPr>
          <w:rStyle w:val="20"/>
          <w:rFonts w:hint="eastAsia" w:asciiTheme="minorEastAsia" w:hAnsiTheme="minorEastAsia" w:eastAsiaTheme="minorEastAsia" w:cstheme="minorEastAsia"/>
          <w:snapToGrid w:val="0"/>
          <w:color w:val="auto"/>
          <w:sz w:val="24"/>
          <w:szCs w:val="24"/>
          <w:highlight w:val="none"/>
        </w:rPr>
        <w:t>3.4安装、部署及试运行</w:t>
      </w:r>
      <w:bookmarkEnd w:id="223"/>
    </w:p>
    <w:p w14:paraId="7C68E852">
      <w:pPr>
        <w:pStyle w:val="8"/>
        <w:snapToGrid w:val="0"/>
        <w:spacing w:line="300" w:lineRule="auto"/>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3.4.1投标人应在应用系统开发完毕完成后，提出完整的试运行计划，包括实施方案、测试数据、关键用户、参与人员等。投标人必须与招标人确定上线试运行工作计划。</w:t>
      </w:r>
    </w:p>
    <w:p w14:paraId="2B82CE37">
      <w:pPr>
        <w:pStyle w:val="8"/>
        <w:snapToGrid w:val="0"/>
        <w:spacing w:line="300" w:lineRule="auto"/>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3.4.2投标人应和招标人的项目组成员一起，对试运行的结果进行详细记录，修正相应的硬件和软件缺陷。试运行通过后，双方项目经理签收完整的试运行报告，交给投标人。系统试运行切换到正式运行环境，完成功能验收。</w:t>
      </w:r>
    </w:p>
    <w:p w14:paraId="4CB27FFC">
      <w:pPr>
        <w:pStyle w:val="8"/>
        <w:snapToGrid w:val="0"/>
        <w:spacing w:line="300" w:lineRule="auto"/>
        <w:jc w:val="left"/>
        <w:rPr>
          <w:rStyle w:val="20"/>
          <w:rFonts w:hint="eastAsia" w:asciiTheme="minorEastAsia" w:hAnsiTheme="minorEastAsia" w:eastAsiaTheme="minorEastAsia" w:cstheme="minorEastAsia"/>
          <w:snapToGrid w:val="0"/>
          <w:color w:val="auto"/>
          <w:sz w:val="24"/>
          <w:szCs w:val="24"/>
          <w:highlight w:val="none"/>
        </w:rPr>
      </w:pPr>
      <w:bookmarkStart w:id="224" w:name="_Toc173553887"/>
      <w:bookmarkStart w:id="225" w:name="_Toc511000561"/>
      <w:r>
        <w:rPr>
          <w:rStyle w:val="20"/>
          <w:rFonts w:hint="eastAsia" w:asciiTheme="minorEastAsia" w:hAnsiTheme="minorEastAsia" w:eastAsiaTheme="minorEastAsia" w:cstheme="minorEastAsia"/>
          <w:snapToGrid w:val="0"/>
          <w:color w:val="auto"/>
          <w:sz w:val="24"/>
          <w:szCs w:val="24"/>
          <w:highlight w:val="none"/>
        </w:rPr>
        <w:t>3.5现场</w:t>
      </w:r>
      <w:bookmarkEnd w:id="224"/>
      <w:bookmarkEnd w:id="225"/>
      <w:r>
        <w:rPr>
          <w:rStyle w:val="20"/>
          <w:rFonts w:hint="eastAsia" w:asciiTheme="minorEastAsia" w:hAnsiTheme="minorEastAsia" w:eastAsiaTheme="minorEastAsia" w:cstheme="minorEastAsia"/>
          <w:snapToGrid w:val="0"/>
          <w:color w:val="auto"/>
          <w:sz w:val="24"/>
          <w:szCs w:val="24"/>
          <w:highlight w:val="none"/>
        </w:rPr>
        <w:t>试验及验收</w:t>
      </w:r>
    </w:p>
    <w:p w14:paraId="40D6FA51">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3.5.1现场试验：应包括装置试验、组屏后的屏柜试验、系统功能试验至系统指标试验，应包括以下试验项目，且不仅限于以下试验项目：</w:t>
      </w:r>
    </w:p>
    <w:p w14:paraId="6317D646">
      <w:pPr>
        <w:pStyle w:val="8"/>
        <w:snapToGrid w:val="0"/>
        <w:spacing w:line="500" w:lineRule="atLeast"/>
        <w:ind w:left="840" w:hanging="960" w:hangingChars="400"/>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(1) 屏柜试验(包括耐压试验、绝缘电阻测量、屏内接线检查等)。</w:t>
      </w:r>
    </w:p>
    <w:p w14:paraId="5F6D9BE5">
      <w:pPr>
        <w:pStyle w:val="8"/>
        <w:snapToGrid w:val="0"/>
        <w:spacing w:line="500" w:lineRule="atLeast"/>
        <w:ind w:left="840" w:hanging="960" w:hangingChars="400"/>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(2) 系统功能试验(包括标书描述的各项功能检查)。</w:t>
      </w:r>
    </w:p>
    <w:p w14:paraId="197E2212">
      <w:pPr>
        <w:pStyle w:val="8"/>
        <w:snapToGrid w:val="0"/>
        <w:spacing w:line="500" w:lineRule="atLeast"/>
        <w:ind w:left="840" w:hanging="960" w:hangingChars="400"/>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(3) 系统各功能满足标书要求。</w:t>
      </w:r>
    </w:p>
    <w:p w14:paraId="3DE22CEC">
      <w:pPr>
        <w:pStyle w:val="8"/>
        <w:snapToGrid w:val="0"/>
        <w:spacing w:line="500" w:lineRule="atLeast"/>
        <w:ind w:left="1065" w:leftChars="50" w:hanging="960" w:hangingChars="400"/>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(4) 系统各项指标满足标书要求。</w:t>
      </w:r>
    </w:p>
    <w:p w14:paraId="57A43070">
      <w:pPr>
        <w:pStyle w:val="8"/>
        <w:snapToGrid w:val="0"/>
        <w:spacing w:line="500" w:lineRule="atLeast"/>
        <w:ind w:left="1065" w:leftChars="50" w:hanging="960" w:hangingChars="400"/>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(5) 所有的硬件和软件缺陷已发现并改正。</w:t>
      </w:r>
    </w:p>
    <w:p w14:paraId="2856A964">
      <w:pPr>
        <w:pStyle w:val="8"/>
        <w:snapToGrid w:val="0"/>
        <w:spacing w:line="500" w:lineRule="atLeast"/>
        <w:ind w:left="1065" w:leftChars="50" w:hanging="960" w:hangingChars="400"/>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(6) 各项切换功能满足标书要求。</w:t>
      </w:r>
    </w:p>
    <w:p w14:paraId="23A8A83C">
      <w:pPr>
        <w:pStyle w:val="8"/>
        <w:snapToGrid w:val="0"/>
        <w:spacing w:line="500" w:lineRule="atLeast"/>
        <w:ind w:left="1065" w:leftChars="50" w:hanging="960" w:hangingChars="400"/>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(7) 所有自诊断功能有效。</w:t>
      </w:r>
    </w:p>
    <w:p w14:paraId="25E32255">
      <w:pPr>
        <w:pStyle w:val="8"/>
        <w:snapToGrid w:val="0"/>
        <w:spacing w:line="500" w:lineRule="atLeast"/>
        <w:ind w:left="1065" w:leftChars="50" w:hanging="960" w:hangingChars="400"/>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(8) 系统的稳定性满足标书要求。</w:t>
      </w:r>
    </w:p>
    <w:p w14:paraId="75E90DD3">
      <w:pPr>
        <w:pStyle w:val="8"/>
        <w:snapToGrid w:val="0"/>
        <w:spacing w:line="500" w:lineRule="atLeast"/>
        <w:ind w:left="1065" w:leftChars="50" w:hanging="960" w:hangingChars="400"/>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(9) 根据实情经双方协商认为需进行的试验。</w:t>
      </w:r>
    </w:p>
    <w:p w14:paraId="25A99CCC">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3.5.2投标人应根据标书的技术要求，完成试验报告。试验报告应包括以下项目，且不仅限于以下试验项目：</w:t>
      </w:r>
    </w:p>
    <w:p w14:paraId="691F2633">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(1)设备的编号、数量和出厂序号。</w:t>
      </w:r>
    </w:p>
    <w:p w14:paraId="43009077">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(2)试验日期和试验地点。</w:t>
      </w:r>
    </w:p>
    <w:p w14:paraId="3D3010E0">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(3)试验条件(包括环境温度、湿度、试验电源等)。</w:t>
      </w:r>
    </w:p>
    <w:p w14:paraId="5E330217">
      <w:pPr>
        <w:pStyle w:val="8"/>
        <w:snapToGrid w:val="0"/>
        <w:spacing w:line="500" w:lineRule="atLeast"/>
        <w:ind w:left="840" w:hanging="960" w:hangingChars="400"/>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(4)试验方法和试验仪器仪表(对于精度试验，应标明所使用的测试设备的精度)。</w:t>
      </w:r>
    </w:p>
    <w:p w14:paraId="7F605D43">
      <w:pPr>
        <w:pStyle w:val="8"/>
        <w:snapToGrid w:val="0"/>
        <w:spacing w:line="500" w:lineRule="atLeast"/>
        <w:ind w:firstLine="480" w:firstLineChars="200"/>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(5)试验依据的标准。如为厂家标准，应提交标准文本供招标人确认，是否满足标书要求。</w:t>
      </w:r>
    </w:p>
    <w:p w14:paraId="32369DA8">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(6)试验结果。</w:t>
      </w:r>
    </w:p>
    <w:p w14:paraId="1E07DE07">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(7)试验者和审批者的签名。</w:t>
      </w:r>
    </w:p>
    <w:p w14:paraId="7EC0ACBE">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3.5.3现场验收试验的时间和条件由招标人根据现场安装和调试的进度确定。招标人有责任指导和配合投标人完成现场安装和调试的各项工作，投标人应负责培训招标人专业人员，以掌握应用软件系统知识为培训目标。现场验收试验主要目的是检验系统的各项功能是否实现，系统的性能指标是否达到。</w:t>
      </w:r>
    </w:p>
    <w:p w14:paraId="53D41DC9">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3.5.3.1验收试验应该按最终规模进行，应该模拟预期的最大系统负荷。投标人应完成测试必要的电缆和光缆的联结，测试分三个部分，第一部分为现场试验项目的抽测，第二部分为系统试验，第三部分为系统稳定性试验。</w:t>
      </w:r>
    </w:p>
    <w:p w14:paraId="70B18A5D">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3.5.3.2第一部分现场试验项目的抽测项目由招标人参加验收人员在验收现场确定，若测试结果与工厂试验报告有较大出入，且投标人无法给招标人合理解释，招标人有权要求投标人重新进行有关测试，由此造成的工厂验收时间延长的责任和费用应由投标人承担。</w:t>
      </w:r>
    </w:p>
    <w:p w14:paraId="2B6CBDBD">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3.5.3.3第二部分系统试验主要包括以下试验项目，且不仅限于以下试验项目：</w:t>
      </w:r>
    </w:p>
    <w:p w14:paraId="64E4B51A">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(1)系统的人工启动和自启动试验。</w:t>
      </w:r>
    </w:p>
    <w:p w14:paraId="391EA9A8">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(2)网络通信测试。</w:t>
      </w:r>
    </w:p>
    <w:p w14:paraId="6D3EDDD7">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(3)告警系统测试(包括系统自诊断异常告警)。</w:t>
      </w:r>
    </w:p>
    <w:p w14:paraId="70FA9226">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(4)系统自诊断测试。</w:t>
      </w:r>
    </w:p>
    <w:p w14:paraId="0564E40C">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若系统的性能指标不满足标书要求，投标人应承诺在交货前改进，并在现场试验时验证，若仍不能满足要求，将按标书有关条款赔偿。</w:t>
      </w:r>
    </w:p>
    <w:p w14:paraId="2D122A80">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3.5.3.4第三部分系统稳定性试验在系统试验后进行，系统连续正常运行72小时视为合格，在此期间，应遵循以下原则：</w:t>
      </w:r>
    </w:p>
    <w:p w14:paraId="2D92FB8E">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(1)稳定试验运行期间，未经招标人同意，投标人对外围设备不应有任何调整。</w:t>
      </w:r>
    </w:p>
    <w:p w14:paraId="09A04065">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(2)没有招标人的事先同意，不能修改程序或进行系统维护。</w:t>
      </w:r>
    </w:p>
    <w:p w14:paraId="0AB1D9E0">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(3)有故障的设备将用备件代替，故障单元运行时间应该被扣除。</w:t>
      </w:r>
    </w:p>
    <w:p w14:paraId="3305767A">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(4)如果由于设备故障停止试验，该试验视为无效，试验应重新开始。</w:t>
      </w:r>
    </w:p>
    <w:p w14:paraId="6189AAC2">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(5)在试验过程的任何阶段，招标人可在系统上进行正常操作。</w:t>
      </w:r>
    </w:p>
    <w:p w14:paraId="4B396496">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 xml:space="preserve">    (6)若在稳定性试验期间，系统发生未经招标人认可的运行中断，则试验将重新开始，由此造成的验收时间延长的责任和费用应由投标人承担。</w:t>
      </w:r>
    </w:p>
    <w:p w14:paraId="2216FD09">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3.5.3.5 72小时稳定性试验结束后，标志现场验收试验结束，双方签字确认试验结果。</w:t>
      </w:r>
    </w:p>
    <w:p w14:paraId="6DEB4B1B">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3.5.3.6在试验和调试期间所有损坏的供货范围内设备，投标人应免费给予更换。</w:t>
      </w:r>
    </w:p>
    <w:p w14:paraId="19E820F7">
      <w:pPr>
        <w:pStyle w:val="8"/>
        <w:snapToGrid w:val="0"/>
        <w:spacing w:line="500" w:lineRule="atLeast"/>
        <w:jc w:val="left"/>
        <w:rPr>
          <w:rStyle w:val="20"/>
          <w:rFonts w:hint="eastAsia" w:asciiTheme="minorEastAsia" w:hAnsiTheme="minorEastAsia" w:eastAsiaTheme="minorEastAsia" w:cstheme="minorEastAsia"/>
          <w:snapToGrid w:val="0"/>
          <w:color w:val="auto"/>
          <w:sz w:val="24"/>
          <w:szCs w:val="24"/>
          <w:highlight w:val="none"/>
        </w:rPr>
      </w:pPr>
      <w:r>
        <w:rPr>
          <w:rStyle w:val="20"/>
          <w:rFonts w:hint="eastAsia" w:asciiTheme="minorEastAsia" w:hAnsiTheme="minorEastAsia" w:eastAsiaTheme="minorEastAsia" w:cstheme="minorEastAsia"/>
          <w:snapToGrid w:val="0"/>
          <w:color w:val="auto"/>
          <w:sz w:val="24"/>
          <w:szCs w:val="24"/>
          <w:highlight w:val="none"/>
        </w:rPr>
        <w:t>3.5.3.7现场验收试验结束后，投标人的现场技术人员应负责完整备份系统软件，并提供招标人。</w:t>
      </w:r>
    </w:p>
    <w:p w14:paraId="625C6413">
      <w:pPr>
        <w:pStyle w:val="8"/>
        <w:widowControl/>
        <w:jc w:val="left"/>
        <w:rPr>
          <w:rStyle w:val="20"/>
          <w:rFonts w:hint="eastAsia" w:asciiTheme="minorEastAsia" w:hAnsiTheme="minorEastAsia" w:eastAsiaTheme="minorEastAsia" w:cstheme="minorEastAsia"/>
          <w:snapToGrid w:val="0"/>
          <w:color w:val="auto"/>
          <w:sz w:val="24"/>
          <w:szCs w:val="24"/>
          <w:highlight w:val="none"/>
        </w:rPr>
        <w:sectPr>
          <w:endnotePr>
            <w:numFmt w:val="decimal"/>
          </w:endnotePr>
          <w:pgSz w:w="11907" w:h="16840"/>
          <w:pgMar w:top="1418" w:right="1531" w:bottom="1418" w:left="1701" w:header="851" w:footer="1021" w:gutter="0"/>
          <w:pgNumType w:fmt="decimal"/>
          <w:cols w:space="720" w:num="1"/>
        </w:sectPr>
      </w:pPr>
    </w:p>
    <w:p w14:paraId="5C16AB6E">
      <w:pPr>
        <w:pStyle w:val="38"/>
        <w:keepNext/>
        <w:keepLines/>
        <w:pageBreakBefore w:val="0"/>
        <w:widowControl w:val="0"/>
        <w:kinsoku/>
        <w:wordWrap/>
        <w:overflowPunct/>
        <w:topLinePunct w:val="0"/>
        <w:autoSpaceDE/>
        <w:autoSpaceDN/>
        <w:bidi w:val="0"/>
        <w:adjustRightInd/>
        <w:snapToGrid/>
        <w:spacing w:before="0" w:after="0" w:line="360" w:lineRule="auto"/>
        <w:textAlignment w:val="auto"/>
        <w:rPr>
          <w:rStyle w:val="20"/>
          <w:b/>
          <w:bCs/>
          <w:color w:val="auto"/>
          <w:sz w:val="30"/>
          <w:szCs w:val="30"/>
          <w:highlight w:val="none"/>
        </w:rPr>
      </w:pPr>
      <w:bookmarkStart w:id="226" w:name="_Toc488922627"/>
      <w:bookmarkStart w:id="227" w:name="_Toc515708315"/>
      <w:bookmarkStart w:id="228" w:name="_Toc8229"/>
      <w:bookmarkStart w:id="229" w:name="_Toc8708"/>
      <w:bookmarkStart w:id="230" w:name="_Toc515705620"/>
      <w:bookmarkStart w:id="231" w:name="_Toc23589"/>
      <w:bookmarkStart w:id="232" w:name="_Toc5979"/>
      <w:bookmarkStart w:id="233" w:name="_Toc286159474"/>
      <w:bookmarkStart w:id="234" w:name="_Toc515332013"/>
      <w:bookmarkStart w:id="235" w:name="_Toc515622054"/>
      <w:bookmarkStart w:id="236" w:name="_Toc12794"/>
      <w:bookmarkStart w:id="237" w:name="_Toc515727599"/>
      <w:bookmarkStart w:id="238" w:name="_Toc515785184"/>
      <w:bookmarkStart w:id="239" w:name="_Toc515335072"/>
      <w:bookmarkStart w:id="240" w:name="_Toc57640864"/>
      <w:bookmarkStart w:id="241" w:name="_Toc515697899"/>
      <w:bookmarkStart w:id="242" w:name="_Toc2954"/>
      <w:r>
        <w:rPr>
          <w:rStyle w:val="20"/>
          <w:rFonts w:hint="eastAsia"/>
          <w:b/>
          <w:bCs/>
          <w:color w:val="auto"/>
          <w:sz w:val="30"/>
          <w:szCs w:val="30"/>
          <w:highlight w:val="none"/>
        </w:rPr>
        <w:t>附件</w:t>
      </w:r>
      <w:bookmarkEnd w:id="226"/>
      <w:bookmarkStart w:id="243" w:name="_Hlt515349331"/>
      <w:bookmarkEnd w:id="243"/>
      <w:r>
        <w:rPr>
          <w:rStyle w:val="20"/>
          <w:rFonts w:hint="eastAsia"/>
          <w:b/>
          <w:bCs/>
          <w:color w:val="auto"/>
          <w:sz w:val="30"/>
          <w:szCs w:val="30"/>
          <w:highlight w:val="none"/>
        </w:rPr>
        <w:t>6 技术服务和联络</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Start w:id="244" w:name="_Toc515785185"/>
      <w:bookmarkStart w:id="245" w:name="_Toc515705621"/>
      <w:bookmarkStart w:id="246" w:name="_Toc515697900"/>
      <w:bookmarkStart w:id="247" w:name="_Toc515708316"/>
      <w:bookmarkStart w:id="248" w:name="_Toc515727600"/>
    </w:p>
    <w:p w14:paraId="4496F1CB">
      <w:pPr>
        <w:pStyle w:val="7"/>
        <w:spacing w:line="360" w:lineRule="auto"/>
        <w:rPr>
          <w:rStyle w:val="20"/>
          <w:rFonts w:hint="eastAsia" w:asciiTheme="minorEastAsia" w:hAnsiTheme="minorEastAsia" w:eastAsiaTheme="minorEastAsia" w:cstheme="minorEastAsia"/>
          <w:b/>
          <w:bCs/>
          <w:color w:val="auto"/>
          <w:sz w:val="28"/>
          <w:szCs w:val="28"/>
          <w:highlight w:val="none"/>
        </w:rPr>
      </w:pPr>
      <w:bookmarkStart w:id="249" w:name="_Toc20069"/>
      <w:bookmarkStart w:id="250" w:name="_Toc9507"/>
      <w:r>
        <w:rPr>
          <w:rStyle w:val="20"/>
          <w:rFonts w:hint="eastAsia" w:asciiTheme="minorEastAsia" w:hAnsiTheme="minorEastAsia" w:eastAsiaTheme="minorEastAsia" w:cstheme="minorEastAsia"/>
          <w:b/>
          <w:bCs/>
          <w:color w:val="auto"/>
          <w:sz w:val="28"/>
          <w:szCs w:val="28"/>
          <w:highlight w:val="none"/>
        </w:rPr>
        <w:t>1  投标人现场技术服务</w:t>
      </w:r>
      <w:bookmarkEnd w:id="249"/>
      <w:bookmarkEnd w:id="250"/>
    </w:p>
    <w:p w14:paraId="7025127E">
      <w:pPr>
        <w:pStyle w:val="7"/>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1.1  投标人现场服务人员的目的是使所供设备安全、正常投运。投标人要派合格的现场服务人员。在投标阶段应提供包括服务人月数的现场服务计划表（格式）。如果此人月数不能满足工程需要，投标人要求追加人月数，且不发生费用。</w:t>
      </w:r>
    </w:p>
    <w:p w14:paraId="021675E7">
      <w:pPr>
        <w:pStyle w:val="7"/>
        <w:spacing w:line="360" w:lineRule="auto"/>
        <w:jc w:val="center"/>
        <w:rPr>
          <w:rStyle w:val="20"/>
          <w:rFonts w:hAnsi="宋体"/>
          <w:color w:val="auto"/>
          <w:szCs w:val="24"/>
          <w:highlight w:val="none"/>
        </w:rPr>
      </w:pPr>
      <w:r>
        <w:rPr>
          <w:rStyle w:val="20"/>
          <w:rFonts w:hint="eastAsia" w:hAnsi="宋体"/>
          <w:color w:val="auto"/>
          <w:szCs w:val="24"/>
          <w:highlight w:val="none"/>
        </w:rPr>
        <w:t>现场服务计划表</w:t>
      </w:r>
    </w:p>
    <w:tbl>
      <w:tblPr>
        <w:tblStyle w:val="19"/>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009"/>
        <w:gridCol w:w="2586"/>
        <w:gridCol w:w="1510"/>
        <w:gridCol w:w="1310"/>
        <w:gridCol w:w="1310"/>
        <w:gridCol w:w="1006"/>
      </w:tblGrid>
      <w:tr w14:paraId="485DE9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1009" w:type="dxa"/>
            <w:vMerge w:val="restart"/>
            <w:tcBorders>
              <w:top w:val="single" w:color="auto" w:sz="6" w:space="0"/>
              <w:left w:val="single" w:color="auto" w:sz="6" w:space="0"/>
              <w:bottom w:val="single" w:color="auto" w:sz="6" w:space="0"/>
              <w:right w:val="single" w:color="auto" w:sz="6" w:space="0"/>
            </w:tcBorders>
            <w:noWrap w:val="0"/>
            <w:vAlign w:val="center"/>
          </w:tcPr>
          <w:p w14:paraId="3D0230BF">
            <w:pPr>
              <w:pStyle w:val="8"/>
              <w:widowControl w:val="0"/>
              <w:tabs>
                <w:tab w:val="left" w:pos="240"/>
                <w:tab w:val="left" w:pos="600"/>
                <w:tab w:val="left" w:pos="840"/>
              </w:tabs>
              <w:spacing w:line="360" w:lineRule="auto"/>
              <w:jc w:val="center"/>
              <w:rPr>
                <w:rStyle w:val="20"/>
                <w:rFonts w:ascii="Calibri" w:hAnsi="Times New Roman" w:eastAsia="宋体"/>
                <w:color w:val="auto"/>
                <w:kern w:val="2"/>
                <w:sz w:val="21"/>
                <w:szCs w:val="24"/>
                <w:highlight w:val="none"/>
                <w:lang w:val="en-US" w:eastAsia="zh-CN" w:bidi="ar-SA"/>
              </w:rPr>
            </w:pPr>
            <w:r>
              <w:rPr>
                <w:rStyle w:val="20"/>
                <w:rFonts w:hint="eastAsia" w:ascii="Calibri" w:hAnsi="宋体" w:eastAsia="宋体"/>
                <w:color w:val="auto"/>
                <w:kern w:val="2"/>
                <w:sz w:val="21"/>
                <w:szCs w:val="22"/>
                <w:highlight w:val="none"/>
                <w:lang w:val="en-US" w:eastAsia="zh-CN" w:bidi="ar-SA"/>
              </w:rPr>
              <w:t>序号</w:t>
            </w:r>
          </w:p>
        </w:tc>
        <w:tc>
          <w:tcPr>
            <w:tcW w:w="2586" w:type="dxa"/>
            <w:vMerge w:val="restart"/>
            <w:tcBorders>
              <w:top w:val="single" w:color="auto" w:sz="6" w:space="0"/>
              <w:left w:val="nil"/>
              <w:bottom w:val="single" w:color="auto" w:sz="6" w:space="0"/>
              <w:right w:val="single" w:color="auto" w:sz="6" w:space="0"/>
            </w:tcBorders>
            <w:noWrap w:val="0"/>
            <w:vAlign w:val="center"/>
          </w:tcPr>
          <w:p w14:paraId="1E156F14">
            <w:pPr>
              <w:pStyle w:val="8"/>
              <w:widowControl w:val="0"/>
              <w:tabs>
                <w:tab w:val="left" w:pos="-3598"/>
              </w:tabs>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技术服务内容</w:t>
            </w:r>
          </w:p>
        </w:tc>
        <w:tc>
          <w:tcPr>
            <w:tcW w:w="1510" w:type="dxa"/>
            <w:vMerge w:val="restart"/>
            <w:tcBorders>
              <w:top w:val="single" w:color="auto" w:sz="6" w:space="0"/>
              <w:left w:val="nil"/>
              <w:bottom w:val="single" w:color="auto" w:sz="6" w:space="0"/>
              <w:right w:val="single" w:color="auto" w:sz="6" w:space="0"/>
            </w:tcBorders>
            <w:noWrap w:val="0"/>
            <w:vAlign w:val="center"/>
          </w:tcPr>
          <w:p w14:paraId="2FE59E7A">
            <w:pPr>
              <w:pStyle w:val="8"/>
              <w:widowControl w:val="0"/>
              <w:spacing w:line="360" w:lineRule="auto"/>
              <w:jc w:val="both"/>
              <w:rPr>
                <w:rStyle w:val="20"/>
                <w:rFonts w:ascii="Calibri" w:hAnsi="Calibri" w:eastAsia="宋体"/>
                <w:color w:val="auto"/>
                <w:kern w:val="2"/>
                <w:sz w:val="21"/>
                <w:szCs w:val="22"/>
                <w:highlight w:val="none"/>
                <w:lang w:val="en-US" w:eastAsia="zh-CN" w:bidi="ar-SA"/>
              </w:rPr>
            </w:pPr>
            <w:bookmarkStart w:id="251" w:name="_Toc485736316"/>
            <w:bookmarkStart w:id="252" w:name="_Toc485736241"/>
            <w:r>
              <w:rPr>
                <w:rStyle w:val="20"/>
                <w:rFonts w:hint="eastAsia" w:ascii="Calibri" w:hAnsi="Calibri" w:eastAsia="宋体"/>
                <w:color w:val="auto"/>
                <w:kern w:val="2"/>
                <w:sz w:val="21"/>
                <w:szCs w:val="22"/>
                <w:highlight w:val="none"/>
                <w:lang w:val="en-US" w:eastAsia="zh-CN" w:bidi="ar-SA"/>
              </w:rPr>
              <w:t>计划人日数</w:t>
            </w:r>
            <w:bookmarkEnd w:id="251"/>
            <w:bookmarkEnd w:id="252"/>
          </w:p>
        </w:tc>
        <w:tc>
          <w:tcPr>
            <w:tcW w:w="2620" w:type="dxa"/>
            <w:gridSpan w:val="2"/>
            <w:tcBorders>
              <w:top w:val="single" w:color="auto" w:sz="6" w:space="0"/>
              <w:left w:val="nil"/>
              <w:bottom w:val="single" w:color="auto" w:sz="6" w:space="0"/>
              <w:right w:val="nil"/>
            </w:tcBorders>
            <w:noWrap w:val="0"/>
            <w:vAlign w:val="center"/>
          </w:tcPr>
          <w:p w14:paraId="4350B297">
            <w:pPr>
              <w:pStyle w:val="8"/>
              <w:widowControl w:val="0"/>
              <w:tabs>
                <w:tab w:val="left" w:pos="240"/>
                <w:tab w:val="left" w:pos="600"/>
                <w:tab w:val="left" w:pos="840"/>
              </w:tabs>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派出人员构成</w:t>
            </w:r>
          </w:p>
        </w:tc>
        <w:tc>
          <w:tcPr>
            <w:tcW w:w="1006" w:type="dxa"/>
            <w:vMerge w:val="restart"/>
            <w:tcBorders>
              <w:top w:val="single" w:color="auto" w:sz="6" w:space="0"/>
              <w:left w:val="single" w:color="auto" w:sz="6" w:space="0"/>
              <w:bottom w:val="single" w:color="auto" w:sz="6" w:space="0"/>
              <w:right w:val="single" w:color="auto" w:sz="6" w:space="0"/>
            </w:tcBorders>
            <w:noWrap w:val="0"/>
            <w:vAlign w:val="center"/>
          </w:tcPr>
          <w:p w14:paraId="7B028013">
            <w:pPr>
              <w:pStyle w:val="8"/>
              <w:widowControl w:val="0"/>
              <w:tabs>
                <w:tab w:val="left" w:pos="240"/>
                <w:tab w:val="left" w:pos="600"/>
                <w:tab w:val="left" w:pos="840"/>
              </w:tabs>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备注</w:t>
            </w:r>
          </w:p>
        </w:tc>
      </w:tr>
      <w:tr w14:paraId="746429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1009" w:type="dxa"/>
            <w:vMerge w:val="continue"/>
            <w:tcBorders>
              <w:top w:val="single" w:color="auto" w:sz="6" w:space="0"/>
              <w:left w:val="single" w:color="auto" w:sz="6" w:space="0"/>
              <w:bottom w:val="single" w:color="auto" w:sz="6" w:space="0"/>
              <w:right w:val="single" w:color="auto" w:sz="6" w:space="0"/>
            </w:tcBorders>
            <w:noWrap w:val="0"/>
            <w:vAlign w:val="center"/>
          </w:tcPr>
          <w:p w14:paraId="0A7C0000">
            <w:pPr>
              <w:pStyle w:val="8"/>
              <w:widowControl/>
              <w:jc w:val="left"/>
              <w:rPr>
                <w:rStyle w:val="20"/>
                <w:rFonts w:ascii="Calibri" w:hAnsi="Calibri" w:eastAsia="宋体"/>
                <w:color w:val="auto"/>
                <w:kern w:val="2"/>
                <w:sz w:val="24"/>
                <w:szCs w:val="24"/>
                <w:highlight w:val="none"/>
                <w:lang w:val="en-US" w:eastAsia="zh-CN" w:bidi="ar-SA"/>
              </w:rPr>
            </w:pPr>
          </w:p>
        </w:tc>
        <w:tc>
          <w:tcPr>
            <w:tcW w:w="2586" w:type="dxa"/>
            <w:vMerge w:val="continue"/>
            <w:tcBorders>
              <w:top w:val="single" w:color="auto" w:sz="6" w:space="0"/>
              <w:left w:val="nil"/>
              <w:bottom w:val="single" w:color="auto" w:sz="6" w:space="0"/>
              <w:right w:val="single" w:color="auto" w:sz="6" w:space="0"/>
            </w:tcBorders>
            <w:noWrap w:val="0"/>
            <w:vAlign w:val="center"/>
          </w:tcPr>
          <w:p w14:paraId="25A41629">
            <w:pPr>
              <w:pStyle w:val="8"/>
              <w:widowControl/>
              <w:jc w:val="left"/>
              <w:rPr>
                <w:rStyle w:val="20"/>
                <w:rFonts w:ascii="Calibri" w:hAnsi="Calibri" w:eastAsia="宋体"/>
                <w:color w:val="auto"/>
                <w:kern w:val="2"/>
                <w:sz w:val="24"/>
                <w:szCs w:val="24"/>
                <w:highlight w:val="none"/>
                <w:lang w:val="en-US" w:eastAsia="zh-CN" w:bidi="ar-SA"/>
              </w:rPr>
            </w:pPr>
          </w:p>
        </w:tc>
        <w:tc>
          <w:tcPr>
            <w:tcW w:w="1510" w:type="dxa"/>
            <w:vMerge w:val="continue"/>
            <w:tcBorders>
              <w:top w:val="single" w:color="auto" w:sz="6" w:space="0"/>
              <w:left w:val="nil"/>
              <w:bottom w:val="single" w:color="auto" w:sz="6" w:space="0"/>
              <w:right w:val="single" w:color="auto" w:sz="6" w:space="0"/>
            </w:tcBorders>
            <w:noWrap w:val="0"/>
            <w:vAlign w:val="center"/>
          </w:tcPr>
          <w:p w14:paraId="118D6C31">
            <w:pPr>
              <w:pStyle w:val="8"/>
              <w:widowControl/>
              <w:jc w:val="left"/>
              <w:rPr>
                <w:rStyle w:val="20"/>
                <w:rFonts w:ascii="Calibri" w:hAnsi="Calibri" w:eastAsia="宋体"/>
                <w:color w:val="auto"/>
                <w:kern w:val="2"/>
                <w:sz w:val="24"/>
                <w:szCs w:val="24"/>
                <w:highlight w:val="none"/>
                <w:lang w:val="en-US" w:eastAsia="zh-CN" w:bidi="ar-SA"/>
              </w:rPr>
            </w:pPr>
          </w:p>
        </w:tc>
        <w:tc>
          <w:tcPr>
            <w:tcW w:w="1310" w:type="dxa"/>
            <w:tcBorders>
              <w:top w:val="nil"/>
              <w:left w:val="nil"/>
              <w:bottom w:val="single" w:color="000000" w:sz="6" w:space="0"/>
              <w:right w:val="single" w:color="000000" w:sz="6" w:space="0"/>
            </w:tcBorders>
            <w:noWrap w:val="0"/>
            <w:vAlign w:val="center"/>
          </w:tcPr>
          <w:p w14:paraId="61D216EB">
            <w:pPr>
              <w:pStyle w:val="8"/>
              <w:widowControl w:val="0"/>
              <w:tabs>
                <w:tab w:val="left" w:pos="240"/>
                <w:tab w:val="left" w:pos="600"/>
                <w:tab w:val="left" w:pos="840"/>
              </w:tabs>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职称</w:t>
            </w:r>
          </w:p>
        </w:tc>
        <w:tc>
          <w:tcPr>
            <w:tcW w:w="1310" w:type="dxa"/>
            <w:tcBorders>
              <w:top w:val="nil"/>
              <w:left w:val="single" w:color="000000" w:sz="6" w:space="0"/>
              <w:bottom w:val="single" w:color="000000" w:sz="6" w:space="0"/>
              <w:right w:val="nil"/>
            </w:tcBorders>
            <w:noWrap w:val="0"/>
            <w:vAlign w:val="top"/>
          </w:tcPr>
          <w:p w14:paraId="2C3CE0B9">
            <w:pPr>
              <w:pStyle w:val="8"/>
              <w:widowControl w:val="0"/>
              <w:tabs>
                <w:tab w:val="left" w:pos="240"/>
                <w:tab w:val="left" w:pos="600"/>
                <w:tab w:val="left" w:pos="840"/>
              </w:tabs>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宋体" w:eastAsia="宋体"/>
                <w:color w:val="auto"/>
                <w:kern w:val="2"/>
                <w:sz w:val="21"/>
                <w:szCs w:val="22"/>
                <w:highlight w:val="none"/>
                <w:lang w:val="en-US" w:eastAsia="zh-CN" w:bidi="ar-SA"/>
              </w:rPr>
              <w:t>人数</w:t>
            </w:r>
          </w:p>
        </w:tc>
        <w:tc>
          <w:tcPr>
            <w:tcW w:w="1006" w:type="dxa"/>
            <w:vMerge w:val="continue"/>
            <w:tcBorders>
              <w:top w:val="single" w:color="auto" w:sz="6" w:space="0"/>
              <w:left w:val="single" w:color="auto" w:sz="6" w:space="0"/>
              <w:bottom w:val="single" w:color="auto" w:sz="6" w:space="0"/>
              <w:right w:val="single" w:color="auto" w:sz="6" w:space="0"/>
            </w:tcBorders>
            <w:noWrap w:val="0"/>
            <w:vAlign w:val="center"/>
          </w:tcPr>
          <w:p w14:paraId="02AA0571">
            <w:pPr>
              <w:pStyle w:val="8"/>
              <w:widowControl/>
              <w:jc w:val="left"/>
              <w:rPr>
                <w:rStyle w:val="20"/>
                <w:rFonts w:ascii="Calibri" w:hAnsi="Calibri" w:eastAsia="宋体"/>
                <w:color w:val="auto"/>
                <w:kern w:val="2"/>
                <w:sz w:val="24"/>
                <w:szCs w:val="24"/>
                <w:highlight w:val="none"/>
                <w:lang w:val="en-US" w:eastAsia="zh-CN" w:bidi="ar-SA"/>
              </w:rPr>
            </w:pPr>
          </w:p>
        </w:tc>
      </w:tr>
      <w:tr w14:paraId="44F14B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009" w:type="dxa"/>
            <w:tcBorders>
              <w:top w:val="nil"/>
              <w:left w:val="single" w:color="000000" w:sz="6" w:space="0"/>
              <w:bottom w:val="single" w:color="000000" w:sz="6" w:space="0"/>
              <w:right w:val="single" w:color="000000" w:sz="6" w:space="0"/>
            </w:tcBorders>
            <w:noWrap w:val="0"/>
            <w:vAlign w:val="center"/>
          </w:tcPr>
          <w:p w14:paraId="28405004">
            <w:pPr>
              <w:pStyle w:val="8"/>
              <w:widowControl w:val="0"/>
              <w:tabs>
                <w:tab w:val="left" w:pos="240"/>
                <w:tab w:val="left" w:pos="600"/>
                <w:tab w:val="left" w:pos="840"/>
              </w:tabs>
              <w:spacing w:line="360" w:lineRule="auto"/>
              <w:jc w:val="center"/>
              <w:rPr>
                <w:rStyle w:val="20"/>
                <w:rFonts w:ascii="Calibri" w:hAnsi="Calibri" w:eastAsia="宋体"/>
                <w:color w:val="auto"/>
                <w:kern w:val="2"/>
                <w:sz w:val="21"/>
                <w:szCs w:val="22"/>
                <w:highlight w:val="none"/>
                <w:lang w:val="en-US" w:eastAsia="zh-CN" w:bidi="ar-SA"/>
              </w:rPr>
            </w:pPr>
            <w:r>
              <w:rPr>
                <w:rStyle w:val="20"/>
                <w:rFonts w:ascii="Calibri" w:hAnsi="Calibri" w:eastAsia="宋体"/>
                <w:color w:val="auto"/>
                <w:kern w:val="2"/>
                <w:sz w:val="21"/>
                <w:szCs w:val="22"/>
                <w:highlight w:val="none"/>
                <w:lang w:val="en-US" w:eastAsia="zh-CN" w:bidi="ar-SA"/>
              </w:rPr>
              <w:t>1</w:t>
            </w:r>
          </w:p>
        </w:tc>
        <w:tc>
          <w:tcPr>
            <w:tcW w:w="2586" w:type="dxa"/>
            <w:tcBorders>
              <w:top w:val="nil"/>
              <w:left w:val="single" w:color="000000" w:sz="6" w:space="0"/>
              <w:bottom w:val="single" w:color="000000" w:sz="6" w:space="0"/>
              <w:right w:val="single" w:color="000000" w:sz="6" w:space="0"/>
            </w:tcBorders>
            <w:noWrap w:val="0"/>
            <w:vAlign w:val="center"/>
          </w:tcPr>
          <w:p w14:paraId="0611B124">
            <w:pPr>
              <w:pStyle w:val="8"/>
              <w:widowControl w:val="0"/>
              <w:tabs>
                <w:tab w:val="left" w:pos="-3598"/>
              </w:tabs>
              <w:spacing w:line="360" w:lineRule="auto"/>
              <w:jc w:val="center"/>
              <w:rPr>
                <w:rStyle w:val="20"/>
                <w:rFonts w:ascii="宋体" w:hAnsi="宋体" w:eastAsia="宋体"/>
                <w:color w:val="auto"/>
                <w:kern w:val="2"/>
                <w:sz w:val="21"/>
                <w:szCs w:val="22"/>
                <w:highlight w:val="none"/>
                <w:lang w:val="en-US" w:eastAsia="zh-CN" w:bidi="ar-SA"/>
              </w:rPr>
            </w:pPr>
          </w:p>
        </w:tc>
        <w:tc>
          <w:tcPr>
            <w:tcW w:w="1510" w:type="dxa"/>
            <w:tcBorders>
              <w:top w:val="nil"/>
              <w:left w:val="single" w:color="000000" w:sz="6" w:space="0"/>
              <w:bottom w:val="single" w:color="000000" w:sz="6" w:space="0"/>
              <w:right w:val="single" w:color="000000" w:sz="6" w:space="0"/>
            </w:tcBorders>
            <w:noWrap w:val="0"/>
            <w:vAlign w:val="bottom"/>
          </w:tcPr>
          <w:p w14:paraId="2AF30813">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310" w:type="dxa"/>
            <w:tcBorders>
              <w:top w:val="single" w:color="000000" w:sz="6" w:space="0"/>
              <w:left w:val="single" w:color="000000" w:sz="6" w:space="0"/>
              <w:bottom w:val="single" w:color="000000" w:sz="6" w:space="0"/>
              <w:right w:val="single" w:color="000000" w:sz="6" w:space="0"/>
            </w:tcBorders>
            <w:noWrap w:val="0"/>
            <w:vAlign w:val="center"/>
          </w:tcPr>
          <w:p w14:paraId="4F661F13">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310" w:type="dxa"/>
            <w:tcBorders>
              <w:top w:val="single" w:color="000000" w:sz="6" w:space="0"/>
              <w:left w:val="single" w:color="000000" w:sz="6" w:space="0"/>
              <w:bottom w:val="single" w:color="000000" w:sz="6" w:space="0"/>
              <w:right w:val="single" w:color="000000" w:sz="6" w:space="0"/>
            </w:tcBorders>
            <w:noWrap w:val="0"/>
            <w:vAlign w:val="center"/>
          </w:tcPr>
          <w:p w14:paraId="54A69CEF">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006" w:type="dxa"/>
            <w:tcBorders>
              <w:top w:val="nil"/>
              <w:left w:val="single" w:color="000000" w:sz="6" w:space="0"/>
              <w:bottom w:val="single" w:color="000000" w:sz="6" w:space="0"/>
              <w:right w:val="single" w:color="000000" w:sz="6" w:space="0"/>
            </w:tcBorders>
            <w:noWrap w:val="0"/>
            <w:vAlign w:val="top"/>
          </w:tcPr>
          <w:p w14:paraId="4CF8FAA5">
            <w:pPr>
              <w:pStyle w:val="8"/>
              <w:widowControl w:val="0"/>
              <w:tabs>
                <w:tab w:val="left" w:pos="240"/>
                <w:tab w:val="left" w:pos="600"/>
                <w:tab w:val="left" w:pos="840"/>
              </w:tabs>
              <w:spacing w:line="360" w:lineRule="auto"/>
              <w:jc w:val="center"/>
              <w:rPr>
                <w:rStyle w:val="20"/>
                <w:rFonts w:hint="eastAsia" w:ascii="Times New Roman" w:hAnsi="Times New Roman" w:eastAsia="宋体"/>
                <w:color w:val="auto"/>
                <w:kern w:val="2"/>
                <w:sz w:val="21"/>
                <w:szCs w:val="22"/>
                <w:highlight w:val="none"/>
                <w:lang w:val="en-US" w:eastAsia="zh-CN" w:bidi="ar-SA"/>
              </w:rPr>
            </w:pPr>
          </w:p>
        </w:tc>
      </w:tr>
      <w:tr w14:paraId="29E05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009" w:type="dxa"/>
            <w:tcBorders>
              <w:top w:val="nil"/>
              <w:left w:val="single" w:color="000000" w:sz="6" w:space="0"/>
              <w:bottom w:val="single" w:color="000000" w:sz="6" w:space="0"/>
              <w:right w:val="single" w:color="000000" w:sz="6" w:space="0"/>
            </w:tcBorders>
            <w:noWrap w:val="0"/>
            <w:vAlign w:val="center"/>
          </w:tcPr>
          <w:p w14:paraId="7CCC042C">
            <w:pPr>
              <w:pStyle w:val="8"/>
              <w:widowControl w:val="0"/>
              <w:tabs>
                <w:tab w:val="left" w:pos="240"/>
                <w:tab w:val="left" w:pos="600"/>
                <w:tab w:val="left" w:pos="840"/>
              </w:tabs>
              <w:spacing w:line="360" w:lineRule="auto"/>
              <w:jc w:val="center"/>
              <w:rPr>
                <w:rStyle w:val="20"/>
                <w:rFonts w:ascii="Calibri" w:hAnsi="Calibri" w:eastAsia="宋体"/>
                <w:color w:val="auto"/>
                <w:kern w:val="2"/>
                <w:sz w:val="21"/>
                <w:szCs w:val="22"/>
                <w:highlight w:val="none"/>
                <w:lang w:val="en-US" w:eastAsia="zh-CN" w:bidi="ar-SA"/>
              </w:rPr>
            </w:pPr>
            <w:r>
              <w:rPr>
                <w:rStyle w:val="20"/>
                <w:rFonts w:ascii="Calibri" w:hAnsi="Calibri" w:eastAsia="宋体"/>
                <w:color w:val="auto"/>
                <w:kern w:val="2"/>
                <w:sz w:val="21"/>
                <w:szCs w:val="22"/>
                <w:highlight w:val="none"/>
                <w:lang w:val="en-US" w:eastAsia="zh-CN" w:bidi="ar-SA"/>
              </w:rPr>
              <w:t>2</w:t>
            </w:r>
          </w:p>
        </w:tc>
        <w:tc>
          <w:tcPr>
            <w:tcW w:w="2586" w:type="dxa"/>
            <w:tcBorders>
              <w:top w:val="nil"/>
              <w:left w:val="single" w:color="000000" w:sz="6" w:space="0"/>
              <w:bottom w:val="single" w:color="000000" w:sz="6" w:space="0"/>
              <w:right w:val="single" w:color="000000" w:sz="6" w:space="0"/>
            </w:tcBorders>
            <w:noWrap w:val="0"/>
            <w:vAlign w:val="center"/>
          </w:tcPr>
          <w:p w14:paraId="04754F36">
            <w:pPr>
              <w:pStyle w:val="8"/>
              <w:widowControl w:val="0"/>
              <w:tabs>
                <w:tab w:val="left" w:pos="-3598"/>
              </w:tabs>
              <w:spacing w:line="360" w:lineRule="auto"/>
              <w:jc w:val="center"/>
              <w:rPr>
                <w:rStyle w:val="20"/>
                <w:rFonts w:ascii="宋体" w:hAnsi="宋体" w:eastAsia="宋体"/>
                <w:color w:val="auto"/>
                <w:kern w:val="2"/>
                <w:sz w:val="21"/>
                <w:szCs w:val="22"/>
                <w:highlight w:val="none"/>
                <w:lang w:val="en-US" w:eastAsia="zh-CN" w:bidi="ar-SA"/>
              </w:rPr>
            </w:pPr>
          </w:p>
        </w:tc>
        <w:tc>
          <w:tcPr>
            <w:tcW w:w="1510" w:type="dxa"/>
            <w:tcBorders>
              <w:top w:val="nil"/>
              <w:left w:val="single" w:color="000000" w:sz="6" w:space="0"/>
              <w:bottom w:val="single" w:color="000000" w:sz="6" w:space="0"/>
              <w:right w:val="single" w:color="000000" w:sz="6" w:space="0"/>
            </w:tcBorders>
            <w:noWrap w:val="0"/>
            <w:vAlign w:val="center"/>
          </w:tcPr>
          <w:p w14:paraId="15940909">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310" w:type="dxa"/>
            <w:tcBorders>
              <w:top w:val="single" w:color="000000" w:sz="6" w:space="0"/>
              <w:left w:val="single" w:color="000000" w:sz="6" w:space="0"/>
              <w:bottom w:val="single" w:color="000000" w:sz="6" w:space="0"/>
              <w:right w:val="single" w:color="000000" w:sz="6" w:space="0"/>
            </w:tcBorders>
            <w:noWrap w:val="0"/>
            <w:vAlign w:val="center"/>
          </w:tcPr>
          <w:p w14:paraId="7A274605">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310" w:type="dxa"/>
            <w:tcBorders>
              <w:top w:val="single" w:color="000000" w:sz="6" w:space="0"/>
              <w:left w:val="single" w:color="000000" w:sz="6" w:space="0"/>
              <w:bottom w:val="single" w:color="000000" w:sz="6" w:space="0"/>
              <w:right w:val="single" w:color="000000" w:sz="6" w:space="0"/>
            </w:tcBorders>
            <w:noWrap w:val="0"/>
            <w:vAlign w:val="center"/>
          </w:tcPr>
          <w:p w14:paraId="05264A3C">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006" w:type="dxa"/>
            <w:tcBorders>
              <w:top w:val="nil"/>
              <w:left w:val="single" w:color="000000" w:sz="6" w:space="0"/>
              <w:bottom w:val="single" w:color="000000" w:sz="6" w:space="0"/>
              <w:right w:val="single" w:color="000000" w:sz="6" w:space="0"/>
            </w:tcBorders>
            <w:noWrap w:val="0"/>
            <w:vAlign w:val="top"/>
          </w:tcPr>
          <w:p w14:paraId="597ECF45">
            <w:pPr>
              <w:pStyle w:val="8"/>
              <w:widowControl w:val="0"/>
              <w:tabs>
                <w:tab w:val="left" w:pos="240"/>
                <w:tab w:val="left" w:pos="600"/>
                <w:tab w:val="left" w:pos="840"/>
              </w:tabs>
              <w:spacing w:line="360" w:lineRule="auto"/>
              <w:jc w:val="center"/>
              <w:rPr>
                <w:rStyle w:val="20"/>
                <w:rFonts w:hint="eastAsia" w:ascii="Times New Roman" w:hAnsi="Times New Roman" w:eastAsia="宋体"/>
                <w:color w:val="auto"/>
                <w:kern w:val="2"/>
                <w:sz w:val="21"/>
                <w:szCs w:val="22"/>
                <w:highlight w:val="none"/>
                <w:lang w:val="en-US" w:eastAsia="zh-CN" w:bidi="ar-SA"/>
              </w:rPr>
            </w:pPr>
          </w:p>
        </w:tc>
      </w:tr>
      <w:tr w14:paraId="271BAB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009" w:type="dxa"/>
            <w:tcBorders>
              <w:top w:val="nil"/>
              <w:left w:val="single" w:color="000000" w:sz="6" w:space="0"/>
              <w:bottom w:val="single" w:color="000000" w:sz="6" w:space="0"/>
              <w:right w:val="single" w:color="000000" w:sz="6" w:space="0"/>
            </w:tcBorders>
            <w:noWrap w:val="0"/>
            <w:vAlign w:val="center"/>
          </w:tcPr>
          <w:p w14:paraId="7EEE4385">
            <w:pPr>
              <w:pStyle w:val="8"/>
              <w:widowControl w:val="0"/>
              <w:tabs>
                <w:tab w:val="left" w:pos="240"/>
                <w:tab w:val="left" w:pos="600"/>
                <w:tab w:val="left" w:pos="840"/>
              </w:tabs>
              <w:spacing w:line="360" w:lineRule="auto"/>
              <w:jc w:val="center"/>
              <w:rPr>
                <w:rStyle w:val="20"/>
                <w:rFonts w:ascii="Calibri" w:hAnsi="Calibri" w:eastAsia="宋体"/>
                <w:color w:val="auto"/>
                <w:kern w:val="2"/>
                <w:sz w:val="21"/>
                <w:szCs w:val="22"/>
                <w:highlight w:val="none"/>
                <w:lang w:val="en-US" w:eastAsia="zh-CN" w:bidi="ar-SA"/>
              </w:rPr>
            </w:pPr>
            <w:r>
              <w:rPr>
                <w:rStyle w:val="20"/>
                <w:rFonts w:ascii="Calibri" w:hAnsi="Calibri" w:eastAsia="宋体"/>
                <w:color w:val="auto"/>
                <w:kern w:val="2"/>
                <w:sz w:val="21"/>
                <w:szCs w:val="22"/>
                <w:highlight w:val="none"/>
                <w:lang w:val="en-US" w:eastAsia="zh-CN" w:bidi="ar-SA"/>
              </w:rPr>
              <w:t>3</w:t>
            </w:r>
          </w:p>
        </w:tc>
        <w:tc>
          <w:tcPr>
            <w:tcW w:w="2586" w:type="dxa"/>
            <w:tcBorders>
              <w:top w:val="nil"/>
              <w:left w:val="single" w:color="000000" w:sz="6" w:space="0"/>
              <w:bottom w:val="single" w:color="000000" w:sz="6" w:space="0"/>
              <w:right w:val="single" w:color="000000" w:sz="6" w:space="0"/>
            </w:tcBorders>
            <w:noWrap w:val="0"/>
            <w:vAlign w:val="center"/>
          </w:tcPr>
          <w:p w14:paraId="1DB374CF">
            <w:pPr>
              <w:pStyle w:val="8"/>
              <w:widowControl w:val="0"/>
              <w:tabs>
                <w:tab w:val="left" w:pos="-3598"/>
              </w:tabs>
              <w:spacing w:line="360" w:lineRule="auto"/>
              <w:jc w:val="center"/>
              <w:rPr>
                <w:rStyle w:val="20"/>
                <w:rFonts w:ascii="宋体" w:hAnsi="宋体" w:eastAsia="宋体"/>
                <w:color w:val="auto"/>
                <w:kern w:val="2"/>
                <w:sz w:val="21"/>
                <w:szCs w:val="22"/>
                <w:highlight w:val="none"/>
                <w:lang w:val="en-US" w:eastAsia="zh-CN" w:bidi="ar-SA"/>
              </w:rPr>
            </w:pPr>
          </w:p>
        </w:tc>
        <w:tc>
          <w:tcPr>
            <w:tcW w:w="1510" w:type="dxa"/>
            <w:tcBorders>
              <w:top w:val="nil"/>
              <w:left w:val="single" w:color="000000" w:sz="6" w:space="0"/>
              <w:bottom w:val="single" w:color="000000" w:sz="6" w:space="0"/>
              <w:right w:val="single" w:color="000000" w:sz="6" w:space="0"/>
            </w:tcBorders>
            <w:noWrap w:val="0"/>
            <w:vAlign w:val="center"/>
          </w:tcPr>
          <w:p w14:paraId="54EFA7C6">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310" w:type="dxa"/>
            <w:tcBorders>
              <w:top w:val="single" w:color="000000" w:sz="6" w:space="0"/>
              <w:left w:val="single" w:color="000000" w:sz="6" w:space="0"/>
              <w:bottom w:val="single" w:color="000000" w:sz="6" w:space="0"/>
              <w:right w:val="single" w:color="000000" w:sz="6" w:space="0"/>
            </w:tcBorders>
            <w:noWrap w:val="0"/>
            <w:vAlign w:val="center"/>
          </w:tcPr>
          <w:p w14:paraId="4DDB20EA">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310" w:type="dxa"/>
            <w:tcBorders>
              <w:top w:val="single" w:color="000000" w:sz="6" w:space="0"/>
              <w:left w:val="single" w:color="000000" w:sz="6" w:space="0"/>
              <w:bottom w:val="single" w:color="000000" w:sz="6" w:space="0"/>
              <w:right w:val="single" w:color="000000" w:sz="6" w:space="0"/>
            </w:tcBorders>
            <w:noWrap w:val="0"/>
            <w:vAlign w:val="center"/>
          </w:tcPr>
          <w:p w14:paraId="5F461D84">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006" w:type="dxa"/>
            <w:tcBorders>
              <w:top w:val="nil"/>
              <w:left w:val="single" w:color="000000" w:sz="6" w:space="0"/>
              <w:bottom w:val="single" w:color="000000" w:sz="6" w:space="0"/>
              <w:right w:val="single" w:color="000000" w:sz="6" w:space="0"/>
            </w:tcBorders>
            <w:noWrap w:val="0"/>
            <w:vAlign w:val="top"/>
          </w:tcPr>
          <w:p w14:paraId="78613AA9">
            <w:pPr>
              <w:pStyle w:val="8"/>
              <w:widowControl w:val="0"/>
              <w:tabs>
                <w:tab w:val="left" w:pos="240"/>
                <w:tab w:val="left" w:pos="600"/>
                <w:tab w:val="left" w:pos="840"/>
              </w:tabs>
              <w:spacing w:line="360" w:lineRule="auto"/>
              <w:jc w:val="center"/>
              <w:rPr>
                <w:rStyle w:val="20"/>
                <w:rFonts w:hint="eastAsia" w:ascii="Times New Roman" w:hAnsi="Times New Roman" w:eastAsia="宋体"/>
                <w:color w:val="auto"/>
                <w:kern w:val="2"/>
                <w:sz w:val="21"/>
                <w:szCs w:val="22"/>
                <w:highlight w:val="none"/>
                <w:lang w:val="en-US" w:eastAsia="zh-CN" w:bidi="ar-SA"/>
              </w:rPr>
            </w:pPr>
          </w:p>
        </w:tc>
      </w:tr>
      <w:tr w14:paraId="00B9B6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009" w:type="dxa"/>
            <w:tcBorders>
              <w:top w:val="nil"/>
              <w:left w:val="single" w:color="000000" w:sz="6" w:space="0"/>
              <w:bottom w:val="single" w:color="000000" w:sz="6" w:space="0"/>
              <w:right w:val="single" w:color="000000" w:sz="6" w:space="0"/>
            </w:tcBorders>
            <w:noWrap w:val="0"/>
            <w:vAlign w:val="center"/>
          </w:tcPr>
          <w:p w14:paraId="3CB93EC1">
            <w:pPr>
              <w:pStyle w:val="8"/>
              <w:widowControl w:val="0"/>
              <w:tabs>
                <w:tab w:val="left" w:pos="240"/>
                <w:tab w:val="left" w:pos="600"/>
                <w:tab w:val="left" w:pos="840"/>
              </w:tabs>
              <w:spacing w:line="360" w:lineRule="auto"/>
              <w:jc w:val="center"/>
              <w:rPr>
                <w:rStyle w:val="20"/>
                <w:rFonts w:ascii="Calibri" w:hAnsi="Calibri" w:eastAsia="宋体"/>
                <w:color w:val="auto"/>
                <w:kern w:val="2"/>
                <w:sz w:val="21"/>
                <w:szCs w:val="22"/>
                <w:highlight w:val="none"/>
                <w:lang w:val="en-US" w:eastAsia="zh-CN" w:bidi="ar-SA"/>
              </w:rPr>
            </w:pPr>
            <w:r>
              <w:rPr>
                <w:rStyle w:val="20"/>
                <w:rFonts w:ascii="Calibri" w:hAnsi="Calibri" w:eastAsia="宋体"/>
                <w:color w:val="auto"/>
                <w:kern w:val="2"/>
                <w:sz w:val="21"/>
                <w:szCs w:val="22"/>
                <w:highlight w:val="none"/>
                <w:lang w:val="en-US" w:eastAsia="zh-CN" w:bidi="ar-SA"/>
              </w:rPr>
              <w:t>4</w:t>
            </w:r>
          </w:p>
        </w:tc>
        <w:tc>
          <w:tcPr>
            <w:tcW w:w="2586" w:type="dxa"/>
            <w:tcBorders>
              <w:top w:val="nil"/>
              <w:left w:val="single" w:color="000000" w:sz="6" w:space="0"/>
              <w:bottom w:val="single" w:color="000000" w:sz="6" w:space="0"/>
              <w:right w:val="single" w:color="000000" w:sz="6" w:space="0"/>
            </w:tcBorders>
            <w:noWrap w:val="0"/>
            <w:vAlign w:val="center"/>
          </w:tcPr>
          <w:p w14:paraId="40AEDB88">
            <w:pPr>
              <w:pStyle w:val="8"/>
              <w:widowControl w:val="0"/>
              <w:tabs>
                <w:tab w:val="left" w:pos="-3598"/>
              </w:tabs>
              <w:spacing w:line="360" w:lineRule="auto"/>
              <w:jc w:val="center"/>
              <w:rPr>
                <w:rStyle w:val="20"/>
                <w:rFonts w:ascii="宋体" w:hAnsi="宋体" w:eastAsia="宋体"/>
                <w:color w:val="auto"/>
                <w:kern w:val="2"/>
                <w:sz w:val="21"/>
                <w:szCs w:val="22"/>
                <w:highlight w:val="none"/>
                <w:lang w:val="en-US" w:eastAsia="zh-CN" w:bidi="ar-SA"/>
              </w:rPr>
            </w:pPr>
          </w:p>
        </w:tc>
        <w:tc>
          <w:tcPr>
            <w:tcW w:w="1510" w:type="dxa"/>
            <w:tcBorders>
              <w:top w:val="nil"/>
              <w:left w:val="single" w:color="000000" w:sz="6" w:space="0"/>
              <w:bottom w:val="single" w:color="000000" w:sz="6" w:space="0"/>
              <w:right w:val="single" w:color="000000" w:sz="6" w:space="0"/>
            </w:tcBorders>
            <w:noWrap w:val="0"/>
            <w:vAlign w:val="center"/>
          </w:tcPr>
          <w:p w14:paraId="15FF3AB7">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310" w:type="dxa"/>
            <w:tcBorders>
              <w:top w:val="single" w:color="000000" w:sz="6" w:space="0"/>
              <w:left w:val="single" w:color="000000" w:sz="6" w:space="0"/>
              <w:bottom w:val="single" w:color="000000" w:sz="6" w:space="0"/>
              <w:right w:val="single" w:color="000000" w:sz="6" w:space="0"/>
            </w:tcBorders>
            <w:noWrap w:val="0"/>
            <w:vAlign w:val="center"/>
          </w:tcPr>
          <w:p w14:paraId="423F5D29">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310" w:type="dxa"/>
            <w:tcBorders>
              <w:top w:val="single" w:color="000000" w:sz="6" w:space="0"/>
              <w:left w:val="single" w:color="000000" w:sz="6" w:space="0"/>
              <w:bottom w:val="single" w:color="000000" w:sz="6" w:space="0"/>
              <w:right w:val="single" w:color="000000" w:sz="6" w:space="0"/>
            </w:tcBorders>
            <w:noWrap w:val="0"/>
            <w:vAlign w:val="center"/>
          </w:tcPr>
          <w:p w14:paraId="0F73D612">
            <w:pPr>
              <w:pStyle w:val="8"/>
              <w:widowControl w:val="0"/>
              <w:tabs>
                <w:tab w:val="left" w:pos="-3598"/>
              </w:tabs>
              <w:spacing w:line="360" w:lineRule="auto"/>
              <w:jc w:val="center"/>
              <w:rPr>
                <w:rStyle w:val="20"/>
                <w:rFonts w:hint="eastAsia" w:ascii="宋体" w:hAnsi="宋体" w:eastAsia="宋体"/>
                <w:color w:val="auto"/>
                <w:kern w:val="2"/>
                <w:sz w:val="21"/>
                <w:szCs w:val="22"/>
                <w:highlight w:val="none"/>
                <w:lang w:val="en-US" w:eastAsia="zh-CN" w:bidi="ar-SA"/>
              </w:rPr>
            </w:pPr>
          </w:p>
        </w:tc>
        <w:tc>
          <w:tcPr>
            <w:tcW w:w="1006" w:type="dxa"/>
            <w:tcBorders>
              <w:top w:val="nil"/>
              <w:left w:val="single" w:color="000000" w:sz="6" w:space="0"/>
              <w:bottom w:val="single" w:color="000000" w:sz="6" w:space="0"/>
              <w:right w:val="single" w:color="000000" w:sz="6" w:space="0"/>
            </w:tcBorders>
            <w:noWrap w:val="0"/>
            <w:vAlign w:val="top"/>
          </w:tcPr>
          <w:p w14:paraId="4326382B">
            <w:pPr>
              <w:pStyle w:val="8"/>
              <w:widowControl w:val="0"/>
              <w:tabs>
                <w:tab w:val="left" w:pos="240"/>
                <w:tab w:val="left" w:pos="600"/>
                <w:tab w:val="left" w:pos="840"/>
              </w:tabs>
              <w:spacing w:line="360" w:lineRule="auto"/>
              <w:jc w:val="center"/>
              <w:rPr>
                <w:rStyle w:val="20"/>
                <w:rFonts w:hint="eastAsia" w:ascii="Times New Roman" w:hAnsi="Times New Roman" w:eastAsia="宋体"/>
                <w:color w:val="auto"/>
                <w:kern w:val="2"/>
                <w:sz w:val="21"/>
                <w:szCs w:val="22"/>
                <w:highlight w:val="none"/>
                <w:lang w:val="en-US" w:eastAsia="zh-CN" w:bidi="ar-SA"/>
              </w:rPr>
            </w:pPr>
          </w:p>
        </w:tc>
      </w:tr>
    </w:tbl>
    <w:p w14:paraId="4F0FEF42">
      <w:pPr>
        <w:pStyle w:val="7"/>
        <w:spacing w:line="360" w:lineRule="auto"/>
        <w:rPr>
          <w:rStyle w:val="20"/>
          <w:rFonts w:ascii="Times New Roman" w:hAnsi="Times New Roman"/>
          <w:color w:val="auto"/>
          <w:szCs w:val="24"/>
          <w:highlight w:val="none"/>
        </w:rPr>
      </w:pPr>
    </w:p>
    <w:p w14:paraId="20B7E674">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1.2  投标人现场服务人员应具有下列资质：</w:t>
      </w:r>
    </w:p>
    <w:p w14:paraId="449664FD">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1.2.1  遵守法纪，遵守现场的各项规章和制度;</w:t>
      </w:r>
    </w:p>
    <w:p w14:paraId="2EFA2581">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1.2.2  有较强的责任感和事业心，按时到位;</w:t>
      </w:r>
    </w:p>
    <w:p w14:paraId="7D80C48A">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1.2.3  了解合同设备的设计，熟悉其结构，有相同或相近改造的现场工作经验，能够正确地进行现场指导;</w:t>
      </w:r>
    </w:p>
    <w:p w14:paraId="7B2B12C2">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1.2.4  身体健康，适应现场工作的条件。</w:t>
      </w:r>
    </w:p>
    <w:p w14:paraId="0A0E43C8">
      <w:pPr>
        <w:pStyle w:val="7"/>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 xml:space="preserve">    投标人要向招标人提供服务人员情况表(见下表格式）。投标人须更换不合格的投标人现场服务人员。</w:t>
      </w:r>
    </w:p>
    <w:p w14:paraId="50D55C8D">
      <w:pPr>
        <w:pStyle w:val="7"/>
        <w:spacing w:line="360" w:lineRule="auto"/>
        <w:rPr>
          <w:rStyle w:val="20"/>
          <w:rFonts w:hAnsi="宋体"/>
          <w:color w:val="auto"/>
          <w:szCs w:val="24"/>
          <w:highlight w:val="none"/>
        </w:rPr>
      </w:pPr>
      <w:r>
        <w:rPr>
          <w:rStyle w:val="20"/>
          <w:rFonts w:hint="eastAsia" w:hAnsi="宋体"/>
          <w:color w:val="auto"/>
          <w:szCs w:val="24"/>
          <w:highlight w:val="none"/>
        </w:rPr>
        <w:t>服务人员情况表</w:t>
      </w:r>
    </w:p>
    <w:tbl>
      <w:tblPr>
        <w:tblStyle w:val="19"/>
        <w:tblW w:w="0" w:type="auto"/>
        <w:jc w:val="center"/>
        <w:tblLayout w:type="fixed"/>
        <w:tblCellMar>
          <w:top w:w="0" w:type="dxa"/>
          <w:left w:w="28" w:type="dxa"/>
          <w:bottom w:w="0" w:type="dxa"/>
          <w:right w:w="28" w:type="dxa"/>
        </w:tblCellMar>
      </w:tblPr>
      <w:tblGrid>
        <w:gridCol w:w="1108"/>
        <w:gridCol w:w="1200"/>
        <w:gridCol w:w="1200"/>
        <w:gridCol w:w="120"/>
        <w:gridCol w:w="909"/>
        <w:gridCol w:w="997"/>
        <w:gridCol w:w="946"/>
        <w:gridCol w:w="800"/>
        <w:gridCol w:w="1029"/>
      </w:tblGrid>
      <w:tr w14:paraId="44ECDD11">
        <w:tblPrEx>
          <w:tblCellMar>
            <w:top w:w="0" w:type="dxa"/>
            <w:left w:w="28" w:type="dxa"/>
            <w:bottom w:w="0" w:type="dxa"/>
            <w:right w:w="28" w:type="dxa"/>
          </w:tblCellMar>
        </w:tblPrEx>
        <w:trPr>
          <w:jc w:val="center"/>
        </w:trPr>
        <w:tc>
          <w:tcPr>
            <w:tcW w:w="1108" w:type="dxa"/>
            <w:tcBorders>
              <w:top w:val="single" w:color="auto" w:sz="6" w:space="0"/>
              <w:left w:val="single" w:color="auto" w:sz="6" w:space="0"/>
              <w:bottom w:val="nil"/>
              <w:right w:val="single" w:color="auto" w:sz="6" w:space="0"/>
            </w:tcBorders>
            <w:noWrap w:val="0"/>
            <w:vAlign w:val="center"/>
          </w:tcPr>
          <w:p w14:paraId="72F8C2D7">
            <w:pPr>
              <w:pStyle w:val="8"/>
              <w:widowControl w:val="0"/>
              <w:spacing w:line="360" w:lineRule="auto"/>
              <w:jc w:val="left"/>
              <w:rPr>
                <w:rStyle w:val="20"/>
                <w:rFonts w:ascii="宋体" w:hAnsi="宋体" w:eastAsia="宋体"/>
                <w:color w:val="auto"/>
                <w:kern w:val="2"/>
                <w:sz w:val="21"/>
                <w:szCs w:val="24"/>
                <w:highlight w:val="none"/>
                <w:lang w:val="en-US" w:eastAsia="zh-CN" w:bidi="ar-SA"/>
              </w:rPr>
            </w:pPr>
            <w:r>
              <w:rPr>
                <w:rStyle w:val="20"/>
                <w:rFonts w:hint="eastAsia" w:ascii="宋体" w:hAnsi="宋体" w:eastAsia="宋体"/>
                <w:color w:val="auto"/>
                <w:kern w:val="2"/>
                <w:sz w:val="21"/>
                <w:szCs w:val="22"/>
                <w:highlight w:val="none"/>
                <w:lang w:val="en-US" w:eastAsia="zh-CN" w:bidi="ar-SA"/>
              </w:rPr>
              <w:t>姓名</w:t>
            </w:r>
          </w:p>
        </w:tc>
        <w:tc>
          <w:tcPr>
            <w:tcW w:w="1200" w:type="dxa"/>
            <w:tcBorders>
              <w:top w:val="single" w:color="auto" w:sz="6" w:space="0"/>
              <w:left w:val="nil"/>
              <w:bottom w:val="nil"/>
              <w:right w:val="single" w:color="auto" w:sz="6" w:space="0"/>
            </w:tcBorders>
            <w:noWrap w:val="0"/>
            <w:vAlign w:val="center"/>
          </w:tcPr>
          <w:p w14:paraId="680BA7EE">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320" w:type="dxa"/>
            <w:gridSpan w:val="2"/>
            <w:tcBorders>
              <w:top w:val="single" w:color="auto" w:sz="6" w:space="0"/>
              <w:left w:val="nil"/>
              <w:bottom w:val="nil"/>
              <w:right w:val="single" w:color="auto" w:sz="6" w:space="0"/>
            </w:tcBorders>
            <w:noWrap w:val="0"/>
            <w:vAlign w:val="center"/>
          </w:tcPr>
          <w:p w14:paraId="6DEBD385">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性别</w:t>
            </w:r>
          </w:p>
        </w:tc>
        <w:tc>
          <w:tcPr>
            <w:tcW w:w="909" w:type="dxa"/>
            <w:tcBorders>
              <w:top w:val="single" w:color="auto" w:sz="6" w:space="0"/>
              <w:left w:val="nil"/>
              <w:bottom w:val="nil"/>
              <w:right w:val="single" w:color="auto" w:sz="6" w:space="0"/>
            </w:tcBorders>
            <w:noWrap w:val="0"/>
            <w:vAlign w:val="center"/>
          </w:tcPr>
          <w:p w14:paraId="39C5241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tcBorders>
              <w:top w:val="single" w:color="auto" w:sz="6" w:space="0"/>
              <w:left w:val="nil"/>
              <w:bottom w:val="nil"/>
              <w:right w:val="single" w:color="auto" w:sz="6" w:space="0"/>
            </w:tcBorders>
            <w:noWrap w:val="0"/>
            <w:vAlign w:val="center"/>
          </w:tcPr>
          <w:p w14:paraId="4A3D007D">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年龄</w:t>
            </w:r>
          </w:p>
        </w:tc>
        <w:tc>
          <w:tcPr>
            <w:tcW w:w="946" w:type="dxa"/>
            <w:tcBorders>
              <w:top w:val="single" w:color="auto" w:sz="6" w:space="0"/>
              <w:left w:val="nil"/>
              <w:bottom w:val="nil"/>
              <w:right w:val="single" w:color="auto" w:sz="6" w:space="0"/>
            </w:tcBorders>
            <w:noWrap w:val="0"/>
            <w:vAlign w:val="center"/>
          </w:tcPr>
          <w:p w14:paraId="2809BA55">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tcBorders>
              <w:top w:val="single" w:color="auto" w:sz="6" w:space="0"/>
              <w:left w:val="nil"/>
              <w:bottom w:val="nil"/>
              <w:right w:val="single" w:color="auto" w:sz="6" w:space="0"/>
            </w:tcBorders>
            <w:noWrap w:val="0"/>
            <w:vAlign w:val="center"/>
          </w:tcPr>
          <w:p w14:paraId="3E46B5C3">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民族</w:t>
            </w:r>
          </w:p>
        </w:tc>
        <w:tc>
          <w:tcPr>
            <w:tcW w:w="1029" w:type="dxa"/>
            <w:tcBorders>
              <w:top w:val="single" w:color="auto" w:sz="6" w:space="0"/>
              <w:left w:val="nil"/>
              <w:bottom w:val="nil"/>
              <w:right w:val="single" w:color="auto" w:sz="6" w:space="0"/>
            </w:tcBorders>
            <w:noWrap w:val="0"/>
            <w:vAlign w:val="center"/>
          </w:tcPr>
          <w:p w14:paraId="5BCFD4EF">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60B75905">
        <w:tblPrEx>
          <w:tblCellMar>
            <w:top w:w="0" w:type="dxa"/>
            <w:left w:w="28" w:type="dxa"/>
            <w:bottom w:w="0" w:type="dxa"/>
            <w:right w:w="28" w:type="dxa"/>
          </w:tblCellMar>
        </w:tblPrEx>
        <w:trPr>
          <w:jc w:val="center"/>
        </w:trPr>
        <w:tc>
          <w:tcPr>
            <w:tcW w:w="1108" w:type="dxa"/>
            <w:tcBorders>
              <w:top w:val="single" w:color="auto" w:sz="6" w:space="0"/>
              <w:left w:val="single" w:color="auto" w:sz="6" w:space="0"/>
              <w:bottom w:val="single" w:color="auto" w:sz="6" w:space="0"/>
              <w:right w:val="single" w:color="auto" w:sz="6" w:space="0"/>
            </w:tcBorders>
            <w:noWrap w:val="0"/>
            <w:vAlign w:val="center"/>
          </w:tcPr>
          <w:p w14:paraId="4D3811D6">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政治面貌</w:t>
            </w:r>
          </w:p>
        </w:tc>
        <w:tc>
          <w:tcPr>
            <w:tcW w:w="1200" w:type="dxa"/>
            <w:tcBorders>
              <w:top w:val="single" w:color="auto" w:sz="6" w:space="0"/>
              <w:left w:val="nil"/>
              <w:bottom w:val="single" w:color="auto" w:sz="6" w:space="0"/>
              <w:right w:val="nil"/>
            </w:tcBorders>
            <w:noWrap w:val="0"/>
            <w:vAlign w:val="center"/>
          </w:tcPr>
          <w:p w14:paraId="00B0F183">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320" w:type="dxa"/>
            <w:gridSpan w:val="2"/>
            <w:tcBorders>
              <w:top w:val="single" w:color="auto" w:sz="6" w:space="0"/>
              <w:left w:val="single" w:color="auto" w:sz="6" w:space="0"/>
              <w:bottom w:val="single" w:color="auto" w:sz="6" w:space="0"/>
              <w:right w:val="single" w:color="auto" w:sz="6" w:space="0"/>
            </w:tcBorders>
            <w:noWrap w:val="0"/>
            <w:vAlign w:val="center"/>
          </w:tcPr>
          <w:p w14:paraId="37EBD80F">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学校和专业</w:t>
            </w:r>
          </w:p>
        </w:tc>
        <w:tc>
          <w:tcPr>
            <w:tcW w:w="909" w:type="dxa"/>
            <w:tcBorders>
              <w:top w:val="single" w:color="auto" w:sz="6" w:space="0"/>
              <w:left w:val="nil"/>
              <w:bottom w:val="single" w:color="auto" w:sz="6" w:space="0"/>
              <w:right w:val="nil"/>
            </w:tcBorders>
            <w:noWrap w:val="0"/>
            <w:vAlign w:val="center"/>
          </w:tcPr>
          <w:p w14:paraId="32FE1506">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tcBorders>
              <w:top w:val="single" w:color="auto" w:sz="6" w:space="0"/>
              <w:left w:val="single" w:color="auto" w:sz="6" w:space="0"/>
              <w:bottom w:val="single" w:color="auto" w:sz="6" w:space="0"/>
              <w:right w:val="single" w:color="auto" w:sz="6" w:space="0"/>
            </w:tcBorders>
            <w:noWrap w:val="0"/>
            <w:vAlign w:val="center"/>
          </w:tcPr>
          <w:p w14:paraId="47496098">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职务</w:t>
            </w:r>
          </w:p>
        </w:tc>
        <w:tc>
          <w:tcPr>
            <w:tcW w:w="946" w:type="dxa"/>
            <w:tcBorders>
              <w:top w:val="single" w:color="auto" w:sz="6" w:space="0"/>
              <w:left w:val="nil"/>
              <w:bottom w:val="single" w:color="auto" w:sz="6" w:space="0"/>
              <w:right w:val="nil"/>
            </w:tcBorders>
            <w:noWrap w:val="0"/>
            <w:vAlign w:val="center"/>
          </w:tcPr>
          <w:p w14:paraId="2658C9CF">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tcBorders>
              <w:top w:val="single" w:color="auto" w:sz="6" w:space="0"/>
              <w:left w:val="single" w:color="auto" w:sz="6" w:space="0"/>
              <w:bottom w:val="single" w:color="auto" w:sz="6" w:space="0"/>
              <w:right w:val="single" w:color="auto" w:sz="6" w:space="0"/>
            </w:tcBorders>
            <w:noWrap w:val="0"/>
            <w:vAlign w:val="center"/>
          </w:tcPr>
          <w:p w14:paraId="15F7CB40">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职称</w:t>
            </w:r>
          </w:p>
        </w:tc>
        <w:tc>
          <w:tcPr>
            <w:tcW w:w="1029" w:type="dxa"/>
            <w:tcBorders>
              <w:top w:val="single" w:color="auto" w:sz="6" w:space="0"/>
              <w:left w:val="nil"/>
              <w:bottom w:val="single" w:color="auto" w:sz="6" w:space="0"/>
              <w:right w:val="single" w:color="auto" w:sz="6" w:space="0"/>
            </w:tcBorders>
            <w:noWrap w:val="0"/>
            <w:vAlign w:val="center"/>
          </w:tcPr>
          <w:p w14:paraId="7406D075">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1C984F5C">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6DCFFDDD">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5372" w:type="dxa"/>
            <w:gridSpan w:val="6"/>
            <w:noWrap w:val="0"/>
            <w:vAlign w:val="top"/>
          </w:tcPr>
          <w:p w14:paraId="09D803D6">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（包括参加了哪些工程的现场服务）</w:t>
            </w:r>
          </w:p>
        </w:tc>
        <w:tc>
          <w:tcPr>
            <w:tcW w:w="800" w:type="dxa"/>
            <w:noWrap w:val="0"/>
            <w:vAlign w:val="top"/>
          </w:tcPr>
          <w:p w14:paraId="42CA197A">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1C50D2B9">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13FA909D">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291C6110">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2700877F">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5E38329E">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7FC2CB41">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15FD0F42">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2D52B012">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1B7C1B4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690DF288">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129C1C2B">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588A7DD1">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4C48FDB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062E7D0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3ABA8D83">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44B60F72">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6A2F3FBC">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769A6C0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0B9EDE74">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7784D650">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3DFF89AA">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工</w:t>
            </w:r>
          </w:p>
        </w:tc>
        <w:tc>
          <w:tcPr>
            <w:tcW w:w="1200" w:type="dxa"/>
            <w:noWrap w:val="0"/>
            <w:vAlign w:val="top"/>
          </w:tcPr>
          <w:p w14:paraId="459AD5F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7C0FD618">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55703B3C">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3F6EA471">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07F18FB6">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5C4BF0B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005D9844">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3784C98B">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3773A493">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作</w:t>
            </w:r>
          </w:p>
        </w:tc>
        <w:tc>
          <w:tcPr>
            <w:tcW w:w="1200" w:type="dxa"/>
            <w:noWrap w:val="0"/>
            <w:vAlign w:val="top"/>
          </w:tcPr>
          <w:p w14:paraId="4F08E744">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7CED6C8E">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38ABF645">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5BC7F25F">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5766111F">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3EFDFACC">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217D0FE8">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6A269194">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0F1E3FF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简</w:t>
            </w:r>
          </w:p>
        </w:tc>
        <w:tc>
          <w:tcPr>
            <w:tcW w:w="1200" w:type="dxa"/>
            <w:noWrap w:val="0"/>
            <w:vAlign w:val="top"/>
          </w:tcPr>
          <w:p w14:paraId="234799D6">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4157ABE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0E261DC0">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7E900751">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649A490E">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671262A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5E58CF1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5DCE435E">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4DA13E42">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历</w:t>
            </w:r>
          </w:p>
        </w:tc>
        <w:tc>
          <w:tcPr>
            <w:tcW w:w="1200" w:type="dxa"/>
            <w:noWrap w:val="0"/>
            <w:vAlign w:val="top"/>
          </w:tcPr>
          <w:p w14:paraId="3A09541A">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2D9EA0EE">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613B43F0">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0D010F5F">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02B97921">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7FBC55D9">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6AC0833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2D940D75">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335ADD71">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4B0490A2">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51174E25">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29ABC3E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36258078">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4040A9DD">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04F6592E">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7B5C2F71">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3C1D77EA">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157B5B6A">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798F76B0">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7D24D603">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6E06F66C">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158302F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1814A4A9">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554852CF">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3613393A">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31644257">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506AE628">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6D45A400">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427D6442">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5AF1A2BD">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18DE0DA3">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4EBBC7DF">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26DBCAB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09DB2119">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46BD2371">
        <w:tblPrEx>
          <w:tblCellMar>
            <w:top w:w="0" w:type="dxa"/>
            <w:left w:w="28" w:type="dxa"/>
            <w:bottom w:w="0" w:type="dxa"/>
            <w:right w:w="28" w:type="dxa"/>
          </w:tblCellMar>
        </w:tblPrEx>
        <w:trPr>
          <w:jc w:val="center"/>
        </w:trPr>
        <w:tc>
          <w:tcPr>
            <w:tcW w:w="1108" w:type="dxa"/>
            <w:tcBorders>
              <w:top w:val="single" w:color="auto" w:sz="6" w:space="0"/>
              <w:left w:val="single" w:color="auto" w:sz="6" w:space="0"/>
              <w:bottom w:val="nil"/>
              <w:right w:val="single" w:color="auto" w:sz="6" w:space="0"/>
            </w:tcBorders>
            <w:noWrap w:val="0"/>
            <w:vAlign w:val="top"/>
          </w:tcPr>
          <w:p w14:paraId="4BDBAF14">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5372" w:type="dxa"/>
            <w:gridSpan w:val="6"/>
            <w:tcBorders>
              <w:top w:val="single" w:color="auto" w:sz="6" w:space="0"/>
              <w:left w:val="nil"/>
              <w:bottom w:val="nil"/>
              <w:right w:val="nil"/>
            </w:tcBorders>
            <w:noWrap w:val="0"/>
            <w:vAlign w:val="top"/>
          </w:tcPr>
          <w:p w14:paraId="1F1CE7E2">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（按资质4条逐条评价）</w:t>
            </w:r>
          </w:p>
        </w:tc>
        <w:tc>
          <w:tcPr>
            <w:tcW w:w="800" w:type="dxa"/>
            <w:tcBorders>
              <w:top w:val="single" w:color="auto" w:sz="6" w:space="0"/>
              <w:left w:val="nil"/>
              <w:bottom w:val="nil"/>
              <w:right w:val="nil"/>
            </w:tcBorders>
            <w:noWrap w:val="0"/>
            <w:vAlign w:val="top"/>
          </w:tcPr>
          <w:p w14:paraId="5159F25C">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single" w:color="auto" w:sz="6" w:space="0"/>
              <w:left w:val="nil"/>
              <w:bottom w:val="nil"/>
              <w:right w:val="single" w:color="auto" w:sz="6" w:space="0"/>
            </w:tcBorders>
            <w:noWrap w:val="0"/>
            <w:vAlign w:val="top"/>
          </w:tcPr>
          <w:p w14:paraId="61B7E400">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6E9C1CC4">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4C79ED9D">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单</w:t>
            </w:r>
          </w:p>
        </w:tc>
        <w:tc>
          <w:tcPr>
            <w:tcW w:w="1200" w:type="dxa"/>
            <w:noWrap w:val="0"/>
            <w:vAlign w:val="top"/>
          </w:tcPr>
          <w:p w14:paraId="279FB7CE">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130C445D">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4B9F7015">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512545A3">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5F920CE4">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408FE803">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1435EBFF">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719D9A82">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3F428C88">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位</w:t>
            </w:r>
          </w:p>
        </w:tc>
        <w:tc>
          <w:tcPr>
            <w:tcW w:w="1200" w:type="dxa"/>
            <w:noWrap w:val="0"/>
            <w:vAlign w:val="top"/>
          </w:tcPr>
          <w:p w14:paraId="37DDF12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259AF9D0">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38DB774C">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0F02943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076F491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3A3A6258">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32597B4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5453F0E5">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0B815BF0">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评</w:t>
            </w:r>
          </w:p>
        </w:tc>
        <w:tc>
          <w:tcPr>
            <w:tcW w:w="1200" w:type="dxa"/>
            <w:noWrap w:val="0"/>
            <w:vAlign w:val="top"/>
          </w:tcPr>
          <w:p w14:paraId="4276750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44793C9C">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0CAA323A">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noWrap w:val="0"/>
            <w:vAlign w:val="top"/>
          </w:tcPr>
          <w:p w14:paraId="6F89A7A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noWrap w:val="0"/>
            <w:vAlign w:val="top"/>
          </w:tcPr>
          <w:p w14:paraId="32004A0A">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noWrap w:val="0"/>
            <w:vAlign w:val="top"/>
          </w:tcPr>
          <w:p w14:paraId="16DBCDC1">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nil"/>
              <w:right w:val="single" w:color="auto" w:sz="6" w:space="0"/>
            </w:tcBorders>
            <w:noWrap w:val="0"/>
            <w:vAlign w:val="top"/>
          </w:tcPr>
          <w:p w14:paraId="0E39DDA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5AF2F4F0">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0A74C783">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价</w:t>
            </w:r>
          </w:p>
        </w:tc>
        <w:tc>
          <w:tcPr>
            <w:tcW w:w="1200" w:type="dxa"/>
            <w:noWrap w:val="0"/>
            <w:vAlign w:val="top"/>
          </w:tcPr>
          <w:p w14:paraId="0A208DFD">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3F599D17">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40B91E80">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3772" w:type="dxa"/>
            <w:gridSpan w:val="4"/>
            <w:tcBorders>
              <w:top w:val="nil"/>
              <w:left w:val="nil"/>
              <w:bottom w:val="nil"/>
              <w:right w:val="single" w:color="auto" w:sz="6" w:space="0"/>
            </w:tcBorders>
            <w:noWrap w:val="0"/>
            <w:vAlign w:val="top"/>
          </w:tcPr>
          <w:p w14:paraId="56A1B72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单位 (盖章)</w:t>
            </w:r>
          </w:p>
        </w:tc>
      </w:tr>
      <w:tr w14:paraId="1FCE1A00">
        <w:tblPrEx>
          <w:tblCellMar>
            <w:top w:w="0" w:type="dxa"/>
            <w:left w:w="28" w:type="dxa"/>
            <w:bottom w:w="0" w:type="dxa"/>
            <w:right w:w="28" w:type="dxa"/>
          </w:tblCellMar>
        </w:tblPrEx>
        <w:trPr>
          <w:jc w:val="center"/>
        </w:trPr>
        <w:tc>
          <w:tcPr>
            <w:tcW w:w="1108" w:type="dxa"/>
            <w:tcBorders>
              <w:top w:val="nil"/>
              <w:left w:val="single" w:color="auto" w:sz="6" w:space="0"/>
              <w:bottom w:val="nil"/>
              <w:right w:val="single" w:color="auto" w:sz="6" w:space="0"/>
            </w:tcBorders>
            <w:noWrap w:val="0"/>
            <w:vAlign w:val="top"/>
          </w:tcPr>
          <w:p w14:paraId="2C2BF163">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260CEC48">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noWrap w:val="0"/>
            <w:vAlign w:val="top"/>
          </w:tcPr>
          <w:p w14:paraId="1B6E3CFE">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noWrap w:val="0"/>
            <w:vAlign w:val="top"/>
          </w:tcPr>
          <w:p w14:paraId="127E20CD">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2743" w:type="dxa"/>
            <w:gridSpan w:val="3"/>
            <w:noWrap w:val="0"/>
            <w:vAlign w:val="top"/>
          </w:tcPr>
          <w:p w14:paraId="183241DB">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年   月   日</w:t>
            </w:r>
          </w:p>
        </w:tc>
        <w:tc>
          <w:tcPr>
            <w:tcW w:w="1029" w:type="dxa"/>
            <w:tcBorders>
              <w:top w:val="nil"/>
              <w:left w:val="nil"/>
              <w:bottom w:val="nil"/>
              <w:right w:val="single" w:color="auto" w:sz="6" w:space="0"/>
            </w:tcBorders>
            <w:noWrap w:val="0"/>
            <w:vAlign w:val="top"/>
          </w:tcPr>
          <w:p w14:paraId="42D918AE">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r w14:paraId="0C373D58">
        <w:tblPrEx>
          <w:tblCellMar>
            <w:top w:w="0" w:type="dxa"/>
            <w:left w:w="28" w:type="dxa"/>
            <w:bottom w:w="0" w:type="dxa"/>
            <w:right w:w="28" w:type="dxa"/>
          </w:tblCellMar>
        </w:tblPrEx>
        <w:trPr>
          <w:jc w:val="center"/>
        </w:trPr>
        <w:tc>
          <w:tcPr>
            <w:tcW w:w="1108" w:type="dxa"/>
            <w:tcBorders>
              <w:top w:val="nil"/>
              <w:left w:val="single" w:color="auto" w:sz="6" w:space="0"/>
              <w:bottom w:val="single" w:color="auto" w:sz="6" w:space="0"/>
              <w:right w:val="single" w:color="auto" w:sz="6" w:space="0"/>
            </w:tcBorders>
            <w:noWrap w:val="0"/>
            <w:vAlign w:val="top"/>
          </w:tcPr>
          <w:p w14:paraId="2817F770">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tcBorders>
              <w:top w:val="nil"/>
              <w:left w:val="nil"/>
              <w:bottom w:val="single" w:color="auto" w:sz="6" w:space="0"/>
              <w:right w:val="nil"/>
            </w:tcBorders>
            <w:noWrap w:val="0"/>
            <w:vAlign w:val="top"/>
          </w:tcPr>
          <w:p w14:paraId="4DF7839F">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200" w:type="dxa"/>
            <w:tcBorders>
              <w:top w:val="nil"/>
              <w:left w:val="nil"/>
              <w:bottom w:val="single" w:color="auto" w:sz="6" w:space="0"/>
              <w:right w:val="nil"/>
            </w:tcBorders>
            <w:noWrap w:val="0"/>
            <w:vAlign w:val="top"/>
          </w:tcPr>
          <w:p w14:paraId="348EBEA6">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gridSpan w:val="2"/>
            <w:tcBorders>
              <w:top w:val="nil"/>
              <w:left w:val="nil"/>
              <w:bottom w:val="single" w:color="auto" w:sz="6" w:space="0"/>
              <w:right w:val="nil"/>
            </w:tcBorders>
            <w:noWrap w:val="0"/>
            <w:vAlign w:val="top"/>
          </w:tcPr>
          <w:p w14:paraId="6EF9AFC9">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97" w:type="dxa"/>
            <w:tcBorders>
              <w:top w:val="nil"/>
              <w:left w:val="nil"/>
              <w:bottom w:val="single" w:color="auto" w:sz="6" w:space="0"/>
              <w:right w:val="nil"/>
            </w:tcBorders>
            <w:noWrap w:val="0"/>
            <w:vAlign w:val="top"/>
          </w:tcPr>
          <w:p w14:paraId="15A398B3">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946" w:type="dxa"/>
            <w:tcBorders>
              <w:top w:val="nil"/>
              <w:left w:val="nil"/>
              <w:bottom w:val="single" w:color="auto" w:sz="6" w:space="0"/>
              <w:right w:val="nil"/>
            </w:tcBorders>
            <w:noWrap w:val="0"/>
            <w:vAlign w:val="top"/>
          </w:tcPr>
          <w:p w14:paraId="09013E05">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800" w:type="dxa"/>
            <w:tcBorders>
              <w:top w:val="nil"/>
              <w:left w:val="nil"/>
              <w:bottom w:val="single" w:color="auto" w:sz="6" w:space="0"/>
              <w:right w:val="nil"/>
            </w:tcBorders>
            <w:noWrap w:val="0"/>
            <w:vAlign w:val="top"/>
          </w:tcPr>
          <w:p w14:paraId="391BED06">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c>
          <w:tcPr>
            <w:tcW w:w="1029" w:type="dxa"/>
            <w:tcBorders>
              <w:top w:val="nil"/>
              <w:left w:val="nil"/>
              <w:bottom w:val="single" w:color="auto" w:sz="6" w:space="0"/>
              <w:right w:val="single" w:color="auto" w:sz="6" w:space="0"/>
            </w:tcBorders>
            <w:noWrap w:val="0"/>
            <w:vAlign w:val="top"/>
          </w:tcPr>
          <w:p w14:paraId="3453BDFC">
            <w:pPr>
              <w:pStyle w:val="8"/>
              <w:widowControl w:val="0"/>
              <w:spacing w:line="360" w:lineRule="auto"/>
              <w:jc w:val="left"/>
              <w:rPr>
                <w:rStyle w:val="20"/>
                <w:rFonts w:hint="eastAsia" w:ascii="宋体" w:hAnsi="宋体" w:eastAsia="宋体"/>
                <w:color w:val="auto"/>
                <w:kern w:val="2"/>
                <w:sz w:val="21"/>
                <w:szCs w:val="22"/>
                <w:highlight w:val="none"/>
                <w:lang w:val="en-US" w:eastAsia="zh-CN" w:bidi="ar-SA"/>
              </w:rPr>
            </w:pPr>
          </w:p>
        </w:tc>
      </w:tr>
    </w:tbl>
    <w:p w14:paraId="0E365A66">
      <w:pPr>
        <w:pStyle w:val="8"/>
        <w:spacing w:line="360" w:lineRule="auto"/>
        <w:jc w:val="left"/>
        <w:rPr>
          <w:rStyle w:val="20"/>
          <w:rFonts w:hint="eastAsia" w:ascii="宋体" w:hAnsi="宋体"/>
          <w:color w:val="auto"/>
          <w:highlight w:val="none"/>
        </w:rPr>
      </w:pPr>
      <w:r>
        <w:rPr>
          <w:rStyle w:val="20"/>
          <w:rFonts w:hint="eastAsia" w:ascii="宋体" w:hAnsi="宋体"/>
          <w:color w:val="auto"/>
          <w:highlight w:val="none"/>
        </w:rPr>
        <w:t xml:space="preserve">                                        （注： 每人一表）</w:t>
      </w:r>
    </w:p>
    <w:p w14:paraId="06CD6D1E">
      <w:pPr>
        <w:pStyle w:val="7"/>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1.3  投标人现场服务人员的职责</w:t>
      </w:r>
    </w:p>
    <w:p w14:paraId="7BC1953B">
      <w:pPr>
        <w:pStyle w:val="7"/>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1.3.1  投标人现场服务人员的任务主要包括设备催交、货物的开箱检验、设备质量问题的处理、指导安装和调试、参加试运和性能验收试验。</w:t>
      </w:r>
    </w:p>
    <w:p w14:paraId="6995D224">
      <w:pPr>
        <w:pStyle w:val="7"/>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 xml:space="preserve">1.3.2在安装和调试前，投标人技术服务人员应向招标人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             </w:t>
      </w:r>
    </w:p>
    <w:p w14:paraId="781262BD">
      <w:pPr>
        <w:pStyle w:val="7"/>
        <w:spacing w:line="360" w:lineRule="auto"/>
        <w:rPr>
          <w:rStyle w:val="20"/>
          <w:color w:val="auto"/>
          <w:szCs w:val="24"/>
          <w:highlight w:val="none"/>
        </w:rPr>
      </w:pPr>
      <w:r>
        <w:rPr>
          <w:rStyle w:val="20"/>
          <w:color w:val="auto"/>
          <w:szCs w:val="24"/>
          <w:highlight w:val="none"/>
        </w:rPr>
        <w:t xml:space="preserve">   </w:t>
      </w:r>
      <w:r>
        <w:rPr>
          <w:rStyle w:val="20"/>
          <w:rFonts w:hint="eastAsia" w:hAnsi="宋体"/>
          <w:color w:val="auto"/>
          <w:szCs w:val="24"/>
          <w:highlight w:val="none"/>
        </w:rPr>
        <w:t>安装、调试重要工序表（投标人细化）</w:t>
      </w: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08"/>
        <w:gridCol w:w="2280"/>
        <w:gridCol w:w="3000"/>
        <w:gridCol w:w="1440"/>
      </w:tblGrid>
      <w:tr w14:paraId="21852C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tcBorders>
              <w:top w:val="single" w:color="000000" w:sz="6" w:space="0"/>
              <w:left w:val="single" w:color="000000" w:sz="6" w:space="0"/>
              <w:bottom w:val="single" w:color="000000" w:sz="6" w:space="0"/>
              <w:right w:val="single" w:color="000000" w:sz="6" w:space="0"/>
            </w:tcBorders>
            <w:noWrap w:val="0"/>
            <w:vAlign w:val="center"/>
          </w:tcPr>
          <w:p w14:paraId="1217A4D6">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r>
              <w:rPr>
                <w:rStyle w:val="20"/>
                <w:rFonts w:hint="eastAsia" w:ascii="Calibri" w:hAnsi="宋体" w:eastAsia="宋体"/>
                <w:color w:val="auto"/>
                <w:kern w:val="0"/>
                <w:sz w:val="20"/>
                <w:szCs w:val="24"/>
                <w:highlight w:val="none"/>
                <w:lang w:val="en-US" w:eastAsia="zh-CN" w:bidi="ar-SA"/>
              </w:rPr>
              <w:t>序号</w:t>
            </w:r>
          </w:p>
        </w:tc>
        <w:tc>
          <w:tcPr>
            <w:tcW w:w="2280" w:type="dxa"/>
            <w:tcBorders>
              <w:top w:val="single" w:color="000000" w:sz="6" w:space="0"/>
              <w:left w:val="single" w:color="000000" w:sz="6" w:space="0"/>
              <w:bottom w:val="single" w:color="000000" w:sz="6" w:space="0"/>
              <w:right w:val="single" w:color="000000" w:sz="6" w:space="0"/>
            </w:tcBorders>
            <w:noWrap w:val="0"/>
            <w:vAlign w:val="center"/>
          </w:tcPr>
          <w:p w14:paraId="39E31198">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r>
              <w:rPr>
                <w:rStyle w:val="20"/>
                <w:rFonts w:hint="eastAsia" w:ascii="Calibri" w:hAnsi="宋体" w:eastAsia="宋体"/>
                <w:color w:val="auto"/>
                <w:kern w:val="0"/>
                <w:sz w:val="20"/>
                <w:szCs w:val="24"/>
                <w:highlight w:val="none"/>
                <w:lang w:val="en-US" w:eastAsia="zh-CN" w:bidi="ar-SA"/>
              </w:rPr>
              <w:t>工序名称</w:t>
            </w:r>
          </w:p>
        </w:tc>
        <w:tc>
          <w:tcPr>
            <w:tcW w:w="3000" w:type="dxa"/>
            <w:tcBorders>
              <w:top w:val="single" w:color="000000" w:sz="6" w:space="0"/>
              <w:left w:val="single" w:color="000000" w:sz="6" w:space="0"/>
              <w:bottom w:val="single" w:color="000000" w:sz="6" w:space="0"/>
              <w:right w:val="single" w:color="000000" w:sz="6" w:space="0"/>
            </w:tcBorders>
            <w:noWrap w:val="0"/>
            <w:vAlign w:val="center"/>
          </w:tcPr>
          <w:p w14:paraId="56607766">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r>
              <w:rPr>
                <w:rStyle w:val="20"/>
                <w:rFonts w:hint="eastAsia" w:ascii="Calibri" w:hAnsi="宋体" w:eastAsia="宋体"/>
                <w:color w:val="auto"/>
                <w:kern w:val="0"/>
                <w:sz w:val="20"/>
                <w:szCs w:val="24"/>
                <w:highlight w:val="none"/>
                <w:lang w:val="en-US" w:eastAsia="zh-CN" w:bidi="ar-SA"/>
              </w:rPr>
              <w:t>工序主要内容</w:t>
            </w:r>
          </w:p>
        </w:tc>
        <w:tc>
          <w:tcPr>
            <w:tcW w:w="1440" w:type="dxa"/>
            <w:tcBorders>
              <w:top w:val="single" w:color="000000" w:sz="6" w:space="0"/>
              <w:left w:val="single" w:color="000000" w:sz="6" w:space="0"/>
              <w:bottom w:val="single" w:color="000000" w:sz="6" w:space="0"/>
              <w:right w:val="single" w:color="000000" w:sz="6" w:space="0"/>
            </w:tcBorders>
            <w:noWrap w:val="0"/>
            <w:vAlign w:val="center"/>
          </w:tcPr>
          <w:p w14:paraId="401EF99F">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r>
              <w:rPr>
                <w:rStyle w:val="20"/>
                <w:rFonts w:hint="eastAsia" w:ascii="Calibri" w:hAnsi="宋体" w:eastAsia="宋体"/>
                <w:color w:val="auto"/>
                <w:kern w:val="0"/>
                <w:sz w:val="20"/>
                <w:szCs w:val="24"/>
                <w:highlight w:val="none"/>
                <w:lang w:val="en-US" w:eastAsia="zh-CN" w:bidi="ar-SA"/>
              </w:rPr>
              <w:t>备注</w:t>
            </w:r>
          </w:p>
        </w:tc>
      </w:tr>
      <w:tr w14:paraId="12961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tcBorders>
              <w:top w:val="single" w:color="000000" w:sz="6" w:space="0"/>
              <w:left w:val="single" w:color="000000" w:sz="6" w:space="0"/>
              <w:bottom w:val="single" w:color="000000" w:sz="6" w:space="0"/>
              <w:right w:val="single" w:color="000000" w:sz="6" w:space="0"/>
            </w:tcBorders>
            <w:noWrap w:val="0"/>
            <w:vAlign w:val="top"/>
          </w:tcPr>
          <w:p w14:paraId="30CC4612">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p>
        </w:tc>
        <w:tc>
          <w:tcPr>
            <w:tcW w:w="2280" w:type="dxa"/>
            <w:tcBorders>
              <w:top w:val="single" w:color="000000" w:sz="6" w:space="0"/>
              <w:left w:val="single" w:color="000000" w:sz="6" w:space="0"/>
              <w:bottom w:val="single" w:color="000000" w:sz="6" w:space="0"/>
              <w:right w:val="single" w:color="000000" w:sz="6" w:space="0"/>
            </w:tcBorders>
            <w:noWrap w:val="0"/>
            <w:vAlign w:val="top"/>
          </w:tcPr>
          <w:p w14:paraId="28355911">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p>
        </w:tc>
        <w:tc>
          <w:tcPr>
            <w:tcW w:w="3000" w:type="dxa"/>
            <w:tcBorders>
              <w:top w:val="single" w:color="000000" w:sz="6" w:space="0"/>
              <w:left w:val="single" w:color="000000" w:sz="6" w:space="0"/>
              <w:bottom w:val="single" w:color="000000" w:sz="6" w:space="0"/>
              <w:right w:val="single" w:color="000000" w:sz="6" w:space="0"/>
            </w:tcBorders>
            <w:noWrap w:val="0"/>
            <w:vAlign w:val="top"/>
          </w:tcPr>
          <w:p w14:paraId="4AC8894A">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p>
        </w:tc>
        <w:tc>
          <w:tcPr>
            <w:tcW w:w="1440" w:type="dxa"/>
            <w:tcBorders>
              <w:top w:val="single" w:color="000000" w:sz="6" w:space="0"/>
              <w:left w:val="single" w:color="000000" w:sz="6" w:space="0"/>
              <w:bottom w:val="single" w:color="000000" w:sz="6" w:space="0"/>
              <w:right w:val="single" w:color="000000" w:sz="6" w:space="0"/>
            </w:tcBorders>
            <w:noWrap w:val="0"/>
            <w:vAlign w:val="top"/>
          </w:tcPr>
          <w:p w14:paraId="109BD372">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p>
        </w:tc>
      </w:tr>
      <w:tr w14:paraId="5D7FEB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tcBorders>
              <w:top w:val="single" w:color="000000" w:sz="6" w:space="0"/>
              <w:left w:val="single" w:color="000000" w:sz="6" w:space="0"/>
              <w:bottom w:val="single" w:color="000000" w:sz="6" w:space="0"/>
              <w:right w:val="single" w:color="000000" w:sz="6" w:space="0"/>
            </w:tcBorders>
            <w:noWrap w:val="0"/>
            <w:vAlign w:val="top"/>
          </w:tcPr>
          <w:p w14:paraId="709B34A3">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p>
        </w:tc>
        <w:tc>
          <w:tcPr>
            <w:tcW w:w="2280" w:type="dxa"/>
            <w:tcBorders>
              <w:top w:val="single" w:color="000000" w:sz="6" w:space="0"/>
              <w:left w:val="single" w:color="000000" w:sz="6" w:space="0"/>
              <w:bottom w:val="single" w:color="000000" w:sz="6" w:space="0"/>
              <w:right w:val="single" w:color="000000" w:sz="6" w:space="0"/>
            </w:tcBorders>
            <w:noWrap w:val="0"/>
            <w:vAlign w:val="top"/>
          </w:tcPr>
          <w:p w14:paraId="32F5EE3D">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p>
        </w:tc>
        <w:tc>
          <w:tcPr>
            <w:tcW w:w="3000" w:type="dxa"/>
            <w:tcBorders>
              <w:top w:val="single" w:color="000000" w:sz="6" w:space="0"/>
              <w:left w:val="single" w:color="000000" w:sz="6" w:space="0"/>
              <w:bottom w:val="single" w:color="000000" w:sz="6" w:space="0"/>
              <w:right w:val="single" w:color="000000" w:sz="6" w:space="0"/>
            </w:tcBorders>
            <w:noWrap w:val="0"/>
            <w:vAlign w:val="top"/>
          </w:tcPr>
          <w:p w14:paraId="4A9DD799">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p>
        </w:tc>
        <w:tc>
          <w:tcPr>
            <w:tcW w:w="1440" w:type="dxa"/>
            <w:tcBorders>
              <w:top w:val="single" w:color="000000" w:sz="6" w:space="0"/>
              <w:left w:val="single" w:color="000000" w:sz="6" w:space="0"/>
              <w:bottom w:val="single" w:color="000000" w:sz="6" w:space="0"/>
              <w:right w:val="single" w:color="000000" w:sz="6" w:space="0"/>
            </w:tcBorders>
            <w:noWrap w:val="0"/>
            <w:vAlign w:val="top"/>
          </w:tcPr>
          <w:p w14:paraId="48421D88">
            <w:pPr>
              <w:pStyle w:val="7"/>
              <w:widowControl w:val="0"/>
              <w:spacing w:line="360" w:lineRule="auto"/>
              <w:ind w:firstLine="420"/>
              <w:jc w:val="both"/>
              <w:rPr>
                <w:rStyle w:val="20"/>
                <w:rFonts w:ascii="Calibri" w:hAnsi="Calibri" w:eastAsia="宋体"/>
                <w:color w:val="auto"/>
                <w:kern w:val="0"/>
                <w:sz w:val="20"/>
                <w:szCs w:val="24"/>
                <w:highlight w:val="none"/>
                <w:lang w:val="en-US" w:eastAsia="zh-CN" w:bidi="ar-SA"/>
              </w:rPr>
            </w:pPr>
          </w:p>
        </w:tc>
      </w:tr>
    </w:tbl>
    <w:p w14:paraId="1AE758E9">
      <w:pPr>
        <w:pStyle w:val="7"/>
        <w:spacing w:line="360" w:lineRule="auto"/>
        <w:rPr>
          <w:rStyle w:val="20"/>
          <w:rFonts w:ascii="Times New Roman" w:hAnsi="Times New Roman"/>
          <w:color w:val="auto"/>
          <w:szCs w:val="24"/>
          <w:highlight w:val="none"/>
        </w:rPr>
      </w:pPr>
    </w:p>
    <w:p w14:paraId="55A13CF7">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1.3.3  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28A5BF4C">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1.3.4  投标人对其现场服务人员的一切行为负全部责任。</w:t>
      </w:r>
    </w:p>
    <w:p w14:paraId="63C90B03">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1.3.5  投标人现场服务人员的正常来去和更换事先与招标人协商。</w:t>
      </w:r>
    </w:p>
    <w:p w14:paraId="1462C242">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 xml:space="preserve">1.3.6 </w:t>
      </w:r>
      <w:r>
        <w:rPr>
          <w:rStyle w:val="20"/>
          <w:rFonts w:hint="eastAsia" w:asciiTheme="minorEastAsia" w:hAnsiTheme="minorEastAsia" w:eastAsiaTheme="minorEastAsia" w:cstheme="minorEastAsia"/>
          <w:color w:val="auto"/>
          <w:kern w:val="2"/>
          <w:sz w:val="24"/>
          <w:szCs w:val="24"/>
          <w:highlight w:val="none"/>
        </w:rPr>
        <w:t>投标人派到现场服务的工程师在完成服务前应写出现场服务总结报告，其中应包括调试中出现的缺陷处理记录及分析，报告应经招标人审核。</w:t>
      </w:r>
    </w:p>
    <w:p w14:paraId="056DD382">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1.4 招标人的义务</w:t>
      </w:r>
    </w:p>
    <w:p w14:paraId="6A11A171">
      <w:pPr>
        <w:pStyle w:val="7"/>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招标人要配合投标人现场服务人员的工作，并在生活、交通和通讯上提投标人便。</w:t>
      </w:r>
    </w:p>
    <w:p w14:paraId="2E23BC8F">
      <w:pPr>
        <w:pStyle w:val="7"/>
        <w:spacing w:line="360" w:lineRule="auto"/>
        <w:ind w:firstLine="0"/>
        <w:rPr>
          <w:rStyle w:val="20"/>
          <w:rFonts w:hint="eastAsia" w:asciiTheme="minorEastAsia" w:hAnsiTheme="minorEastAsia" w:eastAsiaTheme="minorEastAsia" w:cstheme="minorEastAsia"/>
          <w:b/>
          <w:bCs/>
          <w:color w:val="auto"/>
          <w:sz w:val="28"/>
          <w:szCs w:val="28"/>
          <w:highlight w:val="none"/>
        </w:rPr>
      </w:pPr>
      <w:bookmarkStart w:id="253" w:name="_Toc25244"/>
      <w:bookmarkStart w:id="254" w:name="_Toc1344"/>
      <w:r>
        <w:rPr>
          <w:rStyle w:val="20"/>
          <w:rFonts w:hint="eastAsia" w:asciiTheme="minorEastAsia" w:hAnsiTheme="minorEastAsia" w:eastAsiaTheme="minorEastAsia" w:cstheme="minorEastAsia"/>
          <w:b/>
          <w:bCs/>
          <w:color w:val="auto"/>
          <w:sz w:val="28"/>
          <w:szCs w:val="28"/>
          <w:highlight w:val="none"/>
        </w:rPr>
        <w:t>2  培训</w:t>
      </w:r>
      <w:bookmarkEnd w:id="253"/>
      <w:bookmarkEnd w:id="254"/>
    </w:p>
    <w:p w14:paraId="4E2EC94C">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2.1为使合同设备能正常安装和运行，投标人有责任提供相应的技术培训。培训内容应与工程进度相一致。</w:t>
      </w:r>
    </w:p>
    <w:p w14:paraId="0BE9F320">
      <w:pPr>
        <w:pStyle w:val="7"/>
        <w:spacing w:line="360" w:lineRule="auto"/>
        <w:rPr>
          <w:rStyle w:val="20"/>
          <w:rFonts w:hAnsi="宋体"/>
          <w:color w:val="auto"/>
          <w:szCs w:val="24"/>
          <w:highlight w:val="none"/>
        </w:rPr>
      </w:pPr>
      <w:r>
        <w:rPr>
          <w:rStyle w:val="20"/>
          <w:rFonts w:hint="eastAsia" w:hAnsi="宋体"/>
          <w:color w:val="auto"/>
          <w:szCs w:val="24"/>
          <w:highlight w:val="none"/>
        </w:rPr>
        <w:t>培训计划和内容由投标人在投标文件中列出（投标人细化）</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79"/>
        <w:gridCol w:w="1684"/>
        <w:gridCol w:w="1440"/>
        <w:gridCol w:w="1200"/>
        <w:gridCol w:w="1210"/>
      </w:tblGrid>
      <w:tr w14:paraId="066717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20" w:type="dxa"/>
            <w:vMerge w:val="restart"/>
            <w:tcBorders>
              <w:top w:val="single" w:color="auto" w:sz="12" w:space="0"/>
              <w:left w:val="single" w:color="auto" w:sz="12" w:space="0"/>
              <w:bottom w:val="single" w:color="auto" w:sz="4" w:space="0"/>
              <w:right w:val="single" w:color="auto" w:sz="4" w:space="0"/>
            </w:tcBorders>
            <w:noWrap w:val="0"/>
            <w:vAlign w:val="center"/>
          </w:tcPr>
          <w:p w14:paraId="5E216DF3">
            <w:pPr>
              <w:pStyle w:val="12"/>
              <w:widowControl w:val="0"/>
              <w:spacing w:line="360" w:lineRule="auto"/>
              <w:jc w:val="both"/>
              <w:rPr>
                <w:rStyle w:val="20"/>
                <w:rFonts w:ascii="Times New Roman" w:hAnsi="宋体" w:eastAsia="宋体"/>
                <w:color w:val="auto"/>
                <w:kern w:val="2"/>
                <w:sz w:val="24"/>
                <w:szCs w:val="24"/>
                <w:highlight w:val="none"/>
                <w:lang w:val="en-US" w:eastAsia="zh-CN" w:bidi="ar-SA"/>
              </w:rPr>
            </w:pPr>
            <w:r>
              <w:rPr>
                <w:rStyle w:val="20"/>
                <w:rFonts w:hint="eastAsia" w:ascii="Times New Roman" w:hAnsi="宋体" w:eastAsia="宋体"/>
                <w:color w:val="auto"/>
                <w:kern w:val="2"/>
                <w:sz w:val="24"/>
                <w:szCs w:val="24"/>
                <w:highlight w:val="none"/>
                <w:lang w:val="en-US" w:eastAsia="zh-CN" w:bidi="ar-SA"/>
              </w:rPr>
              <w:t>序号</w:t>
            </w:r>
          </w:p>
        </w:tc>
        <w:tc>
          <w:tcPr>
            <w:tcW w:w="1979" w:type="dxa"/>
            <w:vMerge w:val="restart"/>
            <w:tcBorders>
              <w:top w:val="single" w:color="auto" w:sz="12" w:space="0"/>
              <w:left w:val="single" w:color="auto" w:sz="4" w:space="0"/>
              <w:bottom w:val="single" w:color="auto" w:sz="4" w:space="0"/>
              <w:right w:val="single" w:color="auto" w:sz="4" w:space="0"/>
            </w:tcBorders>
            <w:noWrap w:val="0"/>
            <w:vAlign w:val="center"/>
          </w:tcPr>
          <w:p w14:paraId="05543174">
            <w:pPr>
              <w:pStyle w:val="12"/>
              <w:widowControl w:val="0"/>
              <w:spacing w:line="360" w:lineRule="auto"/>
              <w:jc w:val="both"/>
              <w:rPr>
                <w:rStyle w:val="20"/>
                <w:rFonts w:hint="eastAsia" w:ascii="Times New Roman" w:hAnsi="宋体" w:eastAsia="宋体"/>
                <w:color w:val="auto"/>
                <w:kern w:val="2"/>
                <w:sz w:val="24"/>
                <w:szCs w:val="24"/>
                <w:highlight w:val="none"/>
                <w:lang w:val="en-US" w:eastAsia="zh-CN" w:bidi="ar-SA"/>
              </w:rPr>
            </w:pPr>
            <w:r>
              <w:rPr>
                <w:rStyle w:val="20"/>
                <w:rFonts w:hint="eastAsia" w:ascii="Times New Roman" w:hAnsi="宋体" w:eastAsia="宋体"/>
                <w:color w:val="auto"/>
                <w:kern w:val="2"/>
                <w:sz w:val="24"/>
                <w:szCs w:val="24"/>
                <w:highlight w:val="none"/>
                <w:lang w:val="en-US" w:eastAsia="zh-CN" w:bidi="ar-SA"/>
              </w:rPr>
              <w:t>技术服务内容</w:t>
            </w:r>
          </w:p>
        </w:tc>
        <w:tc>
          <w:tcPr>
            <w:tcW w:w="1684" w:type="dxa"/>
            <w:vMerge w:val="restart"/>
            <w:tcBorders>
              <w:top w:val="single" w:color="auto" w:sz="12" w:space="0"/>
              <w:left w:val="single" w:color="auto" w:sz="4" w:space="0"/>
              <w:bottom w:val="single" w:color="auto" w:sz="4" w:space="0"/>
              <w:right w:val="single" w:color="auto" w:sz="4" w:space="0"/>
            </w:tcBorders>
            <w:noWrap w:val="0"/>
            <w:vAlign w:val="center"/>
          </w:tcPr>
          <w:p w14:paraId="521768B8">
            <w:pPr>
              <w:pStyle w:val="12"/>
              <w:widowControl w:val="0"/>
              <w:spacing w:line="360" w:lineRule="auto"/>
              <w:jc w:val="both"/>
              <w:rPr>
                <w:rStyle w:val="20"/>
                <w:rFonts w:hint="eastAsia" w:ascii="Times New Roman" w:hAnsi="宋体" w:eastAsia="宋体"/>
                <w:color w:val="auto"/>
                <w:kern w:val="2"/>
                <w:sz w:val="24"/>
                <w:szCs w:val="24"/>
                <w:highlight w:val="none"/>
                <w:lang w:val="en-US" w:eastAsia="zh-CN" w:bidi="ar-SA"/>
              </w:rPr>
            </w:pPr>
            <w:r>
              <w:rPr>
                <w:rStyle w:val="20"/>
                <w:rFonts w:hint="eastAsia" w:ascii="Times New Roman" w:hAnsi="宋体" w:eastAsia="宋体"/>
                <w:color w:val="auto"/>
                <w:kern w:val="2"/>
                <w:sz w:val="24"/>
                <w:szCs w:val="24"/>
                <w:highlight w:val="none"/>
                <w:lang w:val="en-US" w:eastAsia="zh-CN" w:bidi="ar-SA"/>
              </w:rPr>
              <w:t>计划天数</w:t>
            </w:r>
          </w:p>
        </w:tc>
        <w:tc>
          <w:tcPr>
            <w:tcW w:w="2640" w:type="dxa"/>
            <w:gridSpan w:val="2"/>
            <w:tcBorders>
              <w:top w:val="single" w:color="auto" w:sz="12" w:space="0"/>
              <w:left w:val="single" w:color="auto" w:sz="4" w:space="0"/>
              <w:bottom w:val="single" w:color="auto" w:sz="4" w:space="0"/>
              <w:right w:val="single" w:color="auto" w:sz="4" w:space="0"/>
            </w:tcBorders>
            <w:noWrap w:val="0"/>
            <w:vAlign w:val="center"/>
          </w:tcPr>
          <w:p w14:paraId="41263BA6">
            <w:pPr>
              <w:pStyle w:val="12"/>
              <w:widowControl w:val="0"/>
              <w:spacing w:line="360" w:lineRule="auto"/>
              <w:jc w:val="both"/>
              <w:rPr>
                <w:rStyle w:val="20"/>
                <w:rFonts w:hint="eastAsia" w:ascii="Times New Roman" w:hAnsi="宋体" w:eastAsia="宋体"/>
                <w:color w:val="auto"/>
                <w:kern w:val="2"/>
                <w:sz w:val="24"/>
                <w:szCs w:val="24"/>
                <w:highlight w:val="none"/>
                <w:lang w:val="en-US" w:eastAsia="zh-CN" w:bidi="ar-SA"/>
              </w:rPr>
            </w:pPr>
            <w:r>
              <w:rPr>
                <w:rStyle w:val="20"/>
                <w:rFonts w:hint="eastAsia" w:ascii="Times New Roman" w:hAnsi="宋体" w:eastAsia="宋体"/>
                <w:color w:val="auto"/>
                <w:kern w:val="2"/>
                <w:sz w:val="24"/>
                <w:szCs w:val="24"/>
                <w:highlight w:val="none"/>
                <w:lang w:val="en-US" w:eastAsia="zh-CN" w:bidi="ar-SA"/>
              </w:rPr>
              <w:t>人员构成</w:t>
            </w:r>
          </w:p>
        </w:tc>
        <w:tc>
          <w:tcPr>
            <w:tcW w:w="1210" w:type="dxa"/>
            <w:vMerge w:val="restart"/>
            <w:tcBorders>
              <w:top w:val="single" w:color="auto" w:sz="12" w:space="0"/>
              <w:left w:val="single" w:color="auto" w:sz="4" w:space="0"/>
              <w:bottom w:val="single" w:color="auto" w:sz="4" w:space="0"/>
              <w:right w:val="single" w:color="auto" w:sz="12" w:space="0"/>
            </w:tcBorders>
            <w:noWrap w:val="0"/>
            <w:vAlign w:val="center"/>
          </w:tcPr>
          <w:p w14:paraId="4A50FD78">
            <w:pPr>
              <w:pStyle w:val="12"/>
              <w:widowControl w:val="0"/>
              <w:spacing w:line="360" w:lineRule="auto"/>
              <w:jc w:val="both"/>
              <w:rPr>
                <w:rStyle w:val="20"/>
                <w:rFonts w:hint="eastAsia" w:ascii="Times New Roman" w:hAnsi="宋体" w:eastAsia="宋体"/>
                <w:color w:val="auto"/>
                <w:kern w:val="2"/>
                <w:sz w:val="24"/>
                <w:szCs w:val="24"/>
                <w:highlight w:val="none"/>
                <w:lang w:val="en-US" w:eastAsia="zh-CN" w:bidi="ar-SA"/>
              </w:rPr>
            </w:pPr>
            <w:r>
              <w:rPr>
                <w:rStyle w:val="20"/>
                <w:rFonts w:hint="eastAsia" w:ascii="Times New Roman" w:hAnsi="宋体" w:eastAsia="宋体"/>
                <w:color w:val="auto"/>
                <w:kern w:val="2"/>
                <w:sz w:val="24"/>
                <w:szCs w:val="24"/>
                <w:highlight w:val="none"/>
                <w:lang w:val="en-US" w:eastAsia="zh-CN" w:bidi="ar-SA"/>
              </w:rPr>
              <w:t>备注</w:t>
            </w:r>
          </w:p>
        </w:tc>
      </w:tr>
      <w:tr w14:paraId="631BA0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20" w:type="dxa"/>
            <w:vMerge w:val="continue"/>
            <w:tcBorders>
              <w:top w:val="single" w:color="auto" w:sz="12" w:space="0"/>
              <w:left w:val="single" w:color="auto" w:sz="12" w:space="0"/>
              <w:bottom w:val="single" w:color="auto" w:sz="4" w:space="0"/>
              <w:right w:val="single" w:color="auto" w:sz="4" w:space="0"/>
            </w:tcBorders>
            <w:noWrap w:val="0"/>
            <w:vAlign w:val="center"/>
          </w:tcPr>
          <w:p w14:paraId="4704C3D3">
            <w:pPr>
              <w:pStyle w:val="8"/>
              <w:widowControl/>
              <w:jc w:val="left"/>
              <w:rPr>
                <w:rStyle w:val="20"/>
                <w:rFonts w:ascii="宋体" w:hAnsi="宋体" w:eastAsia="宋体"/>
                <w:color w:val="auto"/>
                <w:kern w:val="2"/>
                <w:sz w:val="24"/>
                <w:szCs w:val="24"/>
                <w:highlight w:val="none"/>
                <w:lang w:val="en-US" w:eastAsia="zh-CN" w:bidi="ar-SA"/>
              </w:rPr>
            </w:pPr>
          </w:p>
        </w:tc>
        <w:tc>
          <w:tcPr>
            <w:tcW w:w="1979" w:type="dxa"/>
            <w:vMerge w:val="continue"/>
            <w:tcBorders>
              <w:top w:val="single" w:color="auto" w:sz="12" w:space="0"/>
              <w:left w:val="single" w:color="auto" w:sz="4" w:space="0"/>
              <w:bottom w:val="single" w:color="auto" w:sz="4" w:space="0"/>
              <w:right w:val="single" w:color="auto" w:sz="4" w:space="0"/>
            </w:tcBorders>
            <w:noWrap w:val="0"/>
            <w:vAlign w:val="center"/>
          </w:tcPr>
          <w:p w14:paraId="2DF9D52A">
            <w:pPr>
              <w:pStyle w:val="8"/>
              <w:widowControl/>
              <w:jc w:val="left"/>
              <w:rPr>
                <w:rStyle w:val="20"/>
                <w:rFonts w:ascii="宋体" w:hAnsi="宋体" w:eastAsia="宋体"/>
                <w:color w:val="auto"/>
                <w:kern w:val="2"/>
                <w:sz w:val="24"/>
                <w:szCs w:val="24"/>
                <w:highlight w:val="none"/>
                <w:lang w:val="en-US" w:eastAsia="zh-CN" w:bidi="ar-SA"/>
              </w:rPr>
            </w:pPr>
          </w:p>
        </w:tc>
        <w:tc>
          <w:tcPr>
            <w:tcW w:w="1684" w:type="dxa"/>
            <w:vMerge w:val="continue"/>
            <w:tcBorders>
              <w:top w:val="single" w:color="auto" w:sz="12" w:space="0"/>
              <w:left w:val="single" w:color="auto" w:sz="4" w:space="0"/>
              <w:bottom w:val="single" w:color="auto" w:sz="4" w:space="0"/>
              <w:right w:val="single" w:color="auto" w:sz="4" w:space="0"/>
            </w:tcBorders>
            <w:noWrap w:val="0"/>
            <w:vAlign w:val="center"/>
          </w:tcPr>
          <w:p w14:paraId="413B31DF">
            <w:pPr>
              <w:pStyle w:val="8"/>
              <w:widowControl/>
              <w:jc w:val="left"/>
              <w:rPr>
                <w:rStyle w:val="20"/>
                <w:rFonts w:ascii="宋体" w:hAnsi="宋体" w:eastAsia="宋体"/>
                <w:color w:val="auto"/>
                <w:kern w:val="2"/>
                <w:sz w:val="24"/>
                <w:szCs w:val="24"/>
                <w:highlight w:val="non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B6F1EE5">
            <w:pPr>
              <w:pStyle w:val="12"/>
              <w:widowControl w:val="0"/>
              <w:spacing w:line="360" w:lineRule="auto"/>
              <w:jc w:val="both"/>
              <w:rPr>
                <w:rStyle w:val="20"/>
                <w:rFonts w:hint="eastAsia" w:ascii="Times New Roman" w:hAnsi="宋体" w:eastAsia="宋体"/>
                <w:color w:val="auto"/>
                <w:kern w:val="2"/>
                <w:sz w:val="24"/>
                <w:szCs w:val="24"/>
                <w:highlight w:val="none"/>
                <w:lang w:val="en-US" w:eastAsia="zh-CN" w:bidi="ar-SA"/>
              </w:rPr>
            </w:pPr>
            <w:r>
              <w:rPr>
                <w:rStyle w:val="20"/>
                <w:rFonts w:hint="eastAsia" w:ascii="Times New Roman" w:hAnsi="宋体" w:eastAsia="宋体"/>
                <w:color w:val="auto"/>
                <w:kern w:val="2"/>
                <w:sz w:val="24"/>
                <w:szCs w:val="24"/>
                <w:highlight w:val="none"/>
                <w:lang w:val="en-US" w:eastAsia="zh-CN" w:bidi="ar-SA"/>
              </w:rPr>
              <w:t>职称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B193A3">
            <w:pPr>
              <w:pStyle w:val="12"/>
              <w:widowControl w:val="0"/>
              <w:spacing w:line="360" w:lineRule="auto"/>
              <w:jc w:val="both"/>
              <w:rPr>
                <w:rStyle w:val="20"/>
                <w:rFonts w:hint="eastAsia" w:ascii="Times New Roman" w:hAnsi="宋体" w:eastAsia="宋体"/>
                <w:color w:val="auto"/>
                <w:kern w:val="2"/>
                <w:sz w:val="24"/>
                <w:szCs w:val="24"/>
                <w:highlight w:val="none"/>
                <w:lang w:val="en-US" w:eastAsia="zh-CN" w:bidi="ar-SA"/>
              </w:rPr>
            </w:pPr>
            <w:r>
              <w:rPr>
                <w:rStyle w:val="20"/>
                <w:rFonts w:hint="eastAsia" w:ascii="Times New Roman" w:hAnsi="宋体" w:eastAsia="宋体"/>
                <w:color w:val="auto"/>
                <w:kern w:val="2"/>
                <w:sz w:val="24"/>
                <w:szCs w:val="24"/>
                <w:highlight w:val="none"/>
                <w:lang w:val="en-US" w:eastAsia="zh-CN" w:bidi="ar-SA"/>
              </w:rPr>
              <w:t>人数</w:t>
            </w:r>
          </w:p>
        </w:tc>
        <w:tc>
          <w:tcPr>
            <w:tcW w:w="1210" w:type="dxa"/>
            <w:vMerge w:val="continue"/>
            <w:tcBorders>
              <w:top w:val="single" w:color="auto" w:sz="12" w:space="0"/>
              <w:left w:val="single" w:color="auto" w:sz="4" w:space="0"/>
              <w:bottom w:val="single" w:color="auto" w:sz="4" w:space="0"/>
              <w:right w:val="single" w:color="auto" w:sz="12" w:space="0"/>
            </w:tcBorders>
            <w:noWrap w:val="0"/>
            <w:vAlign w:val="center"/>
          </w:tcPr>
          <w:p w14:paraId="6410DE57">
            <w:pPr>
              <w:pStyle w:val="8"/>
              <w:widowControl/>
              <w:jc w:val="left"/>
              <w:rPr>
                <w:rStyle w:val="20"/>
                <w:rFonts w:ascii="宋体" w:hAnsi="宋体" w:eastAsia="宋体"/>
                <w:color w:val="auto"/>
                <w:kern w:val="2"/>
                <w:sz w:val="24"/>
                <w:szCs w:val="24"/>
                <w:highlight w:val="none"/>
                <w:lang w:val="en-US" w:eastAsia="zh-CN" w:bidi="ar-SA"/>
              </w:rPr>
            </w:pPr>
          </w:p>
        </w:tc>
      </w:tr>
      <w:tr w14:paraId="79A8F1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12" w:space="0"/>
              <w:bottom w:val="single" w:color="auto" w:sz="4" w:space="0"/>
              <w:right w:val="single" w:color="auto" w:sz="4" w:space="0"/>
            </w:tcBorders>
            <w:noWrap w:val="0"/>
            <w:vAlign w:val="center"/>
          </w:tcPr>
          <w:p w14:paraId="720D0C26">
            <w:pPr>
              <w:pStyle w:val="12"/>
              <w:widowControl w:val="0"/>
              <w:spacing w:line="360" w:lineRule="auto"/>
              <w:jc w:val="both"/>
              <w:rPr>
                <w:rStyle w:val="20"/>
                <w:rFonts w:hint="eastAsia" w:ascii="Times New Roman" w:hAnsi="宋体" w:eastAsia="宋体"/>
                <w:color w:val="auto"/>
                <w:kern w:val="2"/>
                <w:sz w:val="24"/>
                <w:szCs w:val="24"/>
                <w:highlight w:val="none"/>
                <w:lang w:val="en-US" w:eastAsia="zh-CN" w:bidi="ar-SA"/>
              </w:rPr>
            </w:pPr>
            <w:r>
              <w:rPr>
                <w:rStyle w:val="20"/>
                <w:rFonts w:hint="eastAsia" w:ascii="Times New Roman" w:hAnsi="宋体" w:eastAsia="宋体"/>
                <w:color w:val="auto"/>
                <w:kern w:val="2"/>
                <w:sz w:val="24"/>
                <w:szCs w:val="24"/>
                <w:highlight w:val="none"/>
                <w:lang w:val="en-US" w:eastAsia="zh-CN" w:bidi="ar-SA"/>
              </w:rPr>
              <w:t>1</w:t>
            </w:r>
          </w:p>
        </w:tc>
        <w:tc>
          <w:tcPr>
            <w:tcW w:w="1979" w:type="dxa"/>
            <w:tcBorders>
              <w:top w:val="single" w:color="auto" w:sz="4" w:space="0"/>
              <w:left w:val="single" w:color="auto" w:sz="4" w:space="0"/>
              <w:bottom w:val="single" w:color="auto" w:sz="4" w:space="0"/>
              <w:right w:val="single" w:color="auto" w:sz="4" w:space="0"/>
            </w:tcBorders>
            <w:noWrap w:val="0"/>
            <w:vAlign w:val="center"/>
          </w:tcPr>
          <w:p w14:paraId="65F9D03B">
            <w:pPr>
              <w:pStyle w:val="12"/>
              <w:widowControl w:val="0"/>
              <w:spacing w:line="360" w:lineRule="auto"/>
              <w:jc w:val="both"/>
              <w:rPr>
                <w:rStyle w:val="20"/>
                <w:rFonts w:hint="eastAsia" w:ascii="Times New Roman" w:hAnsi="宋体" w:eastAsia="宋体"/>
                <w:i/>
                <w:color w:val="auto"/>
                <w:kern w:val="2"/>
                <w:sz w:val="24"/>
                <w:szCs w:val="24"/>
                <w:highlight w:val="none"/>
                <w:u w:val="single"/>
                <w:lang w:val="en-US" w:eastAsia="zh-CN" w:bidi="ar-SA"/>
              </w:rPr>
            </w:pPr>
          </w:p>
        </w:tc>
        <w:tc>
          <w:tcPr>
            <w:tcW w:w="1684" w:type="dxa"/>
            <w:tcBorders>
              <w:top w:val="single" w:color="auto" w:sz="4" w:space="0"/>
              <w:left w:val="single" w:color="auto" w:sz="4" w:space="0"/>
              <w:bottom w:val="single" w:color="auto" w:sz="4" w:space="0"/>
              <w:right w:val="single" w:color="auto" w:sz="4" w:space="0"/>
            </w:tcBorders>
            <w:noWrap w:val="0"/>
            <w:vAlign w:val="center"/>
          </w:tcPr>
          <w:p w14:paraId="046F786E">
            <w:pPr>
              <w:pStyle w:val="12"/>
              <w:widowControl w:val="0"/>
              <w:spacing w:line="360" w:lineRule="auto"/>
              <w:jc w:val="both"/>
              <w:rPr>
                <w:rStyle w:val="20"/>
                <w:rFonts w:hint="eastAsia" w:ascii="Times New Roman" w:hAnsi="宋体" w:eastAsia="宋体"/>
                <w:i/>
                <w:color w:val="auto"/>
                <w:kern w:val="2"/>
                <w:sz w:val="24"/>
                <w:szCs w:val="24"/>
                <w:highlight w:val="none"/>
                <w:u w:val="singl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01D1A1D">
            <w:pPr>
              <w:pStyle w:val="12"/>
              <w:widowControl w:val="0"/>
              <w:spacing w:line="360" w:lineRule="auto"/>
              <w:jc w:val="both"/>
              <w:rPr>
                <w:rStyle w:val="20"/>
                <w:rFonts w:hint="eastAsia" w:ascii="Times New Roman" w:hAnsi="宋体" w:eastAsia="宋体"/>
                <w:i/>
                <w:color w:val="auto"/>
                <w:kern w:val="2"/>
                <w:sz w:val="24"/>
                <w:szCs w:val="24"/>
                <w:highlight w:val="none"/>
                <w:u w:val="single"/>
                <w:lang w:val="en-US" w:eastAsia="zh-CN" w:bidi="ar-SA"/>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501756">
            <w:pPr>
              <w:pStyle w:val="12"/>
              <w:widowControl w:val="0"/>
              <w:spacing w:line="360" w:lineRule="auto"/>
              <w:jc w:val="both"/>
              <w:rPr>
                <w:rStyle w:val="20"/>
                <w:rFonts w:hint="eastAsia" w:ascii="Times New Roman" w:hAnsi="宋体" w:eastAsia="宋体"/>
                <w:i/>
                <w:color w:val="auto"/>
                <w:kern w:val="2"/>
                <w:sz w:val="24"/>
                <w:szCs w:val="24"/>
                <w:highlight w:val="none"/>
                <w:u w:val="single"/>
                <w:lang w:val="en-US" w:eastAsia="zh-CN" w:bidi="ar-SA"/>
              </w:rPr>
            </w:pPr>
          </w:p>
        </w:tc>
        <w:tc>
          <w:tcPr>
            <w:tcW w:w="1210" w:type="dxa"/>
            <w:tcBorders>
              <w:top w:val="single" w:color="auto" w:sz="4" w:space="0"/>
              <w:left w:val="single" w:color="auto" w:sz="4" w:space="0"/>
              <w:bottom w:val="single" w:color="auto" w:sz="4" w:space="0"/>
              <w:right w:val="single" w:color="auto" w:sz="12" w:space="0"/>
            </w:tcBorders>
            <w:noWrap w:val="0"/>
            <w:vAlign w:val="center"/>
          </w:tcPr>
          <w:p w14:paraId="7DA4E2EF">
            <w:pPr>
              <w:pStyle w:val="12"/>
              <w:widowControl w:val="0"/>
              <w:spacing w:line="360" w:lineRule="auto"/>
              <w:jc w:val="both"/>
              <w:rPr>
                <w:rStyle w:val="20"/>
                <w:rFonts w:hint="eastAsia" w:ascii="Times New Roman" w:hAnsi="宋体" w:eastAsia="宋体"/>
                <w:color w:val="auto"/>
                <w:kern w:val="2"/>
                <w:sz w:val="24"/>
                <w:szCs w:val="24"/>
                <w:highlight w:val="none"/>
                <w:lang w:val="en-US" w:eastAsia="zh-CN" w:bidi="ar-SA"/>
              </w:rPr>
            </w:pPr>
          </w:p>
        </w:tc>
      </w:tr>
      <w:tr w14:paraId="5294EB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12" w:space="0"/>
              <w:bottom w:val="single" w:color="auto" w:sz="12" w:space="0"/>
              <w:right w:val="single" w:color="auto" w:sz="4" w:space="0"/>
            </w:tcBorders>
            <w:noWrap w:val="0"/>
            <w:vAlign w:val="center"/>
          </w:tcPr>
          <w:p w14:paraId="4510F4C3">
            <w:pPr>
              <w:pStyle w:val="12"/>
              <w:widowControl w:val="0"/>
              <w:spacing w:line="360" w:lineRule="auto"/>
              <w:jc w:val="both"/>
              <w:rPr>
                <w:rStyle w:val="20"/>
                <w:rFonts w:hint="eastAsia" w:ascii="Times New Roman" w:hAnsi="宋体" w:eastAsia="宋体"/>
                <w:color w:val="auto"/>
                <w:kern w:val="2"/>
                <w:sz w:val="24"/>
                <w:szCs w:val="24"/>
                <w:highlight w:val="none"/>
                <w:lang w:val="en-US" w:eastAsia="zh-CN" w:bidi="ar-SA"/>
              </w:rPr>
            </w:pPr>
            <w:r>
              <w:rPr>
                <w:rStyle w:val="20"/>
                <w:rFonts w:hint="eastAsia" w:ascii="Times New Roman" w:hAnsi="宋体" w:eastAsia="宋体"/>
                <w:color w:val="auto"/>
                <w:kern w:val="2"/>
                <w:sz w:val="24"/>
                <w:szCs w:val="24"/>
                <w:highlight w:val="none"/>
                <w:lang w:val="en-US" w:eastAsia="zh-CN" w:bidi="ar-SA"/>
              </w:rPr>
              <w:t>2</w:t>
            </w:r>
          </w:p>
        </w:tc>
        <w:tc>
          <w:tcPr>
            <w:tcW w:w="1979" w:type="dxa"/>
            <w:tcBorders>
              <w:top w:val="single" w:color="auto" w:sz="4" w:space="0"/>
              <w:left w:val="single" w:color="auto" w:sz="4" w:space="0"/>
              <w:bottom w:val="single" w:color="auto" w:sz="12" w:space="0"/>
              <w:right w:val="single" w:color="auto" w:sz="4" w:space="0"/>
            </w:tcBorders>
            <w:noWrap w:val="0"/>
            <w:vAlign w:val="center"/>
          </w:tcPr>
          <w:p w14:paraId="148222D8">
            <w:pPr>
              <w:pStyle w:val="12"/>
              <w:widowControl w:val="0"/>
              <w:spacing w:line="360" w:lineRule="auto"/>
              <w:jc w:val="both"/>
              <w:rPr>
                <w:rStyle w:val="20"/>
                <w:rFonts w:hint="eastAsia" w:ascii="Times New Roman" w:hAnsi="宋体" w:eastAsia="宋体"/>
                <w:i/>
                <w:color w:val="auto"/>
                <w:kern w:val="2"/>
                <w:sz w:val="24"/>
                <w:szCs w:val="24"/>
                <w:highlight w:val="none"/>
                <w:u w:val="single"/>
                <w:lang w:val="en-US" w:eastAsia="zh-CN" w:bidi="ar-SA"/>
              </w:rPr>
            </w:pPr>
          </w:p>
        </w:tc>
        <w:tc>
          <w:tcPr>
            <w:tcW w:w="1684" w:type="dxa"/>
            <w:tcBorders>
              <w:top w:val="single" w:color="auto" w:sz="4" w:space="0"/>
              <w:left w:val="single" w:color="auto" w:sz="4" w:space="0"/>
              <w:bottom w:val="single" w:color="auto" w:sz="12" w:space="0"/>
              <w:right w:val="single" w:color="auto" w:sz="4" w:space="0"/>
            </w:tcBorders>
            <w:noWrap w:val="0"/>
            <w:vAlign w:val="center"/>
          </w:tcPr>
          <w:p w14:paraId="4492ED7A">
            <w:pPr>
              <w:pStyle w:val="12"/>
              <w:widowControl w:val="0"/>
              <w:spacing w:line="360" w:lineRule="auto"/>
              <w:jc w:val="both"/>
              <w:rPr>
                <w:rStyle w:val="20"/>
                <w:rFonts w:hint="eastAsia" w:ascii="Times New Roman" w:hAnsi="宋体" w:eastAsia="宋体"/>
                <w:i/>
                <w:color w:val="auto"/>
                <w:kern w:val="2"/>
                <w:sz w:val="24"/>
                <w:szCs w:val="24"/>
                <w:highlight w:val="none"/>
                <w:u w:val="single"/>
                <w:lang w:val="en-US" w:eastAsia="zh-CN" w:bidi="ar-SA"/>
              </w:rPr>
            </w:pPr>
          </w:p>
        </w:tc>
        <w:tc>
          <w:tcPr>
            <w:tcW w:w="1440" w:type="dxa"/>
            <w:tcBorders>
              <w:top w:val="single" w:color="auto" w:sz="4" w:space="0"/>
              <w:left w:val="single" w:color="auto" w:sz="4" w:space="0"/>
              <w:bottom w:val="single" w:color="auto" w:sz="12" w:space="0"/>
              <w:right w:val="single" w:color="auto" w:sz="4" w:space="0"/>
            </w:tcBorders>
            <w:noWrap w:val="0"/>
            <w:vAlign w:val="center"/>
          </w:tcPr>
          <w:p w14:paraId="0629044C">
            <w:pPr>
              <w:pStyle w:val="12"/>
              <w:widowControl w:val="0"/>
              <w:spacing w:line="360" w:lineRule="auto"/>
              <w:jc w:val="both"/>
              <w:rPr>
                <w:rStyle w:val="20"/>
                <w:rFonts w:hint="eastAsia" w:ascii="Times New Roman" w:hAnsi="宋体" w:eastAsia="宋体"/>
                <w:i/>
                <w:color w:val="auto"/>
                <w:kern w:val="2"/>
                <w:sz w:val="24"/>
                <w:szCs w:val="24"/>
                <w:highlight w:val="none"/>
                <w:u w:val="single"/>
                <w:lang w:val="en-US" w:eastAsia="zh-CN" w:bidi="ar-SA"/>
              </w:rPr>
            </w:pPr>
          </w:p>
        </w:tc>
        <w:tc>
          <w:tcPr>
            <w:tcW w:w="1200" w:type="dxa"/>
            <w:tcBorders>
              <w:top w:val="single" w:color="auto" w:sz="4" w:space="0"/>
              <w:left w:val="single" w:color="auto" w:sz="4" w:space="0"/>
              <w:bottom w:val="single" w:color="auto" w:sz="12" w:space="0"/>
              <w:right w:val="single" w:color="auto" w:sz="4" w:space="0"/>
            </w:tcBorders>
            <w:noWrap w:val="0"/>
            <w:vAlign w:val="center"/>
          </w:tcPr>
          <w:p w14:paraId="7AD2F9DC">
            <w:pPr>
              <w:pStyle w:val="12"/>
              <w:widowControl w:val="0"/>
              <w:spacing w:line="360" w:lineRule="auto"/>
              <w:jc w:val="both"/>
              <w:rPr>
                <w:rStyle w:val="20"/>
                <w:rFonts w:hint="eastAsia" w:ascii="Times New Roman" w:hAnsi="宋体" w:eastAsia="宋体"/>
                <w:i/>
                <w:color w:val="auto"/>
                <w:kern w:val="2"/>
                <w:sz w:val="24"/>
                <w:szCs w:val="24"/>
                <w:highlight w:val="none"/>
                <w:u w:val="single"/>
                <w:lang w:val="en-US" w:eastAsia="zh-CN" w:bidi="ar-SA"/>
              </w:rPr>
            </w:pPr>
          </w:p>
        </w:tc>
        <w:tc>
          <w:tcPr>
            <w:tcW w:w="1210" w:type="dxa"/>
            <w:tcBorders>
              <w:top w:val="single" w:color="auto" w:sz="4" w:space="0"/>
              <w:left w:val="single" w:color="auto" w:sz="4" w:space="0"/>
              <w:bottom w:val="single" w:color="auto" w:sz="12" w:space="0"/>
              <w:right w:val="single" w:color="auto" w:sz="12" w:space="0"/>
            </w:tcBorders>
            <w:noWrap w:val="0"/>
            <w:vAlign w:val="center"/>
          </w:tcPr>
          <w:p w14:paraId="451CB6C5">
            <w:pPr>
              <w:pStyle w:val="12"/>
              <w:widowControl w:val="0"/>
              <w:spacing w:line="360" w:lineRule="auto"/>
              <w:jc w:val="both"/>
              <w:rPr>
                <w:rStyle w:val="20"/>
                <w:rFonts w:hint="eastAsia" w:ascii="Times New Roman" w:hAnsi="宋体" w:eastAsia="宋体"/>
                <w:color w:val="auto"/>
                <w:kern w:val="2"/>
                <w:sz w:val="24"/>
                <w:szCs w:val="24"/>
                <w:highlight w:val="none"/>
                <w:lang w:val="en-US" w:eastAsia="zh-CN" w:bidi="ar-SA"/>
              </w:rPr>
            </w:pPr>
          </w:p>
        </w:tc>
      </w:tr>
    </w:tbl>
    <w:p w14:paraId="38CD2A49">
      <w:pPr>
        <w:pStyle w:val="7"/>
        <w:spacing w:line="360" w:lineRule="auto"/>
        <w:ind w:firstLine="0"/>
        <w:rPr>
          <w:rStyle w:val="20"/>
          <w:rFonts w:hint="eastAsia" w:ascii="Times New Roman" w:hAnsi="Times New Roman"/>
          <w:color w:val="auto"/>
          <w:sz w:val="24"/>
          <w:szCs w:val="24"/>
          <w:highlight w:val="none"/>
        </w:rPr>
      </w:pPr>
    </w:p>
    <w:p w14:paraId="3E4CA4D8">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2.2 培训的时间、人数、地点等具体内容由招投标双方商定。</w:t>
      </w:r>
    </w:p>
    <w:p w14:paraId="3832EBD1">
      <w:pPr>
        <w:pStyle w:val="7"/>
        <w:spacing w:line="360" w:lineRule="auto"/>
        <w:ind w:firstLine="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2.3 投标人为招标人培训人员提供设备、场地、资料等培训条件，并提供食宿和交通、通信方便。</w:t>
      </w:r>
    </w:p>
    <w:p w14:paraId="6EE7092D">
      <w:pPr>
        <w:pStyle w:val="7"/>
        <w:spacing w:line="360" w:lineRule="auto"/>
        <w:ind w:firstLine="480" w:firstLineChars="2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现场、工厂培训费用包含在合同总价中，如因工程实际的需要，招标人需培训人数和次数的增加均不影响合同总价。</w:t>
      </w:r>
    </w:p>
    <w:p w14:paraId="3B0118BB">
      <w:pPr>
        <w:pStyle w:val="7"/>
        <w:spacing w:line="360" w:lineRule="auto"/>
        <w:ind w:firstLine="0"/>
        <w:rPr>
          <w:rStyle w:val="20"/>
          <w:rFonts w:hint="eastAsia" w:asciiTheme="minorEastAsia" w:hAnsiTheme="minorEastAsia" w:eastAsiaTheme="minorEastAsia" w:cstheme="minorEastAsia"/>
          <w:b/>
          <w:bCs/>
          <w:color w:val="auto"/>
          <w:sz w:val="28"/>
          <w:szCs w:val="28"/>
          <w:highlight w:val="none"/>
        </w:rPr>
      </w:pPr>
      <w:bookmarkStart w:id="255" w:name="_Toc31453"/>
      <w:bookmarkStart w:id="256" w:name="_Toc11682"/>
      <w:r>
        <w:rPr>
          <w:rStyle w:val="20"/>
          <w:rFonts w:hint="eastAsia" w:asciiTheme="minorEastAsia" w:hAnsiTheme="minorEastAsia" w:eastAsiaTheme="minorEastAsia" w:cstheme="minorEastAsia"/>
          <w:b/>
          <w:bCs/>
          <w:color w:val="auto"/>
          <w:sz w:val="28"/>
          <w:szCs w:val="28"/>
          <w:highlight w:val="none"/>
        </w:rPr>
        <w:t>3  设计联络</w:t>
      </w:r>
      <w:bookmarkEnd w:id="255"/>
      <w:bookmarkEnd w:id="256"/>
    </w:p>
    <w:p w14:paraId="64048789">
      <w:pPr>
        <w:pStyle w:val="8"/>
        <w:tabs>
          <w:tab w:val="left" w:pos="0"/>
          <w:tab w:val="left" w:pos="540"/>
        </w:tabs>
        <w:adjustRightInd w:val="0"/>
        <w:snapToGrid w:val="0"/>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3.1 投标人在中标后1周内提供ERTU系统双冗余方案，并组织审查讨论，审查通过后方可以进行组织生产和实施。</w:t>
      </w:r>
    </w:p>
    <w:p w14:paraId="28C26A43">
      <w:pPr>
        <w:pStyle w:val="8"/>
        <w:tabs>
          <w:tab w:val="left" w:pos="0"/>
          <w:tab w:val="left" w:pos="540"/>
        </w:tabs>
        <w:adjustRightInd w:val="0"/>
        <w:snapToGrid w:val="0"/>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3.2设计联络会原则上组织二次，在招标人指定的所在地；参加人员由省调</w:t>
      </w:r>
      <w:r>
        <w:rPr>
          <w:rStyle w:val="20"/>
          <w:rFonts w:hint="eastAsia" w:asciiTheme="minorEastAsia" w:hAnsiTheme="minorEastAsia" w:eastAsiaTheme="minorEastAsia" w:cstheme="minorEastAsia"/>
          <w:color w:val="auto"/>
          <w:sz w:val="24"/>
          <w:szCs w:val="24"/>
          <w:highlight w:val="none"/>
          <w:lang w:eastAsia="zh-CN"/>
        </w:rPr>
        <w:t>、</w:t>
      </w:r>
      <w:r>
        <w:rPr>
          <w:rStyle w:val="20"/>
          <w:rFonts w:hint="eastAsia" w:asciiTheme="minorEastAsia" w:hAnsiTheme="minorEastAsia" w:eastAsiaTheme="minorEastAsia" w:cstheme="minorEastAsia"/>
          <w:color w:val="auto"/>
          <w:sz w:val="24"/>
          <w:szCs w:val="24"/>
          <w:highlight w:val="none"/>
          <w:lang w:val="en-US" w:eastAsia="zh-CN"/>
        </w:rPr>
        <w:t>网调</w:t>
      </w:r>
      <w:r>
        <w:rPr>
          <w:rStyle w:val="20"/>
          <w:rFonts w:hint="eastAsia" w:asciiTheme="minorEastAsia" w:hAnsiTheme="minorEastAsia" w:eastAsiaTheme="minorEastAsia" w:cstheme="minorEastAsia"/>
          <w:color w:val="auto"/>
          <w:sz w:val="24"/>
          <w:szCs w:val="24"/>
          <w:highlight w:val="none"/>
        </w:rPr>
        <w:t>及招标人相关人员；相关费用由中标人负责。</w:t>
      </w:r>
    </w:p>
    <w:p w14:paraId="60740555">
      <w:pPr>
        <w:pStyle w:val="8"/>
        <w:tabs>
          <w:tab w:val="left" w:pos="0"/>
          <w:tab w:val="left" w:pos="540"/>
        </w:tabs>
        <w:adjustRightInd w:val="0"/>
        <w:snapToGrid w:val="0"/>
        <w:spacing w:line="360" w:lineRule="auto"/>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3.3 中标人所供设备如安装在招标人所提供的屏柜内，中标人需免费到现场进行配接线工作。</w:t>
      </w:r>
    </w:p>
    <w:p w14:paraId="55FDDFF2">
      <w:pPr>
        <w:pStyle w:val="7"/>
        <w:spacing w:line="360" w:lineRule="auto"/>
        <w:ind w:firstLine="0"/>
        <w:rPr>
          <w:rStyle w:val="20"/>
          <w:rFonts w:hint="eastAsia" w:asciiTheme="minorEastAsia" w:hAnsiTheme="minorEastAsia" w:eastAsiaTheme="minorEastAsia" w:cstheme="minorEastAsia"/>
          <w:b/>
          <w:bCs/>
          <w:color w:val="auto"/>
          <w:sz w:val="28"/>
          <w:szCs w:val="28"/>
          <w:highlight w:val="none"/>
        </w:rPr>
      </w:pPr>
      <w:bookmarkStart w:id="257" w:name="_Toc31342"/>
      <w:bookmarkStart w:id="258" w:name="_Toc16940"/>
      <w:r>
        <w:rPr>
          <w:rStyle w:val="20"/>
          <w:rFonts w:hint="eastAsia" w:asciiTheme="minorEastAsia" w:hAnsiTheme="minorEastAsia" w:eastAsiaTheme="minorEastAsia" w:cstheme="minorEastAsia"/>
          <w:b/>
          <w:bCs/>
          <w:color w:val="auto"/>
          <w:sz w:val="28"/>
          <w:szCs w:val="28"/>
          <w:highlight w:val="none"/>
        </w:rPr>
        <w:t>4  项目管理</w:t>
      </w:r>
      <w:bookmarkEnd w:id="257"/>
      <w:bookmarkEnd w:id="258"/>
    </w:p>
    <w:p w14:paraId="13D6878E">
      <w:pPr>
        <w:pStyle w:val="12"/>
        <w:spacing w:line="360" w:lineRule="auto"/>
        <w:ind w:firstLine="480" w:firstLineChars="200"/>
        <w:rPr>
          <w:rStyle w:val="20"/>
          <w:rFonts w:hint="eastAsia" w:asciiTheme="minorEastAsia" w:hAnsiTheme="minorEastAsia" w:eastAsiaTheme="minorEastAsia" w:cstheme="minorEastAsia"/>
          <w:color w:val="auto"/>
          <w:sz w:val="24"/>
          <w:szCs w:val="24"/>
          <w:highlight w:val="none"/>
        </w:rPr>
      </w:pPr>
      <w:r>
        <w:rPr>
          <w:rStyle w:val="20"/>
          <w:rFonts w:hint="eastAsia" w:asciiTheme="minorEastAsia" w:hAnsiTheme="minorEastAsia" w:eastAsiaTheme="minorEastAsia" w:cstheme="minorEastAsia"/>
          <w:color w:val="auto"/>
          <w:sz w:val="24"/>
          <w:szCs w:val="24"/>
          <w:highlight w:val="none"/>
        </w:rPr>
        <w:t>合同签订后，投标人应指定一项目经理，负责协调投标人在工程全过程的各项工作。如系统设计、工程进度、制造确认、编程和技术服务、图纸文件、工厂和现场测试、编制文件、启动、投运等工作。</w:t>
      </w:r>
    </w:p>
    <w:p w14:paraId="656161D5">
      <w:pPr>
        <w:pStyle w:val="8"/>
        <w:spacing w:line="360" w:lineRule="auto"/>
        <w:rPr>
          <w:rStyle w:val="20"/>
          <w:rFonts w:hint="eastAsia" w:asciiTheme="minorEastAsia" w:hAnsiTheme="minorEastAsia" w:eastAsiaTheme="minorEastAsia" w:cstheme="minorEastAsia"/>
          <w:color w:val="auto"/>
          <w:kern w:val="0"/>
          <w:sz w:val="24"/>
          <w:szCs w:val="24"/>
          <w:highlight w:val="none"/>
        </w:rPr>
      </w:pPr>
      <w:r>
        <w:rPr>
          <w:rStyle w:val="20"/>
          <w:rFonts w:hint="eastAsia" w:asciiTheme="minorEastAsia" w:hAnsiTheme="minorEastAsia" w:eastAsiaTheme="minorEastAsia" w:cstheme="minorEastAsia"/>
          <w:color w:val="auto"/>
          <w:kern w:val="0"/>
          <w:sz w:val="24"/>
          <w:szCs w:val="24"/>
          <w:highlight w:val="none"/>
        </w:rPr>
        <w:t>5售后服务</w:t>
      </w:r>
    </w:p>
    <w:p w14:paraId="07217DFA">
      <w:pPr>
        <w:pStyle w:val="8"/>
        <w:spacing w:line="360" w:lineRule="auto"/>
        <w:rPr>
          <w:rStyle w:val="20"/>
          <w:rFonts w:hint="eastAsia" w:asciiTheme="minorEastAsia" w:hAnsiTheme="minorEastAsia" w:eastAsiaTheme="minorEastAsia" w:cstheme="minorEastAsia"/>
          <w:color w:val="auto"/>
          <w:kern w:val="0"/>
          <w:sz w:val="24"/>
          <w:szCs w:val="24"/>
          <w:highlight w:val="none"/>
        </w:rPr>
      </w:pPr>
      <w:r>
        <w:rPr>
          <w:rStyle w:val="20"/>
          <w:rFonts w:hint="eastAsia" w:asciiTheme="minorEastAsia" w:hAnsiTheme="minorEastAsia" w:eastAsiaTheme="minorEastAsia" w:cstheme="minorEastAsia"/>
          <w:color w:val="auto"/>
          <w:kern w:val="0"/>
          <w:sz w:val="24"/>
          <w:szCs w:val="24"/>
          <w:highlight w:val="none"/>
        </w:rPr>
        <w:t xml:space="preserve">5.1  24小时内人员到现场； </w:t>
      </w:r>
    </w:p>
    <w:p w14:paraId="4234CE41">
      <w:pPr>
        <w:pStyle w:val="8"/>
        <w:spacing w:line="360" w:lineRule="auto"/>
        <w:rPr>
          <w:rStyle w:val="20"/>
          <w:rFonts w:hint="eastAsia" w:asciiTheme="minorEastAsia" w:hAnsiTheme="minorEastAsia" w:eastAsiaTheme="minorEastAsia" w:cstheme="minorEastAsia"/>
          <w:color w:val="auto"/>
          <w:kern w:val="0"/>
          <w:sz w:val="24"/>
          <w:szCs w:val="24"/>
          <w:highlight w:val="none"/>
        </w:rPr>
      </w:pPr>
      <w:r>
        <w:rPr>
          <w:rStyle w:val="20"/>
          <w:rFonts w:hint="eastAsia" w:asciiTheme="minorEastAsia" w:hAnsiTheme="minorEastAsia" w:eastAsiaTheme="minorEastAsia" w:cstheme="minorEastAsia"/>
          <w:color w:val="auto"/>
          <w:kern w:val="0"/>
          <w:sz w:val="24"/>
          <w:szCs w:val="24"/>
          <w:highlight w:val="none"/>
        </w:rPr>
        <w:t>5.2  优惠提供备品备件服务；</w:t>
      </w:r>
    </w:p>
    <w:p w14:paraId="4737986C">
      <w:pPr>
        <w:pStyle w:val="8"/>
        <w:spacing w:line="360" w:lineRule="auto"/>
        <w:rPr>
          <w:rStyle w:val="20"/>
          <w:rFonts w:hint="eastAsia" w:asciiTheme="minorEastAsia" w:hAnsiTheme="minorEastAsia" w:eastAsiaTheme="minorEastAsia" w:cstheme="minorEastAsia"/>
          <w:color w:val="auto"/>
          <w:kern w:val="0"/>
          <w:sz w:val="24"/>
          <w:szCs w:val="24"/>
          <w:highlight w:val="none"/>
        </w:rPr>
      </w:pPr>
      <w:r>
        <w:rPr>
          <w:rStyle w:val="20"/>
          <w:rFonts w:hint="eastAsia" w:asciiTheme="minorEastAsia" w:hAnsiTheme="minorEastAsia" w:eastAsiaTheme="minorEastAsia" w:cstheme="minorEastAsia"/>
          <w:color w:val="auto"/>
          <w:kern w:val="0"/>
          <w:sz w:val="24"/>
          <w:szCs w:val="24"/>
          <w:highlight w:val="none"/>
        </w:rPr>
        <w:t>5.3  按反措要求，具有修改软件和硬件的义务。</w:t>
      </w:r>
    </w:p>
    <w:p w14:paraId="2DDA6F66">
      <w:pPr>
        <w:pStyle w:val="8"/>
        <w:tabs>
          <w:tab w:val="left" w:pos="2625"/>
          <w:tab w:val="left" w:pos="3570"/>
        </w:tabs>
        <w:spacing w:line="360" w:lineRule="auto"/>
        <w:rPr>
          <w:rStyle w:val="20"/>
          <w:rFonts w:hint="eastAsia" w:asciiTheme="minorEastAsia" w:hAnsiTheme="minorEastAsia" w:eastAsiaTheme="minorEastAsia" w:cstheme="minorEastAsia"/>
          <w:color w:val="auto"/>
          <w:kern w:val="0"/>
          <w:sz w:val="24"/>
          <w:szCs w:val="24"/>
          <w:highlight w:val="none"/>
        </w:rPr>
      </w:pPr>
      <w:r>
        <w:rPr>
          <w:rStyle w:val="20"/>
          <w:rFonts w:hint="eastAsia" w:asciiTheme="minorEastAsia" w:hAnsiTheme="minorEastAsia" w:eastAsiaTheme="minorEastAsia" w:cstheme="minorEastAsia"/>
          <w:color w:val="auto"/>
          <w:kern w:val="0"/>
          <w:sz w:val="24"/>
          <w:szCs w:val="24"/>
          <w:highlight w:val="none"/>
        </w:rPr>
        <w:t>5.4  具有派人参加及产品返厂进行事故分析的义务。</w:t>
      </w:r>
    </w:p>
    <w:bookmarkEnd w:id="244"/>
    <w:bookmarkEnd w:id="245"/>
    <w:bookmarkEnd w:id="246"/>
    <w:bookmarkEnd w:id="247"/>
    <w:bookmarkEnd w:id="248"/>
    <w:p w14:paraId="5F47FF1A">
      <w:pPr>
        <w:pStyle w:val="8"/>
        <w:widowControl/>
        <w:spacing w:line="360" w:lineRule="auto"/>
        <w:jc w:val="left"/>
        <w:rPr>
          <w:rStyle w:val="20"/>
          <w:rFonts w:hint="eastAsia" w:asciiTheme="minorEastAsia" w:hAnsiTheme="minorEastAsia" w:eastAsiaTheme="minorEastAsia" w:cstheme="minorEastAsia"/>
          <w:color w:val="auto"/>
          <w:sz w:val="24"/>
          <w:szCs w:val="24"/>
          <w:highlight w:val="none"/>
        </w:rPr>
        <w:sectPr>
          <w:endnotePr>
            <w:numFmt w:val="decimal"/>
          </w:endnotePr>
          <w:pgSz w:w="11907" w:h="16840"/>
          <w:pgMar w:top="1418" w:right="1531" w:bottom="1418" w:left="1701" w:header="851" w:footer="1021" w:gutter="0"/>
          <w:pgNumType w:fmt="decimal"/>
          <w:cols w:space="720" w:num="1"/>
        </w:sectPr>
      </w:pPr>
    </w:p>
    <w:p w14:paraId="7E755210">
      <w:pPr>
        <w:pStyle w:val="38"/>
        <w:keepNext/>
        <w:keepLines/>
        <w:pageBreakBefore w:val="0"/>
        <w:widowControl w:val="0"/>
        <w:kinsoku/>
        <w:wordWrap/>
        <w:overflowPunct/>
        <w:topLinePunct w:val="0"/>
        <w:autoSpaceDE/>
        <w:autoSpaceDN/>
        <w:bidi w:val="0"/>
        <w:adjustRightInd/>
        <w:snapToGrid/>
        <w:spacing w:before="0" w:after="0" w:line="360" w:lineRule="auto"/>
        <w:textAlignment w:val="auto"/>
        <w:rPr>
          <w:rStyle w:val="20"/>
          <w:rFonts w:hint="eastAsia" w:ascii="宋体"/>
          <w:b/>
          <w:bCs/>
          <w:color w:val="auto"/>
          <w:sz w:val="30"/>
          <w:szCs w:val="30"/>
          <w:highlight w:val="none"/>
        </w:rPr>
      </w:pPr>
      <w:bookmarkStart w:id="259" w:name="_Toc20412"/>
      <w:bookmarkStart w:id="260" w:name="_Toc10333"/>
      <w:bookmarkStart w:id="261" w:name="_Toc21121"/>
      <w:bookmarkStart w:id="262" w:name="_Toc286159475"/>
      <w:bookmarkStart w:id="263" w:name="_Toc967"/>
      <w:bookmarkStart w:id="264" w:name="_Toc8669"/>
      <w:bookmarkStart w:id="265" w:name="_Toc12684"/>
      <w:bookmarkStart w:id="266" w:name="_Toc57640865"/>
      <w:bookmarkStart w:id="267" w:name="_Toc515697903"/>
      <w:bookmarkStart w:id="268" w:name="_Toc515332014"/>
      <w:bookmarkStart w:id="269" w:name="_Toc488922628"/>
      <w:bookmarkStart w:id="270" w:name="_Toc515622055"/>
      <w:bookmarkStart w:id="271" w:name="_Toc515335073"/>
      <w:r>
        <w:rPr>
          <w:rStyle w:val="20"/>
          <w:rFonts w:hint="eastAsia"/>
          <w:b/>
          <w:bCs/>
          <w:color w:val="auto"/>
          <w:sz w:val="30"/>
          <w:szCs w:val="30"/>
          <w:highlight w:val="none"/>
        </w:rPr>
        <w:t>附件7 分包与外购</w:t>
      </w:r>
      <w:bookmarkEnd w:id="259"/>
      <w:bookmarkEnd w:id="260"/>
      <w:bookmarkEnd w:id="261"/>
      <w:bookmarkEnd w:id="262"/>
      <w:bookmarkEnd w:id="263"/>
      <w:bookmarkEnd w:id="264"/>
      <w:bookmarkEnd w:id="265"/>
      <w:bookmarkEnd w:id="266"/>
    </w:p>
    <w:bookmarkEnd w:id="267"/>
    <w:bookmarkEnd w:id="268"/>
    <w:bookmarkEnd w:id="269"/>
    <w:bookmarkEnd w:id="270"/>
    <w:bookmarkEnd w:id="271"/>
    <w:p w14:paraId="77F063FE">
      <w:pPr>
        <w:pStyle w:val="8"/>
        <w:spacing w:line="360" w:lineRule="auto"/>
        <w:ind w:firstLine="420" w:firstLineChars="200"/>
        <w:rPr>
          <w:rStyle w:val="20"/>
          <w:rFonts w:hint="eastAsia"/>
          <w:bCs/>
          <w:color w:val="auto"/>
          <w:sz w:val="24"/>
          <w:szCs w:val="24"/>
          <w:highlight w:val="none"/>
        </w:rPr>
      </w:pPr>
      <w:bookmarkStart w:id="272" w:name="_Toc10437"/>
      <w:bookmarkStart w:id="273" w:name="_Toc31690"/>
      <w:r>
        <w:rPr>
          <w:rStyle w:val="20"/>
          <w:bCs/>
          <w:color w:val="auto"/>
          <w:highlight w:val="none"/>
        </w:rPr>
        <w:t>1</w:t>
      </w:r>
      <w:r>
        <w:rPr>
          <w:rStyle w:val="20"/>
          <w:rFonts w:hint="eastAsia"/>
          <w:bCs/>
          <w:color w:val="auto"/>
          <w:highlight w:val="none"/>
        </w:rPr>
        <w:t>、投标人应根据技术要求在下列表格中填写外购情况表。</w:t>
      </w:r>
      <w:bookmarkEnd w:id="272"/>
      <w:bookmarkEnd w:id="273"/>
    </w:p>
    <w:p w14:paraId="64B28603">
      <w:pPr>
        <w:pStyle w:val="8"/>
        <w:spacing w:line="360" w:lineRule="auto"/>
        <w:ind w:firstLine="367" w:firstLineChars="175"/>
        <w:jc w:val="center"/>
        <w:rPr>
          <w:rStyle w:val="20"/>
          <w:color w:val="auto"/>
          <w:highlight w:val="none"/>
        </w:rPr>
      </w:pPr>
      <w:r>
        <w:rPr>
          <w:rStyle w:val="20"/>
          <w:rFonts w:hint="eastAsia"/>
          <w:color w:val="auto"/>
          <w:highlight w:val="none"/>
        </w:rPr>
        <w:t>外购情况表</w:t>
      </w:r>
    </w:p>
    <w:tbl>
      <w:tblPr>
        <w:tblStyle w:val="19"/>
        <w:tblW w:w="0" w:type="auto"/>
        <w:tblInd w:w="10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85" w:type="dxa"/>
          <w:bottom w:w="0" w:type="dxa"/>
          <w:right w:w="85" w:type="dxa"/>
        </w:tblCellMar>
      </w:tblPr>
      <w:tblGrid>
        <w:gridCol w:w="704"/>
        <w:gridCol w:w="1206"/>
        <w:gridCol w:w="805"/>
        <w:gridCol w:w="805"/>
        <w:gridCol w:w="794"/>
        <w:gridCol w:w="862"/>
        <w:gridCol w:w="1159"/>
        <w:gridCol w:w="1608"/>
        <w:gridCol w:w="902"/>
      </w:tblGrid>
      <w:tr w14:paraId="12BDEC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c>
          <w:tcPr>
            <w:tcW w:w="704" w:type="dxa"/>
            <w:tcBorders>
              <w:top w:val="single" w:color="auto" w:sz="12" w:space="0"/>
              <w:left w:val="single" w:color="auto" w:sz="12" w:space="0"/>
              <w:bottom w:val="single" w:color="auto" w:sz="6" w:space="0"/>
              <w:right w:val="single" w:color="auto" w:sz="6" w:space="0"/>
            </w:tcBorders>
            <w:noWrap w:val="0"/>
            <w:vAlign w:val="center"/>
          </w:tcPr>
          <w:p w14:paraId="553BA0F0">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序号</w:t>
            </w:r>
          </w:p>
        </w:tc>
        <w:tc>
          <w:tcPr>
            <w:tcW w:w="1206" w:type="dxa"/>
            <w:tcBorders>
              <w:top w:val="single" w:color="auto" w:sz="12" w:space="0"/>
              <w:left w:val="single" w:color="auto" w:sz="6" w:space="0"/>
              <w:bottom w:val="single" w:color="auto" w:sz="6" w:space="0"/>
              <w:right w:val="single" w:color="auto" w:sz="6" w:space="0"/>
            </w:tcBorders>
            <w:noWrap w:val="0"/>
            <w:vAlign w:val="center"/>
          </w:tcPr>
          <w:p w14:paraId="400D7018">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设备</w:t>
            </w:r>
            <w:r>
              <w:rPr>
                <w:rStyle w:val="20"/>
                <w:rFonts w:ascii="Calibri" w:hAnsi="Calibri" w:eastAsia="宋体"/>
                <w:color w:val="auto"/>
                <w:kern w:val="2"/>
                <w:sz w:val="21"/>
                <w:szCs w:val="22"/>
                <w:highlight w:val="none"/>
                <w:lang w:val="en-US" w:eastAsia="zh-CN" w:bidi="ar-SA"/>
              </w:rPr>
              <w:t>/</w:t>
            </w:r>
            <w:r>
              <w:rPr>
                <w:rStyle w:val="20"/>
                <w:rFonts w:hint="eastAsia" w:ascii="Calibri" w:hAnsi="Calibri" w:eastAsia="宋体"/>
                <w:color w:val="auto"/>
                <w:kern w:val="2"/>
                <w:sz w:val="21"/>
                <w:szCs w:val="22"/>
                <w:highlight w:val="none"/>
                <w:lang w:val="en-US" w:eastAsia="zh-CN" w:bidi="ar-SA"/>
              </w:rPr>
              <w:t>部件</w:t>
            </w:r>
          </w:p>
        </w:tc>
        <w:tc>
          <w:tcPr>
            <w:tcW w:w="805" w:type="dxa"/>
            <w:tcBorders>
              <w:top w:val="single" w:color="auto" w:sz="12" w:space="0"/>
              <w:left w:val="single" w:color="auto" w:sz="6" w:space="0"/>
              <w:bottom w:val="single" w:color="auto" w:sz="6" w:space="0"/>
              <w:right w:val="single" w:color="auto" w:sz="6" w:space="0"/>
            </w:tcBorders>
            <w:noWrap w:val="0"/>
            <w:vAlign w:val="center"/>
          </w:tcPr>
          <w:p w14:paraId="1A82B035">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型号</w:t>
            </w:r>
          </w:p>
        </w:tc>
        <w:tc>
          <w:tcPr>
            <w:tcW w:w="805" w:type="dxa"/>
            <w:tcBorders>
              <w:top w:val="single" w:color="auto" w:sz="12" w:space="0"/>
              <w:left w:val="single" w:color="auto" w:sz="6" w:space="0"/>
              <w:bottom w:val="single" w:color="auto" w:sz="6" w:space="0"/>
              <w:right w:val="single" w:color="auto" w:sz="6" w:space="0"/>
            </w:tcBorders>
            <w:noWrap w:val="0"/>
            <w:vAlign w:val="center"/>
          </w:tcPr>
          <w:p w14:paraId="3C3CEE89">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单位</w:t>
            </w:r>
          </w:p>
        </w:tc>
        <w:tc>
          <w:tcPr>
            <w:tcW w:w="794" w:type="dxa"/>
            <w:tcBorders>
              <w:top w:val="single" w:color="auto" w:sz="12" w:space="0"/>
              <w:left w:val="single" w:color="auto" w:sz="6" w:space="0"/>
              <w:bottom w:val="single" w:color="auto" w:sz="6" w:space="0"/>
              <w:right w:val="single" w:color="auto" w:sz="6" w:space="0"/>
            </w:tcBorders>
            <w:noWrap w:val="0"/>
            <w:vAlign w:val="center"/>
          </w:tcPr>
          <w:p w14:paraId="4239DB17">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数量</w:t>
            </w:r>
          </w:p>
        </w:tc>
        <w:tc>
          <w:tcPr>
            <w:tcW w:w="862" w:type="dxa"/>
            <w:tcBorders>
              <w:top w:val="single" w:color="auto" w:sz="12" w:space="0"/>
              <w:left w:val="single" w:color="auto" w:sz="6" w:space="0"/>
              <w:bottom w:val="single" w:color="auto" w:sz="6" w:space="0"/>
              <w:right w:val="single" w:color="auto" w:sz="6" w:space="0"/>
            </w:tcBorders>
            <w:noWrap w:val="0"/>
            <w:vAlign w:val="center"/>
          </w:tcPr>
          <w:p w14:paraId="338A2814">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产地</w:t>
            </w:r>
          </w:p>
        </w:tc>
        <w:tc>
          <w:tcPr>
            <w:tcW w:w="1159" w:type="dxa"/>
            <w:tcBorders>
              <w:top w:val="single" w:color="auto" w:sz="12" w:space="0"/>
              <w:left w:val="single" w:color="auto" w:sz="6" w:space="0"/>
              <w:bottom w:val="single" w:color="auto" w:sz="6" w:space="0"/>
              <w:right w:val="single" w:color="auto" w:sz="6" w:space="0"/>
            </w:tcBorders>
            <w:noWrap w:val="0"/>
            <w:vAlign w:val="center"/>
          </w:tcPr>
          <w:p w14:paraId="0777A353">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厂家名称</w:t>
            </w:r>
          </w:p>
        </w:tc>
        <w:tc>
          <w:tcPr>
            <w:tcW w:w="1608" w:type="dxa"/>
            <w:tcBorders>
              <w:top w:val="single" w:color="auto" w:sz="12" w:space="0"/>
              <w:left w:val="single" w:color="auto" w:sz="6" w:space="0"/>
              <w:bottom w:val="single" w:color="auto" w:sz="6" w:space="0"/>
              <w:right w:val="single" w:color="auto" w:sz="6" w:space="0"/>
            </w:tcBorders>
            <w:noWrap w:val="0"/>
            <w:vAlign w:val="center"/>
          </w:tcPr>
          <w:p w14:paraId="34A4C477">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近两年同类型机组主要业绩</w:t>
            </w:r>
          </w:p>
        </w:tc>
        <w:tc>
          <w:tcPr>
            <w:tcW w:w="902" w:type="dxa"/>
            <w:tcBorders>
              <w:top w:val="single" w:color="auto" w:sz="12" w:space="0"/>
              <w:left w:val="single" w:color="auto" w:sz="6" w:space="0"/>
              <w:bottom w:val="single" w:color="auto" w:sz="6" w:space="0"/>
              <w:right w:val="single" w:color="auto" w:sz="12" w:space="0"/>
            </w:tcBorders>
            <w:noWrap w:val="0"/>
            <w:vAlign w:val="center"/>
          </w:tcPr>
          <w:p w14:paraId="415A39CD">
            <w:pPr>
              <w:pStyle w:val="8"/>
              <w:widowControl w:val="0"/>
              <w:spacing w:line="360" w:lineRule="auto"/>
              <w:jc w:val="center"/>
              <w:rPr>
                <w:rStyle w:val="20"/>
                <w:rFonts w:ascii="Calibri" w:hAnsi="Calibri" w:eastAsia="宋体"/>
                <w:color w:val="auto"/>
                <w:kern w:val="2"/>
                <w:sz w:val="21"/>
                <w:szCs w:val="22"/>
                <w:highlight w:val="none"/>
                <w:lang w:val="en-US" w:eastAsia="zh-CN" w:bidi="ar-SA"/>
              </w:rPr>
            </w:pPr>
            <w:r>
              <w:rPr>
                <w:rStyle w:val="20"/>
                <w:rFonts w:hint="eastAsia" w:ascii="Calibri" w:hAnsi="Calibri" w:eastAsia="宋体"/>
                <w:color w:val="auto"/>
                <w:kern w:val="2"/>
                <w:sz w:val="21"/>
                <w:szCs w:val="22"/>
                <w:highlight w:val="none"/>
                <w:lang w:val="en-US" w:eastAsia="zh-CN" w:bidi="ar-SA"/>
              </w:rPr>
              <w:t>备注</w:t>
            </w:r>
          </w:p>
        </w:tc>
      </w:tr>
      <w:tr w14:paraId="7F216F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noWrap w:val="0"/>
            <w:vAlign w:val="top"/>
          </w:tcPr>
          <w:p w14:paraId="35197FAF">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206" w:type="dxa"/>
            <w:tcBorders>
              <w:top w:val="single" w:color="auto" w:sz="6" w:space="0"/>
              <w:left w:val="single" w:color="auto" w:sz="6" w:space="0"/>
              <w:bottom w:val="single" w:color="auto" w:sz="6" w:space="0"/>
              <w:right w:val="single" w:color="auto" w:sz="6" w:space="0"/>
            </w:tcBorders>
            <w:noWrap w:val="0"/>
            <w:vAlign w:val="top"/>
          </w:tcPr>
          <w:p w14:paraId="34BDAA64">
            <w:pPr>
              <w:pStyle w:val="17"/>
              <w:widowControl w:val="0"/>
              <w:jc w:val="both"/>
              <w:rPr>
                <w:rStyle w:val="20"/>
                <w:rFonts w:ascii="Times New Roman" w:hAnsi="Times New Roman" w:eastAsia="宋体"/>
                <w:color w:val="auto"/>
                <w:kern w:val="2"/>
                <w:sz w:val="24"/>
                <w:szCs w:val="24"/>
                <w:highlight w:val="none"/>
                <w:lang w:val="en-US" w:eastAsia="zh-CN" w:bidi="ar-SA"/>
              </w:rPr>
            </w:pPr>
          </w:p>
        </w:tc>
        <w:tc>
          <w:tcPr>
            <w:tcW w:w="805" w:type="dxa"/>
            <w:tcBorders>
              <w:top w:val="single" w:color="auto" w:sz="6" w:space="0"/>
              <w:left w:val="single" w:color="auto" w:sz="6" w:space="0"/>
              <w:bottom w:val="single" w:color="auto" w:sz="6" w:space="0"/>
              <w:right w:val="single" w:color="auto" w:sz="6" w:space="0"/>
            </w:tcBorders>
            <w:noWrap w:val="0"/>
            <w:vAlign w:val="top"/>
          </w:tcPr>
          <w:p w14:paraId="757C2D2C">
            <w:pPr>
              <w:pStyle w:val="8"/>
              <w:widowControl w:val="0"/>
              <w:spacing w:line="360" w:lineRule="auto"/>
              <w:jc w:val="both"/>
              <w:rPr>
                <w:rStyle w:val="20"/>
                <w:rFonts w:hint="eastAsia" w:ascii="Calibri" w:hAnsi="Calibri" w:eastAsia="宋体"/>
                <w:color w:val="auto"/>
                <w:kern w:val="2"/>
                <w:sz w:val="24"/>
                <w:szCs w:val="24"/>
                <w:highlight w:val="none"/>
                <w:lang w:val="en-US" w:eastAsia="zh-CN" w:bidi="ar-SA"/>
              </w:rPr>
            </w:pPr>
          </w:p>
        </w:tc>
        <w:tc>
          <w:tcPr>
            <w:tcW w:w="805" w:type="dxa"/>
            <w:tcBorders>
              <w:top w:val="single" w:color="auto" w:sz="6" w:space="0"/>
              <w:left w:val="single" w:color="auto" w:sz="6" w:space="0"/>
              <w:bottom w:val="single" w:color="auto" w:sz="6" w:space="0"/>
              <w:right w:val="single" w:color="auto" w:sz="6" w:space="0"/>
            </w:tcBorders>
            <w:noWrap w:val="0"/>
            <w:vAlign w:val="top"/>
          </w:tcPr>
          <w:p w14:paraId="297721B4">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794" w:type="dxa"/>
            <w:tcBorders>
              <w:top w:val="single" w:color="auto" w:sz="6" w:space="0"/>
              <w:left w:val="single" w:color="auto" w:sz="6" w:space="0"/>
              <w:bottom w:val="single" w:color="auto" w:sz="6" w:space="0"/>
              <w:right w:val="single" w:color="auto" w:sz="6" w:space="0"/>
            </w:tcBorders>
            <w:noWrap w:val="0"/>
            <w:vAlign w:val="top"/>
          </w:tcPr>
          <w:p w14:paraId="432640E6">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862" w:type="dxa"/>
            <w:tcBorders>
              <w:top w:val="single" w:color="auto" w:sz="6" w:space="0"/>
              <w:left w:val="single" w:color="auto" w:sz="6" w:space="0"/>
              <w:bottom w:val="single" w:color="auto" w:sz="6" w:space="0"/>
              <w:right w:val="single" w:color="auto" w:sz="6" w:space="0"/>
            </w:tcBorders>
            <w:noWrap w:val="0"/>
            <w:vAlign w:val="top"/>
          </w:tcPr>
          <w:p w14:paraId="5CC65A81">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159" w:type="dxa"/>
            <w:tcBorders>
              <w:top w:val="single" w:color="auto" w:sz="6" w:space="0"/>
              <w:left w:val="single" w:color="auto" w:sz="6" w:space="0"/>
              <w:bottom w:val="single" w:color="auto" w:sz="6" w:space="0"/>
              <w:right w:val="single" w:color="auto" w:sz="6" w:space="0"/>
            </w:tcBorders>
            <w:noWrap w:val="0"/>
            <w:vAlign w:val="top"/>
          </w:tcPr>
          <w:p w14:paraId="4552812A">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608" w:type="dxa"/>
            <w:tcBorders>
              <w:top w:val="single" w:color="auto" w:sz="6" w:space="0"/>
              <w:left w:val="single" w:color="auto" w:sz="6" w:space="0"/>
              <w:bottom w:val="single" w:color="auto" w:sz="6" w:space="0"/>
              <w:right w:val="single" w:color="auto" w:sz="6" w:space="0"/>
            </w:tcBorders>
            <w:noWrap w:val="0"/>
            <w:vAlign w:val="top"/>
          </w:tcPr>
          <w:p w14:paraId="1909059F">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902" w:type="dxa"/>
            <w:tcBorders>
              <w:top w:val="single" w:color="auto" w:sz="6" w:space="0"/>
              <w:left w:val="single" w:color="auto" w:sz="6" w:space="0"/>
              <w:bottom w:val="single" w:color="auto" w:sz="6" w:space="0"/>
              <w:right w:val="single" w:color="auto" w:sz="12" w:space="0"/>
            </w:tcBorders>
            <w:noWrap w:val="0"/>
            <w:vAlign w:val="top"/>
          </w:tcPr>
          <w:p w14:paraId="05FE347E">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r>
      <w:tr w14:paraId="1B7A0B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noWrap w:val="0"/>
            <w:vAlign w:val="top"/>
          </w:tcPr>
          <w:p w14:paraId="6314B128">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206" w:type="dxa"/>
            <w:tcBorders>
              <w:top w:val="single" w:color="auto" w:sz="6" w:space="0"/>
              <w:left w:val="single" w:color="auto" w:sz="6" w:space="0"/>
              <w:bottom w:val="single" w:color="auto" w:sz="6" w:space="0"/>
              <w:right w:val="single" w:color="auto" w:sz="6" w:space="0"/>
            </w:tcBorders>
            <w:noWrap w:val="0"/>
            <w:vAlign w:val="top"/>
          </w:tcPr>
          <w:p w14:paraId="09F38A97">
            <w:pPr>
              <w:pStyle w:val="17"/>
              <w:widowControl w:val="0"/>
              <w:jc w:val="both"/>
              <w:rPr>
                <w:rStyle w:val="20"/>
                <w:rFonts w:ascii="Times New Roman" w:hAnsi="Times New Roman" w:eastAsia="宋体"/>
                <w:color w:val="auto"/>
                <w:kern w:val="2"/>
                <w:sz w:val="24"/>
                <w:szCs w:val="24"/>
                <w:highlight w:val="none"/>
                <w:lang w:val="en-US" w:eastAsia="zh-CN" w:bidi="ar-SA"/>
              </w:rPr>
            </w:pPr>
          </w:p>
        </w:tc>
        <w:tc>
          <w:tcPr>
            <w:tcW w:w="805" w:type="dxa"/>
            <w:tcBorders>
              <w:top w:val="single" w:color="auto" w:sz="6" w:space="0"/>
              <w:left w:val="single" w:color="auto" w:sz="6" w:space="0"/>
              <w:bottom w:val="single" w:color="auto" w:sz="6" w:space="0"/>
              <w:right w:val="single" w:color="auto" w:sz="6" w:space="0"/>
            </w:tcBorders>
            <w:noWrap w:val="0"/>
            <w:vAlign w:val="top"/>
          </w:tcPr>
          <w:p w14:paraId="21A32CB0">
            <w:pPr>
              <w:pStyle w:val="8"/>
              <w:widowControl w:val="0"/>
              <w:spacing w:line="360" w:lineRule="auto"/>
              <w:jc w:val="both"/>
              <w:rPr>
                <w:rStyle w:val="20"/>
                <w:rFonts w:hint="eastAsia" w:ascii="Calibri" w:hAnsi="Calibri" w:eastAsia="宋体"/>
                <w:color w:val="auto"/>
                <w:kern w:val="2"/>
                <w:sz w:val="24"/>
                <w:szCs w:val="24"/>
                <w:highlight w:val="none"/>
                <w:lang w:val="en-US" w:eastAsia="zh-CN" w:bidi="ar-SA"/>
              </w:rPr>
            </w:pPr>
          </w:p>
        </w:tc>
        <w:tc>
          <w:tcPr>
            <w:tcW w:w="805" w:type="dxa"/>
            <w:tcBorders>
              <w:top w:val="single" w:color="auto" w:sz="6" w:space="0"/>
              <w:left w:val="single" w:color="auto" w:sz="6" w:space="0"/>
              <w:bottom w:val="single" w:color="auto" w:sz="6" w:space="0"/>
              <w:right w:val="single" w:color="auto" w:sz="6" w:space="0"/>
            </w:tcBorders>
            <w:noWrap w:val="0"/>
            <w:vAlign w:val="top"/>
          </w:tcPr>
          <w:p w14:paraId="2AB2DB08">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794" w:type="dxa"/>
            <w:tcBorders>
              <w:top w:val="single" w:color="auto" w:sz="6" w:space="0"/>
              <w:left w:val="single" w:color="auto" w:sz="6" w:space="0"/>
              <w:bottom w:val="single" w:color="auto" w:sz="6" w:space="0"/>
              <w:right w:val="single" w:color="auto" w:sz="6" w:space="0"/>
            </w:tcBorders>
            <w:noWrap w:val="0"/>
            <w:vAlign w:val="top"/>
          </w:tcPr>
          <w:p w14:paraId="34E672CC">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862" w:type="dxa"/>
            <w:tcBorders>
              <w:top w:val="single" w:color="auto" w:sz="6" w:space="0"/>
              <w:left w:val="single" w:color="auto" w:sz="6" w:space="0"/>
              <w:bottom w:val="single" w:color="auto" w:sz="6" w:space="0"/>
              <w:right w:val="single" w:color="auto" w:sz="6" w:space="0"/>
            </w:tcBorders>
            <w:noWrap w:val="0"/>
            <w:vAlign w:val="top"/>
          </w:tcPr>
          <w:p w14:paraId="7ECDC014">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159" w:type="dxa"/>
            <w:tcBorders>
              <w:top w:val="single" w:color="auto" w:sz="6" w:space="0"/>
              <w:left w:val="single" w:color="auto" w:sz="6" w:space="0"/>
              <w:bottom w:val="single" w:color="auto" w:sz="6" w:space="0"/>
              <w:right w:val="single" w:color="auto" w:sz="6" w:space="0"/>
            </w:tcBorders>
            <w:noWrap w:val="0"/>
            <w:vAlign w:val="top"/>
          </w:tcPr>
          <w:p w14:paraId="6347F56C">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608" w:type="dxa"/>
            <w:tcBorders>
              <w:top w:val="single" w:color="auto" w:sz="6" w:space="0"/>
              <w:left w:val="single" w:color="auto" w:sz="6" w:space="0"/>
              <w:bottom w:val="single" w:color="auto" w:sz="6" w:space="0"/>
              <w:right w:val="single" w:color="auto" w:sz="6" w:space="0"/>
            </w:tcBorders>
            <w:noWrap w:val="0"/>
            <w:vAlign w:val="top"/>
          </w:tcPr>
          <w:p w14:paraId="73B0D842">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902" w:type="dxa"/>
            <w:tcBorders>
              <w:top w:val="single" w:color="auto" w:sz="6" w:space="0"/>
              <w:left w:val="single" w:color="auto" w:sz="6" w:space="0"/>
              <w:bottom w:val="single" w:color="auto" w:sz="6" w:space="0"/>
              <w:right w:val="single" w:color="auto" w:sz="12" w:space="0"/>
            </w:tcBorders>
            <w:noWrap w:val="0"/>
            <w:vAlign w:val="top"/>
          </w:tcPr>
          <w:p w14:paraId="5F1C3EEB">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r>
      <w:tr w14:paraId="5DC5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noWrap w:val="0"/>
            <w:vAlign w:val="top"/>
          </w:tcPr>
          <w:p w14:paraId="5F0F4AD3">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206" w:type="dxa"/>
            <w:tcBorders>
              <w:top w:val="single" w:color="auto" w:sz="6" w:space="0"/>
              <w:left w:val="single" w:color="auto" w:sz="6" w:space="0"/>
              <w:bottom w:val="single" w:color="auto" w:sz="6" w:space="0"/>
              <w:right w:val="single" w:color="auto" w:sz="6" w:space="0"/>
            </w:tcBorders>
            <w:noWrap w:val="0"/>
            <w:vAlign w:val="top"/>
          </w:tcPr>
          <w:p w14:paraId="5F27F56E">
            <w:pPr>
              <w:pStyle w:val="17"/>
              <w:widowControl w:val="0"/>
              <w:jc w:val="both"/>
              <w:rPr>
                <w:rStyle w:val="20"/>
                <w:rFonts w:ascii="Times New Roman" w:hAnsi="Times New Roman" w:eastAsia="宋体"/>
                <w:color w:val="auto"/>
                <w:kern w:val="2"/>
                <w:sz w:val="24"/>
                <w:szCs w:val="24"/>
                <w:highlight w:val="none"/>
                <w:lang w:val="en-US" w:eastAsia="zh-CN" w:bidi="ar-SA"/>
              </w:rPr>
            </w:pPr>
          </w:p>
        </w:tc>
        <w:tc>
          <w:tcPr>
            <w:tcW w:w="805" w:type="dxa"/>
            <w:tcBorders>
              <w:top w:val="single" w:color="auto" w:sz="6" w:space="0"/>
              <w:left w:val="single" w:color="auto" w:sz="6" w:space="0"/>
              <w:bottom w:val="single" w:color="auto" w:sz="6" w:space="0"/>
              <w:right w:val="single" w:color="auto" w:sz="6" w:space="0"/>
            </w:tcBorders>
            <w:noWrap w:val="0"/>
            <w:vAlign w:val="top"/>
          </w:tcPr>
          <w:p w14:paraId="0DEEFC7C">
            <w:pPr>
              <w:pStyle w:val="8"/>
              <w:widowControl w:val="0"/>
              <w:spacing w:line="360" w:lineRule="auto"/>
              <w:jc w:val="both"/>
              <w:rPr>
                <w:rStyle w:val="20"/>
                <w:rFonts w:hint="eastAsia" w:ascii="Calibri" w:hAnsi="Calibri" w:eastAsia="宋体"/>
                <w:color w:val="auto"/>
                <w:kern w:val="2"/>
                <w:sz w:val="24"/>
                <w:szCs w:val="24"/>
                <w:highlight w:val="none"/>
                <w:lang w:val="en-US" w:eastAsia="zh-CN" w:bidi="ar-SA"/>
              </w:rPr>
            </w:pPr>
          </w:p>
        </w:tc>
        <w:tc>
          <w:tcPr>
            <w:tcW w:w="805" w:type="dxa"/>
            <w:tcBorders>
              <w:top w:val="single" w:color="auto" w:sz="6" w:space="0"/>
              <w:left w:val="single" w:color="auto" w:sz="6" w:space="0"/>
              <w:bottom w:val="single" w:color="auto" w:sz="6" w:space="0"/>
              <w:right w:val="single" w:color="auto" w:sz="6" w:space="0"/>
            </w:tcBorders>
            <w:noWrap w:val="0"/>
            <w:vAlign w:val="top"/>
          </w:tcPr>
          <w:p w14:paraId="56AA2A4F">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794" w:type="dxa"/>
            <w:tcBorders>
              <w:top w:val="single" w:color="auto" w:sz="6" w:space="0"/>
              <w:left w:val="single" w:color="auto" w:sz="6" w:space="0"/>
              <w:bottom w:val="single" w:color="auto" w:sz="6" w:space="0"/>
              <w:right w:val="single" w:color="auto" w:sz="6" w:space="0"/>
            </w:tcBorders>
            <w:noWrap w:val="0"/>
            <w:vAlign w:val="top"/>
          </w:tcPr>
          <w:p w14:paraId="5576C28E">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862" w:type="dxa"/>
            <w:tcBorders>
              <w:top w:val="single" w:color="auto" w:sz="6" w:space="0"/>
              <w:left w:val="single" w:color="auto" w:sz="6" w:space="0"/>
              <w:bottom w:val="single" w:color="auto" w:sz="6" w:space="0"/>
              <w:right w:val="single" w:color="auto" w:sz="6" w:space="0"/>
            </w:tcBorders>
            <w:noWrap w:val="0"/>
            <w:vAlign w:val="top"/>
          </w:tcPr>
          <w:p w14:paraId="2F6F1DF7">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159" w:type="dxa"/>
            <w:tcBorders>
              <w:top w:val="single" w:color="auto" w:sz="6" w:space="0"/>
              <w:left w:val="single" w:color="auto" w:sz="6" w:space="0"/>
              <w:bottom w:val="single" w:color="auto" w:sz="6" w:space="0"/>
              <w:right w:val="single" w:color="auto" w:sz="6" w:space="0"/>
            </w:tcBorders>
            <w:noWrap w:val="0"/>
            <w:vAlign w:val="top"/>
          </w:tcPr>
          <w:p w14:paraId="30210ADB">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608" w:type="dxa"/>
            <w:tcBorders>
              <w:top w:val="single" w:color="auto" w:sz="6" w:space="0"/>
              <w:left w:val="single" w:color="auto" w:sz="6" w:space="0"/>
              <w:bottom w:val="single" w:color="auto" w:sz="6" w:space="0"/>
              <w:right w:val="single" w:color="auto" w:sz="6" w:space="0"/>
            </w:tcBorders>
            <w:noWrap w:val="0"/>
            <w:vAlign w:val="top"/>
          </w:tcPr>
          <w:p w14:paraId="0676735E">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902" w:type="dxa"/>
            <w:tcBorders>
              <w:top w:val="single" w:color="auto" w:sz="6" w:space="0"/>
              <w:left w:val="single" w:color="auto" w:sz="6" w:space="0"/>
              <w:bottom w:val="single" w:color="auto" w:sz="6" w:space="0"/>
              <w:right w:val="single" w:color="auto" w:sz="12" w:space="0"/>
            </w:tcBorders>
            <w:noWrap w:val="0"/>
            <w:vAlign w:val="top"/>
          </w:tcPr>
          <w:p w14:paraId="736E07B6">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r>
      <w:tr w14:paraId="739989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noWrap w:val="0"/>
            <w:vAlign w:val="top"/>
          </w:tcPr>
          <w:p w14:paraId="0E964AC5">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206" w:type="dxa"/>
            <w:tcBorders>
              <w:top w:val="single" w:color="auto" w:sz="6" w:space="0"/>
              <w:left w:val="single" w:color="auto" w:sz="6" w:space="0"/>
              <w:bottom w:val="single" w:color="auto" w:sz="6" w:space="0"/>
              <w:right w:val="single" w:color="auto" w:sz="6" w:space="0"/>
            </w:tcBorders>
            <w:noWrap w:val="0"/>
            <w:vAlign w:val="top"/>
          </w:tcPr>
          <w:p w14:paraId="68AA05B5">
            <w:pPr>
              <w:pStyle w:val="17"/>
              <w:widowControl w:val="0"/>
              <w:jc w:val="both"/>
              <w:rPr>
                <w:rStyle w:val="20"/>
                <w:rFonts w:ascii="Times New Roman" w:hAnsi="Times New Roman" w:eastAsia="宋体"/>
                <w:color w:val="auto"/>
                <w:kern w:val="2"/>
                <w:sz w:val="24"/>
                <w:szCs w:val="24"/>
                <w:highlight w:val="none"/>
                <w:lang w:val="en-US" w:eastAsia="zh-CN" w:bidi="ar-SA"/>
              </w:rPr>
            </w:pPr>
          </w:p>
        </w:tc>
        <w:tc>
          <w:tcPr>
            <w:tcW w:w="805" w:type="dxa"/>
            <w:tcBorders>
              <w:top w:val="single" w:color="auto" w:sz="6" w:space="0"/>
              <w:left w:val="single" w:color="auto" w:sz="6" w:space="0"/>
              <w:bottom w:val="single" w:color="auto" w:sz="6" w:space="0"/>
              <w:right w:val="single" w:color="auto" w:sz="6" w:space="0"/>
            </w:tcBorders>
            <w:noWrap w:val="0"/>
            <w:vAlign w:val="top"/>
          </w:tcPr>
          <w:p w14:paraId="36DC2826">
            <w:pPr>
              <w:pStyle w:val="8"/>
              <w:widowControl w:val="0"/>
              <w:spacing w:line="360" w:lineRule="auto"/>
              <w:jc w:val="both"/>
              <w:rPr>
                <w:rStyle w:val="20"/>
                <w:rFonts w:hint="eastAsia" w:ascii="Calibri" w:hAnsi="Calibri" w:eastAsia="宋体"/>
                <w:color w:val="auto"/>
                <w:kern w:val="2"/>
                <w:sz w:val="24"/>
                <w:szCs w:val="24"/>
                <w:highlight w:val="none"/>
                <w:lang w:val="en-US" w:eastAsia="zh-CN" w:bidi="ar-SA"/>
              </w:rPr>
            </w:pPr>
          </w:p>
        </w:tc>
        <w:tc>
          <w:tcPr>
            <w:tcW w:w="805" w:type="dxa"/>
            <w:tcBorders>
              <w:top w:val="single" w:color="auto" w:sz="6" w:space="0"/>
              <w:left w:val="single" w:color="auto" w:sz="6" w:space="0"/>
              <w:bottom w:val="single" w:color="auto" w:sz="6" w:space="0"/>
              <w:right w:val="single" w:color="auto" w:sz="6" w:space="0"/>
            </w:tcBorders>
            <w:noWrap w:val="0"/>
            <w:vAlign w:val="top"/>
          </w:tcPr>
          <w:p w14:paraId="03E5FC6D">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794" w:type="dxa"/>
            <w:tcBorders>
              <w:top w:val="single" w:color="auto" w:sz="6" w:space="0"/>
              <w:left w:val="single" w:color="auto" w:sz="6" w:space="0"/>
              <w:bottom w:val="single" w:color="auto" w:sz="6" w:space="0"/>
              <w:right w:val="single" w:color="auto" w:sz="6" w:space="0"/>
            </w:tcBorders>
            <w:noWrap w:val="0"/>
            <w:vAlign w:val="top"/>
          </w:tcPr>
          <w:p w14:paraId="2C6D4346">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862" w:type="dxa"/>
            <w:tcBorders>
              <w:top w:val="single" w:color="auto" w:sz="6" w:space="0"/>
              <w:left w:val="single" w:color="auto" w:sz="6" w:space="0"/>
              <w:bottom w:val="single" w:color="auto" w:sz="6" w:space="0"/>
              <w:right w:val="single" w:color="auto" w:sz="6" w:space="0"/>
            </w:tcBorders>
            <w:noWrap w:val="0"/>
            <w:vAlign w:val="top"/>
          </w:tcPr>
          <w:p w14:paraId="337F5CD3">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159" w:type="dxa"/>
            <w:tcBorders>
              <w:top w:val="single" w:color="auto" w:sz="6" w:space="0"/>
              <w:left w:val="single" w:color="auto" w:sz="6" w:space="0"/>
              <w:bottom w:val="single" w:color="auto" w:sz="6" w:space="0"/>
              <w:right w:val="single" w:color="auto" w:sz="6" w:space="0"/>
            </w:tcBorders>
            <w:noWrap w:val="0"/>
            <w:vAlign w:val="top"/>
          </w:tcPr>
          <w:p w14:paraId="577EE979">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608" w:type="dxa"/>
            <w:tcBorders>
              <w:top w:val="single" w:color="auto" w:sz="6" w:space="0"/>
              <w:left w:val="single" w:color="auto" w:sz="6" w:space="0"/>
              <w:bottom w:val="single" w:color="auto" w:sz="6" w:space="0"/>
              <w:right w:val="single" w:color="auto" w:sz="6" w:space="0"/>
            </w:tcBorders>
            <w:noWrap w:val="0"/>
            <w:vAlign w:val="top"/>
          </w:tcPr>
          <w:p w14:paraId="1C439757">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902" w:type="dxa"/>
            <w:tcBorders>
              <w:top w:val="single" w:color="auto" w:sz="6" w:space="0"/>
              <w:left w:val="single" w:color="auto" w:sz="6" w:space="0"/>
              <w:bottom w:val="single" w:color="auto" w:sz="6" w:space="0"/>
              <w:right w:val="single" w:color="auto" w:sz="12" w:space="0"/>
            </w:tcBorders>
            <w:noWrap w:val="0"/>
            <w:vAlign w:val="top"/>
          </w:tcPr>
          <w:p w14:paraId="67EE7D1C">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r>
      <w:tr w14:paraId="43273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noWrap w:val="0"/>
            <w:vAlign w:val="top"/>
          </w:tcPr>
          <w:p w14:paraId="4841A05D">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206" w:type="dxa"/>
            <w:tcBorders>
              <w:top w:val="single" w:color="auto" w:sz="6" w:space="0"/>
              <w:left w:val="single" w:color="auto" w:sz="6" w:space="0"/>
              <w:bottom w:val="single" w:color="auto" w:sz="6" w:space="0"/>
              <w:right w:val="single" w:color="auto" w:sz="6" w:space="0"/>
            </w:tcBorders>
            <w:noWrap w:val="0"/>
            <w:vAlign w:val="top"/>
          </w:tcPr>
          <w:p w14:paraId="7ECB1E4E">
            <w:pPr>
              <w:pStyle w:val="17"/>
              <w:widowControl w:val="0"/>
              <w:jc w:val="both"/>
              <w:rPr>
                <w:rStyle w:val="20"/>
                <w:rFonts w:ascii="Times New Roman" w:hAnsi="Times New Roman" w:eastAsia="宋体"/>
                <w:color w:val="auto"/>
                <w:kern w:val="2"/>
                <w:sz w:val="24"/>
                <w:szCs w:val="24"/>
                <w:highlight w:val="none"/>
                <w:lang w:val="en-US" w:eastAsia="zh-CN" w:bidi="ar-SA"/>
              </w:rPr>
            </w:pPr>
          </w:p>
        </w:tc>
        <w:tc>
          <w:tcPr>
            <w:tcW w:w="805" w:type="dxa"/>
            <w:tcBorders>
              <w:top w:val="single" w:color="auto" w:sz="6" w:space="0"/>
              <w:left w:val="single" w:color="auto" w:sz="6" w:space="0"/>
              <w:bottom w:val="single" w:color="auto" w:sz="6" w:space="0"/>
              <w:right w:val="single" w:color="auto" w:sz="6" w:space="0"/>
            </w:tcBorders>
            <w:noWrap w:val="0"/>
            <w:vAlign w:val="top"/>
          </w:tcPr>
          <w:p w14:paraId="35211811">
            <w:pPr>
              <w:pStyle w:val="8"/>
              <w:widowControl w:val="0"/>
              <w:spacing w:line="360" w:lineRule="auto"/>
              <w:jc w:val="both"/>
              <w:rPr>
                <w:rStyle w:val="20"/>
                <w:rFonts w:hint="eastAsia" w:ascii="Calibri" w:hAnsi="Calibri" w:eastAsia="宋体"/>
                <w:color w:val="auto"/>
                <w:kern w:val="2"/>
                <w:sz w:val="24"/>
                <w:szCs w:val="24"/>
                <w:highlight w:val="none"/>
                <w:lang w:val="en-US" w:eastAsia="zh-CN" w:bidi="ar-SA"/>
              </w:rPr>
            </w:pPr>
          </w:p>
        </w:tc>
        <w:tc>
          <w:tcPr>
            <w:tcW w:w="805" w:type="dxa"/>
            <w:tcBorders>
              <w:top w:val="single" w:color="auto" w:sz="6" w:space="0"/>
              <w:left w:val="single" w:color="auto" w:sz="6" w:space="0"/>
              <w:bottom w:val="single" w:color="auto" w:sz="6" w:space="0"/>
              <w:right w:val="single" w:color="auto" w:sz="6" w:space="0"/>
            </w:tcBorders>
            <w:noWrap w:val="0"/>
            <w:vAlign w:val="top"/>
          </w:tcPr>
          <w:p w14:paraId="0576185C">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794" w:type="dxa"/>
            <w:tcBorders>
              <w:top w:val="single" w:color="auto" w:sz="6" w:space="0"/>
              <w:left w:val="single" w:color="auto" w:sz="6" w:space="0"/>
              <w:bottom w:val="single" w:color="auto" w:sz="6" w:space="0"/>
              <w:right w:val="single" w:color="auto" w:sz="6" w:space="0"/>
            </w:tcBorders>
            <w:noWrap w:val="0"/>
            <w:vAlign w:val="top"/>
          </w:tcPr>
          <w:p w14:paraId="2A0FE4E5">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862" w:type="dxa"/>
            <w:tcBorders>
              <w:top w:val="single" w:color="auto" w:sz="6" w:space="0"/>
              <w:left w:val="single" w:color="auto" w:sz="6" w:space="0"/>
              <w:bottom w:val="single" w:color="auto" w:sz="6" w:space="0"/>
              <w:right w:val="single" w:color="auto" w:sz="6" w:space="0"/>
            </w:tcBorders>
            <w:noWrap w:val="0"/>
            <w:vAlign w:val="top"/>
          </w:tcPr>
          <w:p w14:paraId="0D6648A9">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159" w:type="dxa"/>
            <w:tcBorders>
              <w:top w:val="single" w:color="auto" w:sz="6" w:space="0"/>
              <w:left w:val="single" w:color="auto" w:sz="6" w:space="0"/>
              <w:bottom w:val="single" w:color="auto" w:sz="6" w:space="0"/>
              <w:right w:val="single" w:color="auto" w:sz="6" w:space="0"/>
            </w:tcBorders>
            <w:noWrap w:val="0"/>
            <w:vAlign w:val="top"/>
          </w:tcPr>
          <w:p w14:paraId="2F376FB8">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1608" w:type="dxa"/>
            <w:tcBorders>
              <w:top w:val="single" w:color="auto" w:sz="6" w:space="0"/>
              <w:left w:val="single" w:color="auto" w:sz="6" w:space="0"/>
              <w:bottom w:val="single" w:color="auto" w:sz="6" w:space="0"/>
              <w:right w:val="single" w:color="auto" w:sz="6" w:space="0"/>
            </w:tcBorders>
            <w:noWrap w:val="0"/>
            <w:vAlign w:val="top"/>
          </w:tcPr>
          <w:p w14:paraId="30D08DA3">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c>
          <w:tcPr>
            <w:tcW w:w="902" w:type="dxa"/>
            <w:tcBorders>
              <w:top w:val="single" w:color="auto" w:sz="6" w:space="0"/>
              <w:left w:val="single" w:color="auto" w:sz="6" w:space="0"/>
              <w:bottom w:val="single" w:color="auto" w:sz="6" w:space="0"/>
              <w:right w:val="single" w:color="auto" w:sz="12" w:space="0"/>
            </w:tcBorders>
            <w:noWrap w:val="0"/>
            <w:vAlign w:val="top"/>
          </w:tcPr>
          <w:p w14:paraId="56BF06E9">
            <w:pPr>
              <w:pStyle w:val="8"/>
              <w:widowControl w:val="0"/>
              <w:spacing w:line="360" w:lineRule="auto"/>
              <w:jc w:val="both"/>
              <w:rPr>
                <w:rStyle w:val="20"/>
                <w:rFonts w:ascii="Calibri" w:hAnsi="Calibri" w:eastAsia="宋体"/>
                <w:color w:val="auto"/>
                <w:kern w:val="2"/>
                <w:sz w:val="21"/>
                <w:szCs w:val="22"/>
                <w:highlight w:val="none"/>
                <w:lang w:val="en-US" w:eastAsia="zh-CN" w:bidi="ar-SA"/>
              </w:rPr>
            </w:pPr>
          </w:p>
        </w:tc>
      </w:tr>
    </w:tbl>
    <w:p w14:paraId="60E88023">
      <w:pPr>
        <w:pStyle w:val="8"/>
        <w:spacing w:line="360" w:lineRule="auto"/>
        <w:rPr>
          <w:rStyle w:val="20"/>
          <w:rFonts w:ascii="Times New Roman" w:hAnsi="Times New Roman"/>
          <w:color w:val="auto"/>
          <w:highlight w:val="none"/>
        </w:rPr>
      </w:pPr>
    </w:p>
    <w:p w14:paraId="73BEC7F3">
      <w:pPr>
        <w:pStyle w:val="8"/>
        <w:spacing w:line="360" w:lineRule="auto"/>
        <w:rPr>
          <w:rStyle w:val="20"/>
          <w:color w:val="auto"/>
          <w:highlight w:val="none"/>
        </w:rPr>
      </w:pPr>
    </w:p>
    <w:p w14:paraId="2E09509E">
      <w:pPr>
        <w:pStyle w:val="8"/>
        <w:spacing w:line="360" w:lineRule="auto"/>
        <w:ind w:firstLine="420"/>
        <w:rPr>
          <w:rStyle w:val="20"/>
          <w:rFonts w:hAnsi="宋体"/>
          <w:color w:val="auto"/>
          <w:highlight w:val="none"/>
        </w:rPr>
      </w:pPr>
      <w:bookmarkStart w:id="274" w:name="_Toc20555"/>
      <w:bookmarkStart w:id="275" w:name="_Toc21488"/>
      <w:r>
        <w:rPr>
          <w:rStyle w:val="20"/>
          <w:bCs/>
          <w:color w:val="auto"/>
          <w:highlight w:val="none"/>
        </w:rPr>
        <w:t>2</w:t>
      </w:r>
      <w:r>
        <w:rPr>
          <w:rStyle w:val="20"/>
          <w:rFonts w:hint="eastAsia"/>
          <w:bCs/>
          <w:color w:val="auto"/>
          <w:highlight w:val="none"/>
        </w:rPr>
        <w:t>、对外购件的质量管理内容情况说明。</w:t>
      </w:r>
      <w:bookmarkEnd w:id="274"/>
      <w:bookmarkEnd w:id="275"/>
    </w:p>
    <w:p w14:paraId="54DDA578">
      <w:pPr>
        <w:pStyle w:val="8"/>
        <w:spacing w:line="360" w:lineRule="auto"/>
        <w:ind w:firstLine="420"/>
        <w:rPr>
          <w:rStyle w:val="20"/>
          <w:rFonts w:ascii="宋体" w:hAnsi="宋体"/>
          <w:color w:val="auto"/>
          <w:highlight w:val="none"/>
        </w:rPr>
      </w:pPr>
    </w:p>
    <w:p w14:paraId="24DEA23F">
      <w:pPr>
        <w:pStyle w:val="8"/>
        <w:widowControl/>
        <w:spacing w:line="360" w:lineRule="auto"/>
        <w:jc w:val="left"/>
        <w:rPr>
          <w:rStyle w:val="20"/>
          <w:rFonts w:ascii="宋体" w:hAnsi="宋体"/>
          <w:color w:val="auto"/>
          <w:highlight w:val="none"/>
        </w:rPr>
        <w:sectPr>
          <w:endnotePr>
            <w:numFmt w:val="decimal"/>
          </w:endnotePr>
          <w:pgSz w:w="11907" w:h="16840"/>
          <w:pgMar w:top="1418" w:right="1531" w:bottom="1418" w:left="1701" w:header="851" w:footer="1021" w:gutter="0"/>
          <w:pgNumType w:fmt="decimal"/>
          <w:cols w:space="720" w:num="1"/>
        </w:sectPr>
      </w:pPr>
    </w:p>
    <w:p w14:paraId="762A2798">
      <w:pPr>
        <w:pStyle w:val="38"/>
        <w:keepNext/>
        <w:keepLines/>
        <w:pageBreakBefore w:val="0"/>
        <w:widowControl w:val="0"/>
        <w:kinsoku/>
        <w:wordWrap/>
        <w:overflowPunct/>
        <w:topLinePunct w:val="0"/>
        <w:autoSpaceDE/>
        <w:autoSpaceDN/>
        <w:bidi w:val="0"/>
        <w:adjustRightInd/>
        <w:snapToGrid/>
        <w:spacing w:before="0" w:after="0" w:line="360" w:lineRule="auto"/>
        <w:textAlignment w:val="auto"/>
        <w:rPr>
          <w:rStyle w:val="20"/>
          <w:rFonts w:hint="eastAsia" w:ascii="宋体"/>
          <w:b/>
          <w:bCs/>
          <w:color w:val="auto"/>
          <w:sz w:val="30"/>
          <w:szCs w:val="30"/>
          <w:highlight w:val="none"/>
        </w:rPr>
      </w:pPr>
      <w:bookmarkStart w:id="276" w:name="_Toc9361"/>
      <w:bookmarkStart w:id="277" w:name="_Toc286159476"/>
      <w:bookmarkStart w:id="278" w:name="_Toc12407"/>
      <w:bookmarkStart w:id="279" w:name="_Toc3952"/>
      <w:bookmarkStart w:id="280" w:name="_Toc201065489"/>
      <w:bookmarkStart w:id="281" w:name="_Toc15689"/>
      <w:bookmarkStart w:id="282" w:name="_Toc29471"/>
      <w:bookmarkStart w:id="283" w:name="_Toc57640866"/>
      <w:bookmarkStart w:id="284" w:name="_Toc30343"/>
      <w:bookmarkStart w:id="285" w:name="_Toc501817581"/>
      <w:bookmarkStart w:id="286" w:name="_Toc517056034"/>
      <w:r>
        <w:rPr>
          <w:rStyle w:val="20"/>
          <w:rFonts w:hint="eastAsia"/>
          <w:b/>
          <w:bCs/>
          <w:color w:val="auto"/>
          <w:sz w:val="30"/>
          <w:szCs w:val="30"/>
          <w:highlight w:val="none"/>
        </w:rPr>
        <w:t xml:space="preserve">附件8 </w:t>
      </w:r>
      <w:r>
        <w:rPr>
          <w:rStyle w:val="20"/>
          <w:rFonts w:hint="eastAsia" w:ascii="Times New Roman" w:hAnsi="Times New Roman" w:eastAsia="宋体" w:cs="Times New Roman"/>
          <w:b/>
          <w:bCs/>
          <w:color w:val="auto"/>
          <w:sz w:val="30"/>
          <w:szCs w:val="30"/>
          <w:highlight w:val="none"/>
        </w:rPr>
        <w:t>运行维护手册编写格式</w:t>
      </w:r>
      <w:bookmarkEnd w:id="276"/>
      <w:bookmarkEnd w:id="277"/>
      <w:bookmarkEnd w:id="278"/>
      <w:bookmarkEnd w:id="279"/>
      <w:bookmarkEnd w:id="280"/>
      <w:bookmarkEnd w:id="281"/>
      <w:bookmarkEnd w:id="282"/>
      <w:bookmarkEnd w:id="283"/>
      <w:bookmarkEnd w:id="284"/>
    </w:p>
    <w:p w14:paraId="327B2C0A">
      <w:pPr>
        <w:pStyle w:val="8"/>
        <w:spacing w:line="360" w:lineRule="auto"/>
        <w:rPr>
          <w:rStyle w:val="20"/>
          <w:rFonts w:hint="eastAsia" w:ascii="宋体" w:hAnsi="宋体"/>
          <w:color w:val="auto"/>
          <w:sz w:val="24"/>
          <w:szCs w:val="24"/>
          <w:highlight w:val="none"/>
        </w:rPr>
      </w:pPr>
      <w:r>
        <w:rPr>
          <w:rStyle w:val="20"/>
          <w:rFonts w:hint="eastAsia" w:ascii="宋体" w:hAnsi="宋体"/>
          <w:color w:val="auto"/>
          <w:highlight w:val="none"/>
        </w:rPr>
        <w:t>运行维护手册格式要求如下：</w:t>
      </w:r>
    </w:p>
    <w:p w14:paraId="26C0F7FC">
      <w:pPr>
        <w:pStyle w:val="8"/>
        <w:spacing w:line="360" w:lineRule="auto"/>
        <w:rPr>
          <w:rStyle w:val="20"/>
          <w:rFonts w:hint="eastAsia" w:ascii="宋体" w:hAnsi="宋体"/>
          <w:color w:val="auto"/>
          <w:sz w:val="28"/>
          <w:highlight w:val="none"/>
        </w:rPr>
      </w:pPr>
    </w:p>
    <w:p w14:paraId="73889DD8">
      <w:pPr>
        <w:pStyle w:val="8"/>
        <w:spacing w:line="360" w:lineRule="auto"/>
        <w:rPr>
          <w:rStyle w:val="20"/>
          <w:rFonts w:hint="eastAsia" w:ascii="宋体" w:hAnsi="宋体"/>
          <w:color w:val="auto"/>
          <w:sz w:val="28"/>
          <w:highlight w:val="none"/>
        </w:rPr>
      </w:pPr>
    </w:p>
    <w:p w14:paraId="5B5BEDAA">
      <w:pPr>
        <w:pStyle w:val="8"/>
        <w:spacing w:line="360" w:lineRule="auto"/>
        <w:jc w:val="center"/>
        <w:rPr>
          <w:rStyle w:val="20"/>
          <w:rFonts w:hint="eastAsia" w:ascii="宋体" w:hAnsi="宋体"/>
          <w:b/>
          <w:color w:val="auto"/>
          <w:sz w:val="44"/>
          <w:highlight w:val="none"/>
        </w:rPr>
      </w:pPr>
      <w:r>
        <w:rPr>
          <w:rStyle w:val="20"/>
          <w:rFonts w:hint="eastAsia" w:ascii="宋体" w:hAnsi="宋体" w:eastAsiaTheme="minorEastAsia" w:cstheme="minorBidi"/>
          <w:b/>
          <w:color w:val="auto"/>
          <w:sz w:val="44"/>
          <w:highlight w:val="none"/>
        </w:rPr>
        <w:t>浙能武威2×1000MW调峰火电</w:t>
      </w:r>
      <w:r>
        <w:rPr>
          <w:rStyle w:val="20"/>
          <w:rFonts w:hint="eastAsia" w:ascii="宋体" w:hAnsi="宋体" w:eastAsiaTheme="minorEastAsia" w:cstheme="minorBidi"/>
          <w:b/>
          <w:color w:val="auto"/>
          <w:sz w:val="44"/>
          <w:highlight w:val="none"/>
          <w:lang w:val="en-US" w:eastAsia="zh-CN"/>
        </w:rPr>
        <w:t>机组</w:t>
      </w:r>
      <w:r>
        <w:rPr>
          <w:rStyle w:val="20"/>
          <w:rFonts w:hint="eastAsia" w:ascii="宋体" w:hAnsi="宋体"/>
          <w:b/>
          <w:color w:val="auto"/>
          <w:sz w:val="44"/>
          <w:highlight w:val="none"/>
        </w:rPr>
        <w:t>工程</w:t>
      </w:r>
    </w:p>
    <w:p w14:paraId="78E8CD60">
      <w:pPr>
        <w:pStyle w:val="47"/>
        <w:spacing w:line="360" w:lineRule="auto"/>
        <w:jc w:val="left"/>
        <w:rPr>
          <w:rStyle w:val="20"/>
          <w:rFonts w:hint="eastAsia" w:hAnsi="宋体"/>
          <w:color w:val="auto"/>
          <w:kern w:val="2"/>
          <w:highlight w:val="none"/>
        </w:rPr>
      </w:pPr>
    </w:p>
    <w:p w14:paraId="1C0495C8">
      <w:pPr>
        <w:pStyle w:val="8"/>
        <w:spacing w:line="360" w:lineRule="auto"/>
        <w:jc w:val="center"/>
        <w:rPr>
          <w:rStyle w:val="20"/>
          <w:rFonts w:hint="eastAsia" w:ascii="宋体" w:hAnsi="宋体"/>
          <w:b/>
          <w:color w:val="auto"/>
          <w:sz w:val="36"/>
          <w:highlight w:val="none"/>
        </w:rPr>
      </w:pPr>
      <w:r>
        <w:rPr>
          <w:rStyle w:val="20"/>
          <w:rFonts w:hint="eastAsia" w:ascii="宋体" w:hAnsi="宋体"/>
          <w:b/>
          <w:color w:val="auto"/>
          <w:sz w:val="36"/>
          <w:highlight w:val="none"/>
        </w:rPr>
        <w:t>电能量采集装置设备</w:t>
      </w:r>
    </w:p>
    <w:p w14:paraId="448B86F7">
      <w:pPr>
        <w:pStyle w:val="8"/>
        <w:spacing w:line="360" w:lineRule="auto"/>
        <w:jc w:val="center"/>
        <w:rPr>
          <w:rStyle w:val="20"/>
          <w:rFonts w:hint="eastAsia" w:ascii="宋体" w:hAnsi="宋体"/>
          <w:b/>
          <w:color w:val="auto"/>
          <w:sz w:val="32"/>
          <w:highlight w:val="none"/>
        </w:rPr>
      </w:pPr>
    </w:p>
    <w:p w14:paraId="234CA365">
      <w:pPr>
        <w:pStyle w:val="8"/>
        <w:spacing w:line="360" w:lineRule="auto"/>
        <w:jc w:val="center"/>
        <w:rPr>
          <w:rStyle w:val="20"/>
          <w:rFonts w:hint="eastAsia" w:ascii="宋体" w:hAnsi="宋体"/>
          <w:b/>
          <w:color w:val="auto"/>
          <w:sz w:val="32"/>
          <w:highlight w:val="none"/>
        </w:rPr>
      </w:pPr>
    </w:p>
    <w:p w14:paraId="0603362B">
      <w:pPr>
        <w:pStyle w:val="8"/>
        <w:spacing w:line="360" w:lineRule="auto"/>
        <w:jc w:val="center"/>
        <w:rPr>
          <w:rStyle w:val="20"/>
          <w:rFonts w:hint="eastAsia" w:ascii="宋体" w:hAnsi="宋体"/>
          <w:b/>
          <w:color w:val="auto"/>
          <w:sz w:val="32"/>
          <w:highlight w:val="none"/>
        </w:rPr>
      </w:pPr>
      <w:r>
        <w:rPr>
          <w:rStyle w:val="20"/>
          <w:rFonts w:hint="eastAsia" w:ascii="宋体" w:hAnsi="宋体"/>
          <w:b/>
          <w:color w:val="auto"/>
          <w:sz w:val="32"/>
          <w:highlight w:val="none"/>
        </w:rPr>
        <w:t>运  行  维  护</w:t>
      </w:r>
    </w:p>
    <w:p w14:paraId="69FFE5D1">
      <w:pPr>
        <w:pStyle w:val="8"/>
        <w:spacing w:line="360" w:lineRule="auto"/>
        <w:jc w:val="center"/>
        <w:rPr>
          <w:rStyle w:val="20"/>
          <w:rFonts w:hint="eastAsia" w:ascii="宋体" w:hAnsi="宋体"/>
          <w:b/>
          <w:color w:val="auto"/>
          <w:sz w:val="32"/>
          <w:highlight w:val="none"/>
        </w:rPr>
      </w:pPr>
    </w:p>
    <w:p w14:paraId="472D82FC">
      <w:pPr>
        <w:pStyle w:val="8"/>
        <w:spacing w:line="360" w:lineRule="auto"/>
        <w:jc w:val="center"/>
        <w:rPr>
          <w:rStyle w:val="20"/>
          <w:rFonts w:hint="eastAsia" w:ascii="宋体" w:hAnsi="宋体"/>
          <w:b/>
          <w:color w:val="auto"/>
          <w:sz w:val="32"/>
          <w:highlight w:val="none"/>
        </w:rPr>
      </w:pPr>
      <w:r>
        <w:rPr>
          <w:rStyle w:val="20"/>
          <w:rFonts w:hint="eastAsia" w:ascii="宋体" w:hAnsi="宋体"/>
          <w:b/>
          <w:color w:val="auto"/>
          <w:sz w:val="32"/>
          <w:highlight w:val="none"/>
        </w:rPr>
        <w:t>手</w:t>
      </w:r>
    </w:p>
    <w:p w14:paraId="67F1B1F3">
      <w:pPr>
        <w:pStyle w:val="8"/>
        <w:spacing w:line="360" w:lineRule="auto"/>
        <w:jc w:val="center"/>
        <w:rPr>
          <w:rStyle w:val="20"/>
          <w:rFonts w:hint="eastAsia" w:ascii="宋体" w:hAnsi="宋体"/>
          <w:b/>
          <w:color w:val="auto"/>
          <w:sz w:val="32"/>
          <w:highlight w:val="none"/>
        </w:rPr>
      </w:pPr>
    </w:p>
    <w:p w14:paraId="6E73D83E">
      <w:pPr>
        <w:pStyle w:val="8"/>
        <w:spacing w:line="360" w:lineRule="auto"/>
        <w:jc w:val="center"/>
        <w:rPr>
          <w:rStyle w:val="20"/>
          <w:rFonts w:hint="eastAsia" w:ascii="宋体" w:hAnsi="宋体"/>
          <w:b/>
          <w:color w:val="auto"/>
          <w:sz w:val="32"/>
          <w:highlight w:val="none"/>
        </w:rPr>
      </w:pPr>
      <w:r>
        <w:rPr>
          <w:rStyle w:val="20"/>
          <w:rFonts w:hint="eastAsia" w:ascii="宋体" w:hAnsi="宋体"/>
          <w:b/>
          <w:color w:val="auto"/>
          <w:sz w:val="32"/>
          <w:highlight w:val="none"/>
        </w:rPr>
        <w:t>册</w:t>
      </w:r>
    </w:p>
    <w:p w14:paraId="23271B66">
      <w:pPr>
        <w:pStyle w:val="8"/>
        <w:spacing w:line="360" w:lineRule="auto"/>
        <w:jc w:val="center"/>
        <w:rPr>
          <w:rStyle w:val="20"/>
          <w:rFonts w:hint="eastAsia" w:ascii="宋体" w:hAnsi="宋体"/>
          <w:b/>
          <w:color w:val="auto"/>
          <w:sz w:val="24"/>
          <w:highlight w:val="none"/>
        </w:rPr>
      </w:pPr>
    </w:p>
    <w:p w14:paraId="0C9E19DA">
      <w:pPr>
        <w:pStyle w:val="8"/>
        <w:spacing w:line="360" w:lineRule="auto"/>
        <w:rPr>
          <w:rStyle w:val="20"/>
          <w:rFonts w:hint="eastAsia" w:ascii="宋体" w:hAnsi="宋体"/>
          <w:color w:val="auto"/>
          <w:highlight w:val="none"/>
        </w:rPr>
      </w:pPr>
      <w:r>
        <w:rPr>
          <w:rStyle w:val="20"/>
          <w:rFonts w:hint="eastAsia" w:ascii="宋体" w:hAnsi="宋体"/>
          <w:color w:val="auto"/>
          <w:highlight w:val="none"/>
        </w:rPr>
        <w:t>要求：一式10套</w:t>
      </w:r>
    </w:p>
    <w:p w14:paraId="57C04689">
      <w:pPr>
        <w:pStyle w:val="8"/>
        <w:spacing w:line="360" w:lineRule="auto"/>
        <w:rPr>
          <w:rStyle w:val="20"/>
          <w:rFonts w:hint="eastAsia" w:ascii="宋体" w:hAnsi="宋体"/>
          <w:color w:val="auto"/>
          <w:highlight w:val="none"/>
        </w:rPr>
      </w:pPr>
      <w:r>
        <w:rPr>
          <w:rStyle w:val="20"/>
          <w:rFonts w:hint="eastAsia" w:ascii="宋体" w:hAnsi="宋体"/>
          <w:color w:val="auto"/>
          <w:highlight w:val="none"/>
        </w:rPr>
        <w:t>纸张：A4</w:t>
      </w:r>
    </w:p>
    <w:p w14:paraId="458B0D3E">
      <w:pPr>
        <w:pStyle w:val="8"/>
        <w:spacing w:line="360" w:lineRule="auto"/>
        <w:rPr>
          <w:rStyle w:val="20"/>
          <w:rFonts w:hint="eastAsia" w:ascii="宋体" w:hAnsi="宋体"/>
          <w:color w:val="auto"/>
          <w:highlight w:val="none"/>
        </w:rPr>
      </w:pPr>
      <w:r>
        <w:rPr>
          <w:rStyle w:val="20"/>
          <w:rFonts w:hint="eastAsia" w:ascii="宋体" w:hAnsi="宋体"/>
          <w:color w:val="auto"/>
          <w:highlight w:val="none"/>
        </w:rPr>
        <w:t>字体：宋体，小四号</w:t>
      </w:r>
    </w:p>
    <w:p w14:paraId="143DBB74">
      <w:pPr>
        <w:pStyle w:val="8"/>
        <w:spacing w:line="360" w:lineRule="auto"/>
        <w:rPr>
          <w:rStyle w:val="20"/>
          <w:rFonts w:hint="eastAsia" w:ascii="宋体" w:hAnsi="宋体"/>
          <w:color w:val="auto"/>
          <w:highlight w:val="none"/>
        </w:rPr>
      </w:pPr>
      <w:r>
        <w:rPr>
          <w:rStyle w:val="20"/>
          <w:rFonts w:hint="eastAsia" w:ascii="宋体" w:hAnsi="宋体"/>
          <w:color w:val="auto"/>
          <w:highlight w:val="none"/>
        </w:rPr>
        <w:t>行间距：1.5倍</w:t>
      </w:r>
    </w:p>
    <w:p w14:paraId="582F0F36">
      <w:pPr>
        <w:pStyle w:val="8"/>
        <w:spacing w:line="360" w:lineRule="auto"/>
        <w:rPr>
          <w:rStyle w:val="20"/>
          <w:rFonts w:hint="eastAsia" w:ascii="宋体" w:hAnsi="宋体"/>
          <w:color w:val="auto"/>
          <w:highlight w:val="none"/>
        </w:rPr>
      </w:pPr>
      <w:r>
        <w:rPr>
          <w:rStyle w:val="20"/>
          <w:rFonts w:hint="eastAsia" w:ascii="宋体" w:hAnsi="宋体"/>
          <w:color w:val="auto"/>
          <w:highlight w:val="none"/>
        </w:rPr>
        <w:t>页边距（mm）：左-30  右-25  上-30  下-40</w:t>
      </w:r>
    </w:p>
    <w:p w14:paraId="15772BD5">
      <w:pPr>
        <w:pStyle w:val="8"/>
        <w:spacing w:line="360" w:lineRule="auto"/>
        <w:rPr>
          <w:rStyle w:val="20"/>
          <w:rFonts w:hint="eastAsia" w:ascii="宋体" w:hAnsi="宋体"/>
          <w:color w:val="auto"/>
          <w:highlight w:val="none"/>
        </w:rPr>
      </w:pPr>
      <w:r>
        <w:rPr>
          <w:rStyle w:val="20"/>
          <w:rFonts w:hint="eastAsia" w:ascii="宋体" w:hAnsi="宋体"/>
          <w:color w:val="auto"/>
          <w:highlight w:val="none"/>
        </w:rPr>
        <w:t>页眉：XX设备运行维护手册</w:t>
      </w:r>
    </w:p>
    <w:p w14:paraId="56D64098">
      <w:pPr>
        <w:pStyle w:val="8"/>
        <w:spacing w:line="360" w:lineRule="auto"/>
        <w:rPr>
          <w:rStyle w:val="20"/>
          <w:rFonts w:hint="eastAsia" w:ascii="宋体" w:hAnsi="宋体"/>
          <w:color w:val="auto"/>
          <w:highlight w:val="none"/>
        </w:rPr>
      </w:pPr>
      <w:r>
        <w:rPr>
          <w:rStyle w:val="20"/>
          <w:rFonts w:hint="eastAsia" w:ascii="宋体" w:hAnsi="宋体"/>
          <w:color w:val="auto"/>
          <w:highlight w:val="none"/>
        </w:rPr>
        <w:t>注：在正式提交前，先由招标人审定。</w:t>
      </w:r>
    </w:p>
    <w:p w14:paraId="104DF7D2">
      <w:pPr>
        <w:pStyle w:val="8"/>
        <w:spacing w:line="360" w:lineRule="auto"/>
        <w:rPr>
          <w:rStyle w:val="20"/>
          <w:rFonts w:hint="eastAsia" w:ascii="宋体" w:hAnsi="宋体"/>
          <w:color w:val="auto"/>
          <w:highlight w:val="none"/>
        </w:rPr>
      </w:pPr>
    </w:p>
    <w:p w14:paraId="1A9F4E3B">
      <w:pPr>
        <w:pStyle w:val="8"/>
        <w:spacing w:line="360" w:lineRule="auto"/>
        <w:rPr>
          <w:rStyle w:val="20"/>
          <w:rFonts w:hint="eastAsia" w:ascii="宋体" w:hAnsi="宋体"/>
          <w:color w:val="auto"/>
          <w:highlight w:val="none"/>
        </w:rPr>
      </w:pPr>
    </w:p>
    <w:p w14:paraId="75625380">
      <w:pPr>
        <w:pStyle w:val="8"/>
        <w:spacing w:line="360" w:lineRule="auto"/>
        <w:rPr>
          <w:rStyle w:val="20"/>
          <w:rFonts w:hint="eastAsia" w:ascii="宋体" w:hAnsi="宋体"/>
          <w:color w:val="auto"/>
          <w:highlight w:val="none"/>
        </w:rPr>
      </w:pPr>
    </w:p>
    <w:p w14:paraId="2682B760">
      <w:pPr>
        <w:pStyle w:val="8"/>
        <w:spacing w:line="360" w:lineRule="auto"/>
        <w:ind w:firstLine="570"/>
        <w:rPr>
          <w:rStyle w:val="20"/>
          <w:rFonts w:hint="eastAsia" w:ascii="宋体" w:hAnsi="宋体"/>
          <w:color w:val="auto"/>
          <w:sz w:val="24"/>
          <w:szCs w:val="24"/>
          <w:highlight w:val="none"/>
        </w:rPr>
      </w:pPr>
      <w:r>
        <w:rPr>
          <w:rStyle w:val="20"/>
          <w:rFonts w:hint="eastAsia" w:ascii="宋体" w:hAnsi="宋体"/>
          <w:color w:val="auto"/>
          <w:sz w:val="24"/>
          <w:szCs w:val="24"/>
          <w:highlight w:val="none"/>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460EBCE7">
      <w:pPr>
        <w:pStyle w:val="8"/>
        <w:spacing w:line="360" w:lineRule="auto"/>
        <w:ind w:firstLine="570"/>
        <w:rPr>
          <w:rStyle w:val="20"/>
          <w:rFonts w:hint="eastAsia" w:ascii="宋体" w:hAnsi="宋体"/>
          <w:color w:val="auto"/>
          <w:sz w:val="24"/>
          <w:szCs w:val="24"/>
          <w:highlight w:val="none"/>
        </w:rPr>
      </w:pPr>
      <w:r>
        <w:rPr>
          <w:rStyle w:val="20"/>
          <w:rFonts w:hint="eastAsia" w:ascii="宋体" w:hAnsi="宋体"/>
          <w:color w:val="auto"/>
          <w:sz w:val="24"/>
          <w:szCs w:val="24"/>
          <w:highlight w:val="none"/>
        </w:rPr>
        <w:t>该手册应详细地叙述和说明设备构造，使新来的操作和维护人员能够研究和理解设备的功能的控制方法。</w:t>
      </w:r>
    </w:p>
    <w:p w14:paraId="33437875">
      <w:pPr>
        <w:pStyle w:val="8"/>
        <w:spacing w:line="360" w:lineRule="auto"/>
        <w:ind w:firstLine="570"/>
        <w:rPr>
          <w:rStyle w:val="20"/>
          <w:rFonts w:hint="eastAsia" w:ascii="宋体" w:hAnsi="宋体"/>
          <w:color w:val="auto"/>
          <w:sz w:val="24"/>
          <w:szCs w:val="24"/>
          <w:highlight w:val="none"/>
        </w:rPr>
      </w:pPr>
      <w:r>
        <w:rPr>
          <w:rStyle w:val="20"/>
          <w:rFonts w:hint="eastAsia" w:ascii="宋体" w:hAnsi="宋体"/>
          <w:color w:val="auto"/>
          <w:sz w:val="24"/>
          <w:szCs w:val="24"/>
          <w:highlight w:val="none"/>
        </w:rPr>
        <w:t>手册中应能够快速查阅运行参数、设备说明书、操作、维护和安全程度。</w:t>
      </w:r>
    </w:p>
    <w:p w14:paraId="7763DEEA">
      <w:pPr>
        <w:pStyle w:val="8"/>
        <w:spacing w:line="360" w:lineRule="auto"/>
        <w:ind w:firstLine="570"/>
        <w:rPr>
          <w:rStyle w:val="20"/>
          <w:rFonts w:hint="eastAsia" w:ascii="宋体" w:hAnsi="宋体"/>
          <w:color w:val="auto"/>
          <w:sz w:val="24"/>
          <w:szCs w:val="24"/>
          <w:highlight w:val="none"/>
        </w:rPr>
      </w:pPr>
      <w:r>
        <w:rPr>
          <w:rStyle w:val="20"/>
          <w:rFonts w:hint="eastAsia" w:ascii="宋体" w:hAnsi="宋体"/>
          <w:color w:val="auto"/>
          <w:sz w:val="24"/>
          <w:szCs w:val="24"/>
          <w:highlight w:val="none"/>
        </w:rPr>
        <w:t>运行和维护手册应包括，但不限于下述内容：</w:t>
      </w:r>
    </w:p>
    <w:p w14:paraId="36234350">
      <w:pPr>
        <w:pStyle w:val="8"/>
        <w:tabs>
          <w:tab w:val="left" w:pos="360"/>
        </w:tabs>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设备概述，包括设备、系统说明、设备结构、功能说明、技术规范等。</w:t>
      </w:r>
    </w:p>
    <w:p w14:paraId="35F87579">
      <w:pPr>
        <w:pStyle w:val="8"/>
        <w:tabs>
          <w:tab w:val="left" w:pos="360"/>
        </w:tabs>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设备启动、运行和停运的操作程序及注意事项。</w:t>
      </w:r>
    </w:p>
    <w:p w14:paraId="122EAC16">
      <w:pPr>
        <w:pStyle w:val="8"/>
        <w:tabs>
          <w:tab w:val="left" w:pos="360"/>
        </w:tabs>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设备联锁和保护功能说明。</w:t>
      </w:r>
    </w:p>
    <w:p w14:paraId="55457A24">
      <w:pPr>
        <w:pStyle w:val="8"/>
        <w:tabs>
          <w:tab w:val="left" w:pos="360"/>
        </w:tabs>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设备安装、拆卸、维护的程序及注意事项。</w:t>
      </w:r>
    </w:p>
    <w:p w14:paraId="0B2E9A1B">
      <w:pPr>
        <w:pStyle w:val="8"/>
        <w:tabs>
          <w:tab w:val="left" w:pos="360"/>
        </w:tabs>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设备零、部件清单，包括名称、图号、规格、材质、制造厂家全称等。</w:t>
      </w:r>
    </w:p>
    <w:p w14:paraId="63268C46">
      <w:pPr>
        <w:pStyle w:val="8"/>
        <w:tabs>
          <w:tab w:val="left" w:pos="360"/>
        </w:tabs>
        <w:spacing w:line="360" w:lineRule="auto"/>
        <w:rPr>
          <w:rStyle w:val="20"/>
          <w:rFonts w:hint="eastAsia" w:ascii="宋体" w:hAnsi="宋体"/>
          <w:color w:val="auto"/>
          <w:sz w:val="24"/>
          <w:szCs w:val="24"/>
          <w:highlight w:val="none"/>
        </w:rPr>
      </w:pPr>
      <w:r>
        <w:rPr>
          <w:rStyle w:val="20"/>
          <w:rFonts w:hint="eastAsia" w:ascii="宋体" w:hAnsi="宋体"/>
          <w:color w:val="auto"/>
          <w:sz w:val="24"/>
          <w:szCs w:val="24"/>
          <w:highlight w:val="none"/>
        </w:rPr>
        <w:t>设备易损件、消耗性材料清单，包括名称、规格、制造厂家全称等。</w:t>
      </w:r>
    </w:p>
    <w:p w14:paraId="187726A3">
      <w:pPr>
        <w:pStyle w:val="8"/>
        <w:spacing w:line="360" w:lineRule="auto"/>
        <w:ind w:firstLine="570"/>
        <w:rPr>
          <w:rStyle w:val="20"/>
          <w:rFonts w:hint="eastAsia" w:ascii="宋体" w:hAnsi="宋体"/>
          <w:color w:val="auto"/>
          <w:sz w:val="24"/>
          <w:szCs w:val="24"/>
          <w:highlight w:val="none"/>
        </w:rPr>
      </w:pPr>
      <w:r>
        <w:rPr>
          <w:rStyle w:val="20"/>
          <w:rFonts w:hint="eastAsia" w:ascii="宋体" w:hAnsi="宋体"/>
          <w:color w:val="auto"/>
          <w:sz w:val="24"/>
          <w:szCs w:val="24"/>
          <w:highlight w:val="none"/>
        </w:rPr>
        <w:t>为便于使用和查阅，手册应分成卷，每一卷包括封面的最大厚度为50mm。</w:t>
      </w:r>
    </w:p>
    <w:p w14:paraId="17FC7867">
      <w:pPr>
        <w:pStyle w:val="8"/>
        <w:spacing w:line="360" w:lineRule="auto"/>
        <w:ind w:firstLine="420"/>
        <w:rPr>
          <w:rStyle w:val="20"/>
          <w:rFonts w:hint="eastAsia" w:ascii="宋体" w:hAnsi="宋体"/>
          <w:color w:val="auto"/>
          <w:sz w:val="24"/>
          <w:szCs w:val="24"/>
          <w:highlight w:val="none"/>
        </w:rPr>
      </w:pPr>
      <w:r>
        <w:rPr>
          <w:rStyle w:val="20"/>
          <w:rFonts w:hint="eastAsia" w:ascii="宋体" w:hAnsi="宋体"/>
          <w:color w:val="auto"/>
          <w:sz w:val="24"/>
          <w:szCs w:val="24"/>
          <w:highlight w:val="none"/>
        </w:rPr>
        <w:t>每一卷的版式应尽可能地一致，每一部分的系统、设备等描述顺序也应一致。</w:t>
      </w:r>
      <w:bookmarkEnd w:id="285"/>
      <w:bookmarkEnd w:id="286"/>
    </w:p>
    <w:p w14:paraId="05F265E0">
      <w:pPr>
        <w:pStyle w:val="8"/>
        <w:spacing w:line="360" w:lineRule="auto"/>
        <w:ind w:firstLine="420"/>
        <w:rPr>
          <w:rStyle w:val="20"/>
          <w:rFonts w:hint="eastAsia" w:ascii="宋体" w:hAnsi="宋体"/>
          <w:color w:val="auto"/>
          <w:highlight w:val="none"/>
        </w:rPr>
      </w:pPr>
    </w:p>
    <w:p w14:paraId="4186FB67">
      <w:pPr>
        <w:pStyle w:val="8"/>
        <w:widowControl/>
        <w:spacing w:line="360" w:lineRule="auto"/>
        <w:jc w:val="left"/>
        <w:rPr>
          <w:rStyle w:val="20"/>
          <w:rFonts w:ascii="宋体" w:hAnsi="宋体"/>
          <w:color w:val="auto"/>
          <w:highlight w:val="none"/>
        </w:rPr>
        <w:sectPr>
          <w:endnotePr>
            <w:numFmt w:val="decimal"/>
          </w:endnotePr>
          <w:pgSz w:w="11907" w:h="16840"/>
          <w:pgMar w:top="1418" w:right="1531" w:bottom="1418" w:left="1701" w:header="851" w:footer="1021" w:gutter="0"/>
          <w:pgNumType w:fmt="decimal"/>
          <w:cols w:space="720" w:num="1"/>
        </w:sectPr>
      </w:pPr>
    </w:p>
    <w:p w14:paraId="6B3EA3AE">
      <w:pPr>
        <w:pStyle w:val="8"/>
        <w:spacing w:line="360" w:lineRule="auto"/>
        <w:rPr>
          <w:rStyle w:val="20"/>
          <w:rFonts w:hint="eastAsia" w:ascii="宋体" w:hAnsi="宋体"/>
          <w:color w:val="auto"/>
          <w:highlight w:val="none"/>
        </w:rPr>
      </w:pPr>
    </w:p>
    <w:p w14:paraId="558E5D71">
      <w:pPr>
        <w:pStyle w:val="38"/>
        <w:keepNext/>
        <w:keepLines/>
        <w:pageBreakBefore w:val="0"/>
        <w:widowControl w:val="0"/>
        <w:kinsoku/>
        <w:wordWrap/>
        <w:overflowPunct/>
        <w:topLinePunct w:val="0"/>
        <w:autoSpaceDE/>
        <w:autoSpaceDN/>
        <w:bidi w:val="0"/>
        <w:adjustRightInd/>
        <w:snapToGrid/>
        <w:spacing w:before="0" w:after="0" w:line="360" w:lineRule="auto"/>
        <w:textAlignment w:val="auto"/>
        <w:rPr>
          <w:rStyle w:val="20"/>
          <w:rFonts w:hint="eastAsia" w:ascii="宋体"/>
          <w:b/>
          <w:bCs/>
          <w:color w:val="auto"/>
          <w:sz w:val="30"/>
          <w:szCs w:val="30"/>
          <w:highlight w:val="none"/>
        </w:rPr>
      </w:pPr>
      <w:bookmarkStart w:id="287" w:name="_Toc57640867"/>
      <w:bookmarkStart w:id="288" w:name="_Toc5130"/>
      <w:bookmarkStart w:id="289" w:name="_Toc13059"/>
      <w:bookmarkStart w:id="290" w:name="_Toc1443"/>
      <w:bookmarkStart w:id="291" w:name="_Toc22434"/>
      <w:bookmarkStart w:id="292" w:name="_Toc286159477"/>
      <w:bookmarkStart w:id="293" w:name="_Toc25014"/>
      <w:bookmarkStart w:id="294" w:name="_Toc24303"/>
      <w:r>
        <w:rPr>
          <w:rStyle w:val="20"/>
          <w:rFonts w:hint="eastAsia"/>
          <w:b/>
          <w:bCs/>
          <w:color w:val="auto"/>
          <w:sz w:val="30"/>
          <w:szCs w:val="30"/>
          <w:highlight w:val="none"/>
        </w:rPr>
        <w:t>附件9 大（部）件情况</w:t>
      </w:r>
      <w:bookmarkEnd w:id="287"/>
      <w:bookmarkEnd w:id="288"/>
      <w:bookmarkEnd w:id="289"/>
      <w:bookmarkEnd w:id="290"/>
      <w:bookmarkEnd w:id="291"/>
      <w:bookmarkEnd w:id="292"/>
      <w:bookmarkEnd w:id="293"/>
      <w:bookmarkEnd w:id="294"/>
    </w:p>
    <w:p w14:paraId="350EFD53">
      <w:pPr>
        <w:pStyle w:val="8"/>
        <w:spacing w:line="360" w:lineRule="auto"/>
        <w:ind w:firstLine="566"/>
        <w:rPr>
          <w:rStyle w:val="20"/>
          <w:rFonts w:hint="eastAsia" w:ascii="宋体" w:hAnsi="宋体"/>
          <w:color w:val="auto"/>
          <w:sz w:val="24"/>
          <w:szCs w:val="24"/>
          <w:highlight w:val="none"/>
        </w:rPr>
      </w:pPr>
      <w:r>
        <w:rPr>
          <w:rStyle w:val="20"/>
          <w:rFonts w:hint="eastAsia" w:ascii="宋体" w:hAnsi="宋体"/>
          <w:color w:val="auto"/>
          <w:highlight w:val="none"/>
        </w:rPr>
        <w:t>投标人应把超重超限的情况详细予以说明。</w:t>
      </w:r>
    </w:p>
    <w:tbl>
      <w:tblPr>
        <w:tblStyle w:val="19"/>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18DA37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bottom w:val="single" w:color="auto" w:sz="6" w:space="0"/>
              <w:right w:val="single" w:color="auto" w:sz="6" w:space="0"/>
            </w:tcBorders>
            <w:noWrap w:val="0"/>
            <w:vAlign w:val="center"/>
          </w:tcPr>
          <w:p w14:paraId="44C33B76">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序</w:t>
            </w:r>
          </w:p>
          <w:p w14:paraId="260321ED">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号</w:t>
            </w:r>
          </w:p>
        </w:tc>
        <w:tc>
          <w:tcPr>
            <w:tcW w:w="710" w:type="dxa"/>
            <w:vMerge w:val="restart"/>
            <w:tcBorders>
              <w:top w:val="single" w:color="auto" w:sz="6" w:space="0"/>
              <w:left w:val="nil"/>
              <w:bottom w:val="single" w:color="auto" w:sz="6" w:space="0"/>
              <w:right w:val="single" w:color="auto" w:sz="6" w:space="0"/>
            </w:tcBorders>
            <w:noWrap w:val="0"/>
            <w:vAlign w:val="center"/>
          </w:tcPr>
          <w:p w14:paraId="1EAA74B8">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部件名称</w:t>
            </w:r>
          </w:p>
        </w:tc>
        <w:tc>
          <w:tcPr>
            <w:tcW w:w="475" w:type="dxa"/>
            <w:vMerge w:val="restart"/>
            <w:tcBorders>
              <w:top w:val="single" w:color="auto" w:sz="6" w:space="0"/>
              <w:left w:val="nil"/>
              <w:bottom w:val="single" w:color="auto" w:sz="6" w:space="0"/>
              <w:right w:val="single" w:color="auto" w:sz="6" w:space="0"/>
            </w:tcBorders>
            <w:noWrap w:val="0"/>
            <w:vAlign w:val="center"/>
          </w:tcPr>
          <w:p w14:paraId="6DF84ACE">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数量</w:t>
            </w:r>
          </w:p>
        </w:tc>
        <w:tc>
          <w:tcPr>
            <w:tcW w:w="1580" w:type="dxa"/>
            <w:gridSpan w:val="2"/>
            <w:tcBorders>
              <w:top w:val="single" w:color="auto" w:sz="6" w:space="0"/>
              <w:left w:val="nil"/>
              <w:bottom w:val="single" w:color="auto" w:sz="6" w:space="0"/>
              <w:right w:val="nil"/>
            </w:tcBorders>
            <w:noWrap w:val="0"/>
            <w:vAlign w:val="center"/>
          </w:tcPr>
          <w:p w14:paraId="1131DB48">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长*宽*高</w:t>
            </w:r>
          </w:p>
        </w:tc>
        <w:tc>
          <w:tcPr>
            <w:tcW w:w="1560" w:type="dxa"/>
            <w:gridSpan w:val="2"/>
            <w:tcBorders>
              <w:top w:val="single" w:color="auto" w:sz="6" w:space="0"/>
              <w:left w:val="single" w:color="auto" w:sz="6" w:space="0"/>
              <w:bottom w:val="single" w:color="auto" w:sz="6" w:space="0"/>
              <w:right w:val="nil"/>
            </w:tcBorders>
            <w:noWrap w:val="0"/>
            <w:vAlign w:val="center"/>
          </w:tcPr>
          <w:p w14:paraId="0A96C57F">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重量</w:t>
            </w:r>
          </w:p>
        </w:tc>
        <w:tc>
          <w:tcPr>
            <w:tcW w:w="1080" w:type="dxa"/>
            <w:vMerge w:val="restart"/>
            <w:tcBorders>
              <w:top w:val="single" w:color="auto" w:sz="6" w:space="0"/>
              <w:left w:val="single" w:color="auto" w:sz="6" w:space="0"/>
              <w:bottom w:val="single" w:color="auto" w:sz="6" w:space="0"/>
              <w:right w:val="nil"/>
            </w:tcBorders>
            <w:noWrap w:val="0"/>
            <w:vAlign w:val="center"/>
          </w:tcPr>
          <w:p w14:paraId="65F63572">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厂家</w:t>
            </w:r>
          </w:p>
          <w:p w14:paraId="7F3889E5">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名称</w:t>
            </w:r>
          </w:p>
        </w:tc>
        <w:tc>
          <w:tcPr>
            <w:tcW w:w="1440" w:type="dxa"/>
            <w:vMerge w:val="restart"/>
            <w:tcBorders>
              <w:top w:val="single" w:color="auto" w:sz="6" w:space="0"/>
              <w:left w:val="single" w:color="auto" w:sz="6" w:space="0"/>
              <w:bottom w:val="single" w:color="auto" w:sz="6" w:space="0"/>
              <w:right w:val="nil"/>
            </w:tcBorders>
            <w:noWrap w:val="0"/>
            <w:vAlign w:val="center"/>
          </w:tcPr>
          <w:p w14:paraId="2409EE8C">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货物发运</w:t>
            </w:r>
          </w:p>
          <w:p w14:paraId="3801228E">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地点</w:t>
            </w:r>
          </w:p>
        </w:tc>
        <w:tc>
          <w:tcPr>
            <w:tcW w:w="1080" w:type="dxa"/>
            <w:vMerge w:val="restart"/>
            <w:tcBorders>
              <w:top w:val="single" w:color="auto" w:sz="6" w:space="0"/>
              <w:left w:val="single" w:color="auto" w:sz="6" w:space="0"/>
              <w:bottom w:val="single" w:color="auto" w:sz="6" w:space="0"/>
              <w:right w:val="nil"/>
            </w:tcBorders>
            <w:noWrap w:val="0"/>
            <w:vAlign w:val="center"/>
          </w:tcPr>
          <w:p w14:paraId="7CF89650">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运输方式</w:t>
            </w:r>
          </w:p>
        </w:tc>
        <w:tc>
          <w:tcPr>
            <w:tcW w:w="960" w:type="dxa"/>
            <w:vMerge w:val="restart"/>
            <w:tcBorders>
              <w:top w:val="single" w:color="auto" w:sz="6" w:space="0"/>
              <w:left w:val="single" w:color="auto" w:sz="6" w:space="0"/>
              <w:bottom w:val="single" w:color="auto" w:sz="6" w:space="0"/>
              <w:right w:val="single" w:color="auto" w:sz="6" w:space="0"/>
            </w:tcBorders>
            <w:noWrap w:val="0"/>
            <w:vAlign w:val="center"/>
          </w:tcPr>
          <w:p w14:paraId="7C63BAD7">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备注</w:t>
            </w:r>
          </w:p>
        </w:tc>
      </w:tr>
      <w:tr w14:paraId="2DFEE3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top w:val="single" w:color="auto" w:sz="6" w:space="0"/>
              <w:left w:val="single" w:color="auto" w:sz="6" w:space="0"/>
              <w:bottom w:val="single" w:color="auto" w:sz="6" w:space="0"/>
              <w:right w:val="single" w:color="auto" w:sz="6" w:space="0"/>
            </w:tcBorders>
            <w:noWrap w:val="0"/>
            <w:vAlign w:val="center"/>
          </w:tcPr>
          <w:p w14:paraId="549E749A">
            <w:pPr>
              <w:pStyle w:val="8"/>
              <w:widowControl/>
              <w:jc w:val="left"/>
              <w:rPr>
                <w:rStyle w:val="20"/>
                <w:rFonts w:ascii="宋体" w:hAnsi="宋体" w:eastAsia="宋体"/>
                <w:color w:val="auto"/>
                <w:kern w:val="2"/>
                <w:sz w:val="24"/>
                <w:szCs w:val="24"/>
                <w:highlight w:val="none"/>
                <w:lang w:val="en-US" w:eastAsia="zh-CN" w:bidi="ar-SA"/>
              </w:rPr>
            </w:pPr>
          </w:p>
        </w:tc>
        <w:tc>
          <w:tcPr>
            <w:tcW w:w="710" w:type="dxa"/>
            <w:vMerge w:val="continue"/>
            <w:tcBorders>
              <w:top w:val="single" w:color="auto" w:sz="6" w:space="0"/>
              <w:left w:val="nil"/>
              <w:bottom w:val="single" w:color="auto" w:sz="6" w:space="0"/>
              <w:right w:val="single" w:color="auto" w:sz="6" w:space="0"/>
            </w:tcBorders>
            <w:noWrap w:val="0"/>
            <w:vAlign w:val="center"/>
          </w:tcPr>
          <w:p w14:paraId="5995C826">
            <w:pPr>
              <w:pStyle w:val="8"/>
              <w:widowControl/>
              <w:jc w:val="left"/>
              <w:rPr>
                <w:rStyle w:val="20"/>
                <w:rFonts w:ascii="宋体" w:hAnsi="宋体" w:eastAsia="宋体"/>
                <w:color w:val="auto"/>
                <w:kern w:val="2"/>
                <w:sz w:val="24"/>
                <w:szCs w:val="24"/>
                <w:highlight w:val="none"/>
                <w:lang w:val="en-US" w:eastAsia="zh-CN" w:bidi="ar-SA"/>
              </w:rPr>
            </w:pPr>
          </w:p>
        </w:tc>
        <w:tc>
          <w:tcPr>
            <w:tcW w:w="475" w:type="dxa"/>
            <w:vMerge w:val="continue"/>
            <w:tcBorders>
              <w:top w:val="single" w:color="auto" w:sz="6" w:space="0"/>
              <w:left w:val="nil"/>
              <w:bottom w:val="single" w:color="auto" w:sz="6" w:space="0"/>
              <w:right w:val="single" w:color="auto" w:sz="6" w:space="0"/>
            </w:tcBorders>
            <w:noWrap w:val="0"/>
            <w:vAlign w:val="center"/>
          </w:tcPr>
          <w:p w14:paraId="1DA73446">
            <w:pPr>
              <w:pStyle w:val="8"/>
              <w:widowControl/>
              <w:jc w:val="left"/>
              <w:rPr>
                <w:rStyle w:val="20"/>
                <w:rFonts w:ascii="宋体" w:hAnsi="宋体" w:eastAsia="宋体"/>
                <w:color w:val="auto"/>
                <w:kern w:val="2"/>
                <w:sz w:val="24"/>
                <w:szCs w:val="24"/>
                <w:highlight w:val="none"/>
                <w:lang w:val="en-US" w:eastAsia="zh-CN" w:bidi="ar-SA"/>
              </w:rPr>
            </w:pPr>
          </w:p>
        </w:tc>
        <w:tc>
          <w:tcPr>
            <w:tcW w:w="620" w:type="dxa"/>
            <w:tcBorders>
              <w:top w:val="nil"/>
              <w:left w:val="nil"/>
              <w:bottom w:val="single" w:color="000000" w:sz="6" w:space="0"/>
              <w:right w:val="single" w:color="000000" w:sz="6" w:space="0"/>
            </w:tcBorders>
            <w:noWrap w:val="0"/>
            <w:vAlign w:val="top"/>
          </w:tcPr>
          <w:p w14:paraId="50EC0791">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包装</w:t>
            </w:r>
          </w:p>
        </w:tc>
        <w:tc>
          <w:tcPr>
            <w:tcW w:w="960" w:type="dxa"/>
            <w:tcBorders>
              <w:top w:val="nil"/>
              <w:left w:val="single" w:color="000000" w:sz="6" w:space="0"/>
              <w:bottom w:val="single" w:color="000000" w:sz="6" w:space="0"/>
              <w:right w:val="single" w:color="000000" w:sz="6" w:space="0"/>
            </w:tcBorders>
            <w:noWrap w:val="0"/>
            <w:vAlign w:val="top"/>
          </w:tcPr>
          <w:p w14:paraId="39C6E761">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未包装</w:t>
            </w:r>
          </w:p>
        </w:tc>
        <w:tc>
          <w:tcPr>
            <w:tcW w:w="600" w:type="dxa"/>
            <w:tcBorders>
              <w:top w:val="nil"/>
              <w:left w:val="single" w:color="000000" w:sz="6" w:space="0"/>
              <w:bottom w:val="single" w:color="000000" w:sz="6" w:space="0"/>
              <w:right w:val="single" w:color="000000" w:sz="6" w:space="0"/>
            </w:tcBorders>
            <w:noWrap w:val="0"/>
            <w:vAlign w:val="top"/>
          </w:tcPr>
          <w:p w14:paraId="5136B105">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包装</w:t>
            </w:r>
          </w:p>
        </w:tc>
        <w:tc>
          <w:tcPr>
            <w:tcW w:w="960" w:type="dxa"/>
            <w:tcBorders>
              <w:top w:val="nil"/>
              <w:left w:val="single" w:color="000000" w:sz="6" w:space="0"/>
              <w:bottom w:val="single" w:color="000000" w:sz="6" w:space="0"/>
              <w:right w:val="nil"/>
            </w:tcBorders>
            <w:noWrap w:val="0"/>
            <w:vAlign w:val="top"/>
          </w:tcPr>
          <w:p w14:paraId="05360031">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未包装</w:t>
            </w:r>
          </w:p>
        </w:tc>
        <w:tc>
          <w:tcPr>
            <w:tcW w:w="1080" w:type="dxa"/>
            <w:vMerge w:val="continue"/>
            <w:tcBorders>
              <w:top w:val="single" w:color="auto" w:sz="6" w:space="0"/>
              <w:left w:val="single" w:color="auto" w:sz="6" w:space="0"/>
              <w:bottom w:val="single" w:color="auto" w:sz="6" w:space="0"/>
              <w:right w:val="nil"/>
            </w:tcBorders>
            <w:noWrap w:val="0"/>
            <w:vAlign w:val="center"/>
          </w:tcPr>
          <w:p w14:paraId="131B038D">
            <w:pPr>
              <w:pStyle w:val="8"/>
              <w:widowControl/>
              <w:jc w:val="left"/>
              <w:rPr>
                <w:rStyle w:val="20"/>
                <w:rFonts w:ascii="宋体" w:hAnsi="宋体" w:eastAsia="宋体"/>
                <w:color w:val="auto"/>
                <w:kern w:val="2"/>
                <w:sz w:val="24"/>
                <w:szCs w:val="24"/>
                <w:highlight w:val="none"/>
                <w:lang w:val="en-US" w:eastAsia="zh-CN" w:bidi="ar-SA"/>
              </w:rPr>
            </w:pPr>
          </w:p>
        </w:tc>
        <w:tc>
          <w:tcPr>
            <w:tcW w:w="1440" w:type="dxa"/>
            <w:vMerge w:val="continue"/>
            <w:tcBorders>
              <w:top w:val="single" w:color="auto" w:sz="6" w:space="0"/>
              <w:left w:val="single" w:color="auto" w:sz="6" w:space="0"/>
              <w:bottom w:val="single" w:color="auto" w:sz="6" w:space="0"/>
              <w:right w:val="nil"/>
            </w:tcBorders>
            <w:noWrap w:val="0"/>
            <w:vAlign w:val="center"/>
          </w:tcPr>
          <w:p w14:paraId="267E38A3">
            <w:pPr>
              <w:pStyle w:val="8"/>
              <w:widowControl/>
              <w:jc w:val="left"/>
              <w:rPr>
                <w:rStyle w:val="20"/>
                <w:rFonts w:ascii="宋体" w:hAnsi="宋体" w:eastAsia="宋体"/>
                <w:color w:val="auto"/>
                <w:kern w:val="2"/>
                <w:sz w:val="24"/>
                <w:szCs w:val="24"/>
                <w:highlight w:val="none"/>
                <w:lang w:val="en-US" w:eastAsia="zh-CN" w:bidi="ar-SA"/>
              </w:rPr>
            </w:pPr>
          </w:p>
        </w:tc>
        <w:tc>
          <w:tcPr>
            <w:tcW w:w="1080" w:type="dxa"/>
            <w:vMerge w:val="continue"/>
            <w:tcBorders>
              <w:top w:val="single" w:color="auto" w:sz="6" w:space="0"/>
              <w:left w:val="single" w:color="auto" w:sz="6" w:space="0"/>
              <w:bottom w:val="single" w:color="auto" w:sz="6" w:space="0"/>
              <w:right w:val="nil"/>
            </w:tcBorders>
            <w:noWrap w:val="0"/>
            <w:vAlign w:val="center"/>
          </w:tcPr>
          <w:p w14:paraId="5EE7091D">
            <w:pPr>
              <w:pStyle w:val="8"/>
              <w:widowControl/>
              <w:jc w:val="left"/>
              <w:rPr>
                <w:rStyle w:val="20"/>
                <w:rFonts w:ascii="宋体" w:hAnsi="宋体" w:eastAsia="宋体"/>
                <w:color w:val="auto"/>
                <w:kern w:val="2"/>
                <w:sz w:val="24"/>
                <w:szCs w:val="24"/>
                <w:highlight w:val="none"/>
                <w:lang w:val="en-US" w:eastAsia="zh-CN" w:bidi="ar-SA"/>
              </w:rPr>
            </w:pPr>
          </w:p>
        </w:tc>
        <w:tc>
          <w:tcPr>
            <w:tcW w:w="960" w:type="dxa"/>
            <w:vMerge w:val="continue"/>
            <w:tcBorders>
              <w:top w:val="single" w:color="auto" w:sz="6" w:space="0"/>
              <w:left w:val="single" w:color="auto" w:sz="6" w:space="0"/>
              <w:bottom w:val="single" w:color="auto" w:sz="6" w:space="0"/>
              <w:right w:val="single" w:color="auto" w:sz="6" w:space="0"/>
            </w:tcBorders>
            <w:noWrap w:val="0"/>
            <w:vAlign w:val="center"/>
          </w:tcPr>
          <w:p w14:paraId="582C1542">
            <w:pPr>
              <w:pStyle w:val="8"/>
              <w:widowControl/>
              <w:jc w:val="left"/>
              <w:rPr>
                <w:rStyle w:val="20"/>
                <w:rFonts w:ascii="宋体" w:hAnsi="宋体" w:eastAsia="宋体"/>
                <w:color w:val="auto"/>
                <w:kern w:val="2"/>
                <w:sz w:val="24"/>
                <w:szCs w:val="24"/>
                <w:highlight w:val="none"/>
                <w:lang w:val="en-US" w:eastAsia="zh-CN" w:bidi="ar-SA"/>
              </w:rPr>
            </w:pPr>
          </w:p>
        </w:tc>
      </w:tr>
      <w:tr w14:paraId="20137C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left w:val="single" w:color="000000" w:sz="6" w:space="0"/>
              <w:bottom w:val="single" w:color="000000" w:sz="6" w:space="0"/>
              <w:right w:val="single" w:color="000000" w:sz="6" w:space="0"/>
            </w:tcBorders>
            <w:noWrap w:val="0"/>
            <w:vAlign w:val="top"/>
          </w:tcPr>
          <w:p w14:paraId="17C0681D">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710" w:type="dxa"/>
            <w:tcBorders>
              <w:top w:val="nil"/>
              <w:left w:val="single" w:color="000000" w:sz="6" w:space="0"/>
              <w:bottom w:val="single" w:color="000000" w:sz="6" w:space="0"/>
              <w:right w:val="single" w:color="000000" w:sz="6" w:space="0"/>
            </w:tcBorders>
            <w:noWrap w:val="0"/>
            <w:vAlign w:val="top"/>
          </w:tcPr>
          <w:p w14:paraId="274E7F45">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475" w:type="dxa"/>
            <w:tcBorders>
              <w:top w:val="nil"/>
              <w:left w:val="single" w:color="000000" w:sz="6" w:space="0"/>
              <w:bottom w:val="single" w:color="000000" w:sz="6" w:space="0"/>
              <w:right w:val="single" w:color="000000" w:sz="6" w:space="0"/>
            </w:tcBorders>
            <w:noWrap w:val="0"/>
            <w:vAlign w:val="top"/>
          </w:tcPr>
          <w:p w14:paraId="7A48E244">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620" w:type="dxa"/>
            <w:tcBorders>
              <w:top w:val="single" w:color="000000" w:sz="6" w:space="0"/>
              <w:left w:val="single" w:color="000000" w:sz="6" w:space="0"/>
              <w:bottom w:val="single" w:color="000000" w:sz="6" w:space="0"/>
              <w:right w:val="single" w:color="000000" w:sz="6" w:space="0"/>
            </w:tcBorders>
            <w:noWrap w:val="0"/>
            <w:vAlign w:val="top"/>
          </w:tcPr>
          <w:p w14:paraId="151F37EB">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000000" w:sz="6" w:space="0"/>
              <w:left w:val="single" w:color="000000" w:sz="6" w:space="0"/>
              <w:bottom w:val="single" w:color="000000" w:sz="6" w:space="0"/>
              <w:right w:val="single" w:color="000000" w:sz="6" w:space="0"/>
            </w:tcBorders>
            <w:noWrap w:val="0"/>
            <w:vAlign w:val="top"/>
          </w:tcPr>
          <w:p w14:paraId="2EE9DEFB">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600" w:type="dxa"/>
            <w:tcBorders>
              <w:top w:val="single" w:color="000000" w:sz="6" w:space="0"/>
              <w:left w:val="single" w:color="000000" w:sz="6" w:space="0"/>
              <w:bottom w:val="single" w:color="000000" w:sz="6" w:space="0"/>
              <w:right w:val="single" w:color="000000" w:sz="6" w:space="0"/>
            </w:tcBorders>
            <w:noWrap w:val="0"/>
            <w:vAlign w:val="top"/>
          </w:tcPr>
          <w:p w14:paraId="6397DDA4">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000000" w:sz="6" w:space="0"/>
              <w:left w:val="single" w:color="000000" w:sz="6" w:space="0"/>
              <w:bottom w:val="single" w:color="000000" w:sz="6" w:space="0"/>
              <w:right w:val="single" w:color="000000" w:sz="6" w:space="0"/>
            </w:tcBorders>
            <w:noWrap w:val="0"/>
            <w:vAlign w:val="top"/>
          </w:tcPr>
          <w:p w14:paraId="2667F290">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080" w:type="dxa"/>
            <w:tcBorders>
              <w:top w:val="nil"/>
              <w:left w:val="single" w:color="000000" w:sz="6" w:space="0"/>
              <w:bottom w:val="single" w:color="000000" w:sz="6" w:space="0"/>
              <w:right w:val="single" w:color="000000" w:sz="6" w:space="0"/>
            </w:tcBorders>
            <w:noWrap w:val="0"/>
            <w:vAlign w:val="top"/>
          </w:tcPr>
          <w:p w14:paraId="488796AD">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440" w:type="dxa"/>
            <w:tcBorders>
              <w:top w:val="nil"/>
              <w:left w:val="single" w:color="000000" w:sz="6" w:space="0"/>
              <w:bottom w:val="single" w:color="000000" w:sz="6" w:space="0"/>
              <w:right w:val="single" w:color="000000" w:sz="6" w:space="0"/>
            </w:tcBorders>
            <w:noWrap w:val="0"/>
            <w:vAlign w:val="top"/>
          </w:tcPr>
          <w:p w14:paraId="08E27DCD">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080" w:type="dxa"/>
            <w:tcBorders>
              <w:top w:val="nil"/>
              <w:left w:val="single" w:color="000000" w:sz="6" w:space="0"/>
              <w:bottom w:val="single" w:color="000000" w:sz="6" w:space="0"/>
              <w:right w:val="single" w:color="000000" w:sz="6" w:space="0"/>
            </w:tcBorders>
            <w:noWrap w:val="0"/>
            <w:vAlign w:val="top"/>
          </w:tcPr>
          <w:p w14:paraId="08CB957A">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nil"/>
              <w:left w:val="single" w:color="000000" w:sz="6" w:space="0"/>
              <w:bottom w:val="single" w:color="000000" w:sz="6" w:space="0"/>
              <w:right w:val="single" w:color="000000" w:sz="6" w:space="0"/>
            </w:tcBorders>
            <w:noWrap w:val="0"/>
            <w:vAlign w:val="top"/>
          </w:tcPr>
          <w:p w14:paraId="71C055AD">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23DF7E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single" w:color="000000" w:sz="6" w:space="0"/>
              <w:left w:val="single" w:color="000000" w:sz="6" w:space="0"/>
              <w:bottom w:val="single" w:color="000000" w:sz="6" w:space="0"/>
              <w:right w:val="single" w:color="000000" w:sz="6" w:space="0"/>
            </w:tcBorders>
            <w:noWrap w:val="0"/>
            <w:vAlign w:val="top"/>
          </w:tcPr>
          <w:p w14:paraId="0CCCF52C">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710" w:type="dxa"/>
            <w:tcBorders>
              <w:top w:val="single" w:color="000000" w:sz="6" w:space="0"/>
              <w:left w:val="single" w:color="000000" w:sz="6" w:space="0"/>
              <w:bottom w:val="single" w:color="000000" w:sz="6" w:space="0"/>
              <w:right w:val="single" w:color="000000" w:sz="6" w:space="0"/>
            </w:tcBorders>
            <w:noWrap w:val="0"/>
            <w:vAlign w:val="top"/>
          </w:tcPr>
          <w:p w14:paraId="1F4F68A6">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475" w:type="dxa"/>
            <w:tcBorders>
              <w:top w:val="single" w:color="000000" w:sz="6" w:space="0"/>
              <w:left w:val="single" w:color="000000" w:sz="6" w:space="0"/>
              <w:bottom w:val="single" w:color="000000" w:sz="6" w:space="0"/>
              <w:right w:val="single" w:color="000000" w:sz="6" w:space="0"/>
            </w:tcBorders>
            <w:noWrap w:val="0"/>
            <w:vAlign w:val="top"/>
          </w:tcPr>
          <w:p w14:paraId="6EE334C0">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620" w:type="dxa"/>
            <w:tcBorders>
              <w:top w:val="single" w:color="000000" w:sz="6" w:space="0"/>
              <w:left w:val="single" w:color="000000" w:sz="6" w:space="0"/>
              <w:bottom w:val="single" w:color="000000" w:sz="6" w:space="0"/>
              <w:right w:val="single" w:color="000000" w:sz="6" w:space="0"/>
            </w:tcBorders>
            <w:noWrap w:val="0"/>
            <w:vAlign w:val="top"/>
          </w:tcPr>
          <w:p w14:paraId="77F1D2D5">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000000" w:sz="6" w:space="0"/>
              <w:left w:val="single" w:color="000000" w:sz="6" w:space="0"/>
              <w:bottom w:val="single" w:color="000000" w:sz="6" w:space="0"/>
              <w:right w:val="single" w:color="000000" w:sz="6" w:space="0"/>
            </w:tcBorders>
            <w:noWrap w:val="0"/>
            <w:vAlign w:val="top"/>
          </w:tcPr>
          <w:p w14:paraId="6091406B">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600" w:type="dxa"/>
            <w:tcBorders>
              <w:top w:val="single" w:color="000000" w:sz="6" w:space="0"/>
              <w:left w:val="single" w:color="000000" w:sz="6" w:space="0"/>
              <w:bottom w:val="single" w:color="000000" w:sz="6" w:space="0"/>
              <w:right w:val="single" w:color="000000" w:sz="6" w:space="0"/>
            </w:tcBorders>
            <w:noWrap w:val="0"/>
            <w:vAlign w:val="top"/>
          </w:tcPr>
          <w:p w14:paraId="4B7C6AE5">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000000" w:sz="6" w:space="0"/>
              <w:left w:val="single" w:color="000000" w:sz="6" w:space="0"/>
              <w:bottom w:val="single" w:color="000000" w:sz="6" w:space="0"/>
              <w:right w:val="single" w:color="000000" w:sz="6" w:space="0"/>
            </w:tcBorders>
            <w:noWrap w:val="0"/>
            <w:vAlign w:val="top"/>
          </w:tcPr>
          <w:p w14:paraId="37811979">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080" w:type="dxa"/>
            <w:tcBorders>
              <w:top w:val="single" w:color="000000" w:sz="6" w:space="0"/>
              <w:left w:val="single" w:color="000000" w:sz="6" w:space="0"/>
              <w:bottom w:val="single" w:color="000000" w:sz="6" w:space="0"/>
              <w:right w:val="single" w:color="000000" w:sz="6" w:space="0"/>
            </w:tcBorders>
            <w:noWrap w:val="0"/>
            <w:vAlign w:val="top"/>
          </w:tcPr>
          <w:p w14:paraId="1DA1829D">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440" w:type="dxa"/>
            <w:tcBorders>
              <w:top w:val="single" w:color="000000" w:sz="6" w:space="0"/>
              <w:left w:val="single" w:color="000000" w:sz="6" w:space="0"/>
              <w:bottom w:val="single" w:color="000000" w:sz="6" w:space="0"/>
              <w:right w:val="single" w:color="000000" w:sz="6" w:space="0"/>
            </w:tcBorders>
            <w:noWrap w:val="0"/>
            <w:vAlign w:val="top"/>
          </w:tcPr>
          <w:p w14:paraId="17635870">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080" w:type="dxa"/>
            <w:tcBorders>
              <w:top w:val="single" w:color="000000" w:sz="6" w:space="0"/>
              <w:left w:val="single" w:color="000000" w:sz="6" w:space="0"/>
              <w:bottom w:val="single" w:color="000000" w:sz="6" w:space="0"/>
              <w:right w:val="single" w:color="000000" w:sz="6" w:space="0"/>
            </w:tcBorders>
            <w:noWrap w:val="0"/>
            <w:vAlign w:val="top"/>
          </w:tcPr>
          <w:p w14:paraId="6797F97B">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000000" w:sz="6" w:space="0"/>
              <w:left w:val="single" w:color="000000" w:sz="6" w:space="0"/>
              <w:bottom w:val="single" w:color="000000" w:sz="6" w:space="0"/>
              <w:right w:val="single" w:color="000000" w:sz="6" w:space="0"/>
            </w:tcBorders>
            <w:noWrap w:val="0"/>
            <w:vAlign w:val="top"/>
          </w:tcPr>
          <w:p w14:paraId="7D7C87A3">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65E167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single" w:color="000000" w:sz="6" w:space="0"/>
              <w:left w:val="single" w:color="000000" w:sz="6" w:space="0"/>
              <w:bottom w:val="single" w:color="000000" w:sz="6" w:space="0"/>
              <w:right w:val="single" w:color="000000" w:sz="6" w:space="0"/>
            </w:tcBorders>
            <w:noWrap w:val="0"/>
            <w:vAlign w:val="top"/>
          </w:tcPr>
          <w:p w14:paraId="24DDA506">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710" w:type="dxa"/>
            <w:tcBorders>
              <w:top w:val="single" w:color="000000" w:sz="6" w:space="0"/>
              <w:left w:val="single" w:color="000000" w:sz="6" w:space="0"/>
              <w:bottom w:val="single" w:color="000000" w:sz="6" w:space="0"/>
              <w:right w:val="single" w:color="000000" w:sz="6" w:space="0"/>
            </w:tcBorders>
            <w:noWrap w:val="0"/>
            <w:vAlign w:val="top"/>
          </w:tcPr>
          <w:p w14:paraId="71164216">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475" w:type="dxa"/>
            <w:tcBorders>
              <w:top w:val="single" w:color="000000" w:sz="6" w:space="0"/>
              <w:left w:val="single" w:color="000000" w:sz="6" w:space="0"/>
              <w:bottom w:val="single" w:color="000000" w:sz="6" w:space="0"/>
              <w:right w:val="single" w:color="000000" w:sz="6" w:space="0"/>
            </w:tcBorders>
            <w:noWrap w:val="0"/>
            <w:vAlign w:val="top"/>
          </w:tcPr>
          <w:p w14:paraId="652B1B81">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620" w:type="dxa"/>
            <w:tcBorders>
              <w:top w:val="single" w:color="000000" w:sz="6" w:space="0"/>
              <w:left w:val="single" w:color="000000" w:sz="6" w:space="0"/>
              <w:bottom w:val="single" w:color="000000" w:sz="6" w:space="0"/>
              <w:right w:val="single" w:color="000000" w:sz="6" w:space="0"/>
            </w:tcBorders>
            <w:noWrap w:val="0"/>
            <w:vAlign w:val="top"/>
          </w:tcPr>
          <w:p w14:paraId="2B59C3E8">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000000" w:sz="6" w:space="0"/>
              <w:left w:val="single" w:color="000000" w:sz="6" w:space="0"/>
              <w:bottom w:val="single" w:color="000000" w:sz="6" w:space="0"/>
              <w:right w:val="single" w:color="000000" w:sz="6" w:space="0"/>
            </w:tcBorders>
            <w:noWrap w:val="0"/>
            <w:vAlign w:val="top"/>
          </w:tcPr>
          <w:p w14:paraId="1F411185">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600" w:type="dxa"/>
            <w:tcBorders>
              <w:top w:val="single" w:color="000000" w:sz="6" w:space="0"/>
              <w:left w:val="single" w:color="000000" w:sz="6" w:space="0"/>
              <w:bottom w:val="single" w:color="000000" w:sz="6" w:space="0"/>
              <w:right w:val="single" w:color="000000" w:sz="6" w:space="0"/>
            </w:tcBorders>
            <w:noWrap w:val="0"/>
            <w:vAlign w:val="top"/>
          </w:tcPr>
          <w:p w14:paraId="15A3A196">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000000" w:sz="6" w:space="0"/>
              <w:left w:val="single" w:color="000000" w:sz="6" w:space="0"/>
              <w:bottom w:val="single" w:color="000000" w:sz="6" w:space="0"/>
              <w:right w:val="single" w:color="000000" w:sz="6" w:space="0"/>
            </w:tcBorders>
            <w:noWrap w:val="0"/>
            <w:vAlign w:val="top"/>
          </w:tcPr>
          <w:p w14:paraId="1E9E3C16">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080" w:type="dxa"/>
            <w:tcBorders>
              <w:top w:val="single" w:color="000000" w:sz="6" w:space="0"/>
              <w:left w:val="single" w:color="000000" w:sz="6" w:space="0"/>
              <w:bottom w:val="single" w:color="000000" w:sz="6" w:space="0"/>
              <w:right w:val="single" w:color="000000" w:sz="6" w:space="0"/>
            </w:tcBorders>
            <w:noWrap w:val="0"/>
            <w:vAlign w:val="top"/>
          </w:tcPr>
          <w:p w14:paraId="334B4231">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440" w:type="dxa"/>
            <w:tcBorders>
              <w:top w:val="single" w:color="000000" w:sz="6" w:space="0"/>
              <w:left w:val="single" w:color="000000" w:sz="6" w:space="0"/>
              <w:bottom w:val="single" w:color="000000" w:sz="6" w:space="0"/>
              <w:right w:val="single" w:color="000000" w:sz="6" w:space="0"/>
            </w:tcBorders>
            <w:noWrap w:val="0"/>
            <w:vAlign w:val="top"/>
          </w:tcPr>
          <w:p w14:paraId="253B1A1D">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080" w:type="dxa"/>
            <w:tcBorders>
              <w:top w:val="single" w:color="000000" w:sz="6" w:space="0"/>
              <w:left w:val="single" w:color="000000" w:sz="6" w:space="0"/>
              <w:bottom w:val="single" w:color="000000" w:sz="6" w:space="0"/>
              <w:right w:val="single" w:color="000000" w:sz="6" w:space="0"/>
            </w:tcBorders>
            <w:noWrap w:val="0"/>
            <w:vAlign w:val="top"/>
          </w:tcPr>
          <w:p w14:paraId="3CEA5C8A">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000000" w:sz="6" w:space="0"/>
              <w:left w:val="single" w:color="000000" w:sz="6" w:space="0"/>
              <w:bottom w:val="single" w:color="000000" w:sz="6" w:space="0"/>
              <w:right w:val="single" w:color="000000" w:sz="6" w:space="0"/>
            </w:tcBorders>
            <w:noWrap w:val="0"/>
            <w:vAlign w:val="top"/>
          </w:tcPr>
          <w:p w14:paraId="6146F52D">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62F6E2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single" w:color="000000" w:sz="6" w:space="0"/>
              <w:left w:val="single" w:color="000000" w:sz="6" w:space="0"/>
              <w:bottom w:val="single" w:color="000000" w:sz="6" w:space="0"/>
              <w:right w:val="single" w:color="000000" w:sz="6" w:space="0"/>
            </w:tcBorders>
            <w:noWrap w:val="0"/>
            <w:vAlign w:val="top"/>
          </w:tcPr>
          <w:p w14:paraId="17500A03">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710" w:type="dxa"/>
            <w:tcBorders>
              <w:top w:val="single" w:color="000000" w:sz="6" w:space="0"/>
              <w:left w:val="single" w:color="000000" w:sz="6" w:space="0"/>
              <w:bottom w:val="single" w:color="000000" w:sz="6" w:space="0"/>
              <w:right w:val="single" w:color="000000" w:sz="6" w:space="0"/>
            </w:tcBorders>
            <w:noWrap w:val="0"/>
            <w:vAlign w:val="top"/>
          </w:tcPr>
          <w:p w14:paraId="5076784D">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475" w:type="dxa"/>
            <w:tcBorders>
              <w:top w:val="single" w:color="000000" w:sz="6" w:space="0"/>
              <w:left w:val="single" w:color="000000" w:sz="6" w:space="0"/>
              <w:bottom w:val="single" w:color="000000" w:sz="6" w:space="0"/>
              <w:right w:val="single" w:color="000000" w:sz="6" w:space="0"/>
            </w:tcBorders>
            <w:noWrap w:val="0"/>
            <w:vAlign w:val="top"/>
          </w:tcPr>
          <w:p w14:paraId="38DE847B">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620" w:type="dxa"/>
            <w:tcBorders>
              <w:top w:val="single" w:color="000000" w:sz="6" w:space="0"/>
              <w:left w:val="single" w:color="000000" w:sz="6" w:space="0"/>
              <w:bottom w:val="single" w:color="000000" w:sz="6" w:space="0"/>
              <w:right w:val="single" w:color="000000" w:sz="6" w:space="0"/>
            </w:tcBorders>
            <w:noWrap w:val="0"/>
            <w:vAlign w:val="top"/>
          </w:tcPr>
          <w:p w14:paraId="74A624E2">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000000" w:sz="6" w:space="0"/>
              <w:left w:val="single" w:color="000000" w:sz="6" w:space="0"/>
              <w:bottom w:val="single" w:color="000000" w:sz="6" w:space="0"/>
              <w:right w:val="single" w:color="000000" w:sz="6" w:space="0"/>
            </w:tcBorders>
            <w:noWrap w:val="0"/>
            <w:vAlign w:val="top"/>
          </w:tcPr>
          <w:p w14:paraId="020D1CA9">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600" w:type="dxa"/>
            <w:tcBorders>
              <w:top w:val="single" w:color="000000" w:sz="6" w:space="0"/>
              <w:left w:val="single" w:color="000000" w:sz="6" w:space="0"/>
              <w:bottom w:val="single" w:color="000000" w:sz="6" w:space="0"/>
              <w:right w:val="single" w:color="000000" w:sz="6" w:space="0"/>
            </w:tcBorders>
            <w:noWrap w:val="0"/>
            <w:vAlign w:val="top"/>
          </w:tcPr>
          <w:p w14:paraId="6F6F2217">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000000" w:sz="6" w:space="0"/>
              <w:left w:val="single" w:color="000000" w:sz="6" w:space="0"/>
              <w:bottom w:val="single" w:color="000000" w:sz="6" w:space="0"/>
              <w:right w:val="single" w:color="000000" w:sz="6" w:space="0"/>
            </w:tcBorders>
            <w:noWrap w:val="0"/>
            <w:vAlign w:val="top"/>
          </w:tcPr>
          <w:p w14:paraId="0A22637E">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080" w:type="dxa"/>
            <w:tcBorders>
              <w:top w:val="single" w:color="000000" w:sz="6" w:space="0"/>
              <w:left w:val="single" w:color="000000" w:sz="6" w:space="0"/>
              <w:bottom w:val="single" w:color="000000" w:sz="6" w:space="0"/>
              <w:right w:val="single" w:color="000000" w:sz="6" w:space="0"/>
            </w:tcBorders>
            <w:noWrap w:val="0"/>
            <w:vAlign w:val="top"/>
          </w:tcPr>
          <w:p w14:paraId="3CA05E5E">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440" w:type="dxa"/>
            <w:tcBorders>
              <w:top w:val="single" w:color="000000" w:sz="6" w:space="0"/>
              <w:left w:val="single" w:color="000000" w:sz="6" w:space="0"/>
              <w:bottom w:val="single" w:color="000000" w:sz="6" w:space="0"/>
              <w:right w:val="single" w:color="000000" w:sz="6" w:space="0"/>
            </w:tcBorders>
            <w:noWrap w:val="0"/>
            <w:vAlign w:val="top"/>
          </w:tcPr>
          <w:p w14:paraId="30880AC5">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1080" w:type="dxa"/>
            <w:tcBorders>
              <w:top w:val="single" w:color="000000" w:sz="6" w:space="0"/>
              <w:left w:val="single" w:color="000000" w:sz="6" w:space="0"/>
              <w:bottom w:val="single" w:color="000000" w:sz="6" w:space="0"/>
              <w:right w:val="single" w:color="000000" w:sz="6" w:space="0"/>
            </w:tcBorders>
            <w:noWrap w:val="0"/>
            <w:vAlign w:val="top"/>
          </w:tcPr>
          <w:p w14:paraId="1847F382">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000000" w:sz="6" w:space="0"/>
              <w:left w:val="single" w:color="000000" w:sz="6" w:space="0"/>
              <w:bottom w:val="single" w:color="000000" w:sz="6" w:space="0"/>
              <w:right w:val="single" w:color="000000" w:sz="6" w:space="0"/>
            </w:tcBorders>
            <w:noWrap w:val="0"/>
            <w:vAlign w:val="top"/>
          </w:tcPr>
          <w:p w14:paraId="2E3DDA19">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bl>
    <w:p w14:paraId="43D9075B">
      <w:pPr>
        <w:pStyle w:val="8"/>
        <w:spacing w:line="360" w:lineRule="auto"/>
        <w:rPr>
          <w:rStyle w:val="20"/>
          <w:rFonts w:hint="eastAsia" w:ascii="宋体" w:hAnsi="宋体"/>
          <w:color w:val="auto"/>
          <w:highlight w:val="none"/>
        </w:rPr>
      </w:pPr>
    </w:p>
    <w:p w14:paraId="4EFA5433">
      <w:pPr>
        <w:pStyle w:val="8"/>
        <w:spacing w:line="360" w:lineRule="auto"/>
        <w:rPr>
          <w:rStyle w:val="20"/>
          <w:rFonts w:hint="eastAsia" w:ascii="宋体" w:hAnsi="宋体"/>
          <w:snapToGrid w:val="0"/>
          <w:color w:val="auto"/>
          <w:highlight w:val="none"/>
        </w:rPr>
      </w:pPr>
      <w:r>
        <w:rPr>
          <w:rStyle w:val="20"/>
          <w:rFonts w:hint="eastAsia" w:ascii="宋体" w:hAnsi="宋体"/>
          <w:snapToGrid w:val="0"/>
          <w:color w:val="auto"/>
          <w:highlight w:val="none"/>
        </w:rPr>
        <w:t>说明：</w:t>
      </w:r>
    </w:p>
    <w:p w14:paraId="63F02E12">
      <w:pPr>
        <w:pStyle w:val="8"/>
        <w:spacing w:line="360" w:lineRule="auto"/>
        <w:ind w:firstLine="482"/>
        <w:rPr>
          <w:rStyle w:val="20"/>
          <w:rFonts w:hint="eastAsia" w:ascii="宋体" w:hAnsi="宋体"/>
          <w:snapToGrid w:val="0"/>
          <w:color w:val="auto"/>
          <w:highlight w:val="none"/>
        </w:rPr>
      </w:pPr>
      <w:r>
        <w:rPr>
          <w:rStyle w:val="20"/>
          <w:rFonts w:hint="eastAsia" w:ascii="宋体" w:hAnsi="宋体"/>
          <w:snapToGrid w:val="0"/>
          <w:color w:val="auto"/>
          <w:highlight w:val="none"/>
        </w:rPr>
        <w:t>1. 投标人应在投标文件中按附表要求提供设备各大件的运输尺寸（长*宽*高）、重量，并附运输外形尺寸图及其重心位置。</w:t>
      </w:r>
    </w:p>
    <w:p w14:paraId="21BF445B">
      <w:pPr>
        <w:pStyle w:val="8"/>
        <w:spacing w:line="360" w:lineRule="auto"/>
        <w:ind w:firstLine="482"/>
        <w:rPr>
          <w:rStyle w:val="20"/>
          <w:rFonts w:hint="eastAsia" w:ascii="宋体" w:hAnsi="宋体"/>
          <w:snapToGrid w:val="0"/>
          <w:color w:val="auto"/>
          <w:highlight w:val="none"/>
        </w:rPr>
      </w:pPr>
      <w:r>
        <w:rPr>
          <w:rStyle w:val="20"/>
          <w:rFonts w:hint="eastAsia" w:ascii="宋体" w:hAnsi="宋体"/>
          <w:snapToGrid w:val="0"/>
          <w:color w:val="auto"/>
          <w:highlight w:val="none"/>
        </w:rPr>
        <w:t>2. 设备运输尺寸，指设备包装后的各部分尺寸。</w:t>
      </w:r>
    </w:p>
    <w:p w14:paraId="38AD93D3">
      <w:pPr>
        <w:pStyle w:val="8"/>
        <w:spacing w:line="360" w:lineRule="auto"/>
        <w:ind w:firstLine="482"/>
        <w:rPr>
          <w:rStyle w:val="20"/>
          <w:rFonts w:hint="eastAsia" w:ascii="宋体" w:hAnsi="宋体"/>
          <w:snapToGrid w:val="0"/>
          <w:color w:val="auto"/>
          <w:highlight w:val="none"/>
        </w:rPr>
      </w:pPr>
      <w:r>
        <w:rPr>
          <w:rStyle w:val="20"/>
          <w:rFonts w:hint="eastAsia" w:ascii="宋体" w:hAnsi="宋体"/>
          <w:snapToGrid w:val="0"/>
          <w:color w:val="auto"/>
          <w:highlight w:val="none"/>
        </w:rPr>
        <w:t>3. 当采用铁路运输时，设备的运输外形尺寸，应考虑该设备拟采用的运输车辆装载面至轨面的高度要求。</w:t>
      </w:r>
    </w:p>
    <w:p w14:paraId="16E77A02">
      <w:pPr>
        <w:pStyle w:val="8"/>
        <w:spacing w:line="360" w:lineRule="auto"/>
        <w:ind w:firstLine="482"/>
        <w:rPr>
          <w:rStyle w:val="20"/>
          <w:rFonts w:hint="eastAsia" w:ascii="宋体" w:hAnsi="宋体"/>
          <w:snapToGrid w:val="0"/>
          <w:color w:val="auto"/>
          <w:highlight w:val="none"/>
        </w:rPr>
      </w:pPr>
      <w:r>
        <w:rPr>
          <w:rStyle w:val="20"/>
          <w:rFonts w:hint="eastAsia" w:ascii="宋体" w:hAnsi="宋体"/>
          <w:snapToGrid w:val="0"/>
          <w:color w:val="auto"/>
          <w:highlight w:val="none"/>
        </w:rPr>
        <w:t>4.投标人应根据大件运输的线路及运输方式，对沿途中所经过的涵洞、桥梁等构、建筑物进行充分的调查和论证，在投标文件中提出大件运输的方案，确保设备大件安全运至现场。</w:t>
      </w:r>
    </w:p>
    <w:p w14:paraId="2F876E1C">
      <w:pPr>
        <w:pStyle w:val="8"/>
        <w:spacing w:line="360" w:lineRule="auto"/>
        <w:ind w:firstLine="482"/>
        <w:rPr>
          <w:rStyle w:val="20"/>
          <w:rFonts w:hint="eastAsia" w:ascii="宋体" w:hAnsi="宋体"/>
          <w:snapToGrid w:val="0"/>
          <w:color w:val="auto"/>
          <w:highlight w:val="none"/>
        </w:rPr>
      </w:pPr>
      <w:r>
        <w:rPr>
          <w:rStyle w:val="20"/>
          <w:rFonts w:hint="eastAsia" w:ascii="宋体" w:hAnsi="宋体"/>
          <w:snapToGrid w:val="0"/>
          <w:color w:val="auto"/>
          <w:highlight w:val="none"/>
        </w:rPr>
        <w:t>5. 投标人还应在投标文件中说明所有其它设备的运输方案，包括车辆、船舶型号、数量、运输路线等。</w:t>
      </w:r>
    </w:p>
    <w:p w14:paraId="165157F4">
      <w:pPr>
        <w:pStyle w:val="8"/>
        <w:spacing w:line="360" w:lineRule="auto"/>
        <w:ind w:firstLine="420"/>
        <w:rPr>
          <w:rStyle w:val="20"/>
          <w:rFonts w:hint="eastAsia" w:ascii="宋体" w:hAnsi="宋体"/>
          <w:color w:val="auto"/>
          <w:highlight w:val="none"/>
        </w:rPr>
      </w:pPr>
      <w:r>
        <w:rPr>
          <w:rStyle w:val="20"/>
          <w:rFonts w:hint="eastAsia" w:ascii="宋体" w:hAnsi="宋体"/>
          <w:snapToGrid w:val="0"/>
          <w:color w:val="auto"/>
          <w:highlight w:val="none"/>
        </w:rPr>
        <w:t>6. 当投标人设备的运输尺寸超出上述给定的铁路运输界限规定的界限要求时，投标人应承担由于采取必要措施进行运输而发生的费用。</w:t>
      </w:r>
    </w:p>
    <w:p w14:paraId="0E2A580F">
      <w:pPr>
        <w:pStyle w:val="8"/>
        <w:widowControl/>
        <w:spacing w:line="360" w:lineRule="auto"/>
        <w:jc w:val="left"/>
        <w:rPr>
          <w:rStyle w:val="20"/>
          <w:rFonts w:ascii="宋体" w:hAnsi="宋体"/>
          <w:color w:val="auto"/>
          <w:highlight w:val="none"/>
        </w:rPr>
        <w:sectPr>
          <w:endnotePr>
            <w:numFmt w:val="decimal"/>
          </w:endnotePr>
          <w:pgSz w:w="11907" w:h="16840"/>
          <w:pgMar w:top="1418" w:right="1531" w:bottom="1418" w:left="1701" w:header="851" w:footer="1021" w:gutter="0"/>
          <w:pgNumType w:fmt="decimal"/>
          <w:cols w:space="720" w:num="1"/>
        </w:sectPr>
      </w:pPr>
    </w:p>
    <w:p w14:paraId="4D0B085C">
      <w:pPr>
        <w:pStyle w:val="8"/>
        <w:spacing w:line="360" w:lineRule="auto"/>
        <w:rPr>
          <w:rStyle w:val="20"/>
          <w:rFonts w:hint="eastAsia" w:ascii="宋体" w:hAnsi="宋体"/>
          <w:color w:val="auto"/>
          <w:highlight w:val="none"/>
        </w:rPr>
      </w:pPr>
    </w:p>
    <w:p w14:paraId="09872E2A">
      <w:pPr>
        <w:pStyle w:val="38"/>
        <w:keepNext/>
        <w:keepLines/>
        <w:pageBreakBefore w:val="0"/>
        <w:widowControl w:val="0"/>
        <w:kinsoku/>
        <w:wordWrap/>
        <w:overflowPunct/>
        <w:topLinePunct w:val="0"/>
        <w:autoSpaceDE/>
        <w:autoSpaceDN/>
        <w:bidi w:val="0"/>
        <w:adjustRightInd/>
        <w:snapToGrid/>
        <w:spacing w:before="0" w:after="0" w:line="360" w:lineRule="auto"/>
        <w:textAlignment w:val="auto"/>
        <w:rPr>
          <w:rStyle w:val="20"/>
          <w:rFonts w:hint="eastAsia" w:ascii="宋体"/>
          <w:b/>
          <w:bCs/>
          <w:color w:val="auto"/>
          <w:sz w:val="30"/>
          <w:szCs w:val="30"/>
          <w:highlight w:val="none"/>
        </w:rPr>
      </w:pPr>
      <w:bookmarkStart w:id="295" w:name="_Toc396527854"/>
      <w:bookmarkStart w:id="296" w:name="_Toc397131869"/>
      <w:bookmarkStart w:id="297" w:name="_Toc501940892"/>
      <w:bookmarkStart w:id="298" w:name="_Toc517056038"/>
      <w:bookmarkStart w:id="299" w:name="_Toc1252"/>
      <w:bookmarkStart w:id="300" w:name="_Toc396990284"/>
      <w:bookmarkStart w:id="301" w:name="_Toc399326523"/>
      <w:bookmarkStart w:id="302" w:name="_Toc396528069"/>
      <w:bookmarkStart w:id="303" w:name="_Toc21590"/>
      <w:bookmarkStart w:id="304" w:name="_Toc27053"/>
      <w:bookmarkStart w:id="305" w:name="_Toc397175925"/>
      <w:bookmarkStart w:id="306" w:name="_Toc286159478"/>
      <w:bookmarkStart w:id="307" w:name="_Toc399318779"/>
      <w:bookmarkStart w:id="308" w:name="_Toc152"/>
      <w:bookmarkStart w:id="309" w:name="_Toc397174654"/>
      <w:bookmarkStart w:id="310" w:name="_Toc396988670"/>
      <w:bookmarkStart w:id="311" w:name="_Toc57640868"/>
      <w:bookmarkStart w:id="312" w:name="_Toc396529293"/>
      <w:bookmarkStart w:id="313" w:name="_Toc25755"/>
      <w:bookmarkStart w:id="314" w:name="_Toc396528500"/>
      <w:bookmarkStart w:id="315" w:name="_Toc5568"/>
      <w:r>
        <w:rPr>
          <w:rStyle w:val="20"/>
          <w:rFonts w:hint="eastAsia"/>
          <w:b/>
          <w:bCs/>
          <w:color w:val="auto"/>
          <w:sz w:val="30"/>
          <w:szCs w:val="30"/>
          <w:highlight w:val="none"/>
        </w:rPr>
        <w:t>附件10 技术差异表</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89B3D0B">
      <w:pPr>
        <w:pStyle w:val="8"/>
        <w:spacing w:line="360" w:lineRule="auto"/>
        <w:ind w:left="425" w:firstLine="135"/>
        <w:rPr>
          <w:rStyle w:val="20"/>
          <w:rFonts w:hint="eastAsia" w:ascii="宋体" w:hAnsi="宋体"/>
          <w:color w:val="auto"/>
          <w:sz w:val="24"/>
          <w:szCs w:val="24"/>
          <w:highlight w:val="none"/>
        </w:rPr>
      </w:pPr>
    </w:p>
    <w:p w14:paraId="4FB94FF9">
      <w:pPr>
        <w:pStyle w:val="8"/>
        <w:spacing w:line="360" w:lineRule="auto"/>
        <w:ind w:firstLine="420"/>
        <w:rPr>
          <w:rStyle w:val="20"/>
          <w:rFonts w:hint="eastAsia" w:ascii="宋体" w:hAnsi="宋体"/>
          <w:color w:val="auto"/>
          <w:sz w:val="24"/>
          <w:szCs w:val="24"/>
          <w:highlight w:val="none"/>
        </w:rPr>
      </w:pPr>
      <w:r>
        <w:rPr>
          <w:rStyle w:val="20"/>
          <w:rFonts w:hint="eastAsia" w:ascii="宋体" w:hAnsi="宋体"/>
          <w:color w:val="auto"/>
          <w:sz w:val="24"/>
          <w:szCs w:val="24"/>
          <w:highlight w:val="none"/>
        </w:rPr>
        <w:t>投标人要将投标文件和招标文件的差异之处汇集成表。技术部分和商务部分要单独列表。</w:t>
      </w:r>
    </w:p>
    <w:p w14:paraId="6411593E">
      <w:pPr>
        <w:pStyle w:val="13"/>
        <w:ind w:firstLine="422"/>
        <w:rPr>
          <w:rStyle w:val="20"/>
          <w:rFonts w:hint="eastAsia"/>
          <w:color w:val="auto"/>
          <w:highlight w:val="none"/>
        </w:rPr>
      </w:pPr>
    </w:p>
    <w:p w14:paraId="65A881D5">
      <w:pPr>
        <w:pStyle w:val="8"/>
        <w:spacing w:line="360" w:lineRule="auto"/>
        <w:jc w:val="center"/>
        <w:rPr>
          <w:rStyle w:val="20"/>
          <w:rFonts w:hint="eastAsia" w:ascii="宋体" w:hAnsi="宋体"/>
          <w:color w:val="auto"/>
          <w:highlight w:val="none"/>
        </w:rPr>
      </w:pPr>
      <w:r>
        <w:rPr>
          <w:rStyle w:val="20"/>
          <w:rFonts w:hint="eastAsia" w:ascii="宋体" w:hAnsi="宋体"/>
          <w:color w:val="auto"/>
          <w:highlight w:val="none"/>
        </w:rPr>
        <w:t>差  异  表</w:t>
      </w:r>
    </w:p>
    <w:tbl>
      <w:tblPr>
        <w:tblStyle w:val="19"/>
        <w:tblW w:w="0" w:type="auto"/>
        <w:tblInd w:w="148" w:type="dxa"/>
        <w:tblLayout w:type="fixed"/>
        <w:tblCellMar>
          <w:top w:w="0" w:type="dxa"/>
          <w:left w:w="28" w:type="dxa"/>
          <w:bottom w:w="0" w:type="dxa"/>
          <w:right w:w="28" w:type="dxa"/>
        </w:tblCellMar>
      </w:tblPr>
      <w:tblGrid>
        <w:gridCol w:w="840"/>
        <w:gridCol w:w="965"/>
        <w:gridCol w:w="2995"/>
        <w:gridCol w:w="960"/>
        <w:gridCol w:w="2880"/>
      </w:tblGrid>
      <w:tr w14:paraId="29A0580D">
        <w:tblPrEx>
          <w:tblCellMar>
            <w:top w:w="0" w:type="dxa"/>
            <w:left w:w="28" w:type="dxa"/>
            <w:bottom w:w="0" w:type="dxa"/>
            <w:right w:w="28" w:type="dxa"/>
          </w:tblCellMar>
        </w:tblPrEx>
        <w:tc>
          <w:tcPr>
            <w:tcW w:w="840" w:type="dxa"/>
            <w:vMerge w:val="restart"/>
            <w:tcBorders>
              <w:top w:val="single" w:color="auto" w:sz="6" w:space="0"/>
              <w:left w:val="single" w:color="auto" w:sz="6" w:space="0"/>
              <w:bottom w:val="nil"/>
              <w:right w:val="single" w:color="auto" w:sz="6" w:space="0"/>
            </w:tcBorders>
            <w:noWrap w:val="0"/>
            <w:vAlign w:val="top"/>
          </w:tcPr>
          <w:p w14:paraId="05E4369A">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 xml:space="preserve"> 序号</w:t>
            </w:r>
          </w:p>
        </w:tc>
        <w:tc>
          <w:tcPr>
            <w:tcW w:w="3960" w:type="dxa"/>
            <w:gridSpan w:val="2"/>
            <w:tcBorders>
              <w:top w:val="single" w:color="auto" w:sz="6" w:space="0"/>
              <w:left w:val="nil"/>
              <w:bottom w:val="nil"/>
              <w:right w:val="single" w:color="auto" w:sz="6" w:space="0"/>
            </w:tcBorders>
            <w:noWrap w:val="0"/>
            <w:vAlign w:val="top"/>
          </w:tcPr>
          <w:p w14:paraId="3EDB9663">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招标文件</w:t>
            </w:r>
          </w:p>
        </w:tc>
        <w:tc>
          <w:tcPr>
            <w:tcW w:w="3840" w:type="dxa"/>
            <w:gridSpan w:val="2"/>
            <w:tcBorders>
              <w:top w:val="single" w:color="auto" w:sz="6" w:space="0"/>
              <w:left w:val="nil"/>
              <w:bottom w:val="nil"/>
              <w:right w:val="single" w:color="auto" w:sz="6" w:space="0"/>
            </w:tcBorders>
            <w:noWrap w:val="0"/>
            <w:vAlign w:val="top"/>
          </w:tcPr>
          <w:p w14:paraId="4699BE49">
            <w:pPr>
              <w:pStyle w:val="8"/>
              <w:widowControl w:val="0"/>
              <w:spacing w:line="360" w:lineRule="auto"/>
              <w:jc w:val="center"/>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投标文件</w:t>
            </w:r>
          </w:p>
        </w:tc>
      </w:tr>
      <w:tr w14:paraId="2BD59318">
        <w:tblPrEx>
          <w:tblCellMar>
            <w:top w:w="0" w:type="dxa"/>
            <w:left w:w="28" w:type="dxa"/>
            <w:bottom w:w="0" w:type="dxa"/>
            <w:right w:w="28" w:type="dxa"/>
          </w:tblCellMar>
        </w:tblPrEx>
        <w:tc>
          <w:tcPr>
            <w:tcW w:w="840" w:type="dxa"/>
            <w:vMerge w:val="continue"/>
            <w:tcBorders>
              <w:top w:val="single" w:color="auto" w:sz="6" w:space="0"/>
              <w:left w:val="single" w:color="auto" w:sz="6" w:space="0"/>
              <w:bottom w:val="nil"/>
              <w:right w:val="single" w:color="auto" w:sz="6" w:space="0"/>
            </w:tcBorders>
            <w:noWrap w:val="0"/>
            <w:vAlign w:val="center"/>
          </w:tcPr>
          <w:p w14:paraId="0A07108C">
            <w:pPr>
              <w:pStyle w:val="8"/>
              <w:widowControl/>
              <w:jc w:val="left"/>
              <w:rPr>
                <w:rStyle w:val="20"/>
                <w:rFonts w:ascii="宋体" w:hAnsi="宋体" w:eastAsia="宋体"/>
                <w:color w:val="auto"/>
                <w:kern w:val="2"/>
                <w:sz w:val="24"/>
                <w:szCs w:val="24"/>
                <w:highlight w:val="none"/>
                <w:lang w:val="en-US" w:eastAsia="zh-CN" w:bidi="ar-SA"/>
              </w:rPr>
            </w:pPr>
          </w:p>
        </w:tc>
        <w:tc>
          <w:tcPr>
            <w:tcW w:w="965" w:type="dxa"/>
            <w:tcBorders>
              <w:top w:val="single" w:color="auto" w:sz="6" w:space="0"/>
              <w:left w:val="nil"/>
              <w:bottom w:val="nil"/>
              <w:right w:val="single" w:color="auto" w:sz="6" w:space="0"/>
            </w:tcBorders>
            <w:noWrap w:val="0"/>
            <w:vAlign w:val="top"/>
          </w:tcPr>
          <w:p w14:paraId="245F3F1F">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 xml:space="preserve">  条目</w:t>
            </w:r>
          </w:p>
        </w:tc>
        <w:tc>
          <w:tcPr>
            <w:tcW w:w="2995" w:type="dxa"/>
            <w:tcBorders>
              <w:top w:val="single" w:color="auto" w:sz="6" w:space="0"/>
              <w:left w:val="nil"/>
              <w:bottom w:val="nil"/>
              <w:right w:val="single" w:color="auto" w:sz="6" w:space="0"/>
            </w:tcBorders>
            <w:noWrap w:val="0"/>
            <w:vAlign w:val="top"/>
          </w:tcPr>
          <w:p w14:paraId="44177441">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 xml:space="preserve">        简要内容</w:t>
            </w:r>
          </w:p>
        </w:tc>
        <w:tc>
          <w:tcPr>
            <w:tcW w:w="960" w:type="dxa"/>
            <w:tcBorders>
              <w:top w:val="single" w:color="auto" w:sz="6" w:space="0"/>
              <w:left w:val="nil"/>
              <w:bottom w:val="nil"/>
              <w:right w:val="single" w:color="auto" w:sz="6" w:space="0"/>
            </w:tcBorders>
            <w:noWrap w:val="0"/>
            <w:vAlign w:val="top"/>
          </w:tcPr>
          <w:p w14:paraId="41CAEE94">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 xml:space="preserve">  条目</w:t>
            </w:r>
          </w:p>
        </w:tc>
        <w:tc>
          <w:tcPr>
            <w:tcW w:w="2880" w:type="dxa"/>
            <w:tcBorders>
              <w:top w:val="single" w:color="auto" w:sz="6" w:space="0"/>
              <w:left w:val="nil"/>
              <w:bottom w:val="nil"/>
              <w:right w:val="single" w:color="auto" w:sz="6" w:space="0"/>
            </w:tcBorders>
            <w:noWrap w:val="0"/>
            <w:vAlign w:val="top"/>
          </w:tcPr>
          <w:p w14:paraId="0E3A82AF">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r>
              <w:rPr>
                <w:rStyle w:val="20"/>
                <w:rFonts w:hint="eastAsia" w:ascii="宋体" w:hAnsi="宋体" w:eastAsia="宋体"/>
                <w:color w:val="auto"/>
                <w:kern w:val="2"/>
                <w:sz w:val="21"/>
                <w:szCs w:val="22"/>
                <w:highlight w:val="none"/>
                <w:lang w:val="en-US" w:eastAsia="zh-CN" w:bidi="ar-SA"/>
              </w:rPr>
              <w:t xml:space="preserve">        简要内容</w:t>
            </w:r>
          </w:p>
        </w:tc>
      </w:tr>
      <w:tr w14:paraId="6D209545">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0EB5E910">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758686DA">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05644356">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16D1BF77">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2115AC3A">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0817DF1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4112A9E3">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1DCA76DC">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17DAE576">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4F01889A">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194FAE6C">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56A725BD">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3E904DC6">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3CD19D83">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5266DC33">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1CD0767B">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00F37067">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58D4CAB2">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2B6510ED">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376950E0">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16C5A1AB">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3744D9E2">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5AF4FC19">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6E6FA73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246D1472">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59DA9CE3">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690711B9">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3A6B3871">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1FD1DCE8">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61183B3F">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7E82B6F3">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1F2A8DFF">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38E49841">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2A3600AE">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41AD2B83">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63B7E86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0F72EFF7">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01924568">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0983F7E7">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75CF1F9F">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397631C0">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3A7BE58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2FE2969F">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0515F8A1">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396120C5">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38D6898E">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74D82EC3">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30E2982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69648988">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70412B4F">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21CD4E9B">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20CC2C81">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4E9325AA">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57F68E37">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6CA1C8C6">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23C654D3">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74421E8D">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058DC807">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2388D4C0">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38CDCCB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2D71D0F8">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1043D3AD">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11834B4E">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554715BF">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72700A43">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5A66CF1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1389C38E">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592C2C1E">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4D6A594A">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78EC7517">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78C79826">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r w14:paraId="01D5FC11">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right w:val="nil"/>
            </w:tcBorders>
            <w:noWrap w:val="0"/>
            <w:vAlign w:val="top"/>
          </w:tcPr>
          <w:p w14:paraId="1321143F">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5" w:type="dxa"/>
            <w:tcBorders>
              <w:top w:val="single" w:color="auto" w:sz="6" w:space="0"/>
              <w:left w:val="single" w:color="auto" w:sz="6" w:space="0"/>
              <w:bottom w:val="single" w:color="auto" w:sz="6" w:space="0"/>
              <w:right w:val="single" w:color="auto" w:sz="6" w:space="0"/>
            </w:tcBorders>
            <w:noWrap w:val="0"/>
            <w:vAlign w:val="top"/>
          </w:tcPr>
          <w:p w14:paraId="209D0E89">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995" w:type="dxa"/>
            <w:tcBorders>
              <w:top w:val="single" w:color="auto" w:sz="6" w:space="0"/>
              <w:left w:val="nil"/>
              <w:bottom w:val="single" w:color="auto" w:sz="6" w:space="0"/>
              <w:right w:val="nil"/>
            </w:tcBorders>
            <w:noWrap w:val="0"/>
            <w:vAlign w:val="top"/>
          </w:tcPr>
          <w:p w14:paraId="6B553FA6">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960" w:type="dxa"/>
            <w:tcBorders>
              <w:top w:val="single" w:color="auto" w:sz="6" w:space="0"/>
              <w:left w:val="single" w:color="auto" w:sz="6" w:space="0"/>
              <w:bottom w:val="single" w:color="auto" w:sz="6" w:space="0"/>
              <w:right w:val="single" w:color="auto" w:sz="6" w:space="0"/>
            </w:tcBorders>
            <w:noWrap w:val="0"/>
            <w:vAlign w:val="top"/>
          </w:tcPr>
          <w:p w14:paraId="01BBB4BB">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c>
          <w:tcPr>
            <w:tcW w:w="2880" w:type="dxa"/>
            <w:tcBorders>
              <w:top w:val="single" w:color="auto" w:sz="6" w:space="0"/>
              <w:left w:val="nil"/>
              <w:bottom w:val="single" w:color="auto" w:sz="6" w:space="0"/>
              <w:right w:val="single" w:color="auto" w:sz="6" w:space="0"/>
            </w:tcBorders>
            <w:noWrap w:val="0"/>
            <w:vAlign w:val="top"/>
          </w:tcPr>
          <w:p w14:paraId="1C868C9E">
            <w:pPr>
              <w:pStyle w:val="8"/>
              <w:widowControl w:val="0"/>
              <w:spacing w:line="360" w:lineRule="auto"/>
              <w:jc w:val="both"/>
              <w:rPr>
                <w:rStyle w:val="20"/>
                <w:rFonts w:hint="eastAsia" w:ascii="宋体" w:hAnsi="宋体" w:eastAsia="宋体"/>
                <w:color w:val="auto"/>
                <w:kern w:val="2"/>
                <w:sz w:val="21"/>
                <w:szCs w:val="22"/>
                <w:highlight w:val="none"/>
                <w:lang w:val="en-US" w:eastAsia="zh-CN" w:bidi="ar-SA"/>
              </w:rPr>
            </w:pPr>
          </w:p>
        </w:tc>
      </w:tr>
    </w:tbl>
    <w:p w14:paraId="456A68ED">
      <w:pPr>
        <w:pStyle w:val="8"/>
        <w:spacing w:line="360" w:lineRule="auto"/>
        <w:rPr>
          <w:rStyle w:val="20"/>
          <w:rFonts w:hint="eastAsia" w:ascii="宋体" w:hAnsi="宋体"/>
          <w:color w:val="auto"/>
          <w:highlight w:val="none"/>
        </w:rPr>
      </w:pPr>
    </w:p>
    <w:p w14:paraId="673F336D">
      <w:pPr>
        <w:pStyle w:val="8"/>
        <w:spacing w:line="360" w:lineRule="auto"/>
        <w:ind w:firstLine="420"/>
        <w:rPr>
          <w:rStyle w:val="20"/>
          <w:rFonts w:hint="eastAsia" w:ascii="宋体" w:hAnsi="宋体"/>
          <w:color w:val="auto"/>
          <w:highlight w:val="none"/>
        </w:rPr>
      </w:pPr>
    </w:p>
    <w:p w14:paraId="286AEFAC">
      <w:pPr>
        <w:pStyle w:val="8"/>
        <w:widowControl/>
        <w:spacing w:line="360" w:lineRule="auto"/>
        <w:jc w:val="left"/>
        <w:rPr>
          <w:rStyle w:val="20"/>
          <w:rFonts w:ascii="宋体" w:hAnsi="宋体"/>
          <w:color w:val="auto"/>
          <w:highlight w:val="none"/>
        </w:rPr>
        <w:sectPr>
          <w:endnotePr>
            <w:numFmt w:val="decimal"/>
          </w:endnotePr>
          <w:pgSz w:w="11907" w:h="16840"/>
          <w:pgMar w:top="1418" w:right="1531" w:bottom="1418" w:left="1701" w:header="851" w:footer="1021" w:gutter="0"/>
          <w:pgNumType w:fmt="decimal"/>
          <w:cols w:space="720" w:num="1"/>
        </w:sectPr>
      </w:pPr>
    </w:p>
    <w:p w14:paraId="119C0C0E">
      <w:pPr>
        <w:pStyle w:val="38"/>
        <w:keepNext/>
        <w:keepLines/>
        <w:pageBreakBefore w:val="0"/>
        <w:widowControl w:val="0"/>
        <w:kinsoku/>
        <w:wordWrap/>
        <w:overflowPunct/>
        <w:topLinePunct w:val="0"/>
        <w:autoSpaceDE/>
        <w:autoSpaceDN/>
        <w:bidi w:val="0"/>
        <w:adjustRightInd/>
        <w:snapToGrid/>
        <w:spacing w:before="0" w:after="0" w:line="360" w:lineRule="auto"/>
        <w:textAlignment w:val="auto"/>
        <w:rPr>
          <w:rStyle w:val="20"/>
          <w:rFonts w:hint="eastAsia" w:ascii="宋体"/>
          <w:b/>
          <w:bCs/>
          <w:color w:val="auto"/>
          <w:sz w:val="30"/>
          <w:szCs w:val="30"/>
          <w:highlight w:val="none"/>
        </w:rPr>
      </w:pPr>
      <w:bookmarkStart w:id="316" w:name="_Toc26972"/>
      <w:bookmarkStart w:id="317" w:name="_Toc8490"/>
      <w:bookmarkStart w:id="318" w:name="_Toc15465"/>
      <w:bookmarkStart w:id="319" w:name="_Toc27683"/>
      <w:bookmarkStart w:id="320" w:name="_Toc57640869"/>
      <w:bookmarkStart w:id="321" w:name="_Toc80"/>
      <w:bookmarkStart w:id="322" w:name="_Toc11202"/>
      <w:bookmarkStart w:id="323" w:name="_Toc346199012"/>
      <w:r>
        <w:rPr>
          <w:rStyle w:val="20"/>
          <w:rFonts w:hint="eastAsia"/>
          <w:b/>
          <w:bCs/>
          <w:color w:val="auto"/>
          <w:sz w:val="30"/>
          <w:szCs w:val="30"/>
          <w:highlight w:val="none"/>
        </w:rPr>
        <w:t>附件11 附图</w:t>
      </w:r>
      <w:bookmarkEnd w:id="316"/>
      <w:bookmarkEnd w:id="317"/>
      <w:bookmarkEnd w:id="318"/>
      <w:bookmarkEnd w:id="319"/>
      <w:bookmarkEnd w:id="320"/>
      <w:bookmarkEnd w:id="321"/>
      <w:bookmarkEnd w:id="322"/>
    </w:p>
    <w:p w14:paraId="07489C45">
      <w:pPr>
        <w:pStyle w:val="8"/>
        <w:spacing w:line="360" w:lineRule="auto"/>
        <w:rPr>
          <w:rStyle w:val="20"/>
          <w:rFonts w:hint="eastAsia"/>
          <w:color w:val="auto"/>
          <w:sz w:val="24"/>
          <w:szCs w:val="24"/>
          <w:highlight w:val="none"/>
        </w:rPr>
      </w:pPr>
    </w:p>
    <w:p w14:paraId="41A83512">
      <w:pPr>
        <w:pStyle w:val="8"/>
        <w:spacing w:line="360" w:lineRule="auto"/>
        <w:rPr>
          <w:rStyle w:val="20"/>
          <w:color w:val="auto"/>
          <w:highlight w:val="none"/>
        </w:rPr>
      </w:pPr>
    </w:p>
    <w:p w14:paraId="3FD629CD">
      <w:pPr>
        <w:pStyle w:val="8"/>
        <w:spacing w:line="360" w:lineRule="auto"/>
        <w:rPr>
          <w:rStyle w:val="20"/>
          <w:color w:val="auto"/>
          <w:highlight w:val="none"/>
        </w:rPr>
      </w:pPr>
      <w:r>
        <w:rPr>
          <w:rFonts w:ascii="Times New Roman" w:hAnsi="Times New Roman"/>
          <w:color w:val="auto"/>
          <w:sz w:val="24"/>
          <w:szCs w:val="24"/>
          <w:highlight w:val="none"/>
        </w:rPr>
        <w:object>
          <v:shape id="_x0000_i1025" o:spt="75" type="#_x0000_t75" style="height:261pt;width:414.6pt;" o:ole="t" filled="f" o:preferrelative="t" stroked="f" coordsize="21600,21600">
            <v:path/>
            <v:fill on="f" focussize="0,0"/>
            <v:stroke on="f"/>
            <v:imagedata r:id="rId12" o:title=""/>
            <o:lock v:ext="edit" aspectratio="t"/>
            <w10:wrap type="none"/>
            <w10:anchorlock/>
          </v:shape>
          <o:OLEObject Type="Embed" ProgID="Visio.Drawing.15" ShapeID="_x0000_i1025" DrawAspect="Content" ObjectID="_1468075725" r:id="rId11">
            <o:LockedField>false</o:LockedField>
          </o:OLEObject>
        </w:object>
      </w:r>
    </w:p>
    <w:p w14:paraId="72476F76">
      <w:pPr>
        <w:pStyle w:val="8"/>
        <w:spacing w:line="360" w:lineRule="auto"/>
        <w:rPr>
          <w:rStyle w:val="20"/>
          <w:color w:val="auto"/>
          <w:highlight w:val="none"/>
        </w:rPr>
      </w:pPr>
    </w:p>
    <w:p w14:paraId="7E0FC786">
      <w:pPr>
        <w:pStyle w:val="8"/>
        <w:spacing w:line="360" w:lineRule="auto"/>
        <w:rPr>
          <w:rStyle w:val="20"/>
          <w:color w:val="auto"/>
          <w:highlight w:val="none"/>
        </w:rPr>
      </w:pPr>
    </w:p>
    <w:p w14:paraId="7B3C4BFE">
      <w:pPr>
        <w:pStyle w:val="8"/>
        <w:spacing w:line="360" w:lineRule="auto"/>
        <w:rPr>
          <w:rStyle w:val="20"/>
          <w:color w:val="auto"/>
          <w:highlight w:val="none"/>
        </w:rPr>
      </w:pPr>
    </w:p>
    <w:p w14:paraId="6CEA4C74">
      <w:pPr>
        <w:pStyle w:val="8"/>
        <w:spacing w:line="360" w:lineRule="auto"/>
        <w:rPr>
          <w:rStyle w:val="20"/>
          <w:color w:val="auto"/>
          <w:highlight w:val="none"/>
        </w:rPr>
      </w:pPr>
    </w:p>
    <w:p w14:paraId="43133772">
      <w:pPr>
        <w:pStyle w:val="8"/>
        <w:spacing w:line="360" w:lineRule="auto"/>
        <w:rPr>
          <w:rStyle w:val="20"/>
          <w:color w:val="auto"/>
          <w:highlight w:val="none"/>
        </w:rPr>
      </w:pPr>
    </w:p>
    <w:p w14:paraId="1BED03B9">
      <w:pPr>
        <w:pStyle w:val="8"/>
        <w:spacing w:line="360" w:lineRule="auto"/>
        <w:rPr>
          <w:rStyle w:val="20"/>
          <w:color w:val="auto"/>
          <w:highlight w:val="none"/>
        </w:rPr>
      </w:pPr>
    </w:p>
    <w:p w14:paraId="20CE2D30">
      <w:pPr>
        <w:pStyle w:val="8"/>
        <w:spacing w:line="360" w:lineRule="auto"/>
        <w:rPr>
          <w:rStyle w:val="20"/>
          <w:color w:val="auto"/>
          <w:highlight w:val="none"/>
        </w:rPr>
      </w:pPr>
    </w:p>
    <w:p w14:paraId="7CD607CD">
      <w:pPr>
        <w:pStyle w:val="8"/>
        <w:spacing w:line="360" w:lineRule="auto"/>
        <w:rPr>
          <w:rStyle w:val="20"/>
          <w:color w:val="auto"/>
          <w:highlight w:val="none"/>
        </w:rPr>
      </w:pPr>
    </w:p>
    <w:p w14:paraId="0F19A9A7">
      <w:pPr>
        <w:pStyle w:val="8"/>
        <w:spacing w:line="360" w:lineRule="auto"/>
        <w:rPr>
          <w:rStyle w:val="20"/>
          <w:color w:val="auto"/>
          <w:highlight w:val="none"/>
        </w:rPr>
      </w:pPr>
    </w:p>
    <w:p w14:paraId="29321C00">
      <w:pPr>
        <w:pStyle w:val="8"/>
        <w:spacing w:line="360" w:lineRule="auto"/>
        <w:rPr>
          <w:rStyle w:val="20"/>
          <w:color w:val="auto"/>
          <w:highlight w:val="none"/>
        </w:rPr>
      </w:pPr>
    </w:p>
    <w:p w14:paraId="072C86AD">
      <w:pPr>
        <w:pStyle w:val="8"/>
        <w:spacing w:line="360" w:lineRule="auto"/>
        <w:rPr>
          <w:rStyle w:val="20"/>
          <w:color w:val="auto"/>
          <w:highlight w:val="none"/>
        </w:rPr>
      </w:pPr>
    </w:p>
    <w:p w14:paraId="02150DE5">
      <w:pPr>
        <w:pStyle w:val="8"/>
        <w:spacing w:line="360" w:lineRule="auto"/>
        <w:rPr>
          <w:rStyle w:val="20"/>
          <w:color w:val="auto"/>
          <w:highlight w:val="none"/>
        </w:rPr>
      </w:pPr>
    </w:p>
    <w:bookmarkEnd w:id="323"/>
    <w:p w14:paraId="12CFBD3F">
      <w:pPr>
        <w:pStyle w:val="8"/>
        <w:rPr>
          <w:rStyle w:val="20"/>
          <w:color w:val="auto"/>
          <w:sz w:val="30"/>
          <w:szCs w:val="30"/>
          <w:highlight w:val="none"/>
        </w:rPr>
      </w:pPr>
      <w:bookmarkStart w:id="324" w:name="_Toc286159480"/>
      <w:bookmarkStart w:id="325" w:name="_Toc29702"/>
      <w:bookmarkStart w:id="326" w:name="_Toc57640870"/>
      <w:bookmarkStart w:id="327" w:name="_Toc28741"/>
      <w:bookmarkStart w:id="328" w:name="_Toc21371"/>
      <w:bookmarkStart w:id="329" w:name="_Toc19177"/>
      <w:bookmarkStart w:id="330" w:name="_Toc8529"/>
      <w:bookmarkStart w:id="331" w:name="_Toc15753"/>
      <w:bookmarkStart w:id="332" w:name="_Toc346199017"/>
    </w:p>
    <w:p w14:paraId="5990A376">
      <w:pPr>
        <w:pStyle w:val="38"/>
        <w:keepNext/>
        <w:keepLines/>
        <w:pageBreakBefore w:val="0"/>
        <w:widowControl w:val="0"/>
        <w:kinsoku/>
        <w:wordWrap/>
        <w:overflowPunct/>
        <w:topLinePunct w:val="0"/>
        <w:autoSpaceDE/>
        <w:autoSpaceDN/>
        <w:bidi w:val="0"/>
        <w:adjustRightInd/>
        <w:snapToGrid/>
        <w:spacing w:before="0" w:after="0" w:line="360" w:lineRule="auto"/>
        <w:textAlignment w:val="auto"/>
        <w:rPr>
          <w:rStyle w:val="20"/>
          <w:b/>
          <w:bCs/>
          <w:color w:val="auto"/>
          <w:sz w:val="30"/>
          <w:szCs w:val="30"/>
          <w:highlight w:val="none"/>
        </w:rPr>
      </w:pPr>
      <w:r>
        <w:rPr>
          <w:rStyle w:val="20"/>
          <w:rFonts w:hint="eastAsia"/>
          <w:b/>
          <w:bCs/>
          <w:color w:val="auto"/>
          <w:sz w:val="30"/>
          <w:szCs w:val="30"/>
          <w:highlight w:val="none"/>
        </w:rPr>
        <w:t>附件12 性能考核</w:t>
      </w:r>
      <w:bookmarkEnd w:id="324"/>
      <w:r>
        <w:rPr>
          <w:rStyle w:val="20"/>
          <w:rFonts w:hint="eastAsia"/>
          <w:b/>
          <w:bCs/>
          <w:color w:val="auto"/>
          <w:sz w:val="30"/>
          <w:szCs w:val="30"/>
          <w:highlight w:val="none"/>
        </w:rPr>
        <w:t>条款</w:t>
      </w:r>
      <w:bookmarkEnd w:id="325"/>
      <w:bookmarkEnd w:id="326"/>
      <w:bookmarkEnd w:id="327"/>
      <w:bookmarkEnd w:id="328"/>
      <w:bookmarkEnd w:id="329"/>
      <w:bookmarkEnd w:id="330"/>
      <w:bookmarkEnd w:id="331"/>
      <w:bookmarkEnd w:id="332"/>
    </w:p>
    <w:p w14:paraId="5A8DC8F9">
      <w:pPr>
        <w:pStyle w:val="8"/>
        <w:adjustRightInd w:val="0"/>
        <w:spacing w:line="360" w:lineRule="auto"/>
        <w:textAlignment w:val="baseline"/>
        <w:rPr>
          <w:rStyle w:val="20"/>
          <w:rFonts w:hint="eastAsia" w:ascii="宋体" w:hAnsi="宋体"/>
          <w:color w:val="auto"/>
          <w:sz w:val="24"/>
          <w:szCs w:val="24"/>
          <w:highlight w:val="none"/>
        </w:rPr>
      </w:pPr>
      <w:bookmarkStart w:id="333" w:name="_Toc346199018"/>
      <w:r>
        <w:rPr>
          <w:rStyle w:val="20"/>
          <w:rFonts w:hint="eastAsia" w:ascii="宋体" w:hAnsi="宋体"/>
          <w:color w:val="auto"/>
          <w:sz w:val="24"/>
          <w:szCs w:val="24"/>
          <w:highlight w:val="none"/>
        </w:rPr>
        <w:t>1、主机（采集装置、工作站、交换机）稳定性：发生死机，投标人免费整改至技术规范书的要求，并支付0.5万元/台次的违约金。</w:t>
      </w:r>
    </w:p>
    <w:p w14:paraId="1E1F0A69">
      <w:pPr>
        <w:pStyle w:val="8"/>
        <w:adjustRightInd w:val="0"/>
        <w:spacing w:line="360" w:lineRule="auto"/>
        <w:textAlignment w:val="baseline"/>
        <w:rPr>
          <w:rStyle w:val="20"/>
          <w:rFonts w:hint="eastAsia" w:ascii="宋体" w:hAnsi="宋体"/>
          <w:color w:val="auto"/>
          <w:sz w:val="24"/>
          <w:szCs w:val="24"/>
          <w:highlight w:val="none"/>
        </w:rPr>
      </w:pPr>
      <w:r>
        <w:rPr>
          <w:rStyle w:val="20"/>
          <w:rFonts w:hint="eastAsia" w:ascii="宋体" w:hAnsi="宋体"/>
          <w:color w:val="auto"/>
          <w:sz w:val="24"/>
          <w:szCs w:val="24"/>
          <w:highlight w:val="none"/>
        </w:rPr>
        <w:t>2、网络/总线中断：发生全中断，投标人免费整改至技术规范书的要求，并支付0.5万元/次的违约金。</w:t>
      </w:r>
    </w:p>
    <w:p w14:paraId="42700CEE">
      <w:pPr>
        <w:pStyle w:val="8"/>
        <w:adjustRightInd w:val="0"/>
        <w:spacing w:line="360" w:lineRule="auto"/>
        <w:textAlignment w:val="baseline"/>
        <w:rPr>
          <w:rStyle w:val="20"/>
          <w:rFonts w:hint="eastAsia" w:ascii="宋体" w:hAnsi="宋体"/>
          <w:color w:val="auto"/>
          <w:sz w:val="24"/>
          <w:szCs w:val="24"/>
          <w:highlight w:val="none"/>
        </w:rPr>
      </w:pPr>
      <w:r>
        <w:rPr>
          <w:rStyle w:val="20"/>
          <w:rFonts w:hint="eastAsia" w:ascii="宋体" w:hAnsi="宋体"/>
          <w:color w:val="auto"/>
          <w:sz w:val="24"/>
          <w:szCs w:val="24"/>
          <w:highlight w:val="none"/>
        </w:rPr>
        <w:t>3、测量精度与响应时间：测量精度与响应时间不符合要求，投标人免费整改至技术规范书的要求，并支付0.05万元/测点的违约金。</w:t>
      </w:r>
    </w:p>
    <w:p w14:paraId="1ABAF357">
      <w:pPr>
        <w:pStyle w:val="8"/>
        <w:adjustRightInd w:val="0"/>
        <w:spacing w:line="360" w:lineRule="auto"/>
        <w:textAlignment w:val="baseline"/>
        <w:rPr>
          <w:rStyle w:val="20"/>
          <w:rFonts w:hint="eastAsia" w:ascii="宋体" w:hAnsi="宋体"/>
          <w:color w:val="auto"/>
          <w:sz w:val="24"/>
          <w:szCs w:val="24"/>
          <w:highlight w:val="none"/>
        </w:rPr>
      </w:pPr>
      <w:r>
        <w:rPr>
          <w:rStyle w:val="20"/>
          <w:rFonts w:hint="eastAsia" w:ascii="宋体" w:hAnsi="宋体"/>
          <w:color w:val="auto"/>
          <w:sz w:val="24"/>
          <w:szCs w:val="24"/>
          <w:highlight w:val="none"/>
        </w:rPr>
        <w:t>4、实施过程中如因投标人设备、调试不当等原因导致被调度通报考核的，投标人免费整改至技术规范书的要求，并支付1万元/次的违约金。</w:t>
      </w:r>
    </w:p>
    <w:p w14:paraId="6AEF246B">
      <w:pPr>
        <w:pStyle w:val="8"/>
        <w:adjustRightInd w:val="0"/>
        <w:spacing w:line="360" w:lineRule="auto"/>
        <w:textAlignment w:val="baseline"/>
        <w:rPr>
          <w:rStyle w:val="20"/>
          <w:rFonts w:hint="eastAsia" w:ascii="宋体" w:hAnsi="宋体"/>
          <w:color w:val="auto"/>
          <w:sz w:val="24"/>
          <w:szCs w:val="24"/>
          <w:highlight w:val="none"/>
        </w:rPr>
      </w:pPr>
      <w:r>
        <w:rPr>
          <w:rStyle w:val="20"/>
          <w:rFonts w:hint="eastAsia" w:ascii="宋体" w:hAnsi="宋体"/>
          <w:color w:val="auto"/>
          <w:sz w:val="24"/>
          <w:szCs w:val="24"/>
          <w:highlight w:val="none"/>
        </w:rPr>
        <w:t>5、投标人安装调试过程中要求派人到现场进行调试，如无法满足，考核投标人1万元/次。</w:t>
      </w:r>
    </w:p>
    <w:p w14:paraId="3AB0CCC1">
      <w:pPr>
        <w:pStyle w:val="8"/>
        <w:keepNext w:val="0"/>
        <w:keepLines w:val="0"/>
        <w:pageBreakBefore w:val="0"/>
        <w:widowControl w:val="0"/>
        <w:kinsoku/>
        <w:wordWrap/>
        <w:overflowPunct/>
        <w:topLinePunct w:val="0"/>
        <w:autoSpaceDE/>
        <w:autoSpaceDN/>
        <w:bidi w:val="0"/>
        <w:adjustRightInd/>
        <w:snapToGrid/>
        <w:spacing w:line="360" w:lineRule="auto"/>
        <w:textAlignment w:val="auto"/>
        <w:outlineLvl w:val="0"/>
        <w:rPr>
          <w:rStyle w:val="20"/>
          <w:rFonts w:hint="eastAsia" w:ascii="Times New Roman" w:hAnsi="Times New Roman"/>
          <w:color w:val="auto"/>
          <w:sz w:val="30"/>
          <w:szCs w:val="30"/>
          <w:highlight w:val="none"/>
        </w:rPr>
      </w:pPr>
      <w:r>
        <w:rPr>
          <w:rStyle w:val="20"/>
          <w:color w:val="auto"/>
          <w:sz w:val="24"/>
          <w:szCs w:val="24"/>
          <w:highlight w:val="none"/>
        </w:rPr>
        <w:br w:type="page"/>
      </w:r>
      <w:bookmarkStart w:id="334" w:name="_Toc57640871"/>
      <w:bookmarkStart w:id="335" w:name="_Toc22370"/>
      <w:bookmarkStart w:id="336" w:name="_Toc27729"/>
      <w:bookmarkStart w:id="337" w:name="_Toc3935"/>
      <w:bookmarkStart w:id="338" w:name="_Toc870"/>
      <w:bookmarkStart w:id="339" w:name="_Toc3153"/>
      <w:bookmarkStart w:id="340" w:name="_Toc1639"/>
      <w:r>
        <w:rPr>
          <w:rStyle w:val="20"/>
          <w:rFonts w:hint="eastAsia" w:ascii="宋体"/>
          <w:b/>
          <w:color w:val="auto"/>
          <w:kern w:val="44"/>
          <w:sz w:val="30"/>
          <w:szCs w:val="30"/>
          <w:highlight w:val="none"/>
        </w:rPr>
        <w:t>附件13投标人需要说明的其他问题（技术特点、质保体系及售后服务承诺等）</w:t>
      </w:r>
      <w:bookmarkEnd w:id="334"/>
      <w:bookmarkEnd w:id="335"/>
      <w:bookmarkEnd w:id="336"/>
      <w:bookmarkEnd w:id="337"/>
      <w:bookmarkEnd w:id="338"/>
      <w:bookmarkEnd w:id="339"/>
      <w:bookmarkEnd w:id="340"/>
    </w:p>
    <w:p w14:paraId="275A17F5">
      <w:pPr>
        <w:pStyle w:val="13"/>
        <w:ind w:firstLine="422"/>
        <w:rPr>
          <w:rStyle w:val="20"/>
          <w:b w:val="0"/>
          <w:bCs w:val="0"/>
          <w:color w:val="auto"/>
          <w:highlight w:val="none"/>
        </w:rPr>
      </w:pPr>
      <w:r>
        <w:rPr>
          <w:rStyle w:val="20"/>
          <w:rFonts w:hint="eastAsia"/>
          <w:b w:val="0"/>
          <w:bCs w:val="0"/>
          <w:color w:val="auto"/>
          <w:highlight w:val="none"/>
        </w:rPr>
        <w:t>投标人提供在专业技术、设备设施、人员组织、业绩经验等方面具有设计、制造、质量控制、经营管理的相应的资格和能力的资料</w:t>
      </w:r>
      <w:bookmarkEnd w:id="333"/>
    </w:p>
    <w:p w14:paraId="22603370">
      <w:pPr>
        <w:rPr>
          <w:color w:val="auto"/>
          <w:highlight w:val="none"/>
        </w:rPr>
      </w:pPr>
    </w:p>
    <w:bookmarkEnd w:id="341"/>
    <w:sectPr>
      <w:headerReference r:id="rId8" w:type="default"/>
      <w:footerReference r:id="rId9"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EU-F1">
    <w:altName w:val="宋体"/>
    <w:panose1 w:val="00000000000000000000"/>
    <w:charset w:val="86"/>
    <w:family w:val="auto"/>
    <w:pitch w:val="default"/>
    <w:sig w:usb0="00000000" w:usb1="00000000" w:usb2="00000010" w:usb3="00000000" w:csb0="00040000"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Arial Rounded MT Bold">
    <w:panose1 w:val="020F07040305040302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B71A2">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E9034">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5EA8B">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3F2780">
                          <w:pPr>
                            <w:pStyle w:val="1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A3F2780">
                    <w:pPr>
                      <w:pStyle w:val="1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11D87">
    <w:pPr>
      <w:pStyle w:val="102"/>
      <w:ind w:firstLine="360"/>
      <w:jc w:val="center"/>
      <w:rPr>
        <w:rStyle w:val="20"/>
        <w:rFonts w:ascii="等线" w:hAnsi="等线" w:eastAsia="等线"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894216">
                          <w:pPr>
                            <w:pStyle w:val="102"/>
                            <w:ind w:firstLine="360"/>
                            <w:jc w:val="center"/>
                          </w:pPr>
                          <w:r>
                            <w:rPr>
                              <w:rStyle w:val="20"/>
                              <w:rFonts w:ascii="等线" w:hAnsi="等线" w:eastAsia="等线" w:cs="Times New Roman"/>
                            </w:rPr>
                            <w:fldChar w:fldCharType="begin"/>
                          </w:r>
                          <w:r>
                            <w:rPr>
                              <w:rStyle w:val="20"/>
                              <w:rFonts w:ascii="等线" w:hAnsi="等线" w:eastAsia="等线" w:cs="Times New Roman"/>
                            </w:rPr>
                            <w:instrText xml:space="preserve">PAGE   \* MERGEFORMAT</w:instrText>
                          </w:r>
                          <w:r>
                            <w:rPr>
                              <w:rStyle w:val="20"/>
                              <w:rFonts w:ascii="等线" w:hAnsi="等线" w:eastAsia="等线" w:cs="Times New Roman"/>
                            </w:rPr>
                            <w:fldChar w:fldCharType="separate"/>
                          </w:r>
                          <w:r>
                            <w:rPr>
                              <w:rStyle w:val="20"/>
                              <w:rFonts w:ascii="等线" w:hAnsi="等线" w:eastAsia="等线" w:cs="Times New Roman"/>
                              <w:lang w:val="zh-CN" w:eastAsia="zh-CN"/>
                            </w:rPr>
                            <w:t>2</w:t>
                          </w:r>
                          <w:r>
                            <w:rPr>
                              <w:rStyle w:val="20"/>
                              <w:rFonts w:ascii="等线" w:hAnsi="等线" w:eastAsia="等线"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2894216">
                    <w:pPr>
                      <w:pStyle w:val="102"/>
                      <w:ind w:firstLine="360"/>
                      <w:jc w:val="center"/>
                    </w:pPr>
                    <w:r>
                      <w:rPr>
                        <w:rStyle w:val="20"/>
                        <w:rFonts w:ascii="等线" w:hAnsi="等线" w:eastAsia="等线" w:cs="Times New Roman"/>
                      </w:rPr>
                      <w:fldChar w:fldCharType="begin"/>
                    </w:r>
                    <w:r>
                      <w:rPr>
                        <w:rStyle w:val="20"/>
                        <w:rFonts w:ascii="等线" w:hAnsi="等线" w:eastAsia="等线" w:cs="Times New Roman"/>
                      </w:rPr>
                      <w:instrText xml:space="preserve">PAGE   \* MERGEFORMAT</w:instrText>
                    </w:r>
                    <w:r>
                      <w:rPr>
                        <w:rStyle w:val="20"/>
                        <w:rFonts w:ascii="等线" w:hAnsi="等线" w:eastAsia="等线" w:cs="Times New Roman"/>
                      </w:rPr>
                      <w:fldChar w:fldCharType="separate"/>
                    </w:r>
                    <w:r>
                      <w:rPr>
                        <w:rStyle w:val="20"/>
                        <w:rFonts w:ascii="等线" w:hAnsi="等线" w:eastAsia="等线" w:cs="Times New Roman"/>
                        <w:lang w:val="zh-CN" w:eastAsia="zh-CN"/>
                      </w:rPr>
                      <w:t>2</w:t>
                    </w:r>
                    <w:r>
                      <w:rPr>
                        <w:rStyle w:val="20"/>
                        <w:rFonts w:ascii="等线" w:hAnsi="等线" w:eastAsia="等线" w:cs="Times New Roman"/>
                      </w:rPr>
                      <w:fldChar w:fldCharType="end"/>
                    </w:r>
                  </w:p>
                </w:txbxContent>
              </v:textbox>
            </v:shape>
          </w:pict>
        </mc:Fallback>
      </mc:AlternateContent>
    </w:r>
  </w:p>
  <w:p w14:paraId="136502A9">
    <w:pPr>
      <w:pStyle w:val="102"/>
      <w:ind w:firstLine="360"/>
      <w:rPr>
        <w:rStyle w:val="20"/>
        <w:rFonts w:ascii="等线" w:hAnsi="等线" w:eastAsia="等线"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2BDA5">
    <w:pPr>
      <w:pStyle w:val="16"/>
      <w:rPr>
        <w:rFonts w:hint="eastAsia"/>
      </w:rPr>
    </w:pPr>
    <w:r>
      <w:rPr>
        <w:rFonts w:hint="eastAsia"/>
      </w:rPr>
      <w:t>浙能武威 2×1000 MW调峰火电机组工程</w:t>
    </w:r>
    <w:r>
      <w:rPr>
        <w:rFonts w:hint="eastAsia"/>
        <w:lang w:val="en-US" w:eastAsia="zh-CN"/>
      </w:rPr>
      <w:t xml:space="preserve">               </w:t>
    </w:r>
    <w:r>
      <w:rPr>
        <w:rFonts w:hint="eastAsia" w:cs="Times New Roman"/>
        <w:lang w:val="en-US" w:eastAsia="zh-CN"/>
      </w:rPr>
      <w:t xml:space="preserve">   </w:t>
    </w:r>
    <w:r>
      <w:rPr>
        <w:rFonts w:hint="eastAsia"/>
        <w:lang w:val="en-US" w:eastAsia="zh-CN"/>
      </w:rPr>
      <w:t xml:space="preserve">  </w:t>
    </w:r>
    <w:r>
      <w:rPr>
        <w:rFonts w:hint="eastAsia" w:ascii="等线" w:hAnsi="等线" w:eastAsia="等线" w:cs="Times New Roman"/>
        <w:b w:val="0"/>
        <w:sz w:val="18"/>
        <w:szCs w:val="18"/>
      </w:rPr>
      <w:t>电能量采集终端</w:t>
    </w:r>
    <w:r>
      <w:rPr>
        <w:rFonts w:hint="eastAsia"/>
      </w:rPr>
      <w:t>设备招标文件技术规范书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7DEA8">
    <w:pPr>
      <w:pStyle w:val="16"/>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E4ED9">
    <w:pPr>
      <w:pStyle w:val="22"/>
      <w:ind w:firstLine="420"/>
      <w:rPr>
        <w:rStyle w:val="20"/>
        <w:rFonts w:ascii="等线" w:hAnsi="等线" w:eastAsia="等线"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4129BE"/>
    <w:multiLevelType w:val="multilevel"/>
    <w:tmpl w:val="E04129BE"/>
    <w:lvl w:ilvl="0" w:tentative="0">
      <w:start w:val="4"/>
      <w:numFmt w:val="decimal"/>
      <w:lvlText w:val="%1"/>
      <w:lvlJc w:val="left"/>
      <w:pPr>
        <w:ind w:left="425" w:hanging="425"/>
      </w:pPr>
    </w:lvl>
    <w:lvl w:ilvl="1" w:tentative="0">
      <w:start w:val="1"/>
      <w:numFmt w:val="decimal"/>
      <w:lvlText w:val="4.%2"/>
      <w:lvlJc w:val="left"/>
      <w:pPr>
        <w:ind w:left="992" w:hanging="567"/>
      </w:pPr>
    </w:lvl>
    <w:lvl w:ilvl="2" w:tentative="0">
      <w:start w:val="1"/>
      <w:numFmt w:val="decimal"/>
      <w:lvlText w:val="%1.%2.%3"/>
      <w:lvlJc w:val="left"/>
      <w:pPr>
        <w:ind w:left="1418" w:hanging="567"/>
      </w:pPr>
    </w:lvl>
    <w:lvl w:ilvl="3" w:tentative="0">
      <w:start w:val="1"/>
      <w:numFmt w:val="decimal"/>
      <w:suff w:val="space"/>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0D593C84"/>
    <w:multiLevelType w:val="multilevel"/>
    <w:tmpl w:val="0D593C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2A79282A"/>
    <w:multiLevelType w:val="multilevel"/>
    <w:tmpl w:val="2A79282A"/>
    <w:lvl w:ilvl="0" w:tentative="0">
      <w:start w:val="4"/>
      <w:numFmt w:val="decimal"/>
      <w:lvlText w:val="%1"/>
      <w:lvlJc w:val="left"/>
      <w:pPr>
        <w:ind w:left="425" w:hanging="425"/>
      </w:pPr>
    </w:lvl>
    <w:lvl w:ilvl="1" w:tentative="0">
      <w:start w:val="1"/>
      <w:numFmt w:val="decimal"/>
      <w:lvlText w:val="5.%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
    <w:nsid w:val="337007C6"/>
    <w:multiLevelType w:val="multilevel"/>
    <w:tmpl w:val="337007C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E0549E9"/>
    <w:multiLevelType w:val="multilevel"/>
    <w:tmpl w:val="4E0549E9"/>
    <w:lvl w:ilvl="0" w:tentative="0">
      <w:start w:val="4"/>
      <w:numFmt w:val="decimal"/>
      <w:lvlText w:val="%1"/>
      <w:lvlJc w:val="left"/>
      <w:pPr>
        <w:ind w:left="425" w:hanging="425"/>
      </w:pPr>
    </w:lvl>
    <w:lvl w:ilvl="1" w:tentative="0">
      <w:start w:val="1"/>
      <w:numFmt w:val="decimal"/>
      <w:lvlText w:val="4.%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
    <w:nsid w:val="587F37FA"/>
    <w:multiLevelType w:val="multilevel"/>
    <w:tmpl w:val="587F37FA"/>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DCE787D"/>
    <w:multiLevelType w:val="multilevel"/>
    <w:tmpl w:val="5DCE787D"/>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737928B5"/>
    <w:multiLevelType w:val="multilevel"/>
    <w:tmpl w:val="737928B5"/>
    <w:lvl w:ilvl="0" w:tentative="0">
      <w:start w:val="1"/>
      <w:numFmt w:val="decimal"/>
      <w:lvlText w:val="%1)"/>
      <w:lvlJc w:val="left"/>
      <w:pPr>
        <w:ind w:left="425" w:hanging="425"/>
      </w:pPr>
    </w:lvl>
    <w:lvl w:ilvl="1" w:tentative="0">
      <w:start w:val="1"/>
      <w:numFmt w:val="decimal"/>
      <w:lvlText w:val="4.%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 w:numId="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 w:ilvl="0" w:tentative="1">
        <w:start w:val="4"/>
        <w:numFmt w:val="decimal"/>
        <w:lvlText w:val="%1"/>
        <w:lvlJc w:val="left"/>
        <w:pPr>
          <w:ind w:left="425" w:hanging="425"/>
        </w:pPr>
      </w:lvl>
    </w:lvlOverride>
    <w:lvlOverride w:ilvl="1">
      <w:lvl w:ilvl="1" w:tentative="1">
        <w:start w:val="1"/>
        <w:numFmt w:val="decimal"/>
        <w:lvlText w:val="5.%2"/>
        <w:lvlJc w:val="left"/>
        <w:pPr>
          <w:ind w:left="992" w:hanging="567"/>
        </w:pPr>
      </w:lvl>
    </w:lvlOverride>
    <w:lvlOverride w:ilvl="2">
      <w:lvl w:ilvl="2" w:tentative="1">
        <w:start w:val="1"/>
        <w:numFmt w:val="decimal"/>
        <w:lvlText w:val="5.%2.%3"/>
        <w:lvlJc w:val="left"/>
        <w:pPr>
          <w:ind w:left="1418" w:hanging="567"/>
        </w:pPr>
      </w:lvl>
    </w:lvlOverride>
    <w:lvlOverride w:ilvl="3">
      <w:lvl w:ilvl="3" w:tentative="1">
        <w:start w:val="1"/>
        <w:numFmt w:val="decimal"/>
        <w:lvlText w:val="%1.%2.%3.%4"/>
        <w:lvlJc w:val="left"/>
        <w:pPr>
          <w:ind w:left="1984" w:hanging="708"/>
        </w:pPr>
      </w:lvl>
    </w:lvlOverride>
    <w:lvlOverride w:ilvl="4">
      <w:lvl w:ilvl="4" w:tentative="1">
        <w:start w:val="1"/>
        <w:numFmt w:val="decimal"/>
        <w:lvlText w:val="%1.%2.%3.%4.%5"/>
        <w:lvlJc w:val="left"/>
        <w:pPr>
          <w:ind w:left="2551" w:hanging="850"/>
        </w:pPr>
      </w:lvl>
    </w:lvlOverride>
    <w:lvlOverride w:ilvl="5">
      <w:lvl w:ilvl="5" w:tentative="1">
        <w:start w:val="1"/>
        <w:numFmt w:val="decimal"/>
        <w:lvlText w:val="%1.%2.%3.%4.%5.%6"/>
        <w:lvlJc w:val="left"/>
        <w:pPr>
          <w:ind w:left="3260" w:hanging="1134"/>
        </w:pPr>
      </w:lvl>
    </w:lvlOverride>
    <w:lvlOverride w:ilvl="6">
      <w:lvl w:ilvl="6" w:tentative="1">
        <w:start w:val="1"/>
        <w:numFmt w:val="decimal"/>
        <w:lvlText w:val="%1.%2.%3.%4.%5.%6.%7"/>
        <w:lvlJc w:val="left"/>
        <w:pPr>
          <w:ind w:left="3827" w:hanging="1276"/>
        </w:pPr>
      </w:lvl>
    </w:lvlOverride>
    <w:lvlOverride w:ilvl="7">
      <w:lvl w:ilvl="7" w:tentative="1">
        <w:start w:val="1"/>
        <w:numFmt w:val="decimal"/>
        <w:lvlText w:val="%1.%2.%3.%4.%5.%6.%7.%8"/>
        <w:lvlJc w:val="left"/>
        <w:pPr>
          <w:ind w:left="4394" w:hanging="1418"/>
        </w:pPr>
      </w:lvl>
    </w:lvlOverride>
    <w:lvlOverride w:ilvl="8">
      <w:lvl w:ilvl="8" w:tentative="1">
        <w:start w:val="1"/>
        <w:numFmt w:val="decimal"/>
        <w:lvlText w:val="%1.%2.%3.%4.%5.%6.%7.%8.%9"/>
        <w:lvlJc w:val="left"/>
        <w:pPr>
          <w:ind w:left="5102" w:hanging="1700"/>
        </w:pPr>
      </w:lvl>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1A169B"/>
    <w:rsid w:val="00041082"/>
    <w:rsid w:val="012A7AF5"/>
    <w:rsid w:val="014A5E2B"/>
    <w:rsid w:val="06B7649E"/>
    <w:rsid w:val="0AB07391"/>
    <w:rsid w:val="0B633415"/>
    <w:rsid w:val="0BC321D1"/>
    <w:rsid w:val="0CB76DA0"/>
    <w:rsid w:val="0F6D7DFB"/>
    <w:rsid w:val="0FA05007"/>
    <w:rsid w:val="1203367C"/>
    <w:rsid w:val="120B0362"/>
    <w:rsid w:val="137A57A0"/>
    <w:rsid w:val="14C82D05"/>
    <w:rsid w:val="14D65AC7"/>
    <w:rsid w:val="15075114"/>
    <w:rsid w:val="15D253D0"/>
    <w:rsid w:val="16BE4786"/>
    <w:rsid w:val="16D64DCE"/>
    <w:rsid w:val="17283764"/>
    <w:rsid w:val="17936E30"/>
    <w:rsid w:val="17CA5183"/>
    <w:rsid w:val="18EB4064"/>
    <w:rsid w:val="1A0F6516"/>
    <w:rsid w:val="1A9B5DB5"/>
    <w:rsid w:val="1AA17AB6"/>
    <w:rsid w:val="1B5D5183"/>
    <w:rsid w:val="1BCC0868"/>
    <w:rsid w:val="1E300AD5"/>
    <w:rsid w:val="1E746BA9"/>
    <w:rsid w:val="1F053CF4"/>
    <w:rsid w:val="235210F1"/>
    <w:rsid w:val="250F67FC"/>
    <w:rsid w:val="25B763DF"/>
    <w:rsid w:val="262952A7"/>
    <w:rsid w:val="26FB647A"/>
    <w:rsid w:val="27216367"/>
    <w:rsid w:val="2996177C"/>
    <w:rsid w:val="29B831B4"/>
    <w:rsid w:val="2A697EC4"/>
    <w:rsid w:val="2C752B50"/>
    <w:rsid w:val="2F1172B3"/>
    <w:rsid w:val="3131797B"/>
    <w:rsid w:val="31C96B31"/>
    <w:rsid w:val="344971BD"/>
    <w:rsid w:val="344E19FD"/>
    <w:rsid w:val="35541D57"/>
    <w:rsid w:val="370D6FB9"/>
    <w:rsid w:val="380A6843"/>
    <w:rsid w:val="396C1553"/>
    <w:rsid w:val="3A0B24F5"/>
    <w:rsid w:val="3A5210FB"/>
    <w:rsid w:val="3A680A95"/>
    <w:rsid w:val="3AA82460"/>
    <w:rsid w:val="3CDD3421"/>
    <w:rsid w:val="3FDC5FE6"/>
    <w:rsid w:val="40AA0BC3"/>
    <w:rsid w:val="4191768D"/>
    <w:rsid w:val="41AC096A"/>
    <w:rsid w:val="46F56910"/>
    <w:rsid w:val="471A169B"/>
    <w:rsid w:val="4820282E"/>
    <w:rsid w:val="48410CBF"/>
    <w:rsid w:val="49447335"/>
    <w:rsid w:val="49573996"/>
    <w:rsid w:val="4A2F038B"/>
    <w:rsid w:val="4AD56736"/>
    <w:rsid w:val="4B3D3292"/>
    <w:rsid w:val="4C9646F1"/>
    <w:rsid w:val="4CF86DF6"/>
    <w:rsid w:val="4EA46B72"/>
    <w:rsid w:val="4F530D85"/>
    <w:rsid w:val="54B01834"/>
    <w:rsid w:val="558A2919"/>
    <w:rsid w:val="58607A15"/>
    <w:rsid w:val="59F64A21"/>
    <w:rsid w:val="5B0867BA"/>
    <w:rsid w:val="5BED7D7A"/>
    <w:rsid w:val="5D5E4DB7"/>
    <w:rsid w:val="5DE03A1E"/>
    <w:rsid w:val="5EE65064"/>
    <w:rsid w:val="5F1C3AEB"/>
    <w:rsid w:val="5F6E5059"/>
    <w:rsid w:val="600F3F28"/>
    <w:rsid w:val="60F03D36"/>
    <w:rsid w:val="61ED38EE"/>
    <w:rsid w:val="64462051"/>
    <w:rsid w:val="64865018"/>
    <w:rsid w:val="651346D9"/>
    <w:rsid w:val="6B6A0DCB"/>
    <w:rsid w:val="6C8D3D09"/>
    <w:rsid w:val="6D523509"/>
    <w:rsid w:val="6D83593A"/>
    <w:rsid w:val="6EF07839"/>
    <w:rsid w:val="70333E81"/>
    <w:rsid w:val="704B0043"/>
    <w:rsid w:val="740501BA"/>
    <w:rsid w:val="753949C3"/>
    <w:rsid w:val="75521010"/>
    <w:rsid w:val="76165DD7"/>
    <w:rsid w:val="766A7664"/>
    <w:rsid w:val="76844195"/>
    <w:rsid w:val="78D7364D"/>
    <w:rsid w:val="7D0F17D2"/>
    <w:rsid w:val="7E706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4"/>
    <w:next w:val="4"/>
    <w:qFormat/>
    <w:uiPriority w:val="0"/>
    <w:pPr>
      <w:keepNext/>
      <w:keepLines/>
      <w:spacing w:before="340" w:after="330" w:line="576" w:lineRule="auto"/>
      <w:outlineLvl w:val="0"/>
    </w:pPr>
    <w:rPr>
      <w:rFonts w:ascii="Times New Roman" w:hAnsi="Times New Roman"/>
      <w:kern w:val="44"/>
      <w:sz w:val="44"/>
      <w:szCs w:val="44"/>
    </w:rPr>
  </w:style>
  <w:style w:type="paragraph" w:styleId="5">
    <w:name w:val="heading 2"/>
    <w:basedOn w:val="6"/>
    <w:next w:val="1"/>
    <w:qFormat/>
    <w:uiPriority w:val="0"/>
    <w:pPr>
      <w:ind w:left="100" w:right="102"/>
      <w:jc w:val="left"/>
      <w:outlineLvl w:val="1"/>
    </w:pPr>
    <w:rPr>
      <w:rFonts w:ascii="Microsoft JhengHei" w:hAnsi="Microsoft JhengHei" w:eastAsia="Microsoft JhengHei" w:cs="Microsoft JhengHei"/>
      <w:kern w:val="0"/>
      <w:sz w:val="32"/>
      <w:szCs w:val="32"/>
      <w:lang w:eastAsia="en-US"/>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1"/>
    <w:pPr>
      <w:jc w:val="left"/>
    </w:pPr>
    <w:rPr>
      <w:rFonts w:ascii="宋体" w:hAnsi="宋体" w:cs="宋体"/>
      <w:kern w:val="0"/>
      <w:szCs w:val="21"/>
      <w:lang w:eastAsia="en-US"/>
    </w:rPr>
  </w:style>
  <w:style w:type="paragraph" w:customStyle="1" w:styleId="4">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正文_1"/>
    <w:qFormat/>
    <w:uiPriority w:val="0"/>
    <w:pPr>
      <w:widowControl w:val="0"/>
      <w:jc w:val="both"/>
    </w:pPr>
    <w:rPr>
      <w:rFonts w:ascii="等线" w:hAnsi="等线" w:eastAsia="等线" w:cs="Times New Roman"/>
      <w:kern w:val="2"/>
      <w:sz w:val="21"/>
      <w:szCs w:val="22"/>
      <w:lang w:val="en-US" w:eastAsia="zh-CN" w:bidi="ar-SA"/>
    </w:rPr>
  </w:style>
  <w:style w:type="paragraph" w:styleId="7">
    <w:name w:val="Normal Indent"/>
    <w:basedOn w:val="8"/>
    <w:unhideWhenUsed/>
    <w:qFormat/>
    <w:uiPriority w:val="0"/>
    <w:pPr>
      <w:ind w:firstLine="420"/>
    </w:pPr>
    <w:rPr>
      <w:kern w:val="0"/>
      <w:sz w:val="20"/>
      <w:szCs w:val="20"/>
    </w:rPr>
  </w:style>
  <w:style w:type="paragraph" w:customStyle="1" w:styleId="8">
    <w:name w:val="正文_8"/>
    <w:qFormat/>
    <w:uiPriority w:val="0"/>
    <w:pPr>
      <w:widowControl w:val="0"/>
      <w:jc w:val="both"/>
    </w:pPr>
    <w:rPr>
      <w:rFonts w:ascii="Calibri" w:hAnsi="Calibri" w:eastAsia="宋体" w:cs="Times New Roman"/>
      <w:kern w:val="2"/>
      <w:sz w:val="21"/>
      <w:szCs w:val="22"/>
      <w:lang w:val="en-US" w:eastAsia="zh-CN" w:bidi="ar-SA"/>
    </w:rPr>
  </w:style>
  <w:style w:type="paragraph" w:styleId="9">
    <w:name w:val="annotation text"/>
    <w:basedOn w:val="1"/>
    <w:qFormat/>
    <w:uiPriority w:val="0"/>
    <w:pPr>
      <w:jc w:val="left"/>
    </w:pPr>
  </w:style>
  <w:style w:type="paragraph" w:styleId="10">
    <w:name w:val="toc 3"/>
    <w:basedOn w:val="11"/>
    <w:next w:val="11"/>
    <w:unhideWhenUsed/>
    <w:qFormat/>
    <w:uiPriority w:val="39"/>
    <w:pPr>
      <w:spacing w:line="272" w:lineRule="exact"/>
      <w:ind w:left="940"/>
      <w:jc w:val="left"/>
    </w:pPr>
    <w:rPr>
      <w:rFonts w:ascii="宋体" w:hAnsi="宋体" w:cs="宋体"/>
      <w:kern w:val="0"/>
      <w:szCs w:val="21"/>
      <w:lang w:eastAsia="en-US"/>
    </w:rPr>
  </w:style>
  <w:style w:type="paragraph" w:customStyle="1" w:styleId="11">
    <w:name w:val="正文_5"/>
    <w:qFormat/>
    <w:uiPriority w:val="0"/>
    <w:pPr>
      <w:widowControl w:val="0"/>
      <w:jc w:val="both"/>
    </w:pPr>
    <w:rPr>
      <w:rFonts w:ascii="Calibri" w:hAnsi="Calibri" w:eastAsia="宋体" w:cs="Times New Roman"/>
      <w:kern w:val="2"/>
      <w:sz w:val="21"/>
      <w:szCs w:val="22"/>
      <w:lang w:val="en-US" w:eastAsia="zh-CN" w:bidi="ar-SA"/>
    </w:rPr>
  </w:style>
  <w:style w:type="paragraph" w:styleId="12">
    <w:name w:val="Date"/>
    <w:basedOn w:val="8"/>
    <w:next w:val="8"/>
    <w:unhideWhenUsed/>
    <w:qFormat/>
    <w:uiPriority w:val="0"/>
    <w:rPr>
      <w:rFonts w:ascii="Times New Roman" w:hAnsi="Times New Roman"/>
      <w:kern w:val="0"/>
      <w:sz w:val="20"/>
      <w:szCs w:val="20"/>
    </w:rPr>
  </w:style>
  <w:style w:type="paragraph" w:styleId="13">
    <w:name w:val="Body Text Indent 2"/>
    <w:basedOn w:val="8"/>
    <w:unhideWhenUsed/>
    <w:qFormat/>
    <w:uiPriority w:val="0"/>
    <w:pPr>
      <w:adjustRightInd w:val="0"/>
      <w:spacing w:line="360" w:lineRule="auto"/>
      <w:ind w:firstLine="420" w:firstLineChars="175"/>
    </w:pPr>
    <w:rPr>
      <w:rFonts w:ascii="宋体" w:hAnsi="宋体"/>
      <w:b/>
      <w:bCs/>
      <w:kern w:val="0"/>
      <w:sz w:val="24"/>
      <w:szCs w:val="20"/>
    </w:rPr>
  </w:style>
  <w:style w:type="paragraph" w:styleId="14">
    <w:name w:val="footer"/>
    <w:basedOn w:val="15"/>
    <w:unhideWhenUsed/>
    <w:qFormat/>
    <w:uiPriority w:val="99"/>
    <w:pPr>
      <w:tabs>
        <w:tab w:val="center" w:pos="4153"/>
        <w:tab w:val="right" w:pos="8306"/>
      </w:tabs>
      <w:snapToGrid w:val="0"/>
      <w:jc w:val="left"/>
    </w:pPr>
    <w:rPr>
      <w:sz w:val="18"/>
      <w:szCs w:val="18"/>
    </w:rPr>
  </w:style>
  <w:style w:type="paragraph" w:customStyle="1" w:styleId="15">
    <w:name w:val="正文_2"/>
    <w:qFormat/>
    <w:uiPriority w:val="0"/>
    <w:pPr>
      <w:widowControl w:val="0"/>
      <w:jc w:val="both"/>
    </w:pPr>
    <w:rPr>
      <w:rFonts w:ascii="Calibri" w:hAnsi="Calibri" w:eastAsia="宋体" w:cs="Times New Roman"/>
      <w:kern w:val="2"/>
      <w:sz w:val="21"/>
      <w:szCs w:val="22"/>
      <w:lang w:val="en-US" w:eastAsia="zh-CN" w:bidi="ar-SA"/>
    </w:rPr>
  </w:style>
  <w:style w:type="paragraph" w:styleId="16">
    <w:name w:val="header"/>
    <w:basedOn w:val="1"/>
    <w:unhideWhenUsed/>
    <w:qFormat/>
    <w:uiPriority w:val="99"/>
    <w:pPr>
      <w:pBdr>
        <w:bottom w:val="single" w:color="auto" w:sz="6" w:space="1"/>
      </w:pBdr>
      <w:tabs>
        <w:tab w:val="center" w:pos="4153"/>
        <w:tab w:val="right" w:pos="8306"/>
      </w:tabs>
      <w:snapToGrid w:val="0"/>
      <w:spacing w:line="240" w:lineRule="auto"/>
      <w:jc w:val="center"/>
    </w:pPr>
    <w:rPr>
      <w:rFonts w:ascii="等线" w:hAnsi="等线" w:eastAsia="等线"/>
      <w:sz w:val="18"/>
      <w:szCs w:val="18"/>
    </w:rPr>
  </w:style>
  <w:style w:type="paragraph" w:styleId="17">
    <w:name w:val="toc 1"/>
    <w:basedOn w:val="1"/>
    <w:next w:val="1"/>
    <w:unhideWhenUsed/>
    <w:qFormat/>
    <w:uiPriority w:val="39"/>
    <w:rPr>
      <w:rFonts w:ascii="Times New Roman" w:hAnsi="Times New Roman"/>
      <w:szCs w:val="20"/>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21">
    <w:name w:val="Hyperlink"/>
    <w:basedOn w:val="20"/>
    <w:unhideWhenUsed/>
    <w:qFormat/>
    <w:uiPriority w:val="99"/>
    <w:rPr>
      <w:rFonts w:ascii="等线" w:hAnsi="等线" w:eastAsia="等线"/>
      <w:color w:val="0563C1"/>
      <w:u w:val="single"/>
    </w:rPr>
  </w:style>
  <w:style w:type="paragraph" w:customStyle="1" w:styleId="22">
    <w:name w:val="正文_9"/>
    <w:qFormat/>
    <w:uiPriority w:val="0"/>
    <w:pPr>
      <w:spacing w:line="300" w:lineRule="auto"/>
      <w:ind w:firstLine="200" w:firstLineChars="200"/>
    </w:pPr>
    <w:rPr>
      <w:rFonts w:ascii="等线" w:hAnsi="等线" w:eastAsia="等线" w:cs="Times New Roman"/>
      <w:sz w:val="21"/>
      <w:szCs w:val="22"/>
      <w:lang w:val="en-US" w:eastAsia="en-US" w:bidi="ar-SA"/>
    </w:rPr>
  </w:style>
  <w:style w:type="paragraph" w:customStyle="1" w:styleId="23">
    <w:name w:val="标段2"/>
    <w:basedOn w:val="5"/>
    <w:next w:val="5"/>
    <w:qFormat/>
    <w:uiPriority w:val="0"/>
    <w:pPr>
      <w:spacing w:line="360" w:lineRule="auto"/>
      <w:ind w:left="480" w:hanging="480" w:hangingChars="200"/>
      <w:jc w:val="center"/>
    </w:pPr>
    <w:rPr>
      <w:rFonts w:ascii="宋体" w:hAnsi="宋体" w:eastAsia="宋体"/>
      <w:sz w:val="24"/>
      <w:szCs w:val="24"/>
    </w:rPr>
  </w:style>
  <w:style w:type="paragraph" w:customStyle="1" w:styleId="24">
    <w:name w:val="标题 1_0"/>
    <w:basedOn w:val="15"/>
    <w:next w:val="15"/>
    <w:qFormat/>
    <w:uiPriority w:val="0"/>
    <w:pPr>
      <w:keepNext/>
      <w:keepLines/>
      <w:tabs>
        <w:tab w:val="left" w:pos="1440"/>
      </w:tabs>
      <w:spacing w:before="340" w:after="330" w:line="576" w:lineRule="auto"/>
      <w:ind w:left="432" w:hanging="432"/>
      <w:jc w:val="center"/>
      <w:outlineLvl w:val="0"/>
    </w:pPr>
    <w:rPr>
      <w:rFonts w:ascii="Times New Roman" w:hAnsi="Times New Roman"/>
      <w:b/>
      <w:bCs/>
      <w:kern w:val="44"/>
      <w:sz w:val="44"/>
      <w:szCs w:val="44"/>
    </w:rPr>
  </w:style>
  <w:style w:type="paragraph" w:customStyle="1" w:styleId="25">
    <w:name w:val="Table Paragraph"/>
    <w:basedOn w:val="15"/>
    <w:qFormat/>
    <w:uiPriority w:val="1"/>
    <w:pPr>
      <w:snapToGrid w:val="0"/>
      <w:spacing w:line="440" w:lineRule="exact"/>
      <w:ind w:firstLine="200" w:firstLineChars="200"/>
      <w:jc w:val="left"/>
    </w:pPr>
    <w:rPr>
      <w:rFonts w:ascii="宋体" w:hAnsi="宋体" w:cs="宋体"/>
      <w:kern w:val="0"/>
      <w:sz w:val="24"/>
      <w:lang w:eastAsia="en-US"/>
    </w:rPr>
  </w:style>
  <w:style w:type="character" w:customStyle="1" w:styleId="26">
    <w:name w:val="超链接_0"/>
    <w:unhideWhenUsed/>
    <w:qFormat/>
    <w:uiPriority w:val="99"/>
    <w:rPr>
      <w:color w:val="0000FF"/>
      <w:u w:val="single"/>
    </w:rPr>
  </w:style>
  <w:style w:type="paragraph" w:customStyle="1" w:styleId="27">
    <w:name w:val="标题 1_1"/>
    <w:basedOn w:val="28"/>
    <w:next w:val="28"/>
    <w:qFormat/>
    <w:uiPriority w:val="0"/>
    <w:pPr>
      <w:keepNext/>
      <w:keepLines/>
      <w:spacing w:before="340" w:after="330" w:line="576" w:lineRule="auto"/>
      <w:outlineLvl w:val="0"/>
    </w:pPr>
    <w:rPr>
      <w:kern w:val="44"/>
      <w:sz w:val="44"/>
      <w:szCs w:val="44"/>
    </w:rPr>
  </w:style>
  <w:style w:type="paragraph" w:customStyle="1" w:styleId="28">
    <w:name w:val="正文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9">
    <w:name w:val="正文_2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0">
    <w:name w:val="样式 标题 2 + Times New Roman 四号 非加粗 段前: 5 磅 段后: 0 磅 行距: 固定值 20..."/>
    <w:basedOn w:val="31"/>
    <w:next w:val="28"/>
    <w:qFormat/>
    <w:uiPriority w:val="0"/>
    <w:pPr>
      <w:spacing w:before="100" w:after="0" w:line="400" w:lineRule="exact"/>
      <w:ind w:firstLine="100" w:firstLineChars="100"/>
    </w:pPr>
    <w:rPr>
      <w:rFonts w:ascii="Times New Roman" w:hAnsi="Times New Roman" w:eastAsia="黑体" w:cs="宋体"/>
      <w:b w:val="0"/>
      <w:bCs w:val="0"/>
      <w:sz w:val="28"/>
      <w:szCs w:val="20"/>
    </w:rPr>
  </w:style>
  <w:style w:type="paragraph" w:customStyle="1" w:styleId="31">
    <w:name w:val="标题 2_0"/>
    <w:basedOn w:val="28"/>
    <w:next w:val="28"/>
    <w:qFormat/>
    <w:uiPriority w:val="9"/>
    <w:pPr>
      <w:keepNext/>
      <w:keepLines/>
      <w:spacing w:before="260" w:after="260" w:line="416" w:lineRule="auto"/>
      <w:outlineLvl w:val="1"/>
    </w:pPr>
    <w:rPr>
      <w:rFonts w:ascii="Calibri Light" w:hAnsi="Calibri Light" w:eastAsia="宋体" w:cs="Times New Roman"/>
      <w:b/>
      <w:bCs/>
      <w:sz w:val="32"/>
      <w:szCs w:val="32"/>
    </w:rPr>
  </w:style>
  <w:style w:type="paragraph" w:customStyle="1" w:styleId="32">
    <w:name w:val="标题 1_2"/>
    <w:basedOn w:val="33"/>
    <w:next w:val="33"/>
    <w:qFormat/>
    <w:uiPriority w:val="0"/>
    <w:pPr>
      <w:keepNext/>
      <w:keepLines/>
      <w:spacing w:before="340" w:after="330" w:line="576" w:lineRule="auto"/>
      <w:outlineLvl w:val="0"/>
    </w:pPr>
    <w:rPr>
      <w:rFonts w:ascii="Times New Roman" w:hAnsi="Times New Roman"/>
      <w:kern w:val="44"/>
      <w:sz w:val="44"/>
      <w:szCs w:val="44"/>
    </w:rPr>
  </w:style>
  <w:style w:type="paragraph" w:customStyle="1" w:styleId="33">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正文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
    <w:name w:val="标题 2_0_0"/>
    <w:basedOn w:val="11"/>
    <w:next w:val="11"/>
    <w:semiHidden/>
    <w:qFormat/>
    <w:uiPriority w:val="0"/>
    <w:pPr>
      <w:keepNext/>
      <w:keepLines/>
      <w:adjustRightInd w:val="0"/>
      <w:spacing w:before="260" w:after="260" w:line="416" w:lineRule="atLeast"/>
      <w:jc w:val="left"/>
      <w:outlineLvl w:val="1"/>
    </w:pPr>
    <w:rPr>
      <w:rFonts w:ascii="宋体" w:hAnsi="Arial" w:cs="宋体"/>
      <w:kern w:val="0"/>
      <w:sz w:val="28"/>
      <w:szCs w:val="20"/>
    </w:rPr>
  </w:style>
  <w:style w:type="paragraph" w:customStyle="1" w:styleId="36">
    <w:name w:val="标题 1_3"/>
    <w:basedOn w:val="37"/>
    <w:next w:val="37"/>
    <w:qFormat/>
    <w:uiPriority w:val="0"/>
    <w:pPr>
      <w:keepNext/>
      <w:keepLines/>
      <w:spacing w:before="340" w:after="330" w:line="576" w:lineRule="auto"/>
      <w:outlineLvl w:val="0"/>
    </w:pPr>
    <w:rPr>
      <w:rFonts w:ascii="Times New Roman" w:hAnsi="Times New Roman" w:eastAsia="宋体"/>
      <w:kern w:val="44"/>
      <w:sz w:val="44"/>
      <w:szCs w:val="44"/>
    </w:rPr>
  </w:style>
  <w:style w:type="paragraph" w:customStyle="1" w:styleId="37">
    <w:name w:val="正文_7"/>
    <w:qFormat/>
    <w:uiPriority w:val="0"/>
    <w:pPr>
      <w:widowControl w:val="0"/>
      <w:jc w:val="both"/>
    </w:pPr>
    <w:rPr>
      <w:rFonts w:ascii="等线" w:hAnsi="等线" w:eastAsia="等线" w:cs="Times New Roman"/>
      <w:kern w:val="2"/>
      <w:sz w:val="21"/>
      <w:szCs w:val="22"/>
      <w:lang w:val="en-US" w:eastAsia="zh-CN" w:bidi="ar-SA"/>
    </w:rPr>
  </w:style>
  <w:style w:type="paragraph" w:customStyle="1" w:styleId="38">
    <w:name w:val="标题 1_4"/>
    <w:basedOn w:val="8"/>
    <w:next w:val="8"/>
    <w:qFormat/>
    <w:uiPriority w:val="0"/>
    <w:pPr>
      <w:keepNext/>
      <w:keepLines/>
      <w:spacing w:before="340" w:after="330" w:line="576" w:lineRule="auto"/>
      <w:outlineLvl w:val="0"/>
    </w:pPr>
    <w:rPr>
      <w:rFonts w:ascii="Times New Roman" w:hAnsi="Times New Roman"/>
      <w:kern w:val="44"/>
      <w:sz w:val="44"/>
      <w:szCs w:val="44"/>
    </w:rPr>
  </w:style>
  <w:style w:type="paragraph" w:customStyle="1" w:styleId="39">
    <w:name w:val="b"/>
    <w:basedOn w:val="8"/>
    <w:qFormat/>
    <w:uiPriority w:val="0"/>
    <w:pPr>
      <w:tabs>
        <w:tab w:val="center" w:pos="4706"/>
        <w:tab w:val="right" w:pos="9044"/>
      </w:tabs>
      <w:topLinePunct/>
      <w:spacing w:before="160" w:after="60" w:line="312" w:lineRule="exact"/>
      <w:jc w:val="center"/>
    </w:pPr>
    <w:rPr>
      <w:rFonts w:ascii="Arial" w:hAnsi="Arial" w:eastAsia="黑体" w:cs="Arial"/>
      <w:szCs w:val="21"/>
    </w:rPr>
  </w:style>
  <w:style w:type="paragraph" w:customStyle="1" w:styleId="40">
    <w:name w:val="bbb"/>
    <w:basedOn w:val="8"/>
    <w:qFormat/>
    <w:uiPriority w:val="0"/>
    <w:pPr>
      <w:topLinePunct/>
      <w:snapToGrid w:val="0"/>
      <w:spacing w:before="60" w:after="60"/>
      <w:jc w:val="center"/>
    </w:pPr>
    <w:rPr>
      <w:rFonts w:ascii="Times New Roman" w:hAnsi="Times New Roman"/>
      <w:sz w:val="18"/>
      <w:szCs w:val="18"/>
    </w:rPr>
  </w:style>
  <w:style w:type="paragraph" w:customStyle="1" w:styleId="41">
    <w:name w:val="11"/>
    <w:basedOn w:val="8"/>
    <w:qFormat/>
    <w:uiPriority w:val="0"/>
    <w:pPr>
      <w:topLinePunct/>
      <w:spacing w:line="312" w:lineRule="exact"/>
      <w:ind w:left="400" w:leftChars="200" w:hanging="200" w:hangingChars="200"/>
    </w:pPr>
    <w:rPr>
      <w:szCs w:val="21"/>
    </w:rPr>
  </w:style>
  <w:style w:type="paragraph" w:customStyle="1" w:styleId="42">
    <w:name w:val="自控1"/>
    <w:basedOn w:val="8"/>
    <w:qFormat/>
    <w:uiPriority w:val="0"/>
    <w:pPr>
      <w:tabs>
        <w:tab w:val="left" w:pos="907"/>
      </w:tabs>
      <w:topLinePunct/>
      <w:spacing w:line="312" w:lineRule="exact"/>
      <w:ind w:left="908" w:hanging="488"/>
    </w:pPr>
    <w:rPr>
      <w:rFonts w:ascii="Times New Roman" w:hAnsi="Times New Roman"/>
      <w:szCs w:val="21"/>
    </w:rPr>
  </w:style>
  <w:style w:type="character" w:customStyle="1" w:styleId="43">
    <w:name w:val="zt Char Char"/>
    <w:link w:val="44"/>
    <w:qFormat/>
    <w:locked/>
    <w:uiPriority w:val="0"/>
    <w:rPr>
      <w:rFonts w:ascii="EU-F1" w:eastAsia="EU-F1"/>
      <w:bCs/>
      <w:szCs w:val="21"/>
    </w:rPr>
  </w:style>
  <w:style w:type="paragraph" w:customStyle="1" w:styleId="44">
    <w:name w:val="zt"/>
    <w:basedOn w:val="8"/>
    <w:link w:val="43"/>
    <w:qFormat/>
    <w:uiPriority w:val="0"/>
    <w:pPr>
      <w:overflowPunct w:val="0"/>
      <w:topLinePunct/>
      <w:spacing w:line="312" w:lineRule="exact"/>
    </w:pPr>
    <w:rPr>
      <w:rFonts w:ascii="EU-F1" w:eastAsia="EU-F1"/>
      <w:bCs/>
      <w:szCs w:val="21"/>
    </w:rPr>
  </w:style>
  <w:style w:type="paragraph" w:customStyle="1" w:styleId="45">
    <w:name w:val="B"/>
    <w:basedOn w:val="8"/>
    <w:qFormat/>
    <w:uiPriority w:val="0"/>
    <w:pPr>
      <w:tabs>
        <w:tab w:val="center" w:pos="4706"/>
        <w:tab w:val="right" w:pos="9044"/>
      </w:tabs>
      <w:topLinePunct/>
      <w:spacing w:before="160" w:after="60" w:line="312" w:lineRule="exact"/>
      <w:jc w:val="center"/>
    </w:pPr>
    <w:rPr>
      <w:rFonts w:ascii="E-F1" w:eastAsia="黑体"/>
      <w:szCs w:val="21"/>
    </w:rPr>
  </w:style>
  <w:style w:type="paragraph" w:customStyle="1" w:styleId="46">
    <w:name w:val="样式1"/>
    <w:basedOn w:val="8"/>
    <w:qFormat/>
    <w:uiPriority w:val="0"/>
    <w:pPr>
      <w:tabs>
        <w:tab w:val="left" w:pos="360"/>
      </w:tabs>
      <w:autoSpaceDE w:val="0"/>
      <w:autoSpaceDN w:val="0"/>
      <w:adjustRightInd w:val="0"/>
      <w:spacing w:line="288" w:lineRule="auto"/>
    </w:pPr>
    <w:rPr>
      <w:rFonts w:ascii="宋体" w:hAnsi="宋体"/>
      <w:spacing w:val="-20"/>
      <w:kern w:val="21"/>
      <w:sz w:val="28"/>
      <w:szCs w:val="20"/>
    </w:rPr>
  </w:style>
  <w:style w:type="paragraph" w:customStyle="1" w:styleId="47">
    <w:name w:val="A"/>
    <w:basedOn w:val="8"/>
    <w:qFormat/>
    <w:uiPriority w:val="0"/>
    <w:pPr>
      <w:adjustRightInd w:val="0"/>
      <w:spacing w:line="480" w:lineRule="atLeast"/>
      <w:jc w:val="center"/>
    </w:pPr>
    <w:rPr>
      <w:rFonts w:ascii="宋体" w:hAnsi="Times New Roman"/>
      <w:kern w:val="0"/>
      <w:sz w:val="32"/>
      <w:szCs w:val="20"/>
    </w:rPr>
  </w:style>
  <w:style w:type="paragraph" w:customStyle="1" w:styleId="48">
    <w:name w:val="标题 2_1"/>
    <w:basedOn w:val="8"/>
    <w:next w:val="8"/>
    <w:qFormat/>
    <w:uiPriority w:val="0"/>
    <w:pPr>
      <w:keepNext/>
      <w:keepLines/>
      <w:spacing w:before="260" w:after="260" w:line="412" w:lineRule="auto"/>
      <w:outlineLvl w:val="1"/>
    </w:pPr>
    <w:rPr>
      <w:rFonts w:ascii="Arial" w:hAnsi="Arial" w:eastAsia="黑体"/>
      <w:b/>
      <w:bCs/>
      <w:sz w:val="32"/>
      <w:szCs w:val="32"/>
    </w:rPr>
  </w:style>
  <w:style w:type="paragraph" w:customStyle="1" w:styleId="49">
    <w:name w:val="标题 1_5"/>
    <w:basedOn w:val="22"/>
    <w:next w:val="22"/>
    <w:qFormat/>
    <w:uiPriority w:val="0"/>
    <w:pPr>
      <w:keepNext/>
      <w:keepLines/>
      <w:spacing w:line="360" w:lineRule="auto"/>
      <w:ind w:firstLine="602"/>
      <w:jc w:val="center"/>
      <w:outlineLvl w:val="0"/>
    </w:pPr>
    <w:rPr>
      <w:rFonts w:ascii="宋体" w:hAnsi="宋体" w:eastAsia="宋体" w:cs="宋体"/>
      <w:b/>
      <w:bCs/>
      <w:kern w:val="44"/>
      <w:sz w:val="30"/>
      <w:szCs w:val="44"/>
      <w:lang w:eastAsia="zh-CN"/>
    </w:rPr>
  </w:style>
  <w:style w:type="paragraph" w:customStyle="1" w:styleId="50">
    <w:name w:val="正文_34"/>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51">
    <w:name w:val="正文文本_23"/>
    <w:basedOn w:val="50"/>
    <w:unhideWhenUsed/>
    <w:qFormat/>
    <w:uiPriority w:val="1"/>
    <w:pPr>
      <w:snapToGrid/>
      <w:spacing w:line="240" w:lineRule="auto"/>
      <w:ind w:firstLine="0" w:firstLineChars="0"/>
    </w:pPr>
    <w:rPr>
      <w:rFonts w:cs="Times New Roman"/>
      <w:sz w:val="21"/>
      <w:szCs w:val="21"/>
    </w:rPr>
  </w:style>
  <w:style w:type="paragraph" w:customStyle="1" w:styleId="52">
    <w:name w:val="副标题_23"/>
    <w:basedOn w:val="53"/>
    <w:next w:val="53"/>
    <w:qFormat/>
    <w:uiPriority w:val="0"/>
    <w:pPr>
      <w:spacing w:before="240" w:after="60" w:line="312" w:lineRule="auto"/>
      <w:jc w:val="center"/>
      <w:outlineLvl w:val="1"/>
    </w:pPr>
    <w:rPr>
      <w:rFonts w:ascii="Cambria" w:hAnsi="Cambria" w:eastAsia="宋体"/>
      <w:b/>
      <w:bCs/>
      <w:kern w:val="28"/>
      <w:sz w:val="32"/>
      <w:szCs w:val="32"/>
    </w:rPr>
  </w:style>
  <w:style w:type="paragraph" w:customStyle="1" w:styleId="53">
    <w:name w:val="正文_0_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54">
    <w:name w:val="正文文本_0_18"/>
    <w:basedOn w:val="53"/>
    <w:unhideWhenUsed/>
    <w:qFormat/>
    <w:uiPriority w:val="1"/>
    <w:pPr>
      <w:jc w:val="left"/>
    </w:pPr>
    <w:rPr>
      <w:rFonts w:ascii="宋体" w:hAnsi="宋体" w:eastAsia="宋体"/>
      <w:kern w:val="0"/>
      <w:szCs w:val="21"/>
      <w:lang w:eastAsia="en-US"/>
    </w:rPr>
  </w:style>
  <w:style w:type="paragraph" w:customStyle="1" w:styleId="55">
    <w:name w:val="标题 2_24"/>
    <w:basedOn w:val="56"/>
    <w:next w:val="56"/>
    <w:qFormat/>
    <w:uiPriority w:val="9"/>
    <w:pPr>
      <w:keepNext/>
      <w:keepLines/>
      <w:spacing w:before="260" w:after="260" w:line="416" w:lineRule="atLeast"/>
      <w:outlineLvl w:val="1"/>
    </w:pPr>
    <w:rPr>
      <w:rFonts w:ascii="等线 Light" w:hAnsi="等线 Light" w:eastAsia="等线 Light" w:cs="Times New Roman"/>
      <w:b/>
      <w:bCs/>
      <w:sz w:val="32"/>
      <w:szCs w:val="32"/>
    </w:rPr>
  </w:style>
  <w:style w:type="paragraph" w:customStyle="1" w:styleId="56">
    <w:name w:val="正文_1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57">
    <w:name w:val="正文文本_1_18"/>
    <w:basedOn w:val="56"/>
    <w:unhideWhenUsed/>
    <w:qFormat/>
    <w:uiPriority w:val="1"/>
    <w:pPr>
      <w:snapToGrid/>
      <w:spacing w:line="240" w:lineRule="auto"/>
      <w:ind w:firstLine="0" w:firstLineChars="0"/>
    </w:pPr>
    <w:rPr>
      <w:rFonts w:cs="Times New Roman"/>
      <w:sz w:val="21"/>
      <w:szCs w:val="21"/>
    </w:rPr>
  </w:style>
  <w:style w:type="paragraph" w:customStyle="1" w:styleId="58">
    <w:name w:val="标题 2_0_19"/>
    <w:basedOn w:val="59"/>
    <w:next w:val="59"/>
    <w:qFormat/>
    <w:uiPriority w:val="9"/>
    <w:pPr>
      <w:keepNext/>
      <w:keepLines/>
      <w:spacing w:before="260" w:after="260" w:line="416" w:lineRule="atLeast"/>
      <w:outlineLvl w:val="1"/>
    </w:pPr>
    <w:rPr>
      <w:rFonts w:ascii="等线 Light" w:hAnsi="等线 Light" w:eastAsia="等线 Light" w:cs="Times New Roman"/>
      <w:b/>
      <w:bCs/>
      <w:sz w:val="32"/>
      <w:szCs w:val="32"/>
    </w:rPr>
  </w:style>
  <w:style w:type="paragraph" w:customStyle="1" w:styleId="59">
    <w:name w:val="正文_2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60">
    <w:name w:val="正文文本_2_18"/>
    <w:basedOn w:val="59"/>
    <w:unhideWhenUsed/>
    <w:qFormat/>
    <w:uiPriority w:val="1"/>
    <w:pPr>
      <w:numPr>
        <w:ilvl w:val="0"/>
        <w:numId w:val="0"/>
      </w:numPr>
      <w:snapToGrid/>
      <w:spacing w:line="480" w:lineRule="atLeast"/>
      <w:jc w:val="both"/>
    </w:pPr>
    <w:rPr>
      <w:rFonts w:hAnsi="Arial Rounded MT Bold" w:eastAsia="宋体" w:cs="Times New Roman"/>
      <w:kern w:val="2"/>
      <w:sz w:val="28"/>
      <w:szCs w:val="28"/>
    </w:rPr>
  </w:style>
  <w:style w:type="paragraph" w:customStyle="1" w:styleId="61">
    <w:name w:val="标题 2_1_18"/>
    <w:basedOn w:val="62"/>
    <w:next w:val="62"/>
    <w:qFormat/>
    <w:uiPriority w:val="9"/>
    <w:pPr>
      <w:keepNext/>
      <w:keepLines/>
      <w:spacing w:before="260" w:after="260" w:line="416" w:lineRule="atLeast"/>
      <w:outlineLvl w:val="1"/>
    </w:pPr>
    <w:rPr>
      <w:rFonts w:ascii="等线 Light" w:hAnsi="等线 Light" w:eastAsia="等线 Light"/>
      <w:b/>
      <w:bCs/>
      <w:sz w:val="32"/>
      <w:szCs w:val="32"/>
    </w:rPr>
  </w:style>
  <w:style w:type="paragraph" w:customStyle="1" w:styleId="62">
    <w:name w:val="正文_3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63">
    <w:name w:val="标题 2_2_18"/>
    <w:basedOn w:val="64"/>
    <w:next w:val="64"/>
    <w:qFormat/>
    <w:uiPriority w:val="9"/>
    <w:pPr>
      <w:keepNext/>
      <w:keepLines/>
      <w:spacing w:before="260" w:after="260" w:line="416" w:lineRule="atLeast"/>
      <w:outlineLvl w:val="1"/>
    </w:pPr>
    <w:rPr>
      <w:rFonts w:ascii="等线 Light" w:hAnsi="等线 Light" w:eastAsia="等线 Light" w:cs="Times New Roman"/>
      <w:b/>
      <w:bCs/>
      <w:sz w:val="32"/>
      <w:szCs w:val="32"/>
    </w:rPr>
  </w:style>
  <w:style w:type="paragraph" w:customStyle="1" w:styleId="64">
    <w:name w:val="正文_4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65">
    <w:name w:val="Normal_0_19"/>
    <w:qFormat/>
    <w:uiPriority w:val="0"/>
    <w:rPr>
      <w:rFonts w:ascii="Times New Roman" w:hAnsi="Times New Roman" w:eastAsia="Times New Roman" w:cs="Times New Roman"/>
      <w:sz w:val="24"/>
      <w:szCs w:val="24"/>
      <w:lang w:bidi="ar-SA"/>
    </w:rPr>
  </w:style>
  <w:style w:type="paragraph" w:customStyle="1" w:styleId="66">
    <w:name w:val="标题 2_3_18"/>
    <w:basedOn w:val="67"/>
    <w:next w:val="67"/>
    <w:qFormat/>
    <w:uiPriority w:val="9"/>
    <w:pPr>
      <w:keepNext/>
      <w:keepLines/>
      <w:spacing w:before="260" w:after="260" w:line="416" w:lineRule="atLeast"/>
      <w:outlineLvl w:val="1"/>
    </w:pPr>
    <w:rPr>
      <w:rFonts w:ascii="等线 Light" w:hAnsi="等线 Light" w:eastAsia="等线 Light" w:cs="Times New Roman"/>
      <w:b/>
      <w:bCs/>
      <w:sz w:val="32"/>
      <w:szCs w:val="32"/>
    </w:rPr>
  </w:style>
  <w:style w:type="paragraph" w:customStyle="1" w:styleId="67">
    <w:name w:val="正文_5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68">
    <w:name w:val="副标题_0_18"/>
    <w:basedOn w:val="69"/>
    <w:next w:val="69"/>
    <w:qFormat/>
    <w:uiPriority w:val="11"/>
    <w:pPr>
      <w:spacing w:before="240" w:after="60" w:line="312" w:lineRule="atLeast"/>
      <w:jc w:val="center"/>
      <w:outlineLvl w:val="1"/>
    </w:pPr>
    <w:rPr>
      <w:rFonts w:ascii="Calibri Light" w:hAnsi="Calibri Light" w:eastAsia="宋体" w:cs="Times New Roman"/>
      <w:b/>
      <w:bCs/>
      <w:kern w:val="28"/>
      <w:sz w:val="32"/>
      <w:szCs w:val="32"/>
    </w:rPr>
  </w:style>
  <w:style w:type="paragraph" w:customStyle="1" w:styleId="69">
    <w:name w:val="正文_6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70">
    <w:name w:val="样式 标题 3 + (中文) 黑体 小四 非加粗 段前: 7.8 磅 段后: 0 磅 行距: 固定值 20 磅_19"/>
    <w:basedOn w:val="71"/>
    <w:qFormat/>
    <w:uiPriority w:val="0"/>
    <w:pPr>
      <w:snapToGrid/>
      <w:spacing w:before="0" w:after="0" w:line="400" w:lineRule="exact"/>
      <w:ind w:firstLine="0" w:firstLineChars="0"/>
      <w:jc w:val="both"/>
    </w:pPr>
    <w:rPr>
      <w:rFonts w:ascii="Times New Roman" w:hAnsi="Times New Roman" w:eastAsia="黑体"/>
      <w:b w:val="0"/>
      <w:bCs w:val="0"/>
      <w:kern w:val="2"/>
      <w:sz w:val="24"/>
      <w:szCs w:val="20"/>
    </w:rPr>
  </w:style>
  <w:style w:type="paragraph" w:customStyle="1" w:styleId="71">
    <w:name w:val="标题 3_19"/>
    <w:basedOn w:val="72"/>
    <w:next w:val="72"/>
    <w:qFormat/>
    <w:uiPriority w:val="9"/>
    <w:pPr>
      <w:keepNext/>
      <w:keepLines/>
      <w:spacing w:before="260" w:after="260" w:line="416" w:lineRule="atLeast"/>
      <w:outlineLvl w:val="2"/>
    </w:pPr>
    <w:rPr>
      <w:b/>
      <w:bCs/>
      <w:sz w:val="32"/>
      <w:szCs w:val="32"/>
    </w:rPr>
  </w:style>
  <w:style w:type="paragraph" w:customStyle="1" w:styleId="72">
    <w:name w:val="正文_7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73">
    <w:name w:val="样式 标题 3 + (中文) 黑体 小四 非加粗 段前: 7.8 磅 段后: 0 磅 行距: 固定值 20 磅_0_18"/>
    <w:basedOn w:val="74"/>
    <w:next w:val="75"/>
    <w:qFormat/>
    <w:uiPriority w:val="0"/>
    <w:pPr>
      <w:snapToGrid/>
      <w:spacing w:before="0" w:after="0" w:line="400" w:lineRule="exact"/>
      <w:ind w:firstLine="0" w:firstLineChars="0"/>
      <w:jc w:val="both"/>
    </w:pPr>
    <w:rPr>
      <w:rFonts w:ascii="Times New Roman" w:hAnsi="Times New Roman" w:eastAsia="黑体"/>
      <w:b w:val="0"/>
      <w:bCs w:val="0"/>
      <w:kern w:val="2"/>
      <w:sz w:val="24"/>
      <w:szCs w:val="20"/>
    </w:rPr>
  </w:style>
  <w:style w:type="paragraph" w:customStyle="1" w:styleId="74">
    <w:name w:val="标题 3_0_19"/>
    <w:basedOn w:val="75"/>
    <w:next w:val="75"/>
    <w:qFormat/>
    <w:uiPriority w:val="9"/>
    <w:pPr>
      <w:keepNext/>
      <w:keepLines/>
      <w:spacing w:before="260" w:after="260" w:line="416" w:lineRule="atLeast"/>
      <w:outlineLvl w:val="2"/>
    </w:pPr>
    <w:rPr>
      <w:b/>
      <w:bCs/>
      <w:sz w:val="32"/>
      <w:szCs w:val="32"/>
    </w:rPr>
  </w:style>
  <w:style w:type="paragraph" w:customStyle="1" w:styleId="75">
    <w:name w:val="正文_8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76">
    <w:name w:val="标题 4_19"/>
    <w:basedOn w:val="75"/>
    <w:next w:val="75"/>
    <w:qFormat/>
    <w:uiPriority w:val="9"/>
    <w:pPr>
      <w:keepNext/>
      <w:keepLines/>
      <w:snapToGrid/>
      <w:spacing w:before="280" w:after="290" w:line="374" w:lineRule="auto"/>
      <w:ind w:firstLine="0" w:firstLineChars="0"/>
      <w:jc w:val="both"/>
      <w:outlineLvl w:val="3"/>
    </w:pPr>
    <w:rPr>
      <w:rFonts w:ascii="等线 Light" w:hAnsi="等线 Light" w:eastAsia="等线 Light"/>
      <w:b/>
      <w:bCs/>
      <w:kern w:val="2"/>
      <w:sz w:val="28"/>
      <w:szCs w:val="28"/>
    </w:rPr>
  </w:style>
  <w:style w:type="paragraph" w:customStyle="1" w:styleId="77">
    <w:name w:val="Table Paragraph_18"/>
    <w:basedOn w:val="75"/>
    <w:qFormat/>
    <w:uiPriority w:val="1"/>
    <w:pPr>
      <w:snapToGrid/>
      <w:spacing w:line="240" w:lineRule="auto"/>
      <w:ind w:firstLine="0" w:firstLineChars="0"/>
    </w:pPr>
    <w:rPr>
      <w:rFonts w:eastAsia="宋体"/>
      <w:sz w:val="22"/>
    </w:rPr>
  </w:style>
  <w:style w:type="paragraph" w:customStyle="1" w:styleId="78">
    <w:name w:val="正文文本_3_18"/>
    <w:basedOn w:val="75"/>
    <w:unhideWhenUsed/>
    <w:qFormat/>
    <w:uiPriority w:val="1"/>
    <w:pPr>
      <w:snapToGrid/>
      <w:spacing w:line="240" w:lineRule="auto"/>
      <w:ind w:firstLine="0" w:firstLineChars="0"/>
    </w:pPr>
    <w:rPr>
      <w:rFonts w:cs="Times New Roman"/>
      <w:sz w:val="21"/>
      <w:szCs w:val="21"/>
    </w:rPr>
  </w:style>
  <w:style w:type="paragraph" w:customStyle="1" w:styleId="79">
    <w:name w:val="副标题_1_18"/>
    <w:basedOn w:val="80"/>
    <w:next w:val="80"/>
    <w:qFormat/>
    <w:uiPriority w:val="11"/>
    <w:pPr>
      <w:spacing w:before="240" w:after="60" w:line="312" w:lineRule="atLeast"/>
      <w:jc w:val="center"/>
      <w:outlineLvl w:val="1"/>
    </w:pPr>
    <w:rPr>
      <w:rFonts w:ascii="Calibri Light" w:hAnsi="Calibri Light" w:eastAsia="宋体" w:cs="Times New Roman"/>
      <w:b/>
      <w:bCs/>
      <w:kern w:val="28"/>
      <w:sz w:val="32"/>
      <w:szCs w:val="32"/>
    </w:rPr>
  </w:style>
  <w:style w:type="paragraph" w:customStyle="1" w:styleId="80">
    <w:name w:val="正文_9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81">
    <w:name w:val="正文_10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82">
    <w:name w:val="标题 2_4_18"/>
    <w:basedOn w:val="81"/>
    <w:next w:val="81"/>
    <w:unhideWhenUsed/>
    <w:qFormat/>
    <w:uiPriority w:val="9"/>
    <w:pPr>
      <w:keepNext/>
      <w:keepLines/>
      <w:spacing w:before="260" w:after="260" w:line="416" w:lineRule="atLeast"/>
      <w:outlineLvl w:val="1"/>
    </w:pPr>
    <w:rPr>
      <w:rFonts w:ascii="Calibri Light" w:hAnsi="Calibri Light" w:eastAsia="宋体" w:cs="Times New Roman"/>
      <w:b/>
      <w:bCs/>
      <w:sz w:val="32"/>
      <w:szCs w:val="32"/>
    </w:rPr>
  </w:style>
  <w:style w:type="paragraph" w:customStyle="1" w:styleId="83">
    <w:name w:val="副标题_2_18"/>
    <w:basedOn w:val="84"/>
    <w:next w:val="84"/>
    <w:qFormat/>
    <w:uiPriority w:val="0"/>
    <w:pPr>
      <w:snapToGrid/>
      <w:spacing w:before="240" w:after="60" w:line="312" w:lineRule="auto"/>
      <w:ind w:firstLine="0" w:firstLineChars="0"/>
      <w:jc w:val="center"/>
      <w:outlineLvl w:val="1"/>
    </w:pPr>
    <w:rPr>
      <w:rFonts w:ascii="Cambria" w:hAnsi="Cambria" w:eastAsia="宋体" w:cs="Times New Roman"/>
      <w:b/>
      <w:bCs/>
      <w:kern w:val="28"/>
      <w:sz w:val="32"/>
      <w:szCs w:val="32"/>
      <w:lang w:eastAsia="zh-CN"/>
    </w:rPr>
  </w:style>
  <w:style w:type="paragraph" w:customStyle="1" w:styleId="84">
    <w:name w:val="正文_11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85">
    <w:name w:val="副标题_3_18"/>
    <w:basedOn w:val="86"/>
    <w:next w:val="86"/>
    <w:qFormat/>
    <w:uiPriority w:val="0"/>
    <w:pPr>
      <w:snapToGrid/>
      <w:spacing w:before="240" w:after="60" w:line="312" w:lineRule="auto"/>
      <w:ind w:firstLine="0" w:firstLineChars="0"/>
      <w:jc w:val="center"/>
      <w:outlineLvl w:val="1"/>
    </w:pPr>
    <w:rPr>
      <w:rFonts w:ascii="Cambria" w:hAnsi="Cambria" w:eastAsia="宋体" w:cs="Times New Roman"/>
      <w:b/>
      <w:bCs/>
      <w:kern w:val="28"/>
      <w:sz w:val="32"/>
      <w:szCs w:val="32"/>
      <w:lang w:eastAsia="zh-CN"/>
    </w:rPr>
  </w:style>
  <w:style w:type="paragraph" w:customStyle="1" w:styleId="86">
    <w:name w:val="正文_12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87">
    <w:name w:val="Normal_1_18"/>
    <w:qFormat/>
    <w:uiPriority w:val="0"/>
    <w:rPr>
      <w:rFonts w:ascii="Times New Roman" w:hAnsi="Times New Roman" w:eastAsia="Times New Roman" w:cs="Times New Roman"/>
      <w:sz w:val="24"/>
      <w:szCs w:val="24"/>
      <w:lang w:bidi="ar-SA"/>
    </w:rPr>
  </w:style>
  <w:style w:type="paragraph" w:customStyle="1" w:styleId="88">
    <w:name w:val="正文_13_18"/>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89">
    <w:name w:val="标题 2_5_18"/>
    <w:basedOn w:val="88"/>
    <w:next w:val="88"/>
    <w:qFormat/>
    <w:uiPriority w:val="9"/>
    <w:pPr>
      <w:keepNext/>
      <w:keepLines/>
      <w:spacing w:before="260" w:after="260" w:line="416" w:lineRule="atLeast"/>
      <w:outlineLvl w:val="1"/>
    </w:pPr>
    <w:rPr>
      <w:rFonts w:ascii="Calibri Light" w:hAnsi="Calibri Light" w:eastAsia="宋体" w:cs="Times New Roman"/>
      <w:b/>
      <w:bCs/>
      <w:sz w:val="32"/>
      <w:szCs w:val="32"/>
    </w:rPr>
  </w:style>
  <w:style w:type="paragraph" w:customStyle="1" w:styleId="90">
    <w:name w:val="副标题_4_18"/>
    <w:basedOn w:val="91"/>
    <w:next w:val="91"/>
    <w:qFormat/>
    <w:uiPriority w:val="11"/>
    <w:pPr>
      <w:spacing w:before="240" w:after="60" w:line="312" w:lineRule="auto"/>
      <w:jc w:val="center"/>
      <w:outlineLvl w:val="1"/>
    </w:pPr>
    <w:rPr>
      <w:rFonts w:ascii="Calibri Light" w:hAnsi="Calibri Light" w:cs="Times New Roman"/>
      <w:b/>
      <w:bCs/>
      <w:kern w:val="28"/>
      <w:sz w:val="32"/>
      <w:szCs w:val="32"/>
    </w:rPr>
  </w:style>
  <w:style w:type="paragraph" w:customStyle="1" w:styleId="91">
    <w:name w:val="正文_14_18"/>
    <w:qFormat/>
    <w:uiPriority w:val="0"/>
    <w:pPr>
      <w:widowControl w:val="0"/>
    </w:pPr>
    <w:rPr>
      <w:rFonts w:ascii="宋体" w:hAnsi="宋体" w:eastAsia="宋体" w:cs="宋体"/>
      <w:sz w:val="22"/>
      <w:szCs w:val="22"/>
      <w:lang w:val="en-US" w:eastAsia="en-US" w:bidi="ar-SA"/>
    </w:rPr>
  </w:style>
  <w:style w:type="paragraph" w:customStyle="1" w:styleId="92">
    <w:name w:val="正文文本_4_18"/>
    <w:basedOn w:val="91"/>
    <w:unhideWhenUsed/>
    <w:qFormat/>
    <w:uiPriority w:val="1"/>
    <w:rPr>
      <w:sz w:val="21"/>
      <w:szCs w:val="21"/>
    </w:rPr>
  </w:style>
  <w:style w:type="paragraph" w:customStyle="1" w:styleId="93">
    <w:name w:val="正文_15_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
    <w:name w:val="Normal_0_0_18"/>
    <w:qFormat/>
    <w:uiPriority w:val="0"/>
    <w:rPr>
      <w:rFonts w:ascii="Times New Roman" w:hAnsi="Times New Roman" w:eastAsia="Times New Roman" w:cs="Times New Roman"/>
      <w:sz w:val="24"/>
      <w:szCs w:val="24"/>
    </w:rPr>
  </w:style>
  <w:style w:type="table" w:customStyle="1" w:styleId="95">
    <w:name w:val="table_18"/>
    <w:basedOn w:val="19"/>
    <w:qFormat/>
    <w:uiPriority w:val="0"/>
    <w:rPr>
      <w:rFonts w:ascii="Times New Roman" w:hAnsi="Times New Roman" w:eastAsia="Times New Roman" w:cs="宋体"/>
    </w:rPr>
  </w:style>
  <w:style w:type="paragraph" w:customStyle="1" w:styleId="96">
    <w:name w:val="副标题_5_15"/>
    <w:basedOn w:val="97"/>
    <w:next w:val="97"/>
    <w:qFormat/>
    <w:uiPriority w:val="11"/>
    <w:pPr>
      <w:spacing w:before="240" w:after="60" w:line="312" w:lineRule="atLeast"/>
      <w:jc w:val="center"/>
      <w:outlineLvl w:val="1"/>
    </w:pPr>
    <w:rPr>
      <w:rFonts w:ascii="Calibri Light" w:hAnsi="Calibri Light" w:eastAsia="宋体" w:cs="Times New Roman"/>
      <w:b/>
      <w:bCs/>
      <w:kern w:val="28"/>
      <w:sz w:val="32"/>
      <w:szCs w:val="32"/>
    </w:rPr>
  </w:style>
  <w:style w:type="paragraph" w:customStyle="1" w:styleId="97">
    <w:name w:val="正文_16_15"/>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paragraph" w:customStyle="1" w:styleId="98">
    <w:name w:val="样式2_18"/>
    <w:basedOn w:val="97"/>
    <w:qFormat/>
    <w:uiPriority w:val="0"/>
    <w:pPr>
      <w:adjustRightInd w:val="0"/>
      <w:snapToGrid/>
      <w:spacing w:line="410" w:lineRule="atLeast"/>
      <w:ind w:firstLine="0" w:firstLineChars="0"/>
    </w:pPr>
    <w:rPr>
      <w:rFonts w:ascii="Times New Roman" w:hAnsi="Times New Roman" w:cs="Times New Roman"/>
      <w:szCs w:val="20"/>
      <w:lang w:eastAsia="zh-CN"/>
    </w:rPr>
  </w:style>
  <w:style w:type="paragraph" w:customStyle="1" w:styleId="99">
    <w:name w:val="样式1_18"/>
    <w:basedOn w:val="97"/>
    <w:qFormat/>
    <w:uiPriority w:val="0"/>
    <w:pPr>
      <w:tabs>
        <w:tab w:val="left" w:pos="360"/>
      </w:tabs>
      <w:autoSpaceDE w:val="0"/>
      <w:autoSpaceDN w:val="0"/>
      <w:adjustRightInd w:val="0"/>
      <w:snapToGrid/>
      <w:spacing w:line="288" w:lineRule="auto"/>
      <w:ind w:firstLine="0" w:firstLineChars="0"/>
      <w:jc w:val="both"/>
    </w:pPr>
    <w:rPr>
      <w:rFonts w:hAnsi="Times New Roman" w:cs="Times New Roman"/>
      <w:spacing w:val="-20"/>
      <w:kern w:val="21"/>
      <w:sz w:val="28"/>
      <w:szCs w:val="20"/>
      <w:lang w:eastAsia="zh-CN"/>
    </w:rPr>
  </w:style>
  <w:style w:type="paragraph" w:customStyle="1" w:styleId="100">
    <w:name w:val="日期_18"/>
    <w:basedOn w:val="97"/>
    <w:next w:val="97"/>
    <w:unhideWhenUsed/>
    <w:qFormat/>
    <w:uiPriority w:val="0"/>
    <w:pPr>
      <w:snapToGrid/>
      <w:spacing w:line="240" w:lineRule="auto"/>
      <w:ind w:firstLine="0" w:firstLineChars="0"/>
      <w:jc w:val="both"/>
    </w:pPr>
    <w:rPr>
      <w:rFonts w:ascii="Times New Roman" w:hAnsi="Times New Roman" w:cs="Times New Roman"/>
      <w:kern w:val="2"/>
      <w:sz w:val="21"/>
      <w:szCs w:val="20"/>
    </w:rPr>
  </w:style>
  <w:style w:type="paragraph" w:customStyle="1" w:styleId="101">
    <w:name w:val="页脚_0"/>
    <w:basedOn w:val="28"/>
    <w:unhideWhenUsed/>
    <w:qFormat/>
    <w:uiPriority w:val="99"/>
    <w:pPr>
      <w:tabs>
        <w:tab w:val="center" w:pos="4153"/>
        <w:tab w:val="right" w:pos="8306"/>
      </w:tabs>
      <w:snapToGrid w:val="0"/>
      <w:jc w:val="left"/>
    </w:pPr>
    <w:rPr>
      <w:sz w:val="18"/>
      <w:szCs w:val="18"/>
    </w:rPr>
  </w:style>
  <w:style w:type="paragraph" w:customStyle="1" w:styleId="102">
    <w:name w:val="页脚_1"/>
    <w:basedOn w:val="22"/>
    <w:unhideWhenUsed/>
    <w:qFormat/>
    <w:uiPriority w:val="99"/>
    <w:pPr>
      <w:tabs>
        <w:tab w:val="center" w:pos="4153"/>
        <w:tab w:val="right" w:pos="8306"/>
      </w:tabs>
      <w:snapToGrid w:val="0"/>
      <w:spacing w:line="240" w:lineRule="auto"/>
    </w:pPr>
    <w:rPr>
      <w:sz w:val="18"/>
      <w:szCs w:val="18"/>
    </w:rPr>
  </w:style>
  <w:style w:type="paragraph" w:customStyle="1" w:styleId="103">
    <w:name w:val="Normal_3"/>
    <w:qFormat/>
    <w:uiPriority w:val="0"/>
    <w:pPr>
      <w:widowControl w:val="0"/>
      <w:jc w:val="both"/>
    </w:pPr>
    <w:rPr>
      <w:rFonts w:ascii="Calibri" w:hAnsi="Calibri" w:eastAsia="宋体" w:cs="Times New Roman"/>
      <w:kern w:val="2"/>
      <w:sz w:val="21"/>
      <w:szCs w:val="21"/>
      <w:lang w:val="en-US" w:eastAsia="zh-CN" w:bidi="ar-SA"/>
    </w:rPr>
  </w:style>
  <w:style w:type="paragraph" w:customStyle="1" w:styleId="104">
    <w:name w:val="Normal_2"/>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9141</Words>
  <Characters>10417</Characters>
  <Lines>0</Lines>
  <Paragraphs>0</Paragraphs>
  <TotalTime>18</TotalTime>
  <ScaleCrop>false</ScaleCrop>
  <LinksUpToDate>false</LinksUpToDate>
  <CharactersWithSpaces>10694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2025-02-18T06:12:00Z</dcterms:created>
  <dc:creator>7726</dc:creator>
  <cp:lastModifiedBy>王飞琛</cp:lastModifiedBy>
  <dcterms:modified xsi:type="dcterms:W3CDTF">2025-04-29T12:45:16Z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18F1EA36994F4D939D3526A40EAC4F29_13</vt:lpwstr>
  </property>
  <property fmtid="{D5CDD505-2E9C-101B-9397-08002B2CF9AE}" pid="4" name="KSOTemplateDocerSaveRecord">
    <vt:lpwstr>eyJoZGlkIjoiODAzNzFmNmVkMzZjNTliNzZlMzVlZDVhOWM2MWI5ZDQiLCJ1c2VySWQiOiIxNTcwMjg4MTAxIn0=</vt:lpwstr>
  </property>
</Properties>
</file>