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70D98D">
      <w:pPr>
        <w:rPr>
          <w:color w:val="auto"/>
          <w:highlight w:val="none"/>
        </w:rPr>
      </w:pPr>
      <w:bookmarkStart w:id="0" w:name="_bookmark104"/>
      <w:bookmarkEnd w:id="0"/>
    </w:p>
    <w:p w14:paraId="7A3974D5">
      <w:pPr>
        <w:spacing w:line="360" w:lineRule="auto"/>
        <w:ind w:firstLine="440" w:firstLineChars="100"/>
        <w:outlineLvl w:val="0"/>
        <w:rPr>
          <w:rFonts w:ascii="黑体" w:hAnsi="黑体" w:eastAsia="黑体" w:cs="黑体"/>
          <w:bCs/>
          <w:color w:val="auto"/>
          <w:sz w:val="44"/>
          <w:szCs w:val="44"/>
          <w:highlight w:val="none"/>
          <w:lang w:eastAsia="zh-CN"/>
        </w:rPr>
      </w:pPr>
    </w:p>
    <w:p w14:paraId="58C6369E">
      <w:pPr>
        <w:spacing w:line="360" w:lineRule="auto"/>
        <w:ind w:firstLine="440" w:firstLineChars="100"/>
        <w:jc w:val="center"/>
        <w:outlineLvl w:val="0"/>
        <w:rPr>
          <w:rFonts w:ascii="黑体" w:hAnsi="黑体" w:eastAsia="黑体" w:cs="黑体"/>
          <w:bCs/>
          <w:color w:val="auto"/>
          <w:sz w:val="44"/>
          <w:szCs w:val="44"/>
          <w:highlight w:val="none"/>
          <w:lang w:eastAsia="zh-CN"/>
        </w:rPr>
      </w:pPr>
    </w:p>
    <w:p w14:paraId="4CB2A2E4">
      <w:pPr>
        <w:spacing w:line="360" w:lineRule="auto"/>
        <w:ind w:firstLine="522" w:firstLineChars="100"/>
        <w:jc w:val="center"/>
        <w:outlineLvl w:val="0"/>
        <w:rPr>
          <w:rFonts w:hint="eastAsia" w:ascii="宋体" w:hAnsi="宋体" w:eastAsia="宋体" w:cs="宋体"/>
          <w:b/>
          <w:bCs w:val="0"/>
          <w:color w:val="auto"/>
          <w:sz w:val="52"/>
          <w:szCs w:val="52"/>
          <w:highlight w:val="none"/>
          <w:lang w:eastAsia="zh-CN"/>
        </w:rPr>
      </w:pPr>
    </w:p>
    <w:p w14:paraId="17A86B63">
      <w:pPr>
        <w:spacing w:line="360" w:lineRule="auto"/>
        <w:ind w:firstLine="522" w:firstLineChars="100"/>
        <w:jc w:val="center"/>
        <w:outlineLvl w:val="0"/>
        <w:rPr>
          <w:rFonts w:hint="eastAsia" w:ascii="黑体" w:hAnsi="黑体" w:eastAsia="黑体" w:cs="黑体"/>
          <w:b/>
          <w:bCs w:val="0"/>
          <w:color w:val="auto"/>
          <w:sz w:val="44"/>
          <w:szCs w:val="44"/>
          <w:highlight w:val="none"/>
          <w:lang w:eastAsia="zh-CN"/>
        </w:rPr>
      </w:pPr>
      <w:r>
        <w:rPr>
          <w:rFonts w:hint="eastAsia" w:ascii="宋体" w:hAnsi="宋体" w:eastAsia="宋体" w:cs="宋体"/>
          <w:b/>
          <w:bCs w:val="0"/>
          <w:color w:val="auto"/>
          <w:sz w:val="52"/>
          <w:szCs w:val="52"/>
          <w:highlight w:val="none"/>
          <w:lang w:eastAsia="zh-CN"/>
        </w:rPr>
        <w:t>浙能武威2×1000MW调峰火电</w:t>
      </w:r>
      <w:r>
        <w:rPr>
          <w:rFonts w:hint="eastAsia" w:cs="宋体"/>
          <w:b/>
          <w:bCs w:val="0"/>
          <w:color w:val="auto"/>
          <w:sz w:val="52"/>
          <w:szCs w:val="52"/>
          <w:highlight w:val="none"/>
          <w:lang w:val="en-US" w:eastAsia="zh-CN"/>
        </w:rPr>
        <w:t>机组工程</w:t>
      </w:r>
    </w:p>
    <w:p w14:paraId="7B1B1419">
      <w:pPr>
        <w:spacing w:line="360" w:lineRule="auto"/>
        <w:ind w:firstLine="440" w:firstLineChars="100"/>
        <w:jc w:val="center"/>
        <w:outlineLvl w:val="0"/>
        <w:rPr>
          <w:rFonts w:hint="eastAsia" w:ascii="宋体" w:hAnsi="宋体" w:eastAsia="宋体" w:cs="宋体"/>
          <w:bCs/>
          <w:color w:val="auto"/>
          <w:sz w:val="44"/>
          <w:szCs w:val="44"/>
          <w:highlight w:val="none"/>
          <w:lang w:eastAsia="zh-CN"/>
        </w:rPr>
      </w:pPr>
    </w:p>
    <w:p w14:paraId="3675A9A8">
      <w:pPr>
        <w:spacing w:line="360" w:lineRule="auto"/>
        <w:ind w:firstLine="482" w:firstLineChars="100"/>
        <w:jc w:val="center"/>
        <w:outlineLvl w:val="0"/>
        <w:rPr>
          <w:rFonts w:hint="default" w:ascii="宋体" w:hAnsi="宋体" w:eastAsia="宋体" w:cs="宋体"/>
          <w:b/>
          <w:bCs w:val="0"/>
          <w:color w:val="auto"/>
          <w:sz w:val="48"/>
          <w:szCs w:val="48"/>
          <w:highlight w:val="none"/>
          <w:lang w:val="en-US" w:eastAsia="zh-CN"/>
        </w:rPr>
      </w:pPr>
      <w:r>
        <w:rPr>
          <w:rFonts w:hint="eastAsia" w:ascii="宋体" w:hAnsi="宋体" w:eastAsia="宋体" w:cs="宋体"/>
          <w:b/>
          <w:bCs w:val="0"/>
          <w:color w:val="auto"/>
          <w:kern w:val="0"/>
          <w:sz w:val="48"/>
          <w:szCs w:val="48"/>
          <w:highlight w:val="none"/>
          <w:lang w:eastAsia="zh-CN"/>
        </w:rPr>
        <w:t>宽频同步相量测量装置</w:t>
      </w:r>
      <w:r>
        <w:rPr>
          <w:rFonts w:hint="eastAsia" w:ascii="宋体" w:hAnsi="宋体" w:eastAsia="宋体" w:cs="宋体"/>
          <w:b/>
          <w:bCs w:val="0"/>
          <w:color w:val="auto"/>
          <w:sz w:val="48"/>
          <w:szCs w:val="48"/>
          <w:highlight w:val="none"/>
          <w:lang w:val="en-US" w:eastAsia="zh-CN"/>
        </w:rPr>
        <w:t>招标文件</w:t>
      </w:r>
    </w:p>
    <w:p w14:paraId="67D87120">
      <w:pPr>
        <w:spacing w:line="360" w:lineRule="auto"/>
        <w:ind w:firstLine="442" w:firstLineChars="100"/>
        <w:jc w:val="center"/>
        <w:outlineLvl w:val="0"/>
        <w:rPr>
          <w:rFonts w:hint="eastAsia" w:ascii="宋体" w:hAnsi="宋体" w:eastAsia="宋体" w:cs="宋体"/>
          <w:b/>
          <w:bCs w:val="0"/>
          <w:color w:val="auto"/>
          <w:sz w:val="44"/>
          <w:szCs w:val="44"/>
          <w:highlight w:val="none"/>
          <w:lang w:eastAsia="zh-CN"/>
        </w:rPr>
      </w:pPr>
    </w:p>
    <w:p w14:paraId="78ED7D15">
      <w:pPr>
        <w:spacing w:line="360" w:lineRule="auto"/>
        <w:ind w:firstLine="482" w:firstLineChars="100"/>
        <w:jc w:val="center"/>
        <w:outlineLvl w:val="0"/>
        <w:rPr>
          <w:rFonts w:ascii="黑体" w:hAnsi="黑体" w:eastAsia="黑体" w:cs="黑体"/>
          <w:b/>
          <w:bCs w:val="0"/>
          <w:color w:val="auto"/>
          <w:sz w:val="48"/>
          <w:szCs w:val="48"/>
          <w:highlight w:val="none"/>
          <w:lang w:eastAsia="zh-CN"/>
        </w:rPr>
      </w:pPr>
      <w:r>
        <w:rPr>
          <w:rFonts w:hint="eastAsia" w:ascii="宋体" w:hAnsi="宋体" w:eastAsia="宋体" w:cs="宋体"/>
          <w:b/>
          <w:bCs w:val="0"/>
          <w:color w:val="auto"/>
          <w:sz w:val="48"/>
          <w:szCs w:val="48"/>
          <w:highlight w:val="none"/>
          <w:lang w:eastAsia="zh-CN"/>
        </w:rPr>
        <w:t>技术规范书</w:t>
      </w:r>
    </w:p>
    <w:p w14:paraId="6DCB49C7">
      <w:pPr>
        <w:ind w:firstLine="2400" w:firstLineChars="800"/>
        <w:rPr>
          <w:rFonts w:ascii="黑体" w:hAnsi="黑体" w:eastAsia="黑体" w:cs="黑体"/>
          <w:bCs/>
          <w:color w:val="auto"/>
          <w:sz w:val="30"/>
          <w:szCs w:val="30"/>
          <w:highlight w:val="none"/>
          <w:lang w:eastAsia="zh-CN"/>
        </w:rPr>
      </w:pPr>
    </w:p>
    <w:p w14:paraId="7F6823B9">
      <w:pPr>
        <w:rPr>
          <w:color w:val="auto"/>
          <w:highlight w:val="none"/>
          <w:lang w:eastAsia="zh-CN"/>
        </w:rPr>
      </w:pPr>
    </w:p>
    <w:p w14:paraId="7E2D31FD">
      <w:pPr>
        <w:rPr>
          <w:color w:val="auto"/>
          <w:highlight w:val="none"/>
          <w:lang w:eastAsia="zh-CN"/>
        </w:rPr>
      </w:pPr>
    </w:p>
    <w:p w14:paraId="72A37CAB">
      <w:pPr>
        <w:tabs>
          <w:tab w:val="center" w:pos="4649"/>
          <w:tab w:val="right" w:pos="9299"/>
        </w:tabs>
        <w:adjustRightInd w:val="0"/>
        <w:snapToGrid w:val="0"/>
        <w:spacing w:line="360" w:lineRule="auto"/>
        <w:ind w:firstLine="1040"/>
        <w:jc w:val="center"/>
        <w:rPr>
          <w:rFonts w:ascii="黑体" w:hAnsi="黑体" w:eastAsia="黑体"/>
          <w:color w:val="auto"/>
          <w:sz w:val="52"/>
          <w:szCs w:val="52"/>
          <w:highlight w:val="none"/>
          <w:lang w:eastAsia="zh-CN"/>
        </w:rPr>
      </w:pPr>
    </w:p>
    <w:p w14:paraId="18F8D6A9">
      <w:pPr>
        <w:pStyle w:val="4"/>
        <w:tabs>
          <w:tab w:val="center" w:pos="4649"/>
          <w:tab w:val="right" w:pos="9299"/>
        </w:tabs>
        <w:adjustRightInd w:val="0"/>
        <w:snapToGrid w:val="0"/>
        <w:spacing w:before="60" w:after="200" w:line="360" w:lineRule="auto"/>
        <w:rPr>
          <w:color w:val="auto"/>
          <w:highlight w:val="none"/>
          <w:lang w:eastAsia="zh-CN"/>
        </w:rPr>
      </w:pPr>
    </w:p>
    <w:p w14:paraId="18CA7804">
      <w:pPr>
        <w:rPr>
          <w:color w:val="auto"/>
          <w:highlight w:val="none"/>
          <w:lang w:eastAsia="zh-CN"/>
        </w:rPr>
      </w:pPr>
    </w:p>
    <w:p w14:paraId="0940C444">
      <w:pPr>
        <w:rPr>
          <w:color w:val="auto"/>
          <w:highlight w:val="none"/>
          <w:lang w:eastAsia="zh-CN"/>
        </w:rPr>
      </w:pPr>
    </w:p>
    <w:p w14:paraId="0790DF58">
      <w:pPr>
        <w:rPr>
          <w:rFonts w:ascii="黑体" w:hAnsi="黑体" w:eastAsia="黑体"/>
          <w:b w:val="0"/>
          <w:color w:val="auto"/>
          <w:sz w:val="32"/>
          <w:highlight w:val="none"/>
        </w:rPr>
      </w:pPr>
    </w:p>
    <w:p w14:paraId="3133DD40">
      <w:pPr>
        <w:rPr>
          <w:rFonts w:ascii="黑体" w:hAnsi="黑体" w:eastAsia="黑体"/>
          <w:b w:val="0"/>
          <w:color w:val="auto"/>
          <w:sz w:val="32"/>
          <w:highlight w:val="none"/>
        </w:rPr>
      </w:pPr>
    </w:p>
    <w:p w14:paraId="742ABA56">
      <w:pPr>
        <w:rPr>
          <w:color w:val="auto"/>
          <w:highlight w:val="none"/>
        </w:rPr>
      </w:pPr>
    </w:p>
    <w:p w14:paraId="56333A9A">
      <w:pPr>
        <w:rPr>
          <w:rFonts w:ascii="黑体" w:hAnsi="黑体" w:eastAsia="黑体"/>
          <w:b w:val="0"/>
          <w:color w:val="auto"/>
          <w:sz w:val="32"/>
          <w:highlight w:val="none"/>
        </w:rPr>
      </w:pPr>
    </w:p>
    <w:p w14:paraId="3226CEB5">
      <w:pPr>
        <w:pStyle w:val="3"/>
        <w:spacing w:before="160" w:after="160" w:line="480" w:lineRule="exact"/>
        <w:ind w:firstLine="0"/>
        <w:jc w:val="center"/>
        <w:rPr>
          <w:rFonts w:ascii="黑体" w:hAnsi="黑体" w:eastAsia="黑体"/>
          <w:b w:val="0"/>
          <w:color w:val="auto"/>
          <w:sz w:val="32"/>
          <w:highlight w:val="none"/>
        </w:rPr>
        <w:sectPr>
          <w:footerReference r:id="rId5" w:type="default"/>
          <w:endnotePr>
            <w:numFmt w:val="decimal"/>
          </w:endnotePr>
          <w:pgSz w:w="11907" w:h="16840"/>
          <w:pgMar w:top="1418" w:right="1531" w:bottom="1418" w:left="1701" w:header="851" w:footer="1021" w:gutter="0"/>
          <w:pgNumType w:fmt="decimal"/>
          <w:cols w:space="720" w:num="1"/>
          <w:docGrid w:linePitch="326" w:charSpace="0"/>
        </w:sectPr>
      </w:pPr>
    </w:p>
    <w:p w14:paraId="1AA9AF1F">
      <w:pPr>
        <w:tabs>
          <w:tab w:val="left" w:pos="3780"/>
          <w:tab w:val="center" w:pos="4535"/>
        </w:tabs>
        <w:autoSpaceDE w:val="0"/>
        <w:autoSpaceDN w:val="0"/>
        <w:spacing w:line="360" w:lineRule="auto"/>
        <w:ind w:firstLineChars="0"/>
        <w:jc w:val="center"/>
        <w:rPr>
          <w:rFonts w:hint="eastAsia" w:ascii="宋体"/>
          <w:b/>
          <w:color w:val="auto"/>
          <w:sz w:val="36"/>
          <w:szCs w:val="36"/>
          <w:highlight w:val="none"/>
        </w:rPr>
      </w:pPr>
      <w:r>
        <w:rPr>
          <w:rFonts w:hint="eastAsia" w:ascii="宋体"/>
          <w:b/>
          <w:color w:val="auto"/>
          <w:sz w:val="36"/>
          <w:szCs w:val="36"/>
          <w:highlight w:val="none"/>
        </w:rPr>
        <w:t>目  录</w:t>
      </w:r>
    </w:p>
    <w:p w14:paraId="10E1136D">
      <w:pPr>
        <w:spacing w:line="360" w:lineRule="auto"/>
        <w:rPr>
          <w:rStyle w:val="146"/>
          <w:rFonts w:hint="eastAsia"/>
          <w:b/>
          <w:bCs/>
          <w:caps/>
          <w:color w:val="auto"/>
          <w:sz w:val="24"/>
          <w:szCs w:val="24"/>
          <w:highlight w:val="none"/>
        </w:rPr>
      </w:pPr>
    </w:p>
    <w:p w14:paraId="5CD97EDD">
      <w:pPr>
        <w:pStyle w:val="33"/>
        <w:tabs>
          <w:tab w:val="right" w:leader="dot" w:pos="9060"/>
        </w:tabs>
        <w:spacing w:line="360" w:lineRule="auto"/>
        <w:rPr>
          <w:rFonts w:hint="eastAsia" w:ascii="Calibri" w:hAnsi="Calibri"/>
          <w:b w:val="0"/>
          <w:bCs w:val="0"/>
          <w:caps w:val="0"/>
          <w:color w:val="auto"/>
          <w:sz w:val="24"/>
          <w:szCs w:val="24"/>
          <w:highlight w:val="none"/>
          <w:lang w:eastAsia="zh-CN"/>
        </w:rPr>
      </w:pPr>
      <w:r>
        <w:rPr>
          <w:rStyle w:val="146"/>
          <w:color w:val="auto"/>
          <w:sz w:val="24"/>
          <w:szCs w:val="24"/>
          <w:highlight w:val="none"/>
        </w:rPr>
        <w:fldChar w:fldCharType="begin"/>
      </w:r>
      <w:r>
        <w:rPr>
          <w:rStyle w:val="146"/>
          <w:color w:val="auto"/>
          <w:sz w:val="24"/>
          <w:szCs w:val="24"/>
          <w:highlight w:val="none"/>
        </w:rPr>
        <w:instrText xml:space="preserve"> TOC \o "1-1" \h \z \u </w:instrText>
      </w:r>
      <w:r>
        <w:rPr>
          <w:rStyle w:val="146"/>
          <w:color w:val="auto"/>
          <w:sz w:val="24"/>
          <w:szCs w:val="24"/>
          <w:highlight w:val="none"/>
        </w:rPr>
        <w:fldChar w:fldCharType="separate"/>
      </w:r>
      <w:r>
        <w:rPr>
          <w:rStyle w:val="146"/>
          <w:color w:val="auto"/>
          <w:sz w:val="24"/>
          <w:szCs w:val="24"/>
          <w:highlight w:val="none"/>
        </w:rPr>
        <w:fldChar w:fldCharType="begin"/>
      </w:r>
      <w:r>
        <w:rPr>
          <w:rStyle w:val="146"/>
          <w:color w:val="auto"/>
          <w:sz w:val="24"/>
          <w:szCs w:val="24"/>
          <w:highlight w:val="none"/>
        </w:rPr>
        <w:instrText xml:space="preserve"> </w:instrText>
      </w:r>
      <w:r>
        <w:rPr>
          <w:color w:val="auto"/>
          <w:sz w:val="24"/>
          <w:szCs w:val="24"/>
          <w:highlight w:val="none"/>
        </w:rPr>
        <w:instrText xml:space="preserve">HYPERLINK \l "_Toc396690814"</w:instrText>
      </w:r>
      <w:r>
        <w:rPr>
          <w:rStyle w:val="146"/>
          <w:color w:val="auto"/>
          <w:sz w:val="24"/>
          <w:szCs w:val="24"/>
          <w:highlight w:val="none"/>
        </w:rPr>
        <w:instrText xml:space="preserve"> </w:instrText>
      </w:r>
      <w:r>
        <w:rPr>
          <w:rStyle w:val="146"/>
          <w:color w:val="auto"/>
          <w:sz w:val="24"/>
          <w:szCs w:val="24"/>
          <w:highlight w:val="none"/>
        </w:rPr>
        <w:fldChar w:fldCharType="separate"/>
      </w:r>
      <w:r>
        <w:rPr>
          <w:rStyle w:val="146"/>
          <w:rFonts w:hint="eastAsia"/>
          <w:color w:val="auto"/>
          <w:spacing w:val="5"/>
          <w:sz w:val="24"/>
          <w:szCs w:val="24"/>
          <w:highlight w:val="none"/>
        </w:rPr>
        <w:t>附件</w:t>
      </w:r>
      <w:r>
        <w:rPr>
          <w:rStyle w:val="146"/>
          <w:color w:val="auto"/>
          <w:spacing w:val="5"/>
          <w:sz w:val="24"/>
          <w:szCs w:val="24"/>
          <w:highlight w:val="none"/>
        </w:rPr>
        <w:t xml:space="preserve">1 </w:t>
      </w:r>
      <w:r>
        <w:rPr>
          <w:rStyle w:val="146"/>
          <w:rFonts w:hint="eastAsia"/>
          <w:color w:val="auto"/>
          <w:spacing w:val="5"/>
          <w:sz w:val="24"/>
          <w:szCs w:val="24"/>
          <w:highlight w:val="none"/>
        </w:rPr>
        <w:t>技术规范</w:t>
      </w:r>
      <w:r>
        <w:rPr>
          <w:color w:val="auto"/>
          <w:sz w:val="24"/>
          <w:szCs w:val="24"/>
          <w:highlight w:val="none"/>
        </w:rPr>
        <w:tab/>
      </w:r>
      <w:r>
        <w:rPr>
          <w:rStyle w:val="146"/>
          <w:color w:val="auto"/>
          <w:sz w:val="24"/>
          <w:szCs w:val="24"/>
          <w:highlight w:val="none"/>
        </w:rPr>
        <w:fldChar w:fldCharType="end"/>
      </w:r>
      <w:r>
        <w:rPr>
          <w:rFonts w:hint="eastAsia"/>
          <w:color w:val="auto"/>
          <w:sz w:val="24"/>
          <w:szCs w:val="24"/>
          <w:highlight w:val="none"/>
          <w:lang w:eastAsia="zh-CN"/>
        </w:rPr>
        <w:t>1</w:t>
      </w:r>
    </w:p>
    <w:p w14:paraId="7AE0B2CF">
      <w:pPr>
        <w:pStyle w:val="33"/>
        <w:tabs>
          <w:tab w:val="right" w:leader="dot" w:pos="9060"/>
        </w:tabs>
        <w:spacing w:line="360" w:lineRule="auto"/>
        <w:rPr>
          <w:rFonts w:hint="eastAsia" w:ascii="Calibri" w:hAnsi="Calibri" w:eastAsia="宋体"/>
          <w:b w:val="0"/>
          <w:bCs w:val="0"/>
          <w:caps w:val="0"/>
          <w:color w:val="auto"/>
          <w:sz w:val="24"/>
          <w:szCs w:val="24"/>
          <w:highlight w:val="none"/>
          <w:lang w:eastAsia="zh-CN"/>
        </w:rPr>
      </w:pPr>
      <w:r>
        <w:rPr>
          <w:rStyle w:val="146"/>
          <w:color w:val="auto"/>
          <w:sz w:val="24"/>
          <w:szCs w:val="24"/>
          <w:highlight w:val="none"/>
        </w:rPr>
        <w:fldChar w:fldCharType="begin"/>
      </w:r>
      <w:r>
        <w:rPr>
          <w:rStyle w:val="146"/>
          <w:color w:val="auto"/>
          <w:sz w:val="24"/>
          <w:szCs w:val="24"/>
          <w:highlight w:val="none"/>
        </w:rPr>
        <w:instrText xml:space="preserve"> </w:instrText>
      </w:r>
      <w:r>
        <w:rPr>
          <w:color w:val="auto"/>
          <w:sz w:val="24"/>
          <w:szCs w:val="24"/>
          <w:highlight w:val="none"/>
        </w:rPr>
        <w:instrText xml:space="preserve">HYPERLINK \l "_Toc396690815"</w:instrText>
      </w:r>
      <w:r>
        <w:rPr>
          <w:rStyle w:val="146"/>
          <w:color w:val="auto"/>
          <w:sz w:val="24"/>
          <w:szCs w:val="24"/>
          <w:highlight w:val="none"/>
        </w:rPr>
        <w:instrText xml:space="preserve"> </w:instrText>
      </w:r>
      <w:r>
        <w:rPr>
          <w:rStyle w:val="146"/>
          <w:color w:val="auto"/>
          <w:sz w:val="24"/>
          <w:szCs w:val="24"/>
          <w:highlight w:val="none"/>
        </w:rPr>
        <w:fldChar w:fldCharType="separate"/>
      </w:r>
      <w:r>
        <w:rPr>
          <w:rStyle w:val="146"/>
          <w:rFonts w:hint="eastAsia"/>
          <w:color w:val="auto"/>
          <w:sz w:val="24"/>
          <w:szCs w:val="24"/>
          <w:highlight w:val="none"/>
        </w:rPr>
        <w:t>附件</w:t>
      </w:r>
      <w:r>
        <w:rPr>
          <w:rStyle w:val="146"/>
          <w:color w:val="auto"/>
          <w:sz w:val="24"/>
          <w:szCs w:val="24"/>
          <w:highlight w:val="none"/>
        </w:rPr>
        <w:t xml:space="preserve">2 </w:t>
      </w:r>
      <w:r>
        <w:rPr>
          <w:rStyle w:val="146"/>
          <w:rFonts w:hint="eastAsia"/>
          <w:color w:val="auto"/>
          <w:sz w:val="24"/>
          <w:szCs w:val="24"/>
          <w:highlight w:val="none"/>
        </w:rPr>
        <w:t>供货范围</w:t>
      </w:r>
      <w:r>
        <w:rPr>
          <w:color w:val="auto"/>
          <w:sz w:val="24"/>
          <w:szCs w:val="24"/>
          <w:highlight w:val="none"/>
        </w:rPr>
        <w:tab/>
      </w:r>
      <w:r>
        <w:rPr>
          <w:rStyle w:val="146"/>
          <w:color w:val="auto"/>
          <w:sz w:val="24"/>
          <w:szCs w:val="24"/>
          <w:highlight w:val="none"/>
        </w:rPr>
        <w:fldChar w:fldCharType="end"/>
      </w:r>
      <w:r>
        <w:rPr>
          <w:rFonts w:hint="eastAsia"/>
          <w:color w:val="auto"/>
          <w:sz w:val="24"/>
          <w:szCs w:val="24"/>
          <w:highlight w:val="none"/>
          <w:lang w:eastAsia="zh-CN"/>
        </w:rPr>
        <w:t>2</w:t>
      </w:r>
      <w:r>
        <w:rPr>
          <w:rFonts w:hint="eastAsia"/>
          <w:color w:val="auto"/>
          <w:sz w:val="24"/>
          <w:szCs w:val="24"/>
          <w:highlight w:val="none"/>
          <w:lang w:val="en-US" w:eastAsia="zh-CN"/>
        </w:rPr>
        <w:t>4</w:t>
      </w:r>
    </w:p>
    <w:p w14:paraId="2BE88040">
      <w:pPr>
        <w:pStyle w:val="33"/>
        <w:tabs>
          <w:tab w:val="right" w:leader="dot" w:pos="9060"/>
        </w:tabs>
        <w:spacing w:line="360" w:lineRule="auto"/>
        <w:rPr>
          <w:rFonts w:hint="default" w:ascii="Calibri" w:hAnsi="Calibri" w:eastAsia="宋体"/>
          <w:b w:val="0"/>
          <w:bCs w:val="0"/>
          <w:caps w:val="0"/>
          <w:color w:val="auto"/>
          <w:sz w:val="24"/>
          <w:szCs w:val="24"/>
          <w:highlight w:val="none"/>
          <w:lang w:eastAsia="zh-CN"/>
        </w:rPr>
      </w:pPr>
      <w:r>
        <w:rPr>
          <w:rStyle w:val="146"/>
          <w:color w:val="auto"/>
          <w:sz w:val="24"/>
          <w:szCs w:val="24"/>
          <w:highlight w:val="none"/>
        </w:rPr>
        <w:fldChar w:fldCharType="begin"/>
      </w:r>
      <w:r>
        <w:rPr>
          <w:rStyle w:val="146"/>
          <w:color w:val="auto"/>
          <w:sz w:val="24"/>
          <w:szCs w:val="24"/>
          <w:highlight w:val="none"/>
        </w:rPr>
        <w:instrText xml:space="preserve"> </w:instrText>
      </w:r>
      <w:r>
        <w:rPr>
          <w:color w:val="auto"/>
          <w:sz w:val="24"/>
          <w:szCs w:val="24"/>
          <w:highlight w:val="none"/>
        </w:rPr>
        <w:instrText xml:space="preserve">HYPERLINK \l "_Toc396690816"</w:instrText>
      </w:r>
      <w:r>
        <w:rPr>
          <w:rStyle w:val="146"/>
          <w:color w:val="auto"/>
          <w:sz w:val="24"/>
          <w:szCs w:val="24"/>
          <w:highlight w:val="none"/>
        </w:rPr>
        <w:instrText xml:space="preserve"> </w:instrText>
      </w:r>
      <w:r>
        <w:rPr>
          <w:rStyle w:val="146"/>
          <w:color w:val="auto"/>
          <w:sz w:val="24"/>
          <w:szCs w:val="24"/>
          <w:highlight w:val="none"/>
        </w:rPr>
        <w:fldChar w:fldCharType="separate"/>
      </w:r>
      <w:r>
        <w:rPr>
          <w:rStyle w:val="146"/>
          <w:rFonts w:hint="eastAsia"/>
          <w:color w:val="auto"/>
          <w:sz w:val="24"/>
          <w:szCs w:val="24"/>
          <w:highlight w:val="none"/>
        </w:rPr>
        <w:t>附件</w:t>
      </w:r>
      <w:r>
        <w:rPr>
          <w:rStyle w:val="146"/>
          <w:color w:val="auto"/>
          <w:sz w:val="24"/>
          <w:szCs w:val="24"/>
          <w:highlight w:val="none"/>
        </w:rPr>
        <w:t xml:space="preserve">3 </w:t>
      </w:r>
      <w:r>
        <w:rPr>
          <w:rStyle w:val="146"/>
          <w:rFonts w:hint="eastAsia"/>
          <w:color w:val="auto"/>
          <w:sz w:val="24"/>
          <w:szCs w:val="24"/>
          <w:highlight w:val="none"/>
        </w:rPr>
        <w:t>技术资料</w:t>
      </w:r>
      <w:r>
        <w:rPr>
          <w:rStyle w:val="146"/>
          <w:rFonts w:hint="eastAsia"/>
          <w:color w:val="auto"/>
          <w:sz w:val="24"/>
          <w:szCs w:val="24"/>
          <w:highlight w:val="none"/>
          <w:lang w:val="en-US" w:eastAsia="zh-CN"/>
        </w:rPr>
        <w:t>和</w:t>
      </w:r>
      <w:r>
        <w:rPr>
          <w:rStyle w:val="146"/>
          <w:rFonts w:hint="eastAsia"/>
          <w:color w:val="auto"/>
          <w:sz w:val="24"/>
          <w:szCs w:val="24"/>
          <w:highlight w:val="none"/>
        </w:rPr>
        <w:t>交付进度</w:t>
      </w:r>
      <w:r>
        <w:rPr>
          <w:color w:val="auto"/>
          <w:sz w:val="24"/>
          <w:szCs w:val="24"/>
          <w:highlight w:val="none"/>
        </w:rPr>
        <w:tab/>
      </w:r>
      <w:r>
        <w:rPr>
          <w:rStyle w:val="146"/>
          <w:color w:val="auto"/>
          <w:sz w:val="24"/>
          <w:szCs w:val="24"/>
          <w:highlight w:val="none"/>
        </w:rPr>
        <w:fldChar w:fldCharType="end"/>
      </w:r>
      <w:r>
        <w:rPr>
          <w:rFonts w:hint="eastAsia"/>
          <w:color w:val="auto"/>
          <w:sz w:val="24"/>
          <w:szCs w:val="24"/>
          <w:highlight w:val="none"/>
          <w:lang w:val="en-US" w:eastAsia="zh-CN"/>
        </w:rPr>
        <w:t>29</w:t>
      </w:r>
    </w:p>
    <w:p w14:paraId="60F0F003">
      <w:pPr>
        <w:pStyle w:val="33"/>
        <w:tabs>
          <w:tab w:val="right" w:leader="dot" w:pos="9060"/>
        </w:tabs>
        <w:spacing w:line="360" w:lineRule="auto"/>
        <w:rPr>
          <w:rFonts w:hint="default" w:ascii="Calibri" w:hAnsi="Calibri" w:eastAsia="宋体"/>
          <w:b w:val="0"/>
          <w:bCs w:val="0"/>
          <w:caps w:val="0"/>
          <w:color w:val="auto"/>
          <w:sz w:val="24"/>
          <w:szCs w:val="24"/>
          <w:highlight w:val="none"/>
          <w:lang w:eastAsia="zh-CN"/>
        </w:rPr>
      </w:pPr>
      <w:r>
        <w:rPr>
          <w:rStyle w:val="146"/>
          <w:color w:val="auto"/>
          <w:sz w:val="24"/>
          <w:szCs w:val="24"/>
          <w:highlight w:val="none"/>
        </w:rPr>
        <w:fldChar w:fldCharType="begin"/>
      </w:r>
      <w:r>
        <w:rPr>
          <w:rStyle w:val="146"/>
          <w:color w:val="auto"/>
          <w:sz w:val="24"/>
          <w:szCs w:val="24"/>
          <w:highlight w:val="none"/>
        </w:rPr>
        <w:instrText xml:space="preserve"> </w:instrText>
      </w:r>
      <w:r>
        <w:rPr>
          <w:color w:val="auto"/>
          <w:sz w:val="24"/>
          <w:szCs w:val="24"/>
          <w:highlight w:val="none"/>
        </w:rPr>
        <w:instrText xml:space="preserve">HYPERLINK \l "_Toc396690817"</w:instrText>
      </w:r>
      <w:r>
        <w:rPr>
          <w:rStyle w:val="146"/>
          <w:color w:val="auto"/>
          <w:sz w:val="24"/>
          <w:szCs w:val="24"/>
          <w:highlight w:val="none"/>
        </w:rPr>
        <w:instrText xml:space="preserve"> </w:instrText>
      </w:r>
      <w:r>
        <w:rPr>
          <w:rStyle w:val="146"/>
          <w:color w:val="auto"/>
          <w:sz w:val="24"/>
          <w:szCs w:val="24"/>
          <w:highlight w:val="none"/>
        </w:rPr>
        <w:fldChar w:fldCharType="separate"/>
      </w:r>
      <w:r>
        <w:rPr>
          <w:rStyle w:val="146"/>
          <w:rFonts w:hint="eastAsia"/>
          <w:color w:val="auto"/>
          <w:sz w:val="24"/>
          <w:szCs w:val="24"/>
          <w:highlight w:val="none"/>
        </w:rPr>
        <w:t>附件</w:t>
      </w:r>
      <w:r>
        <w:rPr>
          <w:rStyle w:val="146"/>
          <w:color w:val="auto"/>
          <w:sz w:val="24"/>
          <w:szCs w:val="24"/>
          <w:highlight w:val="none"/>
        </w:rPr>
        <w:t xml:space="preserve">4 </w:t>
      </w:r>
      <w:r>
        <w:rPr>
          <w:rStyle w:val="146"/>
          <w:rFonts w:hint="eastAsia"/>
          <w:color w:val="auto"/>
          <w:sz w:val="24"/>
          <w:szCs w:val="24"/>
          <w:highlight w:val="none"/>
        </w:rPr>
        <w:t>交货进度</w:t>
      </w:r>
      <w:r>
        <w:rPr>
          <w:color w:val="auto"/>
          <w:sz w:val="24"/>
          <w:szCs w:val="24"/>
          <w:highlight w:val="none"/>
        </w:rPr>
        <w:tab/>
      </w:r>
      <w:r>
        <w:rPr>
          <w:rStyle w:val="146"/>
          <w:color w:val="auto"/>
          <w:sz w:val="24"/>
          <w:szCs w:val="24"/>
          <w:highlight w:val="none"/>
        </w:rPr>
        <w:fldChar w:fldCharType="end"/>
      </w:r>
      <w:r>
        <w:rPr>
          <w:rStyle w:val="146"/>
          <w:rFonts w:hint="eastAsia"/>
          <w:color w:val="auto"/>
          <w:sz w:val="24"/>
          <w:szCs w:val="24"/>
          <w:highlight w:val="none"/>
          <w:lang w:val="en-US" w:eastAsia="zh-CN"/>
        </w:rPr>
        <w:t>33</w:t>
      </w:r>
    </w:p>
    <w:p w14:paraId="3152E13F">
      <w:pPr>
        <w:pStyle w:val="33"/>
        <w:tabs>
          <w:tab w:val="right" w:leader="dot" w:pos="9060"/>
        </w:tabs>
        <w:spacing w:line="360" w:lineRule="auto"/>
        <w:rPr>
          <w:rFonts w:hint="default" w:ascii="Calibri" w:hAnsi="Calibri" w:eastAsia="宋体"/>
          <w:b w:val="0"/>
          <w:bCs w:val="0"/>
          <w:caps w:val="0"/>
          <w:color w:val="auto"/>
          <w:sz w:val="24"/>
          <w:szCs w:val="24"/>
          <w:highlight w:val="none"/>
          <w:lang w:val="en-US" w:eastAsia="zh-CN"/>
        </w:rPr>
      </w:pPr>
      <w:r>
        <w:rPr>
          <w:rStyle w:val="146"/>
          <w:color w:val="auto"/>
          <w:sz w:val="24"/>
          <w:szCs w:val="24"/>
          <w:highlight w:val="none"/>
        </w:rPr>
        <w:fldChar w:fldCharType="begin"/>
      </w:r>
      <w:r>
        <w:rPr>
          <w:rStyle w:val="146"/>
          <w:color w:val="auto"/>
          <w:sz w:val="24"/>
          <w:szCs w:val="24"/>
          <w:highlight w:val="none"/>
        </w:rPr>
        <w:instrText xml:space="preserve"> </w:instrText>
      </w:r>
      <w:r>
        <w:rPr>
          <w:color w:val="auto"/>
          <w:sz w:val="24"/>
          <w:szCs w:val="24"/>
          <w:highlight w:val="none"/>
        </w:rPr>
        <w:instrText xml:space="preserve">HYPERLINK \l "_Toc396690818"</w:instrText>
      </w:r>
      <w:r>
        <w:rPr>
          <w:rStyle w:val="146"/>
          <w:color w:val="auto"/>
          <w:sz w:val="24"/>
          <w:szCs w:val="24"/>
          <w:highlight w:val="none"/>
        </w:rPr>
        <w:instrText xml:space="preserve"> </w:instrText>
      </w:r>
      <w:r>
        <w:rPr>
          <w:rStyle w:val="146"/>
          <w:color w:val="auto"/>
          <w:sz w:val="24"/>
          <w:szCs w:val="24"/>
          <w:highlight w:val="none"/>
        </w:rPr>
        <w:fldChar w:fldCharType="separate"/>
      </w:r>
      <w:r>
        <w:rPr>
          <w:rStyle w:val="146"/>
          <w:rFonts w:hint="eastAsia"/>
          <w:color w:val="auto"/>
          <w:sz w:val="24"/>
          <w:szCs w:val="24"/>
          <w:highlight w:val="none"/>
        </w:rPr>
        <w:t>附件</w:t>
      </w:r>
      <w:r>
        <w:rPr>
          <w:rStyle w:val="146"/>
          <w:color w:val="auto"/>
          <w:sz w:val="24"/>
          <w:szCs w:val="24"/>
          <w:highlight w:val="none"/>
        </w:rPr>
        <w:t xml:space="preserve">5 </w:t>
      </w:r>
      <w:r>
        <w:rPr>
          <w:rStyle w:val="146"/>
          <w:rFonts w:hint="eastAsia"/>
          <w:color w:val="auto"/>
          <w:sz w:val="24"/>
          <w:szCs w:val="24"/>
          <w:highlight w:val="none"/>
        </w:rPr>
        <w:t>设备监造、检查和性能验收试验</w:t>
      </w:r>
      <w:r>
        <w:rPr>
          <w:color w:val="auto"/>
          <w:sz w:val="24"/>
          <w:szCs w:val="24"/>
          <w:highlight w:val="none"/>
        </w:rPr>
        <w:tab/>
      </w:r>
      <w:r>
        <w:rPr>
          <w:rStyle w:val="146"/>
          <w:color w:val="auto"/>
          <w:sz w:val="24"/>
          <w:szCs w:val="24"/>
          <w:highlight w:val="none"/>
        </w:rPr>
        <w:fldChar w:fldCharType="end"/>
      </w:r>
      <w:r>
        <w:rPr>
          <w:rStyle w:val="146"/>
          <w:rFonts w:hint="eastAsia"/>
          <w:color w:val="auto"/>
          <w:sz w:val="24"/>
          <w:szCs w:val="24"/>
          <w:highlight w:val="none"/>
          <w:lang w:val="en-US" w:eastAsia="zh-CN"/>
        </w:rPr>
        <w:t>34</w:t>
      </w:r>
    </w:p>
    <w:p w14:paraId="4BB1BA1C">
      <w:pPr>
        <w:pStyle w:val="33"/>
        <w:tabs>
          <w:tab w:val="right" w:leader="dot" w:pos="9060"/>
        </w:tabs>
        <w:spacing w:line="360" w:lineRule="auto"/>
        <w:rPr>
          <w:rFonts w:hint="default" w:ascii="Calibri" w:hAnsi="Calibri" w:eastAsia="宋体"/>
          <w:b w:val="0"/>
          <w:bCs w:val="0"/>
          <w:caps w:val="0"/>
          <w:color w:val="auto"/>
          <w:sz w:val="24"/>
          <w:szCs w:val="24"/>
          <w:highlight w:val="none"/>
          <w:lang w:eastAsia="zh-CN"/>
        </w:rPr>
      </w:pPr>
      <w:r>
        <w:rPr>
          <w:rStyle w:val="146"/>
          <w:color w:val="auto"/>
          <w:sz w:val="24"/>
          <w:szCs w:val="24"/>
          <w:highlight w:val="none"/>
        </w:rPr>
        <w:fldChar w:fldCharType="begin"/>
      </w:r>
      <w:r>
        <w:rPr>
          <w:rStyle w:val="146"/>
          <w:color w:val="auto"/>
          <w:sz w:val="24"/>
          <w:szCs w:val="24"/>
          <w:highlight w:val="none"/>
        </w:rPr>
        <w:instrText xml:space="preserve"> </w:instrText>
      </w:r>
      <w:r>
        <w:rPr>
          <w:color w:val="auto"/>
          <w:sz w:val="24"/>
          <w:szCs w:val="24"/>
          <w:highlight w:val="none"/>
        </w:rPr>
        <w:instrText xml:space="preserve">HYPERLINK \l "_Toc396690819"</w:instrText>
      </w:r>
      <w:r>
        <w:rPr>
          <w:rStyle w:val="146"/>
          <w:color w:val="auto"/>
          <w:sz w:val="24"/>
          <w:szCs w:val="24"/>
          <w:highlight w:val="none"/>
        </w:rPr>
        <w:instrText xml:space="preserve"> </w:instrText>
      </w:r>
      <w:r>
        <w:rPr>
          <w:rStyle w:val="146"/>
          <w:color w:val="auto"/>
          <w:sz w:val="24"/>
          <w:szCs w:val="24"/>
          <w:highlight w:val="none"/>
        </w:rPr>
        <w:fldChar w:fldCharType="separate"/>
      </w:r>
      <w:r>
        <w:rPr>
          <w:rStyle w:val="146"/>
          <w:rFonts w:hint="eastAsia"/>
          <w:color w:val="auto"/>
          <w:sz w:val="24"/>
          <w:szCs w:val="24"/>
          <w:highlight w:val="none"/>
        </w:rPr>
        <w:t>附件</w:t>
      </w:r>
      <w:r>
        <w:rPr>
          <w:rStyle w:val="146"/>
          <w:color w:val="auto"/>
          <w:sz w:val="24"/>
          <w:szCs w:val="24"/>
          <w:highlight w:val="none"/>
        </w:rPr>
        <w:t xml:space="preserve">6 </w:t>
      </w:r>
      <w:r>
        <w:rPr>
          <w:rStyle w:val="146"/>
          <w:rFonts w:ascii="Times New Roman" w:hAnsi="Times New Roman" w:cs="Times New Roman"/>
          <w:color w:val="auto"/>
          <w:sz w:val="24"/>
          <w:szCs w:val="24"/>
          <w:highlight w:val="none"/>
        </w:rPr>
        <w:t>技术服务和联络</w:t>
      </w:r>
      <w:r>
        <w:rPr>
          <w:color w:val="auto"/>
          <w:sz w:val="24"/>
          <w:szCs w:val="24"/>
          <w:highlight w:val="none"/>
        </w:rPr>
        <w:tab/>
      </w:r>
      <w:r>
        <w:rPr>
          <w:rStyle w:val="146"/>
          <w:color w:val="auto"/>
          <w:sz w:val="24"/>
          <w:szCs w:val="24"/>
          <w:highlight w:val="none"/>
        </w:rPr>
        <w:fldChar w:fldCharType="end"/>
      </w:r>
      <w:r>
        <w:rPr>
          <w:rStyle w:val="146"/>
          <w:rFonts w:hint="eastAsia"/>
          <w:color w:val="auto"/>
          <w:sz w:val="24"/>
          <w:szCs w:val="24"/>
          <w:highlight w:val="none"/>
          <w:lang w:val="en-US" w:eastAsia="zh-CN"/>
        </w:rPr>
        <w:t>39</w:t>
      </w:r>
    </w:p>
    <w:p w14:paraId="7E4FADD0">
      <w:pPr>
        <w:pStyle w:val="33"/>
        <w:tabs>
          <w:tab w:val="right" w:leader="dot" w:pos="9060"/>
        </w:tabs>
        <w:spacing w:line="360" w:lineRule="auto"/>
        <w:rPr>
          <w:rFonts w:hint="default" w:ascii="Calibri" w:hAnsi="Calibri" w:eastAsia="宋体"/>
          <w:b w:val="0"/>
          <w:bCs w:val="0"/>
          <w:caps w:val="0"/>
          <w:color w:val="auto"/>
          <w:sz w:val="24"/>
          <w:szCs w:val="24"/>
          <w:highlight w:val="none"/>
          <w:lang w:eastAsia="zh-CN"/>
        </w:rPr>
      </w:pPr>
      <w:r>
        <w:rPr>
          <w:rStyle w:val="146"/>
          <w:color w:val="auto"/>
          <w:sz w:val="24"/>
          <w:szCs w:val="24"/>
          <w:highlight w:val="none"/>
        </w:rPr>
        <w:fldChar w:fldCharType="begin"/>
      </w:r>
      <w:r>
        <w:rPr>
          <w:rStyle w:val="146"/>
          <w:color w:val="auto"/>
          <w:sz w:val="24"/>
          <w:szCs w:val="24"/>
          <w:highlight w:val="none"/>
        </w:rPr>
        <w:instrText xml:space="preserve"> </w:instrText>
      </w:r>
      <w:r>
        <w:rPr>
          <w:color w:val="auto"/>
          <w:sz w:val="24"/>
          <w:szCs w:val="24"/>
          <w:highlight w:val="none"/>
        </w:rPr>
        <w:instrText xml:space="preserve">HYPERLINK \l "_Toc396690820"</w:instrText>
      </w:r>
      <w:r>
        <w:rPr>
          <w:rStyle w:val="146"/>
          <w:color w:val="auto"/>
          <w:sz w:val="24"/>
          <w:szCs w:val="24"/>
          <w:highlight w:val="none"/>
        </w:rPr>
        <w:instrText xml:space="preserve"> </w:instrText>
      </w:r>
      <w:r>
        <w:rPr>
          <w:rStyle w:val="146"/>
          <w:color w:val="auto"/>
          <w:sz w:val="24"/>
          <w:szCs w:val="24"/>
          <w:highlight w:val="none"/>
        </w:rPr>
        <w:fldChar w:fldCharType="separate"/>
      </w:r>
      <w:r>
        <w:rPr>
          <w:rStyle w:val="146"/>
          <w:rFonts w:hint="eastAsia"/>
          <w:color w:val="auto"/>
          <w:sz w:val="24"/>
          <w:szCs w:val="24"/>
          <w:highlight w:val="none"/>
        </w:rPr>
        <w:t>附件</w:t>
      </w:r>
      <w:r>
        <w:rPr>
          <w:rStyle w:val="146"/>
          <w:color w:val="auto"/>
          <w:sz w:val="24"/>
          <w:szCs w:val="24"/>
          <w:highlight w:val="none"/>
        </w:rPr>
        <w:t xml:space="preserve">8 </w:t>
      </w:r>
      <w:r>
        <w:rPr>
          <w:rStyle w:val="146"/>
          <w:rFonts w:hint="eastAsia"/>
          <w:color w:val="auto"/>
          <w:sz w:val="24"/>
          <w:szCs w:val="24"/>
          <w:highlight w:val="none"/>
        </w:rPr>
        <w:t>运行维护手册编写格式</w:t>
      </w:r>
      <w:r>
        <w:rPr>
          <w:color w:val="auto"/>
          <w:sz w:val="24"/>
          <w:szCs w:val="24"/>
          <w:highlight w:val="none"/>
        </w:rPr>
        <w:tab/>
      </w:r>
      <w:r>
        <w:rPr>
          <w:rStyle w:val="146"/>
          <w:color w:val="auto"/>
          <w:sz w:val="24"/>
          <w:szCs w:val="24"/>
          <w:highlight w:val="none"/>
        </w:rPr>
        <w:fldChar w:fldCharType="end"/>
      </w:r>
      <w:r>
        <w:rPr>
          <w:rStyle w:val="146"/>
          <w:rFonts w:hint="eastAsia"/>
          <w:color w:val="auto"/>
          <w:sz w:val="24"/>
          <w:szCs w:val="24"/>
          <w:highlight w:val="none"/>
          <w:lang w:val="en-US" w:eastAsia="zh-CN"/>
        </w:rPr>
        <w:t>43</w:t>
      </w:r>
    </w:p>
    <w:p w14:paraId="40C4A594">
      <w:pPr>
        <w:pStyle w:val="33"/>
        <w:tabs>
          <w:tab w:val="right" w:leader="dot" w:pos="9060"/>
        </w:tabs>
        <w:spacing w:line="360" w:lineRule="auto"/>
        <w:rPr>
          <w:rFonts w:hint="default" w:ascii="Calibri" w:hAnsi="Calibri" w:eastAsia="宋体"/>
          <w:b w:val="0"/>
          <w:bCs w:val="0"/>
          <w:caps w:val="0"/>
          <w:color w:val="auto"/>
          <w:sz w:val="24"/>
          <w:szCs w:val="24"/>
          <w:highlight w:val="none"/>
          <w:lang w:eastAsia="zh-CN"/>
        </w:rPr>
      </w:pPr>
      <w:r>
        <w:rPr>
          <w:rStyle w:val="146"/>
          <w:color w:val="auto"/>
          <w:sz w:val="24"/>
          <w:szCs w:val="24"/>
          <w:highlight w:val="none"/>
        </w:rPr>
        <w:fldChar w:fldCharType="begin"/>
      </w:r>
      <w:r>
        <w:rPr>
          <w:rStyle w:val="146"/>
          <w:color w:val="auto"/>
          <w:sz w:val="24"/>
          <w:szCs w:val="24"/>
          <w:highlight w:val="none"/>
        </w:rPr>
        <w:instrText xml:space="preserve"> </w:instrText>
      </w:r>
      <w:r>
        <w:rPr>
          <w:color w:val="auto"/>
          <w:sz w:val="24"/>
          <w:szCs w:val="24"/>
          <w:highlight w:val="none"/>
        </w:rPr>
        <w:instrText xml:space="preserve">HYPERLINK \l "_Toc396690821"</w:instrText>
      </w:r>
      <w:r>
        <w:rPr>
          <w:rStyle w:val="146"/>
          <w:color w:val="auto"/>
          <w:sz w:val="24"/>
          <w:szCs w:val="24"/>
          <w:highlight w:val="none"/>
        </w:rPr>
        <w:instrText xml:space="preserve"> </w:instrText>
      </w:r>
      <w:r>
        <w:rPr>
          <w:rStyle w:val="146"/>
          <w:color w:val="auto"/>
          <w:sz w:val="24"/>
          <w:szCs w:val="24"/>
          <w:highlight w:val="none"/>
        </w:rPr>
        <w:fldChar w:fldCharType="separate"/>
      </w:r>
      <w:r>
        <w:rPr>
          <w:rStyle w:val="146"/>
          <w:rFonts w:hint="eastAsia"/>
          <w:color w:val="auto"/>
          <w:sz w:val="24"/>
          <w:szCs w:val="24"/>
          <w:highlight w:val="none"/>
        </w:rPr>
        <w:t>附件</w:t>
      </w:r>
      <w:r>
        <w:rPr>
          <w:rStyle w:val="146"/>
          <w:color w:val="auto"/>
          <w:sz w:val="24"/>
          <w:szCs w:val="24"/>
          <w:highlight w:val="none"/>
        </w:rPr>
        <w:t xml:space="preserve">9 </w:t>
      </w:r>
      <w:r>
        <w:rPr>
          <w:rStyle w:val="146"/>
          <w:rFonts w:hint="eastAsia"/>
          <w:color w:val="auto"/>
          <w:sz w:val="24"/>
          <w:szCs w:val="24"/>
          <w:highlight w:val="none"/>
        </w:rPr>
        <w:t>大（部）件情况</w:t>
      </w:r>
      <w:r>
        <w:rPr>
          <w:color w:val="auto"/>
          <w:sz w:val="24"/>
          <w:szCs w:val="24"/>
          <w:highlight w:val="none"/>
        </w:rPr>
        <w:tab/>
      </w:r>
      <w:r>
        <w:rPr>
          <w:rStyle w:val="146"/>
          <w:color w:val="auto"/>
          <w:sz w:val="24"/>
          <w:szCs w:val="24"/>
          <w:highlight w:val="none"/>
        </w:rPr>
        <w:fldChar w:fldCharType="end"/>
      </w:r>
      <w:r>
        <w:rPr>
          <w:rStyle w:val="146"/>
          <w:rFonts w:hint="eastAsia"/>
          <w:color w:val="auto"/>
          <w:sz w:val="24"/>
          <w:szCs w:val="24"/>
          <w:highlight w:val="none"/>
          <w:lang w:val="en-US" w:eastAsia="zh-CN"/>
        </w:rPr>
        <w:t>45</w:t>
      </w:r>
    </w:p>
    <w:p w14:paraId="1C5D0A15">
      <w:pPr>
        <w:pStyle w:val="33"/>
        <w:tabs>
          <w:tab w:val="right" w:leader="dot" w:pos="9060"/>
        </w:tabs>
        <w:spacing w:line="360" w:lineRule="auto"/>
        <w:rPr>
          <w:rFonts w:hint="default" w:ascii="Calibri" w:hAnsi="Calibri" w:eastAsia="宋体"/>
          <w:b w:val="0"/>
          <w:bCs w:val="0"/>
          <w:caps w:val="0"/>
          <w:color w:val="auto"/>
          <w:sz w:val="24"/>
          <w:szCs w:val="24"/>
          <w:highlight w:val="none"/>
          <w:lang w:eastAsia="zh-CN"/>
        </w:rPr>
      </w:pPr>
      <w:r>
        <w:rPr>
          <w:rStyle w:val="146"/>
          <w:color w:val="auto"/>
          <w:sz w:val="24"/>
          <w:szCs w:val="24"/>
          <w:highlight w:val="none"/>
        </w:rPr>
        <w:fldChar w:fldCharType="begin"/>
      </w:r>
      <w:r>
        <w:rPr>
          <w:rStyle w:val="146"/>
          <w:color w:val="auto"/>
          <w:sz w:val="24"/>
          <w:szCs w:val="24"/>
          <w:highlight w:val="none"/>
        </w:rPr>
        <w:instrText xml:space="preserve"> </w:instrText>
      </w:r>
      <w:r>
        <w:rPr>
          <w:color w:val="auto"/>
          <w:sz w:val="24"/>
          <w:szCs w:val="24"/>
          <w:highlight w:val="none"/>
        </w:rPr>
        <w:instrText xml:space="preserve">HYPERLINK \l "_Toc396690822"</w:instrText>
      </w:r>
      <w:r>
        <w:rPr>
          <w:rStyle w:val="146"/>
          <w:color w:val="auto"/>
          <w:sz w:val="24"/>
          <w:szCs w:val="24"/>
          <w:highlight w:val="none"/>
        </w:rPr>
        <w:instrText xml:space="preserve"> </w:instrText>
      </w:r>
      <w:r>
        <w:rPr>
          <w:rStyle w:val="146"/>
          <w:color w:val="auto"/>
          <w:sz w:val="24"/>
          <w:szCs w:val="24"/>
          <w:highlight w:val="none"/>
        </w:rPr>
        <w:fldChar w:fldCharType="separate"/>
      </w:r>
      <w:r>
        <w:rPr>
          <w:rStyle w:val="146"/>
          <w:rFonts w:hint="eastAsia"/>
          <w:color w:val="auto"/>
          <w:sz w:val="24"/>
          <w:szCs w:val="24"/>
          <w:highlight w:val="none"/>
        </w:rPr>
        <w:t>附件</w:t>
      </w:r>
      <w:r>
        <w:rPr>
          <w:rStyle w:val="146"/>
          <w:color w:val="auto"/>
          <w:sz w:val="24"/>
          <w:szCs w:val="24"/>
          <w:highlight w:val="none"/>
        </w:rPr>
        <w:t xml:space="preserve">10 </w:t>
      </w:r>
      <w:r>
        <w:rPr>
          <w:rStyle w:val="146"/>
          <w:rFonts w:hint="eastAsia"/>
          <w:color w:val="auto"/>
          <w:sz w:val="24"/>
          <w:szCs w:val="24"/>
          <w:highlight w:val="none"/>
        </w:rPr>
        <w:t>技术差异表</w:t>
      </w:r>
      <w:r>
        <w:rPr>
          <w:color w:val="auto"/>
          <w:sz w:val="24"/>
          <w:szCs w:val="24"/>
          <w:highlight w:val="none"/>
        </w:rPr>
        <w:tab/>
      </w:r>
      <w:r>
        <w:rPr>
          <w:rStyle w:val="146"/>
          <w:color w:val="auto"/>
          <w:sz w:val="24"/>
          <w:szCs w:val="24"/>
          <w:highlight w:val="none"/>
        </w:rPr>
        <w:fldChar w:fldCharType="end"/>
      </w:r>
      <w:r>
        <w:rPr>
          <w:rStyle w:val="146"/>
          <w:rFonts w:hint="eastAsia"/>
          <w:color w:val="auto"/>
          <w:sz w:val="24"/>
          <w:szCs w:val="24"/>
          <w:highlight w:val="none"/>
          <w:lang w:val="en-US" w:eastAsia="zh-CN"/>
        </w:rPr>
        <w:t>46</w:t>
      </w:r>
    </w:p>
    <w:p w14:paraId="2D90B524">
      <w:pPr>
        <w:pStyle w:val="33"/>
        <w:tabs>
          <w:tab w:val="right" w:leader="dot" w:pos="9060"/>
        </w:tabs>
        <w:spacing w:line="360" w:lineRule="auto"/>
        <w:rPr>
          <w:rFonts w:hint="default" w:ascii="Calibri" w:hAnsi="Calibri" w:eastAsia="宋体"/>
          <w:b w:val="0"/>
          <w:bCs w:val="0"/>
          <w:caps w:val="0"/>
          <w:color w:val="auto"/>
          <w:sz w:val="24"/>
          <w:szCs w:val="24"/>
          <w:highlight w:val="none"/>
          <w:lang w:eastAsia="zh-CN"/>
        </w:rPr>
      </w:pPr>
      <w:r>
        <w:rPr>
          <w:rStyle w:val="146"/>
          <w:color w:val="auto"/>
          <w:sz w:val="24"/>
          <w:szCs w:val="24"/>
          <w:highlight w:val="none"/>
        </w:rPr>
        <w:fldChar w:fldCharType="begin"/>
      </w:r>
      <w:r>
        <w:rPr>
          <w:rStyle w:val="146"/>
          <w:color w:val="auto"/>
          <w:sz w:val="24"/>
          <w:szCs w:val="24"/>
          <w:highlight w:val="none"/>
        </w:rPr>
        <w:instrText xml:space="preserve"> </w:instrText>
      </w:r>
      <w:r>
        <w:rPr>
          <w:color w:val="auto"/>
          <w:sz w:val="24"/>
          <w:szCs w:val="24"/>
          <w:highlight w:val="none"/>
        </w:rPr>
        <w:instrText xml:space="preserve">HYPERLINK \l "_Toc396690823"</w:instrText>
      </w:r>
      <w:r>
        <w:rPr>
          <w:rStyle w:val="146"/>
          <w:color w:val="auto"/>
          <w:sz w:val="24"/>
          <w:szCs w:val="24"/>
          <w:highlight w:val="none"/>
        </w:rPr>
        <w:instrText xml:space="preserve"> </w:instrText>
      </w:r>
      <w:r>
        <w:rPr>
          <w:rStyle w:val="146"/>
          <w:color w:val="auto"/>
          <w:sz w:val="24"/>
          <w:szCs w:val="24"/>
          <w:highlight w:val="none"/>
        </w:rPr>
        <w:fldChar w:fldCharType="separate"/>
      </w:r>
      <w:r>
        <w:rPr>
          <w:rStyle w:val="146"/>
          <w:rFonts w:hint="eastAsia"/>
          <w:color w:val="auto"/>
          <w:sz w:val="24"/>
          <w:szCs w:val="24"/>
          <w:highlight w:val="none"/>
        </w:rPr>
        <w:t>附件</w:t>
      </w:r>
      <w:r>
        <w:rPr>
          <w:rStyle w:val="146"/>
          <w:color w:val="auto"/>
          <w:sz w:val="24"/>
          <w:szCs w:val="24"/>
          <w:highlight w:val="none"/>
        </w:rPr>
        <w:t xml:space="preserve">11 </w:t>
      </w:r>
      <w:r>
        <w:rPr>
          <w:rStyle w:val="146"/>
          <w:rFonts w:hint="eastAsia"/>
          <w:color w:val="auto"/>
          <w:sz w:val="24"/>
          <w:szCs w:val="24"/>
          <w:highlight w:val="none"/>
        </w:rPr>
        <w:t>附图</w:t>
      </w:r>
      <w:r>
        <w:rPr>
          <w:color w:val="auto"/>
          <w:sz w:val="24"/>
          <w:szCs w:val="24"/>
          <w:highlight w:val="none"/>
        </w:rPr>
        <w:tab/>
      </w:r>
      <w:r>
        <w:rPr>
          <w:rStyle w:val="146"/>
          <w:color w:val="auto"/>
          <w:sz w:val="24"/>
          <w:szCs w:val="24"/>
          <w:highlight w:val="none"/>
        </w:rPr>
        <w:fldChar w:fldCharType="end"/>
      </w:r>
      <w:r>
        <w:rPr>
          <w:rStyle w:val="146"/>
          <w:rFonts w:hint="eastAsia"/>
          <w:color w:val="auto"/>
          <w:sz w:val="24"/>
          <w:szCs w:val="24"/>
          <w:highlight w:val="none"/>
          <w:lang w:val="en-US" w:eastAsia="zh-CN"/>
        </w:rPr>
        <w:t>47</w:t>
      </w:r>
    </w:p>
    <w:p w14:paraId="1A1E5985">
      <w:pPr>
        <w:pStyle w:val="33"/>
        <w:tabs>
          <w:tab w:val="right" w:leader="dot" w:pos="9060"/>
        </w:tabs>
        <w:spacing w:line="360" w:lineRule="auto"/>
        <w:rPr>
          <w:rFonts w:hint="default" w:ascii="Calibri" w:hAnsi="Calibri" w:eastAsia="宋体"/>
          <w:b w:val="0"/>
          <w:bCs w:val="0"/>
          <w:caps w:val="0"/>
          <w:color w:val="auto"/>
          <w:sz w:val="24"/>
          <w:szCs w:val="24"/>
          <w:highlight w:val="none"/>
          <w:lang w:val="en-US" w:eastAsia="zh-CN"/>
        </w:rPr>
      </w:pPr>
      <w:r>
        <w:rPr>
          <w:rStyle w:val="146"/>
          <w:color w:val="auto"/>
          <w:sz w:val="24"/>
          <w:szCs w:val="24"/>
          <w:highlight w:val="none"/>
        </w:rPr>
        <w:fldChar w:fldCharType="begin"/>
      </w:r>
      <w:r>
        <w:rPr>
          <w:rStyle w:val="146"/>
          <w:color w:val="auto"/>
          <w:sz w:val="24"/>
          <w:szCs w:val="24"/>
          <w:highlight w:val="none"/>
        </w:rPr>
        <w:instrText xml:space="preserve"> </w:instrText>
      </w:r>
      <w:r>
        <w:rPr>
          <w:color w:val="auto"/>
          <w:sz w:val="24"/>
          <w:szCs w:val="24"/>
          <w:highlight w:val="none"/>
        </w:rPr>
        <w:instrText xml:space="preserve">HYPERLINK \l "_Toc396690824"</w:instrText>
      </w:r>
      <w:r>
        <w:rPr>
          <w:rStyle w:val="146"/>
          <w:color w:val="auto"/>
          <w:sz w:val="24"/>
          <w:szCs w:val="24"/>
          <w:highlight w:val="none"/>
        </w:rPr>
        <w:instrText xml:space="preserve"> </w:instrText>
      </w:r>
      <w:r>
        <w:rPr>
          <w:rStyle w:val="146"/>
          <w:color w:val="auto"/>
          <w:sz w:val="24"/>
          <w:szCs w:val="24"/>
          <w:highlight w:val="none"/>
        </w:rPr>
        <w:fldChar w:fldCharType="separate"/>
      </w:r>
      <w:r>
        <w:rPr>
          <w:rStyle w:val="146"/>
          <w:rFonts w:hint="eastAsia"/>
          <w:color w:val="auto"/>
          <w:sz w:val="24"/>
          <w:szCs w:val="24"/>
          <w:highlight w:val="none"/>
        </w:rPr>
        <w:t>附件</w:t>
      </w:r>
      <w:r>
        <w:rPr>
          <w:rStyle w:val="146"/>
          <w:color w:val="auto"/>
          <w:sz w:val="24"/>
          <w:szCs w:val="24"/>
          <w:highlight w:val="none"/>
        </w:rPr>
        <w:t xml:space="preserve">12 </w:t>
      </w:r>
      <w:r>
        <w:rPr>
          <w:rStyle w:val="146"/>
          <w:rFonts w:hint="eastAsia"/>
          <w:color w:val="auto"/>
          <w:sz w:val="24"/>
          <w:szCs w:val="24"/>
          <w:highlight w:val="none"/>
        </w:rPr>
        <w:t>性能考核条款</w:t>
      </w:r>
      <w:r>
        <w:rPr>
          <w:color w:val="auto"/>
          <w:sz w:val="24"/>
          <w:szCs w:val="24"/>
          <w:highlight w:val="none"/>
        </w:rPr>
        <w:tab/>
      </w:r>
      <w:r>
        <w:rPr>
          <w:rStyle w:val="146"/>
          <w:color w:val="auto"/>
          <w:sz w:val="24"/>
          <w:szCs w:val="24"/>
          <w:highlight w:val="none"/>
        </w:rPr>
        <w:fldChar w:fldCharType="end"/>
      </w:r>
      <w:r>
        <w:rPr>
          <w:rStyle w:val="146"/>
          <w:rFonts w:hint="eastAsia"/>
          <w:color w:val="auto"/>
          <w:sz w:val="24"/>
          <w:szCs w:val="24"/>
          <w:highlight w:val="none"/>
          <w:lang w:val="en-US" w:eastAsia="zh-CN"/>
        </w:rPr>
        <w:t>48</w:t>
      </w:r>
    </w:p>
    <w:p w14:paraId="6FB7FD98">
      <w:pPr>
        <w:pStyle w:val="33"/>
        <w:tabs>
          <w:tab w:val="right" w:leader="dot" w:pos="9060"/>
        </w:tabs>
        <w:spacing w:line="360" w:lineRule="auto"/>
        <w:rPr>
          <w:rFonts w:hint="default" w:ascii="Calibri" w:hAnsi="Calibri"/>
          <w:b w:val="0"/>
          <w:bCs w:val="0"/>
          <w:caps w:val="0"/>
          <w:color w:val="auto"/>
          <w:sz w:val="24"/>
          <w:szCs w:val="24"/>
          <w:highlight w:val="none"/>
          <w:lang w:eastAsia="zh-CN"/>
        </w:rPr>
      </w:pPr>
      <w:r>
        <w:rPr>
          <w:rStyle w:val="146"/>
          <w:color w:val="auto"/>
          <w:sz w:val="24"/>
          <w:szCs w:val="24"/>
          <w:highlight w:val="none"/>
        </w:rPr>
        <w:fldChar w:fldCharType="begin"/>
      </w:r>
      <w:r>
        <w:rPr>
          <w:rStyle w:val="146"/>
          <w:color w:val="auto"/>
          <w:sz w:val="24"/>
          <w:szCs w:val="24"/>
          <w:highlight w:val="none"/>
        </w:rPr>
        <w:instrText xml:space="preserve"> </w:instrText>
      </w:r>
      <w:r>
        <w:rPr>
          <w:color w:val="auto"/>
          <w:sz w:val="24"/>
          <w:szCs w:val="24"/>
          <w:highlight w:val="none"/>
        </w:rPr>
        <w:instrText xml:space="preserve">HYPERLINK \l "_Toc396690825"</w:instrText>
      </w:r>
      <w:r>
        <w:rPr>
          <w:rStyle w:val="146"/>
          <w:color w:val="auto"/>
          <w:sz w:val="24"/>
          <w:szCs w:val="24"/>
          <w:highlight w:val="none"/>
        </w:rPr>
        <w:instrText xml:space="preserve"> </w:instrText>
      </w:r>
      <w:r>
        <w:rPr>
          <w:rStyle w:val="146"/>
          <w:color w:val="auto"/>
          <w:sz w:val="24"/>
          <w:szCs w:val="24"/>
          <w:highlight w:val="none"/>
        </w:rPr>
        <w:fldChar w:fldCharType="separate"/>
      </w:r>
      <w:r>
        <w:rPr>
          <w:rStyle w:val="146"/>
          <w:rFonts w:hint="eastAsia"/>
          <w:color w:val="auto"/>
          <w:sz w:val="24"/>
          <w:szCs w:val="24"/>
          <w:highlight w:val="none"/>
        </w:rPr>
        <w:t>附件</w:t>
      </w:r>
      <w:r>
        <w:rPr>
          <w:rStyle w:val="146"/>
          <w:color w:val="auto"/>
          <w:sz w:val="24"/>
          <w:szCs w:val="24"/>
          <w:highlight w:val="none"/>
        </w:rPr>
        <w:t xml:space="preserve">13 </w:t>
      </w:r>
      <w:r>
        <w:rPr>
          <w:rStyle w:val="146"/>
          <w:rFonts w:hint="eastAsia"/>
          <w:color w:val="auto"/>
          <w:sz w:val="24"/>
          <w:szCs w:val="24"/>
          <w:highlight w:val="none"/>
        </w:rPr>
        <w:t>投标人需要说明的其他内容</w:t>
      </w:r>
      <w:r>
        <w:rPr>
          <w:color w:val="auto"/>
          <w:sz w:val="24"/>
          <w:szCs w:val="24"/>
          <w:highlight w:val="none"/>
        </w:rPr>
        <w:tab/>
      </w:r>
      <w:r>
        <w:rPr>
          <w:rStyle w:val="146"/>
          <w:color w:val="auto"/>
          <w:sz w:val="24"/>
          <w:szCs w:val="24"/>
          <w:highlight w:val="none"/>
        </w:rPr>
        <w:fldChar w:fldCharType="end"/>
      </w:r>
      <w:r>
        <w:rPr>
          <w:rStyle w:val="146"/>
          <w:rFonts w:hint="eastAsia"/>
          <w:color w:val="auto"/>
          <w:sz w:val="24"/>
          <w:szCs w:val="24"/>
          <w:highlight w:val="none"/>
          <w:lang w:val="en-US" w:eastAsia="zh-CN"/>
        </w:rPr>
        <w:t>49</w:t>
      </w:r>
    </w:p>
    <w:p w14:paraId="6FB83817">
      <w:pPr>
        <w:spacing w:line="360" w:lineRule="auto"/>
        <w:rPr>
          <w:color w:val="auto"/>
          <w:sz w:val="24"/>
          <w:szCs w:val="24"/>
          <w:highlight w:val="none"/>
        </w:rPr>
      </w:pPr>
      <w:r>
        <w:rPr>
          <w:rStyle w:val="146"/>
          <w:b/>
          <w:bCs/>
          <w:caps/>
          <w:color w:val="auto"/>
          <w:sz w:val="24"/>
          <w:szCs w:val="24"/>
          <w:highlight w:val="none"/>
        </w:rPr>
        <w:fldChar w:fldCharType="end"/>
      </w:r>
    </w:p>
    <w:p w14:paraId="59317B37">
      <w:pPr>
        <w:pStyle w:val="3"/>
        <w:spacing w:before="160" w:after="160" w:line="480" w:lineRule="exact"/>
        <w:ind w:firstLine="0"/>
        <w:jc w:val="center"/>
        <w:rPr>
          <w:rFonts w:ascii="黑体" w:hAnsi="黑体" w:eastAsia="黑体"/>
          <w:b w:val="0"/>
          <w:color w:val="auto"/>
          <w:sz w:val="32"/>
          <w:highlight w:val="none"/>
        </w:rPr>
        <w:sectPr>
          <w:footerReference r:id="rId6" w:type="default"/>
          <w:endnotePr>
            <w:numFmt w:val="decimal"/>
          </w:endnotePr>
          <w:pgSz w:w="11907" w:h="16840"/>
          <w:pgMar w:top="1418" w:right="1531" w:bottom="1418" w:left="1701" w:header="851" w:footer="1021" w:gutter="0"/>
          <w:pgNumType w:fmt="decimal" w:start="1"/>
          <w:cols w:space="720" w:num="1"/>
          <w:docGrid w:linePitch="326" w:charSpace="0"/>
        </w:sectPr>
      </w:pPr>
    </w:p>
    <w:p w14:paraId="0923F38F">
      <w:pPr>
        <w:pStyle w:val="181"/>
        <w:rPr>
          <w:rFonts w:hint="eastAsia" w:ascii="宋体" w:hAnsi="宋体" w:eastAsia="宋体" w:cs="宋体"/>
          <w:b/>
          <w:bCs/>
          <w:color w:val="auto"/>
          <w:sz w:val="30"/>
          <w:szCs w:val="30"/>
          <w:highlight w:val="none"/>
          <w:lang w:val="zh-CN"/>
        </w:rPr>
      </w:pPr>
      <w:bookmarkStart w:id="1" w:name="_Toc48273138"/>
      <w:bookmarkStart w:id="2" w:name="_Toc334015520"/>
      <w:bookmarkStart w:id="3" w:name="_Toc415140553"/>
      <w:bookmarkStart w:id="4" w:name="_Toc22900"/>
      <w:r>
        <w:rPr>
          <w:rFonts w:hint="eastAsia" w:ascii="宋体" w:hAnsi="宋体" w:eastAsia="宋体" w:cs="宋体"/>
          <w:b/>
          <w:color w:val="auto"/>
          <w:sz w:val="30"/>
          <w:szCs w:val="30"/>
          <w:highlight w:val="none"/>
        </w:rPr>
        <w:t>附件1技术规范</w:t>
      </w:r>
      <w:bookmarkEnd w:id="1"/>
      <w:bookmarkEnd w:id="2"/>
      <w:bookmarkEnd w:id="3"/>
      <w:bookmarkEnd w:id="4"/>
    </w:p>
    <w:p w14:paraId="1D180EB6">
      <w:pPr>
        <w:pStyle w:val="181"/>
        <w:rPr>
          <w:rFonts w:ascii="宋体" w:hAnsi="宋体" w:eastAsia="宋体" w:cs="Times New Roman"/>
          <w:b/>
          <w:bCs/>
          <w:color w:val="auto"/>
          <w:sz w:val="28"/>
          <w:szCs w:val="28"/>
          <w:highlight w:val="none"/>
          <w:lang w:val="zh-CN"/>
        </w:rPr>
      </w:pPr>
      <w:bookmarkStart w:id="5" w:name="_Toc161643187"/>
      <w:r>
        <w:rPr>
          <w:rFonts w:hint="default" w:ascii="宋体" w:hAnsi="宋体" w:eastAsia="宋体" w:cs="Times New Roman"/>
          <w:b/>
          <w:bCs/>
          <w:color w:val="auto"/>
          <w:sz w:val="28"/>
          <w:szCs w:val="28"/>
          <w:highlight w:val="none"/>
          <w:lang w:val="zh-CN"/>
        </w:rPr>
        <w:t>1 总则</w:t>
      </w:r>
      <w:bookmarkEnd w:id="5"/>
    </w:p>
    <w:p w14:paraId="24D3087A">
      <w:pPr>
        <w:widowControl w:val="0"/>
        <w:tabs>
          <w:tab w:val="left" w:pos="600"/>
        </w:tabs>
        <w:adjustRightInd w:val="0"/>
        <w:snapToGrid w:val="0"/>
        <w:spacing w:after="0" w:line="360" w:lineRule="auto"/>
        <w:ind w:firstLine="480" w:firstLineChars="200"/>
        <w:rPr>
          <w:rFonts w:cs="Times New Roman"/>
          <w:color w:val="auto"/>
          <w:kern w:val="2"/>
          <w:sz w:val="24"/>
          <w:szCs w:val="24"/>
          <w:highlight w:val="none"/>
          <w:lang w:eastAsia="zh-CN"/>
        </w:rPr>
      </w:pPr>
      <w:r>
        <w:rPr>
          <w:rFonts w:hint="eastAsia" w:cs="Times New Roman"/>
          <w:color w:val="auto"/>
          <w:kern w:val="2"/>
          <w:sz w:val="24"/>
          <w:szCs w:val="24"/>
          <w:highlight w:val="none"/>
          <w:lang w:eastAsia="zh-CN"/>
        </w:rPr>
        <w:t>1</w:t>
      </w:r>
      <w:r>
        <w:rPr>
          <w:rFonts w:hint="eastAsia" w:cs="Times New Roman"/>
          <w:color w:val="auto"/>
          <w:kern w:val="2"/>
          <w:sz w:val="24"/>
          <w:szCs w:val="24"/>
          <w:highlight w:val="none"/>
          <w:lang w:val="en-US" w:eastAsia="zh-CN"/>
        </w:rPr>
        <w:t>.1</w:t>
      </w:r>
      <w:r>
        <w:rPr>
          <w:rFonts w:hint="eastAsia" w:cs="Times New Roman"/>
          <w:color w:val="auto"/>
          <w:kern w:val="2"/>
          <w:sz w:val="24"/>
          <w:szCs w:val="24"/>
          <w:highlight w:val="none"/>
          <w:lang w:eastAsia="zh-CN"/>
        </w:rPr>
        <w:t xml:space="preserve"> 本招标文件适用于</w:t>
      </w:r>
      <w:r>
        <w:rPr>
          <w:rFonts w:hint="eastAsia" w:ascii="宋体" w:hAnsi="宋体" w:eastAsia="宋体" w:cs="Times New Roman"/>
          <w:color w:val="auto"/>
          <w:kern w:val="2"/>
          <w:sz w:val="24"/>
          <w:szCs w:val="24"/>
          <w:highlight w:val="none"/>
          <w:lang w:eastAsia="zh-CN"/>
        </w:rPr>
        <w:t>浙能武威2×1000MW调峰火电</w:t>
      </w:r>
      <w:r>
        <w:rPr>
          <w:rFonts w:hint="eastAsia" w:cs="Times New Roman"/>
          <w:color w:val="auto"/>
          <w:kern w:val="2"/>
          <w:sz w:val="24"/>
          <w:szCs w:val="24"/>
          <w:highlight w:val="none"/>
          <w:lang w:val="en-US" w:eastAsia="zh-CN"/>
        </w:rPr>
        <w:t>机组工程</w:t>
      </w:r>
      <w:r>
        <w:rPr>
          <w:rFonts w:hint="eastAsia" w:cs="Times New Roman"/>
          <w:color w:val="auto"/>
          <w:kern w:val="2"/>
          <w:sz w:val="24"/>
          <w:szCs w:val="24"/>
          <w:highlight w:val="none"/>
          <w:lang w:eastAsia="zh-CN"/>
        </w:rPr>
        <w:t>宽频同步相量测量装置</w:t>
      </w:r>
      <w:r>
        <w:rPr>
          <w:rFonts w:hint="eastAsia" w:cs="Times New Roman"/>
          <w:color w:val="auto"/>
          <w:kern w:val="2"/>
          <w:sz w:val="24"/>
          <w:szCs w:val="24"/>
          <w:highlight w:val="none"/>
          <w:lang w:eastAsia="zh-CN"/>
        </w:rPr>
        <w:t>及其附属设备、</w:t>
      </w:r>
      <w:r>
        <w:rPr>
          <w:rFonts w:hint="eastAsia" w:cs="Times New Roman"/>
          <w:color w:val="auto"/>
          <w:kern w:val="2"/>
          <w:sz w:val="24"/>
          <w:szCs w:val="24"/>
          <w:highlight w:val="none"/>
          <w:lang w:eastAsia="zh-CN"/>
        </w:rPr>
        <w:t>专用工具、备品备件、图纸资料等</w:t>
      </w:r>
      <w:r>
        <w:rPr>
          <w:rFonts w:hint="eastAsia" w:cs="Times New Roman"/>
          <w:color w:val="auto"/>
          <w:kern w:val="2"/>
          <w:sz w:val="24"/>
          <w:szCs w:val="24"/>
          <w:highlight w:val="none"/>
          <w:lang w:val="zh-CN" w:eastAsia="zh-CN"/>
        </w:rPr>
        <w:t>（简称“标的物”）的</w:t>
      </w:r>
      <w:r>
        <w:rPr>
          <w:rFonts w:hint="eastAsia" w:cs="Times New Roman"/>
          <w:color w:val="auto"/>
          <w:kern w:val="2"/>
          <w:sz w:val="24"/>
          <w:szCs w:val="24"/>
          <w:highlight w:val="none"/>
          <w:lang w:eastAsia="zh-CN"/>
        </w:rPr>
        <w:t>设计标准、技术规格、供货范围、交货进度、</w:t>
      </w:r>
      <w:r>
        <w:rPr>
          <w:rFonts w:hint="eastAsia" w:cs="Times New Roman"/>
          <w:color w:val="auto"/>
          <w:kern w:val="2"/>
          <w:sz w:val="24"/>
          <w:szCs w:val="24"/>
          <w:highlight w:val="none"/>
          <w:lang w:val="zh-CN" w:eastAsia="zh-CN"/>
        </w:rPr>
        <w:t>安装、检验、技术服务</w:t>
      </w:r>
      <w:r>
        <w:rPr>
          <w:rFonts w:hint="eastAsia" w:cs="Times New Roman"/>
          <w:color w:val="auto"/>
          <w:kern w:val="2"/>
          <w:sz w:val="24"/>
          <w:szCs w:val="24"/>
          <w:highlight w:val="none"/>
          <w:lang w:eastAsia="zh-CN"/>
        </w:rPr>
        <w:t>等方面的要求。它提出了宽频同步相量测量装置的功能设计、结构、性能、制造、安装和试验等方面的技术要求，以及供货现场技术、</w:t>
      </w:r>
      <w:r>
        <w:rPr>
          <w:rFonts w:hint="eastAsia" w:cs="Times New Roman"/>
          <w:color w:val="auto"/>
          <w:kern w:val="2"/>
          <w:sz w:val="24"/>
          <w:szCs w:val="24"/>
          <w:highlight w:val="none"/>
          <w:lang w:val="en-US" w:eastAsia="zh-CN"/>
        </w:rPr>
        <w:t>调试</w:t>
      </w:r>
      <w:r>
        <w:rPr>
          <w:rFonts w:hint="eastAsia" w:cs="Times New Roman"/>
          <w:color w:val="auto"/>
          <w:kern w:val="2"/>
          <w:sz w:val="24"/>
          <w:szCs w:val="24"/>
          <w:highlight w:val="none"/>
          <w:lang w:eastAsia="zh-CN"/>
        </w:rPr>
        <w:t>服务。投标人投标时，应按项目分别详细说明技术方案并分别列出全部技术数据。</w:t>
      </w:r>
    </w:p>
    <w:p w14:paraId="2078B902">
      <w:pPr>
        <w:widowControl w:val="0"/>
        <w:tabs>
          <w:tab w:val="left" w:pos="600"/>
        </w:tabs>
        <w:adjustRightInd w:val="0"/>
        <w:snapToGrid w:val="0"/>
        <w:spacing w:after="0" w:line="360" w:lineRule="auto"/>
        <w:ind w:firstLine="480" w:firstLineChars="200"/>
        <w:rPr>
          <w:rFonts w:cs="Times New Roman"/>
          <w:color w:val="auto"/>
          <w:kern w:val="2"/>
          <w:sz w:val="24"/>
          <w:szCs w:val="24"/>
          <w:highlight w:val="none"/>
          <w:lang w:eastAsia="zh-CN"/>
        </w:rPr>
      </w:pPr>
      <w:r>
        <w:rPr>
          <w:rFonts w:hint="eastAsia" w:cs="Times New Roman"/>
          <w:color w:val="auto"/>
          <w:kern w:val="2"/>
          <w:sz w:val="24"/>
          <w:szCs w:val="24"/>
          <w:highlight w:val="none"/>
          <w:lang w:eastAsia="zh-CN"/>
        </w:rPr>
        <w:t>1.2 投标人必须对投标设备或系统的性能保证值提供有关技术支持材料（包括但不限于国家认可有资质的单位出具的产品型式试验报告或鉴定报告或项目的性能验收试验报告等）。</w:t>
      </w:r>
    </w:p>
    <w:p w14:paraId="591873CC">
      <w:pPr>
        <w:widowControl w:val="0"/>
        <w:tabs>
          <w:tab w:val="left" w:pos="600"/>
        </w:tabs>
        <w:adjustRightInd w:val="0"/>
        <w:snapToGrid w:val="0"/>
        <w:spacing w:after="0" w:line="360" w:lineRule="auto"/>
        <w:ind w:firstLine="480" w:firstLineChars="200"/>
        <w:rPr>
          <w:rFonts w:cs="Times New Roman"/>
          <w:color w:val="auto"/>
          <w:kern w:val="2"/>
          <w:sz w:val="24"/>
          <w:szCs w:val="24"/>
          <w:highlight w:val="none"/>
          <w:lang w:eastAsia="zh-CN"/>
        </w:rPr>
      </w:pPr>
      <w:r>
        <w:rPr>
          <w:rFonts w:hint="eastAsia" w:cs="Times New Roman"/>
          <w:color w:val="auto"/>
          <w:kern w:val="2"/>
          <w:sz w:val="24"/>
          <w:szCs w:val="24"/>
          <w:highlight w:val="none"/>
          <w:lang w:eastAsia="zh-CN"/>
        </w:rPr>
        <w:t>1.3 本招标文件提出招标人的最低限度的技术要求（简称技术门槛值），并未规定所有的技术要求和适用的标准。投标人须实质性地响应本技术</w:t>
      </w:r>
      <w:r>
        <w:rPr>
          <w:rFonts w:hint="eastAsia" w:cs="Times New Roman"/>
          <w:color w:val="auto"/>
          <w:kern w:val="2"/>
          <w:sz w:val="24"/>
          <w:szCs w:val="24"/>
          <w:highlight w:val="none"/>
          <w:lang w:val="en-US" w:eastAsia="zh-CN"/>
        </w:rPr>
        <w:t>规范</w:t>
      </w:r>
      <w:r>
        <w:rPr>
          <w:rFonts w:hint="eastAsia" w:cs="Times New Roman"/>
          <w:color w:val="auto"/>
          <w:kern w:val="2"/>
          <w:sz w:val="24"/>
          <w:szCs w:val="24"/>
          <w:highlight w:val="none"/>
          <w:lang w:eastAsia="zh-CN"/>
        </w:rPr>
        <w:t>的技术规定和要求，提供功能齐全的、成套供货的优质产品及其相应的技术服务。同时必须满足国家关于产品质量、安全、工业卫生、劳动保护、环保、消防等强制性标准的要求。</w:t>
      </w:r>
    </w:p>
    <w:p w14:paraId="5FFB4809">
      <w:pPr>
        <w:widowControl w:val="0"/>
        <w:tabs>
          <w:tab w:val="left" w:pos="600"/>
        </w:tabs>
        <w:adjustRightInd w:val="0"/>
        <w:snapToGrid w:val="0"/>
        <w:spacing w:after="0" w:line="360" w:lineRule="auto"/>
        <w:ind w:firstLine="480" w:firstLineChars="200"/>
        <w:rPr>
          <w:rFonts w:cs="Times New Roman"/>
          <w:color w:val="auto"/>
          <w:kern w:val="2"/>
          <w:sz w:val="24"/>
          <w:szCs w:val="24"/>
          <w:highlight w:val="none"/>
          <w:lang w:eastAsia="zh-CN"/>
        </w:rPr>
      </w:pPr>
      <w:r>
        <w:rPr>
          <w:rFonts w:hint="eastAsia" w:cs="Times New Roman"/>
          <w:color w:val="auto"/>
          <w:kern w:val="2"/>
          <w:sz w:val="24"/>
          <w:szCs w:val="24"/>
          <w:highlight w:val="none"/>
          <w:lang w:eastAsia="zh-CN"/>
        </w:rPr>
        <w:t>若投标人提出的技术标准与本招标文件(技术部份)所列标准不一致时，执行较高标准。</w:t>
      </w:r>
    </w:p>
    <w:p w14:paraId="209FDB09">
      <w:pPr>
        <w:widowControl w:val="0"/>
        <w:tabs>
          <w:tab w:val="left" w:pos="600"/>
        </w:tabs>
        <w:adjustRightInd w:val="0"/>
        <w:snapToGrid w:val="0"/>
        <w:spacing w:after="0" w:line="360" w:lineRule="auto"/>
        <w:ind w:firstLine="480" w:firstLineChars="200"/>
        <w:rPr>
          <w:rFonts w:cs="Times New Roman"/>
          <w:color w:val="auto"/>
          <w:kern w:val="2"/>
          <w:sz w:val="24"/>
          <w:szCs w:val="24"/>
          <w:highlight w:val="none"/>
          <w:lang w:val="zh-CN" w:eastAsia="zh-CN"/>
        </w:rPr>
      </w:pPr>
      <w:r>
        <w:rPr>
          <w:rFonts w:hint="eastAsia" w:cs="Times New Roman"/>
          <w:color w:val="auto"/>
          <w:kern w:val="2"/>
          <w:sz w:val="24"/>
          <w:szCs w:val="24"/>
          <w:highlight w:val="none"/>
          <w:lang w:eastAsia="zh-CN"/>
        </w:rPr>
        <w:t>投标人</w:t>
      </w:r>
      <w:r>
        <w:rPr>
          <w:rFonts w:hint="eastAsia" w:cs="Times New Roman"/>
          <w:color w:val="auto"/>
          <w:kern w:val="2"/>
          <w:sz w:val="24"/>
          <w:szCs w:val="24"/>
          <w:highlight w:val="none"/>
          <w:lang w:val="zh-CN" w:eastAsia="zh-CN"/>
        </w:rPr>
        <w:t>对投标过程中技术澄清所作的承诺与投标文件一样具有同等约束力。</w:t>
      </w:r>
    </w:p>
    <w:p w14:paraId="17ABFE32">
      <w:pPr>
        <w:widowControl w:val="0"/>
        <w:tabs>
          <w:tab w:val="left" w:pos="600"/>
        </w:tabs>
        <w:adjustRightInd w:val="0"/>
        <w:snapToGrid w:val="0"/>
        <w:spacing w:after="0" w:line="360" w:lineRule="auto"/>
        <w:ind w:firstLine="480" w:firstLineChars="200"/>
        <w:rPr>
          <w:rFonts w:cs="Times New Roman"/>
          <w:color w:val="auto"/>
          <w:kern w:val="2"/>
          <w:sz w:val="24"/>
          <w:szCs w:val="24"/>
          <w:highlight w:val="none"/>
          <w:lang w:eastAsia="zh-CN"/>
        </w:rPr>
      </w:pPr>
      <w:r>
        <w:rPr>
          <w:rFonts w:hint="eastAsia" w:cs="Times New Roman"/>
          <w:color w:val="auto"/>
          <w:kern w:val="2"/>
          <w:sz w:val="24"/>
          <w:szCs w:val="24"/>
          <w:highlight w:val="none"/>
          <w:lang w:eastAsia="zh-CN"/>
        </w:rPr>
        <w:t>在签订合同之后，招标人保留因规范、标准、规程发生变化而提出一些补充要求，在设备投料生产之前，投标人须在设计上予以修改，但价格不作调整。</w:t>
      </w:r>
    </w:p>
    <w:p w14:paraId="5B82F79F">
      <w:pPr>
        <w:widowControl w:val="0"/>
        <w:tabs>
          <w:tab w:val="left" w:pos="600"/>
        </w:tabs>
        <w:adjustRightInd w:val="0"/>
        <w:snapToGrid w:val="0"/>
        <w:spacing w:after="0" w:line="360" w:lineRule="auto"/>
        <w:ind w:firstLine="480" w:firstLineChars="200"/>
        <w:rPr>
          <w:rFonts w:cs="Times New Roman"/>
          <w:color w:val="auto"/>
          <w:kern w:val="2"/>
          <w:sz w:val="24"/>
          <w:szCs w:val="24"/>
          <w:highlight w:val="none"/>
          <w:lang w:val="zh-CN" w:eastAsia="zh-CN"/>
        </w:rPr>
      </w:pPr>
      <w:r>
        <w:rPr>
          <w:rFonts w:hint="eastAsia" w:cs="Times New Roman"/>
          <w:color w:val="auto"/>
          <w:kern w:val="2"/>
          <w:sz w:val="24"/>
          <w:szCs w:val="24"/>
          <w:highlight w:val="none"/>
          <w:lang w:eastAsia="zh-CN"/>
        </w:rPr>
        <w:t>1.4 投标人所报的</w:t>
      </w:r>
      <w:r>
        <w:rPr>
          <w:rFonts w:hint="eastAsia" w:cs="Times New Roman"/>
          <w:color w:val="auto"/>
          <w:kern w:val="2"/>
          <w:sz w:val="24"/>
          <w:szCs w:val="24"/>
          <w:highlight w:val="none"/>
          <w:lang w:eastAsia="zh-CN"/>
        </w:rPr>
        <w:t>宽频同步相量测量装置</w:t>
      </w:r>
      <w:r>
        <w:rPr>
          <w:rFonts w:hint="eastAsia" w:cs="Times New Roman"/>
          <w:color w:val="auto"/>
          <w:kern w:val="2"/>
          <w:sz w:val="24"/>
          <w:szCs w:val="24"/>
          <w:highlight w:val="none"/>
          <w:lang w:val="en-US" w:eastAsia="zh-CN"/>
        </w:rPr>
        <w:t>及附属设备</w:t>
      </w:r>
      <w:r>
        <w:rPr>
          <w:rFonts w:hint="eastAsia" w:cs="Times New Roman"/>
          <w:color w:val="auto"/>
          <w:kern w:val="2"/>
          <w:sz w:val="24"/>
          <w:szCs w:val="24"/>
          <w:highlight w:val="none"/>
          <w:lang w:eastAsia="zh-CN"/>
        </w:rPr>
        <w:t>，应是已设计、制造和供货的同类设备，且使用条件应与本工程相类似或更严格。或是与外方合资或合作生产的产品，且国外合资方或合作方有同类产品的成熟业绩和商业运行经验。如发现有失实情况，招标人有权拒绝该投标。</w:t>
      </w:r>
    </w:p>
    <w:p w14:paraId="419FF331">
      <w:pPr>
        <w:widowControl w:val="0"/>
        <w:tabs>
          <w:tab w:val="left" w:pos="600"/>
        </w:tabs>
        <w:adjustRightInd w:val="0"/>
        <w:snapToGrid w:val="0"/>
        <w:spacing w:after="0" w:line="360" w:lineRule="auto"/>
        <w:ind w:firstLine="480" w:firstLineChars="200"/>
        <w:rPr>
          <w:rFonts w:cs="Times New Roman"/>
          <w:color w:val="auto"/>
          <w:kern w:val="2"/>
          <w:sz w:val="24"/>
          <w:szCs w:val="24"/>
          <w:highlight w:val="none"/>
          <w:lang w:val="zh-CN" w:eastAsia="zh-CN"/>
        </w:rPr>
      </w:pPr>
      <w:r>
        <w:rPr>
          <w:rFonts w:hint="eastAsia" w:cs="Times New Roman"/>
          <w:color w:val="auto"/>
          <w:kern w:val="2"/>
          <w:sz w:val="24"/>
          <w:szCs w:val="24"/>
          <w:highlight w:val="none"/>
          <w:lang w:eastAsia="zh-CN"/>
        </w:rPr>
        <w:t xml:space="preserve">1.5 </w:t>
      </w:r>
      <w:r>
        <w:rPr>
          <w:rFonts w:hint="eastAsia" w:cs="Times New Roman"/>
          <w:color w:val="auto"/>
          <w:kern w:val="2"/>
          <w:sz w:val="24"/>
          <w:szCs w:val="24"/>
          <w:highlight w:val="none"/>
          <w:lang w:val="zh-CN" w:eastAsia="zh-CN"/>
        </w:rPr>
        <w:t>投标人对成套供货范围内的</w:t>
      </w:r>
      <w:r>
        <w:rPr>
          <w:rFonts w:hint="eastAsia" w:cs="Times New Roman"/>
          <w:color w:val="auto"/>
          <w:kern w:val="2"/>
          <w:sz w:val="24"/>
          <w:szCs w:val="24"/>
          <w:highlight w:val="none"/>
          <w:lang w:val="en-US" w:eastAsia="zh-CN"/>
        </w:rPr>
        <w:t>75</w:t>
      </w:r>
      <w:r>
        <w:rPr>
          <w:rFonts w:hint="eastAsia" w:cs="Times New Roman"/>
          <w:color w:val="auto"/>
          <w:kern w:val="2"/>
          <w:sz w:val="24"/>
          <w:szCs w:val="24"/>
          <w:highlight w:val="none"/>
          <w:lang w:eastAsia="zh-CN"/>
        </w:rPr>
        <w:t>0kV宽频同步相量测量装置</w:t>
      </w:r>
      <w:r>
        <w:rPr>
          <w:rFonts w:hint="eastAsia" w:cs="Times New Roman"/>
          <w:color w:val="auto"/>
          <w:kern w:val="2"/>
          <w:sz w:val="24"/>
          <w:szCs w:val="24"/>
          <w:highlight w:val="none"/>
          <w:lang w:val="zh-CN" w:eastAsia="zh-CN"/>
        </w:rPr>
        <w:t>（含附属系统及设备、附件等）负有全责，包括分包（或对外采购）的产品。分包（或对外采购）的主要产品制造商应具备与分包工作相适应的国家强制性要求的资质(若有)，应事先征得招标人的认可。对于投标人配套的控制装置、仪表设备</w:t>
      </w:r>
      <w:r>
        <w:rPr>
          <w:rFonts w:hint="eastAsia" w:cs="Times New Roman"/>
          <w:color w:val="auto"/>
          <w:kern w:val="2"/>
          <w:sz w:val="24"/>
          <w:szCs w:val="24"/>
          <w:highlight w:val="none"/>
          <w:lang w:val="zh-CN" w:eastAsia="zh-CN"/>
        </w:rPr>
        <w:t>，应能并负责与招标人的其他保护、</w:t>
      </w:r>
      <w:r>
        <w:rPr>
          <w:rFonts w:hint="eastAsia" w:cs="Times New Roman"/>
          <w:color w:val="auto"/>
          <w:kern w:val="2"/>
          <w:sz w:val="24"/>
          <w:szCs w:val="24"/>
          <w:highlight w:val="none"/>
          <w:lang w:eastAsia="zh-CN"/>
        </w:rPr>
        <w:t>保信子站、故障录波器等系统</w:t>
      </w:r>
      <w:r>
        <w:rPr>
          <w:rFonts w:hint="eastAsia" w:cs="Times New Roman"/>
          <w:color w:val="auto"/>
          <w:kern w:val="2"/>
          <w:sz w:val="24"/>
          <w:szCs w:val="24"/>
          <w:highlight w:val="none"/>
          <w:lang w:val="zh-CN" w:eastAsia="zh-CN"/>
        </w:rPr>
        <w:t>协调配合，直至接</w:t>
      </w:r>
      <w:r>
        <w:rPr>
          <w:rFonts w:hint="eastAsia" w:cs="Times New Roman"/>
          <w:color w:val="auto"/>
          <w:kern w:val="2"/>
          <w:sz w:val="24"/>
          <w:szCs w:val="24"/>
          <w:highlight w:val="none"/>
          <w:lang w:val="zh-CN" w:eastAsia="zh-CN"/>
        </w:rPr>
        <w:t>口完备。</w:t>
      </w:r>
    </w:p>
    <w:p w14:paraId="75030674">
      <w:pPr>
        <w:widowControl w:val="0"/>
        <w:tabs>
          <w:tab w:val="left" w:pos="600"/>
        </w:tabs>
        <w:adjustRightInd w:val="0"/>
        <w:snapToGrid w:val="0"/>
        <w:spacing w:after="0" w:line="360" w:lineRule="auto"/>
        <w:ind w:firstLine="480" w:firstLineChars="200"/>
        <w:rPr>
          <w:rFonts w:cs="Times New Roman"/>
          <w:color w:val="auto"/>
          <w:kern w:val="2"/>
          <w:sz w:val="24"/>
          <w:szCs w:val="24"/>
          <w:highlight w:val="none"/>
          <w:lang w:val="zh-CN" w:eastAsia="zh-CN"/>
        </w:rPr>
      </w:pPr>
      <w:r>
        <w:rPr>
          <w:rFonts w:hint="eastAsia" w:cs="Times New Roman"/>
          <w:color w:val="auto"/>
          <w:kern w:val="2"/>
          <w:sz w:val="24"/>
          <w:szCs w:val="24"/>
          <w:highlight w:val="none"/>
          <w:lang w:eastAsia="zh-CN"/>
        </w:rPr>
        <w:t xml:space="preserve">1.6 </w:t>
      </w:r>
      <w:r>
        <w:rPr>
          <w:rFonts w:hint="eastAsia" w:cs="Times New Roman"/>
          <w:color w:val="auto"/>
          <w:kern w:val="2"/>
          <w:sz w:val="24"/>
          <w:szCs w:val="24"/>
          <w:highlight w:val="none"/>
          <w:lang w:val="en-US" w:eastAsia="zh-CN"/>
        </w:rPr>
        <w:t>投标产品</w:t>
      </w:r>
      <w:r>
        <w:rPr>
          <w:rFonts w:hint="eastAsia" w:cs="Times New Roman"/>
          <w:color w:val="auto"/>
          <w:kern w:val="2"/>
          <w:sz w:val="24"/>
          <w:szCs w:val="24"/>
          <w:highlight w:val="none"/>
          <w:lang w:val="zh-CN" w:eastAsia="zh-CN"/>
        </w:rPr>
        <w:t>应</w:t>
      </w:r>
      <w:r>
        <w:rPr>
          <w:rFonts w:hint="eastAsia" w:cs="Times New Roman"/>
          <w:color w:val="auto"/>
          <w:kern w:val="2"/>
          <w:sz w:val="24"/>
          <w:szCs w:val="24"/>
          <w:highlight w:val="none"/>
          <w:lang w:val="en-US" w:eastAsia="zh-CN"/>
        </w:rPr>
        <w:t>选用</w:t>
      </w:r>
      <w:r>
        <w:rPr>
          <w:rFonts w:hint="eastAsia" w:ascii="宋体" w:hAnsi="宋体" w:eastAsia="宋体" w:cs="Times New Roman"/>
          <w:color w:val="auto"/>
          <w:kern w:val="2"/>
          <w:sz w:val="24"/>
          <w:szCs w:val="24"/>
          <w:highlight w:val="none"/>
          <w:lang w:eastAsia="zh-CN"/>
        </w:rPr>
        <w:t>北京四方、国电南自、南瑞继保或相当于</w:t>
      </w:r>
      <w:r>
        <w:rPr>
          <w:rFonts w:hint="eastAsia" w:ascii="宋体" w:hAnsi="宋体" w:eastAsia="宋体" w:cs="Times New Roman"/>
          <w:color w:val="auto"/>
          <w:kern w:val="2"/>
          <w:sz w:val="24"/>
          <w:szCs w:val="24"/>
          <w:highlight w:val="none"/>
          <w:lang w:val="en-US" w:eastAsia="zh-CN"/>
        </w:rPr>
        <w:t>品牌</w:t>
      </w:r>
      <w:r>
        <w:rPr>
          <w:rFonts w:hint="eastAsia" w:cs="Times New Roman"/>
          <w:color w:val="auto"/>
          <w:kern w:val="2"/>
          <w:sz w:val="24"/>
          <w:szCs w:val="24"/>
          <w:highlight w:val="none"/>
          <w:lang w:val="zh-CN" w:eastAsia="zh-CN"/>
        </w:rPr>
        <w:t>。</w:t>
      </w:r>
    </w:p>
    <w:p w14:paraId="3B819EBD">
      <w:pPr>
        <w:widowControl w:val="0"/>
        <w:tabs>
          <w:tab w:val="left" w:pos="600"/>
        </w:tabs>
        <w:adjustRightInd w:val="0"/>
        <w:snapToGrid w:val="0"/>
        <w:spacing w:after="0" w:line="360" w:lineRule="auto"/>
        <w:ind w:firstLine="480" w:firstLineChars="200"/>
        <w:rPr>
          <w:rFonts w:cs="Times New Roman"/>
          <w:color w:val="auto"/>
          <w:kern w:val="2"/>
          <w:sz w:val="24"/>
          <w:szCs w:val="24"/>
          <w:highlight w:val="none"/>
          <w:lang w:eastAsia="zh-CN"/>
        </w:rPr>
      </w:pPr>
      <w:r>
        <w:rPr>
          <w:rFonts w:hint="eastAsia" w:cs="Times New Roman"/>
          <w:color w:val="auto"/>
          <w:kern w:val="2"/>
          <w:sz w:val="24"/>
          <w:szCs w:val="24"/>
          <w:highlight w:val="none"/>
          <w:lang w:val="zh-CN" w:eastAsia="zh-CN"/>
        </w:rPr>
        <w:t xml:space="preserve">1.7 </w:t>
      </w:r>
      <w:r>
        <w:rPr>
          <w:rFonts w:hint="eastAsia" w:cs="Times New Roman"/>
          <w:color w:val="auto"/>
          <w:kern w:val="2"/>
          <w:sz w:val="24"/>
          <w:szCs w:val="24"/>
          <w:highlight w:val="none"/>
          <w:lang w:eastAsia="zh-CN"/>
        </w:rPr>
        <w:t>招标文件(技术部份)对设备及其人身安全的保护的要求是一般性的，投标人必须对投标设备，提供所有必要的安全防护措施并对设备的安全运行和人身安全负全责。</w:t>
      </w:r>
    </w:p>
    <w:p w14:paraId="05234C71">
      <w:pPr>
        <w:widowControl w:val="0"/>
        <w:tabs>
          <w:tab w:val="left" w:pos="600"/>
        </w:tabs>
        <w:adjustRightInd w:val="0"/>
        <w:snapToGrid w:val="0"/>
        <w:spacing w:after="0" w:line="360" w:lineRule="auto"/>
        <w:ind w:firstLine="480" w:firstLineChars="200"/>
        <w:rPr>
          <w:rFonts w:cs="Times New Roman"/>
          <w:color w:val="auto"/>
          <w:kern w:val="2"/>
          <w:sz w:val="24"/>
          <w:szCs w:val="24"/>
          <w:highlight w:val="none"/>
          <w:lang w:eastAsia="zh-CN"/>
        </w:rPr>
      </w:pPr>
      <w:r>
        <w:rPr>
          <w:rFonts w:hint="eastAsia" w:cs="Times New Roman"/>
          <w:color w:val="auto"/>
          <w:kern w:val="2"/>
          <w:sz w:val="24"/>
          <w:szCs w:val="24"/>
          <w:highlight w:val="none"/>
          <w:lang w:eastAsia="zh-CN"/>
        </w:rPr>
        <w:t>1.8 投标人提供的所有的技术资料、表格、图纸和所有的设备全部采用国家法定计量单位。书写语言为中文。</w:t>
      </w:r>
    </w:p>
    <w:p w14:paraId="56B9E843">
      <w:pPr>
        <w:widowControl w:val="0"/>
        <w:tabs>
          <w:tab w:val="left" w:pos="600"/>
        </w:tabs>
        <w:adjustRightInd w:val="0"/>
        <w:snapToGrid w:val="0"/>
        <w:spacing w:after="0" w:line="360" w:lineRule="auto"/>
        <w:ind w:firstLine="480" w:firstLineChars="200"/>
        <w:rPr>
          <w:rFonts w:hint="eastAsia" w:cs="Times New Roman"/>
          <w:color w:val="auto"/>
          <w:kern w:val="2"/>
          <w:sz w:val="24"/>
          <w:szCs w:val="24"/>
          <w:highlight w:val="none"/>
          <w:lang w:eastAsia="zh-CN"/>
        </w:rPr>
      </w:pPr>
      <w:r>
        <w:rPr>
          <w:rFonts w:hint="eastAsia" w:cs="Times New Roman"/>
          <w:color w:val="auto"/>
          <w:kern w:val="2"/>
          <w:sz w:val="24"/>
          <w:szCs w:val="24"/>
          <w:highlight w:val="none"/>
          <w:lang w:eastAsia="zh-CN"/>
        </w:rPr>
        <w:t>1.9 本工程采用KKS标识系统。投标人提供的技术资料（包括图纸）和设备标识必须有KKS三级编码。标识原则、方法和内容在设计联络会上讨论确定。</w:t>
      </w:r>
    </w:p>
    <w:p w14:paraId="5F854017">
      <w:pPr>
        <w:keepNext w:val="0"/>
        <w:keepLines w:val="0"/>
        <w:widowControl/>
        <w:suppressLineNumbers w:val="0"/>
        <w:snapToGrid w:val="0"/>
        <w:spacing w:before="0" w:beforeAutospacing="0" w:after="0" w:afterAutospacing="0" w:line="360" w:lineRule="auto"/>
        <w:ind w:left="0" w:right="0" w:firstLine="480" w:firstLineChars="200"/>
        <w:jc w:val="both"/>
        <w:rPr>
          <w:rFonts w:cs="Times New Roman"/>
          <w:color w:val="auto"/>
          <w:kern w:val="2"/>
          <w:sz w:val="24"/>
          <w:szCs w:val="24"/>
          <w:highlight w:val="none"/>
          <w:lang w:val="en-US" w:eastAsia="zh-CN"/>
        </w:rPr>
      </w:pPr>
      <w:r>
        <w:rPr>
          <w:rFonts w:hint="eastAsia" w:cs="Times New Roman"/>
          <w:color w:val="auto"/>
          <w:kern w:val="2"/>
          <w:sz w:val="24"/>
          <w:szCs w:val="24"/>
          <w:highlight w:val="none"/>
          <w:lang w:eastAsia="zh-CN"/>
        </w:rPr>
        <w:t>本招标设备及系统采用KKS编码标识，其编码原则，由招标人在合同执行中提供，具体编码工作由投标人实施。</w:t>
      </w:r>
      <w:r>
        <w:rPr>
          <w:rFonts w:hint="eastAsia" w:ascii="Times New Roman" w:hAnsi="Times New Roman" w:eastAsia="宋体" w:cs="Times New Roman"/>
          <w:color w:val="auto"/>
          <w:kern w:val="0"/>
          <w:sz w:val="24"/>
          <w:szCs w:val="24"/>
          <w:highlight w:val="none"/>
          <w:lang w:val="en-US" w:eastAsia="zh-CN" w:bidi="ar"/>
        </w:rPr>
        <w:t>本工程采用统一的</w:t>
      </w:r>
      <w:r>
        <w:rPr>
          <w:rFonts w:hint="eastAsia" w:ascii="Calibri" w:hAnsi="Calibri" w:eastAsia="宋体" w:cs="Times New Roman"/>
          <w:color w:val="auto"/>
          <w:kern w:val="0"/>
          <w:sz w:val="24"/>
          <w:szCs w:val="24"/>
          <w:highlight w:val="none"/>
          <w:lang w:val="en-US" w:eastAsia="zh-CN" w:bidi="ar"/>
        </w:rPr>
        <w:t>电厂标识系统。投标人在提供的技术资料（包括图纸）和设备标识必须有电厂标识系统编码（编码的范围为供货范围内所有的建构筑物、设备、阀门、控制设备及仪表等）。编码范围和深度须符合中华人民共和国国家标准《电厂标识系统编码标准》（</w:t>
      </w:r>
      <w:r>
        <w:rPr>
          <w:rFonts w:hint="default" w:ascii="Calibri" w:hAnsi="Calibri" w:eastAsia="宋体" w:cs="Calibri"/>
          <w:color w:val="auto"/>
          <w:kern w:val="0"/>
          <w:sz w:val="24"/>
          <w:szCs w:val="24"/>
          <w:highlight w:val="none"/>
          <w:lang w:val="en-US" w:eastAsia="zh-CN" w:bidi="ar"/>
        </w:rPr>
        <w:t>GB/T50549-2020</w:t>
      </w:r>
      <w:r>
        <w:rPr>
          <w:rFonts w:hint="eastAsia" w:ascii="Calibri" w:hAnsi="Calibri" w:eastAsia="宋体" w:cs="Times New Roman"/>
          <w:color w:val="auto"/>
          <w:kern w:val="0"/>
          <w:sz w:val="24"/>
          <w:szCs w:val="24"/>
          <w:highlight w:val="none"/>
          <w:lang w:val="en-US" w:eastAsia="zh-CN" w:bidi="ar"/>
        </w:rPr>
        <w:t>）</w:t>
      </w:r>
      <w:r>
        <w:rPr>
          <w:rFonts w:hint="eastAsia" w:ascii="Times New Roman" w:hAnsi="Times New Roman" w:eastAsia="宋体" w:cs="Times New Roman"/>
          <w:color w:val="auto"/>
          <w:kern w:val="2"/>
          <w:sz w:val="24"/>
          <w:szCs w:val="24"/>
          <w:highlight w:val="none"/>
          <w:lang w:val="en-US" w:eastAsia="zh-CN" w:bidi="ar"/>
        </w:rPr>
        <w:t>和《国家能源集团电厂标识系统编码（</w:t>
      </w:r>
      <w:r>
        <w:rPr>
          <w:rFonts w:hint="default" w:ascii="Times New Roman" w:hAnsi="Times New Roman" w:eastAsia="宋体" w:cs="Times New Roman"/>
          <w:color w:val="auto"/>
          <w:kern w:val="2"/>
          <w:sz w:val="24"/>
          <w:szCs w:val="24"/>
          <w:highlight w:val="none"/>
          <w:lang w:val="en-US" w:eastAsia="zh-CN" w:bidi="ar"/>
        </w:rPr>
        <w:t>KKS</w:t>
      </w:r>
      <w:r>
        <w:rPr>
          <w:rFonts w:hint="eastAsia" w:ascii="Times New Roman" w:hAnsi="Times New Roman" w:eastAsia="宋体" w:cs="Times New Roman"/>
          <w:color w:val="auto"/>
          <w:kern w:val="2"/>
          <w:sz w:val="24"/>
          <w:szCs w:val="24"/>
          <w:highlight w:val="none"/>
          <w:lang w:val="en-US" w:eastAsia="zh-CN" w:bidi="ar"/>
        </w:rPr>
        <w:t>）应用细则（修订）》（</w:t>
      </w:r>
      <w:r>
        <w:rPr>
          <w:rFonts w:hint="default" w:ascii="Times New Roman" w:hAnsi="Times New Roman" w:eastAsia="宋体" w:cs="Times New Roman"/>
          <w:color w:val="auto"/>
          <w:kern w:val="2"/>
          <w:sz w:val="24"/>
          <w:szCs w:val="24"/>
          <w:highlight w:val="none"/>
          <w:lang w:val="en-US" w:eastAsia="zh-CN" w:bidi="ar"/>
        </w:rPr>
        <w:t>2020</w:t>
      </w:r>
      <w:r>
        <w:rPr>
          <w:rFonts w:hint="eastAsia" w:ascii="Times New Roman" w:hAnsi="Times New Roman" w:eastAsia="宋体" w:cs="Times New Roman"/>
          <w:color w:val="auto"/>
          <w:kern w:val="2"/>
          <w:sz w:val="24"/>
          <w:szCs w:val="24"/>
          <w:highlight w:val="none"/>
          <w:lang w:val="en-US" w:eastAsia="zh-CN" w:bidi="ar"/>
        </w:rPr>
        <w:t>年</w:t>
      </w:r>
      <w:r>
        <w:rPr>
          <w:rFonts w:hint="default" w:ascii="Times New Roman" w:hAnsi="Times New Roman" w:eastAsia="宋体" w:cs="Times New Roman"/>
          <w:color w:val="auto"/>
          <w:kern w:val="2"/>
          <w:sz w:val="24"/>
          <w:szCs w:val="24"/>
          <w:highlight w:val="none"/>
          <w:lang w:val="en-US" w:eastAsia="zh-CN" w:bidi="ar"/>
        </w:rPr>
        <w:t>1</w:t>
      </w:r>
      <w:r>
        <w:rPr>
          <w:rFonts w:hint="eastAsia" w:ascii="Times New Roman" w:hAnsi="Times New Roman" w:eastAsia="宋体" w:cs="Times New Roman"/>
          <w:color w:val="auto"/>
          <w:kern w:val="2"/>
          <w:sz w:val="24"/>
          <w:szCs w:val="24"/>
          <w:highlight w:val="none"/>
          <w:lang w:val="en-US" w:eastAsia="zh-CN" w:bidi="ar"/>
        </w:rPr>
        <w:t>月</w:t>
      </w:r>
      <w:r>
        <w:rPr>
          <w:rFonts w:hint="default" w:ascii="Times New Roman" w:hAnsi="Times New Roman" w:eastAsia="宋体" w:cs="Times New Roman"/>
          <w:color w:val="auto"/>
          <w:kern w:val="2"/>
          <w:sz w:val="24"/>
          <w:szCs w:val="24"/>
          <w:highlight w:val="none"/>
          <w:lang w:val="en-US" w:eastAsia="zh-CN" w:bidi="ar"/>
        </w:rPr>
        <w:t>13</w:t>
      </w:r>
      <w:r>
        <w:rPr>
          <w:rFonts w:hint="eastAsia" w:ascii="Times New Roman" w:hAnsi="Times New Roman" w:eastAsia="宋体" w:cs="Times New Roman"/>
          <w:color w:val="auto"/>
          <w:kern w:val="2"/>
          <w:sz w:val="24"/>
          <w:szCs w:val="24"/>
          <w:highlight w:val="none"/>
          <w:lang w:val="en-US" w:eastAsia="zh-CN" w:bidi="ar"/>
        </w:rPr>
        <w:t>日发布版）</w:t>
      </w:r>
      <w:r>
        <w:rPr>
          <w:rFonts w:hint="eastAsia" w:ascii="Calibri" w:hAnsi="Calibri" w:eastAsia="宋体" w:cs="Times New Roman"/>
          <w:color w:val="auto"/>
          <w:kern w:val="0"/>
          <w:sz w:val="24"/>
          <w:szCs w:val="24"/>
          <w:highlight w:val="none"/>
          <w:lang w:val="en-US" w:eastAsia="zh-CN" w:bidi="ar"/>
        </w:rPr>
        <w:t>的规定。具体标识要求由设计院提出，投标人满足要求。为配合智慧火电工程全寿命周期建设管理，需要投标人完善以下工作：</w:t>
      </w:r>
    </w:p>
    <w:p w14:paraId="0410BAFD">
      <w:pPr>
        <w:pStyle w:val="39"/>
        <w:keepNext w:val="0"/>
        <w:keepLines w:val="0"/>
        <w:widowControl w:val="0"/>
        <w:suppressLineNumbers w:val="0"/>
        <w:tabs>
          <w:tab w:val="left" w:pos="600"/>
        </w:tabs>
        <w:adjustRightInd w:val="0"/>
        <w:snapToGrid w:val="0"/>
        <w:spacing w:before="0" w:beforeAutospacing="0" w:after="0" w:afterAutospacing="0" w:line="360" w:lineRule="auto"/>
        <w:ind w:left="0" w:right="0" w:firstLine="480" w:firstLineChars="200"/>
        <w:jc w:val="left"/>
        <w:rPr>
          <w:rFonts w:hint="default" w:ascii="Calibri" w:hAnsi="Calibri" w:cs="Calibri"/>
          <w:color w:val="auto"/>
          <w:szCs w:val="24"/>
          <w:highlight w:val="none"/>
          <w:lang w:val="en-US"/>
        </w:rPr>
      </w:pPr>
      <w:r>
        <w:rPr>
          <w:rFonts w:hint="eastAsia" w:ascii="Calibri" w:hAnsi="Calibri" w:eastAsia="宋体" w:cs="Times New Roman"/>
          <w:color w:val="auto"/>
          <w:kern w:val="2"/>
          <w:sz w:val="24"/>
          <w:szCs w:val="24"/>
          <w:highlight w:val="none"/>
          <w:lang w:val="en-US" w:eastAsia="zh-CN" w:bidi="ar"/>
        </w:rPr>
        <w:t>投标人应按上述原则进行电厂标识系统编码，并提供系统内所有建构筑物、设备、阀门、仪表等的电厂标识系统编码清册。</w:t>
      </w:r>
    </w:p>
    <w:p w14:paraId="1B0C8E65">
      <w:pPr>
        <w:keepNext w:val="0"/>
        <w:keepLines w:val="0"/>
        <w:widowControl w:val="0"/>
        <w:suppressLineNumbers w:val="0"/>
        <w:snapToGrid w:val="0"/>
        <w:spacing w:before="0" w:beforeAutospacing="0" w:after="0" w:afterAutospacing="0" w:line="360" w:lineRule="auto"/>
        <w:ind w:left="0" w:right="0" w:firstLine="480" w:firstLineChars="200"/>
        <w:jc w:val="both"/>
        <w:rPr>
          <w:rFonts w:hint="default" w:ascii="Calibri" w:hAnsi="Calibri" w:cs="Times New Roman"/>
          <w:color w:val="auto"/>
          <w:kern w:val="2"/>
          <w:sz w:val="24"/>
          <w:szCs w:val="24"/>
          <w:highlight w:val="none"/>
          <w:lang w:val="en-US" w:eastAsia="zh-CN"/>
        </w:rPr>
      </w:pPr>
      <w:r>
        <w:rPr>
          <w:rFonts w:hint="eastAsia" w:ascii="Calibri" w:hAnsi="Calibri" w:eastAsia="宋体" w:cs="Times New Roman"/>
          <w:color w:val="auto"/>
          <w:kern w:val="2"/>
          <w:sz w:val="24"/>
          <w:szCs w:val="24"/>
          <w:highlight w:val="none"/>
          <w:lang w:val="en-US" w:eastAsia="zh-CN" w:bidi="ar"/>
        </w:rPr>
        <w:t>编码深度要求至设备本体组装图级别的所有元部件，并满足全厂工程管理一体化平台要求，</w:t>
      </w:r>
      <w:r>
        <w:rPr>
          <w:rFonts w:hint="eastAsia" w:ascii="Calibri" w:hAnsi="Calibri" w:eastAsia="宋体" w:cs="Times New Roman"/>
          <w:color w:val="auto"/>
          <w:kern w:val="2"/>
          <w:sz w:val="24"/>
          <w:szCs w:val="24"/>
          <w:highlight w:val="none"/>
          <w:lang w:val="en-US" w:eastAsia="zh-CN" w:bidi="ar"/>
        </w:rPr>
        <w:t>按照批次实施。标识的原则、方法和内容将在第一次设计联络会上讨论确定。</w:t>
      </w:r>
    </w:p>
    <w:p w14:paraId="47AD2115">
      <w:pPr>
        <w:widowControl w:val="0"/>
        <w:tabs>
          <w:tab w:val="left" w:pos="600"/>
        </w:tabs>
        <w:adjustRightInd w:val="0"/>
        <w:snapToGrid w:val="0"/>
        <w:spacing w:after="0" w:line="360" w:lineRule="auto"/>
        <w:ind w:firstLine="480" w:firstLineChars="200"/>
        <w:rPr>
          <w:rFonts w:hint="eastAsia" w:cs="Times New Roman"/>
          <w:color w:val="auto"/>
          <w:kern w:val="2"/>
          <w:sz w:val="24"/>
          <w:szCs w:val="24"/>
          <w:highlight w:val="none"/>
          <w:lang w:eastAsia="zh-CN"/>
        </w:rPr>
      </w:pPr>
      <w:r>
        <w:rPr>
          <w:rFonts w:hint="eastAsia" w:cs="Times New Roman"/>
          <w:color w:val="auto"/>
          <w:kern w:val="2"/>
          <w:sz w:val="24"/>
          <w:szCs w:val="24"/>
          <w:highlight w:val="none"/>
          <w:lang w:eastAsia="zh-CN"/>
        </w:rPr>
        <w:t>1.10 投标人要严格按照本招标文件的格式、排序及序号编写投标文件，不用序号可注为不适用，但不能删除。投标人应详细填写技术数据表，不得随意不填数据或更改次序，表格中的项目不得删除；若投标人的设备没有表格所列项目，则可注明不适用，增加的项目，也应注明。</w:t>
      </w:r>
    </w:p>
    <w:p w14:paraId="2C59AC48">
      <w:pPr>
        <w:widowControl w:val="0"/>
        <w:tabs>
          <w:tab w:val="left" w:pos="600"/>
        </w:tabs>
        <w:adjustRightInd w:val="0"/>
        <w:snapToGrid w:val="0"/>
        <w:spacing w:after="0" w:line="360" w:lineRule="auto"/>
        <w:ind w:firstLine="480" w:firstLineChars="200"/>
        <w:rPr>
          <w:rFonts w:hint="eastAsia" w:ascii="宋体" w:hAnsi="宋体" w:eastAsia="宋体" w:cs="Times New Roman"/>
          <w:color w:val="auto"/>
          <w:spacing w:val="0"/>
          <w:kern w:val="2"/>
          <w:sz w:val="24"/>
          <w:szCs w:val="24"/>
          <w:highlight w:val="none"/>
          <w:lang w:eastAsia="zh-CN"/>
        </w:rPr>
      </w:pPr>
      <w:r>
        <w:rPr>
          <w:rFonts w:hint="eastAsia" w:ascii="宋体" w:hAnsi="宋体" w:eastAsia="宋体" w:cs="Times New Roman"/>
          <w:color w:val="auto"/>
          <w:spacing w:val="0"/>
          <w:kern w:val="2"/>
          <w:sz w:val="24"/>
          <w:szCs w:val="24"/>
          <w:highlight w:val="none"/>
          <w:lang w:eastAsia="zh-CN"/>
        </w:rPr>
        <w:t>投标人应在投标文件中，对于招标文件进行逐段应答，表明是否接受和同意本招标文件的要求，如：接受和同意招标文件某条款的要求，则在该条款后注明：“理解并承诺完全响应上述条款的要求”；若针对某条款，投标人有特别的建议、方案、技术特点或差异，请在该条款下加以描述和说明，并在“技术差异表”中列出。</w:t>
      </w:r>
    </w:p>
    <w:p w14:paraId="7B8682CE">
      <w:pPr>
        <w:widowControl w:val="0"/>
        <w:tabs>
          <w:tab w:val="left" w:pos="600"/>
        </w:tabs>
        <w:adjustRightInd w:val="0"/>
        <w:snapToGrid w:val="0"/>
        <w:spacing w:after="0" w:line="360" w:lineRule="auto"/>
        <w:ind w:firstLine="480" w:firstLineChars="200"/>
        <w:rPr>
          <w:rFonts w:hint="eastAsia" w:cs="Times New Roman"/>
          <w:color w:val="auto"/>
          <w:kern w:val="2"/>
          <w:sz w:val="24"/>
          <w:szCs w:val="24"/>
          <w:highlight w:val="none"/>
          <w:lang w:val="zh-CN" w:eastAsia="zh-CN"/>
        </w:rPr>
      </w:pPr>
      <w:r>
        <w:rPr>
          <w:rFonts w:hint="eastAsia" w:ascii="宋体" w:hAnsi="宋体" w:eastAsia="宋体" w:cs="Times New Roman"/>
          <w:color w:val="auto"/>
          <w:spacing w:val="0"/>
          <w:kern w:val="2"/>
          <w:sz w:val="24"/>
          <w:szCs w:val="24"/>
          <w:highlight w:val="none"/>
          <w:lang w:eastAsia="zh-CN"/>
        </w:rPr>
        <w:t>投标人如对本招标文件有偏差(无论多少或微小)都必须清楚地表示在本招标文件的附件“技术差异表”中。否则招标人将认为投标人完全接受和同意本招标文件的要求。</w:t>
      </w:r>
    </w:p>
    <w:p w14:paraId="2E6DC71F">
      <w:pPr>
        <w:widowControl w:val="0"/>
        <w:tabs>
          <w:tab w:val="left" w:pos="600"/>
        </w:tabs>
        <w:adjustRightInd w:val="0"/>
        <w:snapToGrid w:val="0"/>
        <w:spacing w:after="0" w:line="360" w:lineRule="auto"/>
        <w:ind w:firstLine="480" w:firstLineChars="200"/>
        <w:rPr>
          <w:rFonts w:hint="eastAsia" w:cs="Times New Roman"/>
          <w:color w:val="auto"/>
          <w:kern w:val="2"/>
          <w:sz w:val="24"/>
          <w:szCs w:val="24"/>
          <w:highlight w:val="none"/>
          <w:lang w:eastAsia="zh-CN"/>
        </w:rPr>
      </w:pPr>
      <w:r>
        <w:rPr>
          <w:rFonts w:hint="eastAsia" w:cs="Times New Roman"/>
          <w:color w:val="auto"/>
          <w:kern w:val="2"/>
          <w:sz w:val="24"/>
          <w:szCs w:val="24"/>
          <w:highlight w:val="none"/>
          <w:lang w:eastAsia="zh-CN"/>
        </w:rPr>
        <w:t>1.11 若投标人有技术支持方，投标人必须书面说明技术支持方及技术支持方的支持范围。</w:t>
      </w:r>
    </w:p>
    <w:p w14:paraId="6ABCAFE0">
      <w:pPr>
        <w:widowControl w:val="0"/>
        <w:tabs>
          <w:tab w:val="left" w:pos="600"/>
        </w:tabs>
        <w:adjustRightInd w:val="0"/>
        <w:snapToGrid w:val="0"/>
        <w:spacing w:after="0" w:line="360" w:lineRule="auto"/>
        <w:ind w:firstLine="480" w:firstLineChars="200"/>
        <w:rPr>
          <w:rFonts w:hint="eastAsia" w:cs="Times New Roman"/>
          <w:color w:val="auto"/>
          <w:kern w:val="2"/>
          <w:sz w:val="24"/>
          <w:szCs w:val="24"/>
          <w:highlight w:val="none"/>
          <w:lang w:eastAsia="zh-CN"/>
        </w:rPr>
      </w:pPr>
      <w:r>
        <w:rPr>
          <w:rFonts w:hint="eastAsia" w:cs="Times New Roman"/>
          <w:color w:val="auto"/>
          <w:kern w:val="2"/>
          <w:sz w:val="24"/>
          <w:szCs w:val="24"/>
          <w:highlight w:val="none"/>
          <w:lang w:eastAsia="zh-CN"/>
        </w:rPr>
        <w:t>1.12 应满足当地电网公司对网源协调的技术要求，</w:t>
      </w:r>
      <w:r>
        <w:rPr>
          <w:rFonts w:hint="eastAsia" w:ascii="宋体"/>
          <w:color w:val="auto"/>
          <w:sz w:val="24"/>
          <w:szCs w:val="24"/>
          <w:highlight w:val="none"/>
          <w:lang w:val="en-US" w:eastAsia="zh-CN"/>
        </w:rPr>
        <w:t>西北调控〔2022〕156 号《西北电网网源协调管理规定(2022 版)》</w:t>
      </w:r>
      <w:r>
        <w:rPr>
          <w:rFonts w:hint="eastAsia" w:cs="Times New Roman"/>
          <w:color w:val="auto"/>
          <w:kern w:val="2"/>
          <w:sz w:val="24"/>
          <w:szCs w:val="24"/>
          <w:highlight w:val="none"/>
          <w:lang w:eastAsia="zh-CN"/>
        </w:rPr>
        <w:t>。</w:t>
      </w:r>
    </w:p>
    <w:p w14:paraId="43995763">
      <w:pPr>
        <w:widowControl w:val="0"/>
        <w:tabs>
          <w:tab w:val="left" w:pos="600"/>
        </w:tabs>
        <w:autoSpaceDE/>
        <w:autoSpaceDN/>
        <w:adjustRightInd w:val="0"/>
        <w:snapToGrid w:val="0"/>
        <w:spacing w:after="0" w:afterLines="-2147483648" w:line="360" w:lineRule="auto"/>
        <w:ind w:firstLine="480" w:firstLineChars="200"/>
        <w:rPr>
          <w:rFonts w:hint="eastAsia" w:cs="Times New Roman"/>
          <w:b w:val="0"/>
          <w:bCs w:val="0"/>
          <w:color w:val="auto"/>
          <w:kern w:val="2"/>
          <w:sz w:val="24"/>
          <w:szCs w:val="24"/>
          <w:highlight w:val="none"/>
          <w:lang w:eastAsia="zh-CN"/>
        </w:rPr>
      </w:pPr>
      <w:r>
        <w:rPr>
          <w:rFonts w:hint="eastAsia" w:cs="Times New Roman"/>
          <w:b w:val="0"/>
          <w:bCs w:val="0"/>
          <w:color w:val="auto"/>
          <w:kern w:val="2"/>
          <w:sz w:val="24"/>
          <w:szCs w:val="24"/>
          <w:highlight w:val="none"/>
          <w:lang w:eastAsia="zh-CN"/>
        </w:rPr>
        <w:t>1.13投标人所供的产品近三年未发生影响机组和电网安全运行的事故和事件。</w:t>
      </w:r>
    </w:p>
    <w:p w14:paraId="15E81819">
      <w:pPr>
        <w:widowControl w:val="0"/>
        <w:tabs>
          <w:tab w:val="left" w:pos="600"/>
        </w:tabs>
        <w:adjustRightInd w:val="0"/>
        <w:snapToGrid w:val="0"/>
        <w:spacing w:after="0" w:line="360" w:lineRule="auto"/>
        <w:ind w:firstLine="482" w:firstLineChars="200"/>
        <w:rPr>
          <w:rFonts w:hint="default" w:cs="Times New Roman"/>
          <w:b/>
          <w:bCs/>
          <w:color w:val="auto"/>
          <w:kern w:val="2"/>
          <w:sz w:val="24"/>
          <w:szCs w:val="24"/>
          <w:highlight w:val="none"/>
          <w:lang w:val="en-US" w:eastAsia="zh-CN"/>
        </w:rPr>
      </w:pPr>
      <w:r>
        <w:rPr>
          <w:rFonts w:hint="eastAsia" w:cs="Times New Roman"/>
          <w:b/>
          <w:bCs/>
          <w:color w:val="auto"/>
          <w:kern w:val="2"/>
          <w:sz w:val="24"/>
          <w:szCs w:val="24"/>
          <w:highlight w:val="none"/>
          <w:lang w:val="en-US" w:eastAsia="zh-CN"/>
        </w:rPr>
        <w:t>1.14</w:t>
      </w:r>
      <w:r>
        <w:rPr>
          <w:rFonts w:hint="eastAsia" w:cs="Times New Roman"/>
          <w:b/>
          <w:bCs/>
          <w:color w:val="auto"/>
          <w:spacing w:val="0"/>
          <w:kern w:val="2"/>
          <w:sz w:val="24"/>
          <w:szCs w:val="24"/>
          <w:highlight w:val="none"/>
          <w:lang w:val="en-US" w:eastAsia="zh-CN"/>
        </w:rPr>
        <w:t>*</w:t>
      </w:r>
      <w:r>
        <w:rPr>
          <w:rFonts w:hint="eastAsia" w:ascii="宋体" w:hAnsi="宋体" w:eastAsia="宋体" w:cs="宋体"/>
          <w:b/>
          <w:bCs/>
          <w:color w:val="auto"/>
          <w:sz w:val="24"/>
          <w:szCs w:val="24"/>
          <w:highlight w:val="none"/>
        </w:rPr>
        <w:t>投标</w:t>
      </w:r>
      <w:r>
        <w:rPr>
          <w:rFonts w:hint="eastAsia" w:cs="宋体"/>
          <w:b/>
          <w:bCs/>
          <w:color w:val="auto"/>
          <w:sz w:val="24"/>
          <w:szCs w:val="24"/>
          <w:highlight w:val="none"/>
          <w:lang w:val="en-US" w:eastAsia="zh-CN"/>
        </w:rPr>
        <w:t>人</w:t>
      </w:r>
      <w:bookmarkStart w:id="113" w:name="_GoBack"/>
      <w:bookmarkEnd w:id="113"/>
      <w:r>
        <w:rPr>
          <w:rFonts w:hint="eastAsia" w:ascii="宋体" w:hAnsi="宋体" w:eastAsia="宋体" w:cs="宋体"/>
          <w:b/>
          <w:bCs/>
          <w:color w:val="auto"/>
          <w:sz w:val="24"/>
          <w:szCs w:val="24"/>
          <w:highlight w:val="none"/>
        </w:rPr>
        <w:t>提供的宽频测量装置应在国家或电力工业检验检测机构通过型式试验、动模试验</w:t>
      </w: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rPr>
        <w:t>并提供相应的报告。</w:t>
      </w:r>
    </w:p>
    <w:p w14:paraId="66343A93">
      <w:pPr>
        <w:widowControl w:val="0"/>
        <w:tabs>
          <w:tab w:val="left" w:pos="600"/>
        </w:tabs>
        <w:adjustRightInd w:val="0"/>
        <w:snapToGrid w:val="0"/>
        <w:spacing w:after="0" w:line="360" w:lineRule="auto"/>
        <w:ind w:firstLine="482" w:firstLineChars="200"/>
        <w:rPr>
          <w:rFonts w:hint="default" w:cs="Times New Roman"/>
          <w:b/>
          <w:bCs/>
          <w:color w:val="auto"/>
          <w:spacing w:val="0"/>
          <w:kern w:val="2"/>
          <w:sz w:val="24"/>
          <w:szCs w:val="24"/>
          <w:highlight w:val="none"/>
          <w:lang w:val="en-US" w:eastAsia="zh-CN"/>
        </w:rPr>
      </w:pPr>
      <w:r>
        <w:rPr>
          <w:rFonts w:hint="eastAsia" w:cs="Times New Roman"/>
          <w:b/>
          <w:bCs/>
          <w:color w:val="auto"/>
          <w:kern w:val="2"/>
          <w:sz w:val="24"/>
          <w:szCs w:val="24"/>
          <w:highlight w:val="none"/>
          <w:lang w:eastAsia="zh-CN"/>
        </w:rPr>
        <w:t>1.1</w:t>
      </w:r>
      <w:r>
        <w:rPr>
          <w:rFonts w:hint="eastAsia" w:cs="Times New Roman"/>
          <w:b/>
          <w:bCs/>
          <w:color w:val="auto"/>
          <w:kern w:val="2"/>
          <w:sz w:val="24"/>
          <w:szCs w:val="24"/>
          <w:highlight w:val="none"/>
          <w:lang w:val="en-US" w:eastAsia="zh-CN"/>
        </w:rPr>
        <w:t>5</w:t>
      </w:r>
      <w:r>
        <w:rPr>
          <w:rFonts w:hint="eastAsia" w:cs="Times New Roman"/>
          <w:b/>
          <w:bCs/>
          <w:color w:val="auto"/>
          <w:spacing w:val="0"/>
          <w:kern w:val="2"/>
          <w:sz w:val="24"/>
          <w:szCs w:val="24"/>
          <w:highlight w:val="none"/>
          <w:lang w:val="en-US" w:eastAsia="zh-CN"/>
        </w:rPr>
        <w:t>*</w:t>
      </w:r>
      <w:r>
        <w:rPr>
          <w:rFonts w:hint="eastAsia" w:cs="Times New Roman"/>
          <w:b/>
          <w:bCs/>
          <w:color w:val="auto"/>
          <w:spacing w:val="0"/>
          <w:kern w:val="2"/>
          <w:sz w:val="24"/>
          <w:szCs w:val="24"/>
          <w:highlight w:val="none"/>
          <w:lang w:eastAsia="zh-CN"/>
        </w:rPr>
        <w:t>投标人</w:t>
      </w:r>
      <w:r>
        <w:rPr>
          <w:rFonts w:hint="eastAsia" w:cs="Times New Roman"/>
          <w:b/>
          <w:bCs/>
          <w:color w:val="auto"/>
          <w:spacing w:val="0"/>
          <w:kern w:val="2"/>
          <w:sz w:val="24"/>
          <w:szCs w:val="24"/>
          <w:highlight w:val="none"/>
          <w:lang w:eastAsia="zh-CN"/>
        </w:rPr>
        <w:t>提供的</w:t>
      </w:r>
      <w:r>
        <w:rPr>
          <w:rFonts w:hint="eastAsia" w:cs="Times New Roman"/>
          <w:b/>
          <w:bCs/>
          <w:color w:val="auto"/>
          <w:kern w:val="2"/>
          <w:sz w:val="24"/>
          <w:szCs w:val="24"/>
          <w:highlight w:val="none"/>
          <w:lang w:eastAsia="zh-CN"/>
        </w:rPr>
        <w:t>宽频测量装置</w:t>
      </w:r>
      <w:r>
        <w:rPr>
          <w:rFonts w:hint="eastAsia" w:cs="Times New Roman"/>
          <w:b/>
          <w:bCs/>
          <w:color w:val="auto"/>
          <w:spacing w:val="0"/>
          <w:kern w:val="2"/>
          <w:sz w:val="24"/>
          <w:szCs w:val="24"/>
          <w:highlight w:val="none"/>
          <w:lang w:eastAsia="zh-CN"/>
        </w:rPr>
        <w:t>应</w:t>
      </w:r>
      <w:r>
        <w:rPr>
          <w:rFonts w:hint="eastAsia" w:cs="Times New Roman"/>
          <w:b/>
          <w:bCs/>
          <w:color w:val="auto"/>
          <w:spacing w:val="0"/>
          <w:kern w:val="2"/>
          <w:sz w:val="24"/>
          <w:szCs w:val="24"/>
          <w:highlight w:val="none"/>
          <w:lang w:val="en-US" w:eastAsia="zh-CN"/>
        </w:rPr>
        <w:t>具有中国电科院或国网电科院</w:t>
      </w:r>
      <w:r>
        <w:rPr>
          <w:rFonts w:hint="eastAsia" w:ascii="宋体" w:hAnsi="宋体" w:eastAsia="宋体" w:cs="宋体"/>
          <w:b/>
          <w:bCs/>
          <w:color w:val="auto"/>
          <w:sz w:val="24"/>
          <w:szCs w:val="24"/>
          <w:highlight w:val="none"/>
          <w:lang w:val="en-US" w:eastAsia="zh-CN"/>
        </w:rPr>
        <w:t>或开普实验室</w:t>
      </w:r>
      <w:r>
        <w:rPr>
          <w:rFonts w:hint="eastAsia" w:cs="Times New Roman"/>
          <w:b/>
          <w:bCs/>
          <w:color w:val="auto"/>
          <w:spacing w:val="0"/>
          <w:kern w:val="2"/>
          <w:sz w:val="24"/>
          <w:szCs w:val="24"/>
          <w:highlight w:val="none"/>
          <w:lang w:val="en-US" w:eastAsia="zh-CN"/>
        </w:rPr>
        <w:t>出具的检测</w:t>
      </w:r>
      <w:r>
        <w:rPr>
          <w:rFonts w:hint="eastAsia" w:cs="Times New Roman"/>
          <w:b/>
          <w:bCs/>
          <w:color w:val="auto"/>
          <w:spacing w:val="0"/>
          <w:kern w:val="2"/>
          <w:sz w:val="24"/>
          <w:szCs w:val="24"/>
          <w:highlight w:val="none"/>
          <w:lang w:eastAsia="zh-CN"/>
        </w:rPr>
        <w:t>报告。</w:t>
      </w:r>
    </w:p>
    <w:p w14:paraId="67510AB2">
      <w:pPr>
        <w:widowControl w:val="0"/>
        <w:tabs>
          <w:tab w:val="left" w:pos="600"/>
        </w:tabs>
        <w:adjustRightInd w:val="0"/>
        <w:snapToGrid w:val="0"/>
        <w:spacing w:after="0" w:line="360" w:lineRule="auto"/>
        <w:ind w:firstLine="480" w:firstLineChars="200"/>
        <w:rPr>
          <w:rFonts w:hint="eastAsia" w:cs="Times New Roman"/>
          <w:b/>
          <w:bCs/>
          <w:color w:val="auto"/>
          <w:spacing w:val="0"/>
          <w:kern w:val="2"/>
          <w:sz w:val="24"/>
          <w:szCs w:val="24"/>
          <w:highlight w:val="none"/>
          <w:lang w:eastAsia="zh-CN"/>
        </w:rPr>
      </w:pPr>
      <w:r>
        <w:rPr>
          <w:rFonts w:hint="eastAsia" w:cs="Times New Roman"/>
          <w:b w:val="0"/>
          <w:bCs w:val="0"/>
          <w:color w:val="auto"/>
          <w:spacing w:val="0"/>
          <w:kern w:val="2"/>
          <w:sz w:val="24"/>
          <w:szCs w:val="24"/>
          <w:highlight w:val="none"/>
          <w:lang w:eastAsia="zh-CN"/>
        </w:rPr>
        <w:t>所投标的装置必须符合国家电网公司颁布的《</w:t>
      </w:r>
      <w:r>
        <w:rPr>
          <w:rFonts w:hint="eastAsia" w:cs="Times New Roman"/>
          <w:b w:val="0"/>
          <w:bCs w:val="0"/>
          <w:color w:val="auto"/>
          <w:spacing w:val="0"/>
          <w:kern w:val="2"/>
          <w:sz w:val="24"/>
          <w:szCs w:val="24"/>
          <w:highlight w:val="none"/>
          <w:lang w:val="en-US" w:eastAsia="zh-CN"/>
        </w:rPr>
        <w:t xml:space="preserve">Q/GDW 12214-2022 </w:t>
      </w:r>
      <w:r>
        <w:rPr>
          <w:rFonts w:hint="eastAsia" w:cs="Times New Roman"/>
          <w:b w:val="0"/>
          <w:bCs w:val="0"/>
          <w:color w:val="auto"/>
          <w:spacing w:val="0"/>
          <w:kern w:val="2"/>
          <w:sz w:val="24"/>
          <w:szCs w:val="24"/>
          <w:highlight w:val="none"/>
          <w:lang w:eastAsia="zh-CN"/>
        </w:rPr>
        <w:t>电力系统宽频测量装置技术规范》</w:t>
      </w:r>
      <w:r>
        <w:rPr>
          <w:rFonts w:hint="eastAsia" w:cs="Times New Roman"/>
          <w:b w:val="0"/>
          <w:bCs w:val="0"/>
          <w:color w:val="auto"/>
          <w:spacing w:val="0"/>
          <w:kern w:val="2"/>
          <w:sz w:val="24"/>
          <w:szCs w:val="24"/>
          <w:highlight w:val="none"/>
          <w:lang w:eastAsia="zh-CN"/>
        </w:rPr>
        <w:t>。</w:t>
      </w:r>
    </w:p>
    <w:p w14:paraId="4A6B9079">
      <w:pPr>
        <w:widowControl w:val="0"/>
        <w:tabs>
          <w:tab w:val="left" w:pos="600"/>
        </w:tabs>
        <w:adjustRightInd w:val="0"/>
        <w:snapToGrid w:val="0"/>
        <w:spacing w:after="0" w:line="360" w:lineRule="auto"/>
        <w:ind w:firstLine="480" w:firstLineChars="200"/>
        <w:rPr>
          <w:rFonts w:hint="eastAsia" w:ascii="宋体" w:hAnsi="宋体" w:cs="Times New Roman"/>
          <w:b w:val="0"/>
          <w:color w:val="auto"/>
          <w:kern w:val="2"/>
          <w:sz w:val="24"/>
          <w:szCs w:val="24"/>
          <w:highlight w:val="none"/>
          <w:lang w:eastAsia="zh-CN"/>
        </w:rPr>
      </w:pPr>
      <w:r>
        <w:rPr>
          <w:rFonts w:hint="eastAsia" w:cs="Times New Roman"/>
          <w:b w:val="0"/>
          <w:bCs w:val="0"/>
          <w:color w:val="auto"/>
          <w:spacing w:val="0"/>
          <w:kern w:val="2"/>
          <w:sz w:val="24"/>
          <w:szCs w:val="24"/>
          <w:highlight w:val="none"/>
          <w:lang w:eastAsia="zh-CN"/>
        </w:rPr>
        <w:t>以上所有设备均需按照调网安{2018}10号文：国调中心关于印发《国家电网公司电力监控系统等级保护及安全评估工作规范（试行）》等三个文件的通知的要求完成AGENT探针程序（经中国电力科学研究院认证）的安装并配合II型网络安全监测装置厂家完成二次安全防护调试。</w:t>
      </w:r>
    </w:p>
    <w:p w14:paraId="1EE56097">
      <w:pPr>
        <w:widowControl w:val="0"/>
        <w:tabs>
          <w:tab w:val="left" w:pos="600"/>
        </w:tabs>
        <w:adjustRightInd w:val="0"/>
        <w:snapToGrid w:val="0"/>
        <w:spacing w:after="0" w:line="360" w:lineRule="auto"/>
        <w:ind w:firstLine="480" w:firstLineChars="200"/>
        <w:rPr>
          <w:rFonts w:cs="Times New Roman"/>
          <w:color w:val="auto"/>
          <w:kern w:val="2"/>
          <w:sz w:val="24"/>
          <w:szCs w:val="24"/>
          <w:highlight w:val="none"/>
          <w:lang w:eastAsia="zh-CN"/>
        </w:rPr>
      </w:pPr>
      <w:r>
        <w:rPr>
          <w:rFonts w:hint="eastAsia" w:cs="Times New Roman"/>
          <w:color w:val="auto"/>
          <w:kern w:val="2"/>
          <w:sz w:val="24"/>
          <w:szCs w:val="24"/>
          <w:highlight w:val="none"/>
          <w:lang w:eastAsia="zh-CN"/>
        </w:rPr>
        <w:t>1.1</w:t>
      </w:r>
      <w:r>
        <w:rPr>
          <w:rFonts w:hint="eastAsia" w:cs="Times New Roman"/>
          <w:color w:val="auto"/>
          <w:kern w:val="2"/>
          <w:sz w:val="24"/>
          <w:szCs w:val="24"/>
          <w:highlight w:val="none"/>
          <w:lang w:val="en-US" w:eastAsia="zh-CN"/>
        </w:rPr>
        <w:t>6</w:t>
      </w:r>
      <w:r>
        <w:rPr>
          <w:rFonts w:hint="eastAsia" w:cs="Times New Roman"/>
          <w:color w:val="auto"/>
          <w:kern w:val="2"/>
          <w:sz w:val="24"/>
          <w:szCs w:val="24"/>
          <w:highlight w:val="none"/>
          <w:lang w:eastAsia="zh-CN"/>
        </w:rPr>
        <w:t>如果本技术规范的描述存在矛盾或不一致之处，或本技术规范的技术部分和商务部分在供货范围的描述存在矛盾或不一致之处，由招标人决定最终采用哪种描述。</w:t>
      </w:r>
    </w:p>
    <w:p w14:paraId="1EEB5F9B">
      <w:pPr>
        <w:widowControl w:val="0"/>
        <w:tabs>
          <w:tab w:val="left" w:pos="600"/>
        </w:tabs>
        <w:adjustRightInd w:val="0"/>
        <w:snapToGrid w:val="0"/>
        <w:spacing w:after="0" w:line="360" w:lineRule="auto"/>
        <w:ind w:firstLine="480" w:firstLineChars="200"/>
        <w:rPr>
          <w:rFonts w:cs="Times New Roman"/>
          <w:b w:val="0"/>
          <w:bCs w:val="0"/>
          <w:color w:val="auto"/>
          <w:kern w:val="2"/>
          <w:sz w:val="24"/>
          <w:szCs w:val="24"/>
          <w:highlight w:val="none"/>
          <w:lang w:eastAsia="zh-CN"/>
        </w:rPr>
      </w:pPr>
      <w:r>
        <w:rPr>
          <w:rFonts w:hint="eastAsia" w:cs="Times New Roman"/>
          <w:b w:val="0"/>
          <w:bCs w:val="0"/>
          <w:color w:val="auto"/>
          <w:kern w:val="2"/>
          <w:sz w:val="24"/>
          <w:szCs w:val="24"/>
          <w:highlight w:val="none"/>
          <w:lang w:eastAsia="zh-CN"/>
        </w:rPr>
        <w:t>1.1</w:t>
      </w:r>
      <w:r>
        <w:rPr>
          <w:rFonts w:hint="eastAsia" w:cs="Times New Roman"/>
          <w:b w:val="0"/>
          <w:bCs w:val="0"/>
          <w:color w:val="auto"/>
          <w:kern w:val="2"/>
          <w:sz w:val="24"/>
          <w:szCs w:val="24"/>
          <w:highlight w:val="none"/>
          <w:lang w:val="en-US" w:eastAsia="zh-CN"/>
        </w:rPr>
        <w:t>7</w:t>
      </w:r>
      <w:r>
        <w:rPr>
          <w:rFonts w:hint="eastAsia" w:cs="Times New Roman"/>
          <w:b w:val="0"/>
          <w:bCs w:val="0"/>
          <w:color w:val="auto"/>
          <w:kern w:val="2"/>
          <w:sz w:val="24"/>
          <w:szCs w:val="24"/>
          <w:highlight w:val="none"/>
          <w:lang w:eastAsia="zh-CN"/>
        </w:rPr>
        <w:t xml:space="preserve"> </w:t>
      </w:r>
      <w:r>
        <w:rPr>
          <w:rFonts w:hint="eastAsia" w:cs="Times New Roman"/>
          <w:b w:val="0"/>
          <w:bCs w:val="0"/>
          <w:snapToGrid/>
          <w:color w:val="auto"/>
          <w:kern w:val="2"/>
          <w:sz w:val="24"/>
          <w:szCs w:val="24"/>
          <w:highlight w:val="none"/>
          <w:lang w:eastAsia="zh-CN"/>
        </w:rPr>
        <w:t>投标人所提供的网络交换机必须采用</w:t>
      </w:r>
      <w:r>
        <w:rPr>
          <w:rFonts w:hint="eastAsia" w:cs="Times New Roman"/>
          <w:b w:val="0"/>
          <w:bCs w:val="0"/>
          <w:snapToGrid/>
          <w:color w:val="auto"/>
          <w:kern w:val="2"/>
          <w:sz w:val="24"/>
          <w:szCs w:val="24"/>
          <w:highlight w:val="none"/>
          <w:lang w:val="en-US" w:eastAsia="zh-CN"/>
        </w:rPr>
        <w:t>国产</w:t>
      </w:r>
      <w:r>
        <w:rPr>
          <w:rFonts w:hint="eastAsia" w:cs="Times New Roman"/>
          <w:b w:val="0"/>
          <w:bCs w:val="0"/>
          <w:snapToGrid/>
          <w:color w:val="auto"/>
          <w:kern w:val="2"/>
          <w:sz w:val="24"/>
          <w:szCs w:val="24"/>
          <w:highlight w:val="none"/>
          <w:lang w:eastAsia="zh-CN"/>
        </w:rPr>
        <w:t>无风扇知名品牌工业级以太网交换机。</w:t>
      </w:r>
    </w:p>
    <w:p w14:paraId="7CC7E406">
      <w:pPr>
        <w:widowControl w:val="0"/>
        <w:tabs>
          <w:tab w:val="left" w:pos="600"/>
        </w:tabs>
        <w:adjustRightInd w:val="0"/>
        <w:snapToGrid w:val="0"/>
        <w:spacing w:after="0" w:line="360" w:lineRule="auto"/>
        <w:ind w:firstLine="480" w:firstLineChars="200"/>
        <w:rPr>
          <w:rFonts w:cs="Times New Roman"/>
          <w:color w:val="auto"/>
          <w:kern w:val="2"/>
          <w:sz w:val="24"/>
          <w:szCs w:val="24"/>
          <w:highlight w:val="none"/>
          <w:lang w:eastAsia="zh-CN"/>
        </w:rPr>
      </w:pPr>
      <w:r>
        <w:rPr>
          <w:rFonts w:hint="eastAsia" w:cs="Times New Roman"/>
          <w:color w:val="auto"/>
          <w:kern w:val="2"/>
          <w:sz w:val="24"/>
          <w:szCs w:val="24"/>
          <w:highlight w:val="none"/>
          <w:lang w:eastAsia="zh-CN"/>
        </w:rPr>
        <w:t>1.</w:t>
      </w:r>
      <w:r>
        <w:rPr>
          <w:rFonts w:hint="eastAsia" w:cs="Times New Roman"/>
          <w:color w:val="auto"/>
          <w:kern w:val="2"/>
          <w:sz w:val="24"/>
          <w:szCs w:val="24"/>
          <w:highlight w:val="none"/>
          <w:lang w:val="en-US" w:eastAsia="zh-CN"/>
        </w:rPr>
        <w:t>18</w:t>
      </w:r>
      <w:r>
        <w:rPr>
          <w:rFonts w:hint="eastAsia" w:cs="Times New Roman"/>
          <w:color w:val="auto"/>
          <w:kern w:val="2"/>
          <w:sz w:val="24"/>
          <w:szCs w:val="24"/>
          <w:highlight w:val="none"/>
          <w:lang w:eastAsia="zh-CN"/>
        </w:rPr>
        <w:t xml:space="preserve"> 投标人应提供其设计或供货范围内的设备等的性能试验测点的设计。</w:t>
      </w:r>
    </w:p>
    <w:p w14:paraId="4320025C">
      <w:pPr>
        <w:widowControl w:val="0"/>
        <w:tabs>
          <w:tab w:val="left" w:pos="600"/>
        </w:tabs>
        <w:adjustRightInd w:val="0"/>
        <w:snapToGrid w:val="0"/>
        <w:spacing w:after="0" w:line="360" w:lineRule="auto"/>
        <w:ind w:firstLine="480" w:firstLineChars="200"/>
        <w:rPr>
          <w:rFonts w:cs="Times New Roman"/>
          <w:color w:val="auto"/>
          <w:kern w:val="2"/>
          <w:sz w:val="24"/>
          <w:szCs w:val="24"/>
          <w:highlight w:val="none"/>
          <w:lang w:eastAsia="zh-CN"/>
        </w:rPr>
      </w:pPr>
      <w:r>
        <w:rPr>
          <w:rFonts w:hint="eastAsia" w:cs="Times New Roman"/>
          <w:color w:val="auto"/>
          <w:kern w:val="2"/>
          <w:sz w:val="24"/>
          <w:szCs w:val="24"/>
          <w:highlight w:val="none"/>
          <w:lang w:eastAsia="zh-CN"/>
        </w:rPr>
        <w:t>1.</w:t>
      </w:r>
      <w:r>
        <w:rPr>
          <w:rFonts w:hint="eastAsia" w:cs="Times New Roman"/>
          <w:color w:val="auto"/>
          <w:kern w:val="2"/>
          <w:sz w:val="24"/>
          <w:szCs w:val="24"/>
          <w:highlight w:val="none"/>
          <w:lang w:val="en-US" w:eastAsia="zh-CN"/>
        </w:rPr>
        <w:t>19</w:t>
      </w:r>
      <w:r>
        <w:rPr>
          <w:rFonts w:hint="eastAsia" w:cs="Times New Roman"/>
          <w:color w:val="auto"/>
          <w:kern w:val="2"/>
          <w:sz w:val="24"/>
          <w:szCs w:val="24"/>
          <w:highlight w:val="none"/>
          <w:lang w:eastAsia="zh-CN"/>
        </w:rPr>
        <w:t xml:space="preserve"> 本工程招投标双方共同完成科技创新成果与专利申报，共同拥有成果和专利。设备采用的专利及引进技术等涉及到的全部费用均被认为已包含在设备报价中，投标人应保证招标人不承担有关设备专利及知识产权等的一切责任。</w:t>
      </w:r>
    </w:p>
    <w:p w14:paraId="573F8AB1">
      <w:pPr>
        <w:widowControl w:val="0"/>
        <w:tabs>
          <w:tab w:val="left" w:pos="600"/>
        </w:tabs>
        <w:adjustRightInd w:val="0"/>
        <w:snapToGrid w:val="0"/>
        <w:spacing w:after="0" w:line="360" w:lineRule="auto"/>
        <w:ind w:firstLine="480" w:firstLineChars="200"/>
        <w:rPr>
          <w:rFonts w:cs="Times New Roman"/>
          <w:color w:val="auto"/>
          <w:kern w:val="2"/>
          <w:sz w:val="24"/>
          <w:szCs w:val="24"/>
          <w:highlight w:val="none"/>
          <w:lang w:eastAsia="zh-CN"/>
        </w:rPr>
      </w:pPr>
      <w:r>
        <w:rPr>
          <w:rFonts w:hint="eastAsia" w:cs="Times New Roman"/>
          <w:color w:val="auto"/>
          <w:kern w:val="2"/>
          <w:sz w:val="24"/>
          <w:szCs w:val="24"/>
          <w:highlight w:val="none"/>
          <w:lang w:eastAsia="zh-CN"/>
        </w:rPr>
        <w:t>1.</w:t>
      </w:r>
      <w:r>
        <w:rPr>
          <w:rFonts w:hint="eastAsia" w:cs="Times New Roman"/>
          <w:color w:val="auto"/>
          <w:kern w:val="2"/>
          <w:sz w:val="24"/>
          <w:szCs w:val="24"/>
          <w:highlight w:val="none"/>
          <w:lang w:val="en-US" w:eastAsia="zh-CN"/>
        </w:rPr>
        <w:t>20</w:t>
      </w:r>
      <w:r>
        <w:rPr>
          <w:rFonts w:hint="eastAsia" w:cs="Times New Roman"/>
          <w:color w:val="auto"/>
          <w:kern w:val="2"/>
          <w:sz w:val="24"/>
          <w:szCs w:val="24"/>
          <w:highlight w:val="none"/>
          <w:lang w:eastAsia="zh-CN"/>
        </w:rPr>
        <w:t>投标人供货范围内的设备必须零缺陷出厂，并提供相应的保证措施说明。</w:t>
      </w:r>
    </w:p>
    <w:p w14:paraId="6302DCCC">
      <w:pPr>
        <w:widowControl w:val="0"/>
        <w:tabs>
          <w:tab w:val="left" w:pos="600"/>
        </w:tabs>
        <w:adjustRightInd w:val="0"/>
        <w:snapToGrid w:val="0"/>
        <w:spacing w:after="0" w:line="360" w:lineRule="auto"/>
        <w:ind w:firstLine="480" w:firstLineChars="200"/>
        <w:rPr>
          <w:rFonts w:cs="Times New Roman"/>
          <w:color w:val="auto"/>
          <w:kern w:val="2"/>
          <w:sz w:val="24"/>
          <w:szCs w:val="24"/>
          <w:highlight w:val="none"/>
          <w:lang w:eastAsia="zh-CN"/>
        </w:rPr>
      </w:pPr>
      <w:r>
        <w:rPr>
          <w:rFonts w:hint="eastAsia" w:cs="Times New Roman"/>
          <w:color w:val="auto"/>
          <w:kern w:val="2"/>
          <w:sz w:val="24"/>
          <w:szCs w:val="24"/>
          <w:highlight w:val="none"/>
          <w:lang w:eastAsia="zh-CN"/>
        </w:rPr>
        <w:t>1.2</w:t>
      </w:r>
      <w:r>
        <w:rPr>
          <w:rFonts w:hint="eastAsia" w:cs="Times New Roman"/>
          <w:color w:val="auto"/>
          <w:kern w:val="2"/>
          <w:sz w:val="24"/>
          <w:szCs w:val="24"/>
          <w:highlight w:val="none"/>
          <w:lang w:val="en-US" w:eastAsia="zh-CN"/>
        </w:rPr>
        <w:t>1</w:t>
      </w:r>
      <w:r>
        <w:rPr>
          <w:rFonts w:hint="eastAsia" w:cs="Times New Roman"/>
          <w:color w:val="auto"/>
          <w:kern w:val="2"/>
          <w:sz w:val="24"/>
          <w:szCs w:val="24"/>
          <w:highlight w:val="none"/>
          <w:lang w:eastAsia="zh-CN"/>
        </w:rPr>
        <w:t>投标人应编制专门的工艺、感观设计文件，经招标人审查后进行制造，在监造和验收过程中，凡是不符合要求的进行返修或返工，经招标人验收合格后方可交货。</w:t>
      </w:r>
    </w:p>
    <w:p w14:paraId="32F8269A">
      <w:pPr>
        <w:widowControl w:val="0"/>
        <w:tabs>
          <w:tab w:val="left" w:pos="600"/>
        </w:tabs>
        <w:adjustRightInd w:val="0"/>
        <w:snapToGrid w:val="0"/>
        <w:spacing w:after="0" w:line="360" w:lineRule="auto"/>
        <w:ind w:firstLine="480" w:firstLineChars="200"/>
        <w:rPr>
          <w:rFonts w:cs="Times New Roman"/>
          <w:color w:val="auto"/>
          <w:kern w:val="2"/>
          <w:sz w:val="24"/>
          <w:szCs w:val="24"/>
          <w:highlight w:val="none"/>
          <w:lang w:eastAsia="zh-CN"/>
        </w:rPr>
      </w:pPr>
      <w:r>
        <w:rPr>
          <w:rFonts w:hint="eastAsia" w:cs="Times New Roman"/>
          <w:color w:val="auto"/>
          <w:kern w:val="2"/>
          <w:sz w:val="24"/>
          <w:szCs w:val="24"/>
          <w:highlight w:val="none"/>
          <w:lang w:eastAsia="zh-CN"/>
        </w:rPr>
        <w:t>1.2</w:t>
      </w:r>
      <w:r>
        <w:rPr>
          <w:rFonts w:hint="eastAsia" w:cs="Times New Roman"/>
          <w:color w:val="auto"/>
          <w:kern w:val="2"/>
          <w:sz w:val="24"/>
          <w:szCs w:val="24"/>
          <w:highlight w:val="none"/>
          <w:lang w:val="en-US" w:eastAsia="zh-CN"/>
        </w:rPr>
        <w:t>2</w:t>
      </w:r>
      <w:r>
        <w:rPr>
          <w:rFonts w:hint="eastAsia" w:cs="Times New Roman"/>
          <w:color w:val="auto"/>
          <w:kern w:val="2"/>
          <w:sz w:val="24"/>
          <w:szCs w:val="24"/>
          <w:highlight w:val="none"/>
          <w:lang w:eastAsia="zh-CN"/>
        </w:rPr>
        <w:t>招标人对电气，防腐涂层，设备铭牌等通用技术要求进行了约定，详见附件1.技术规范书通用附录。请投标人按照要求执行，费用含在总价中。如果与技术规范中相关技术要求相冲突，按照高者执行。</w:t>
      </w:r>
    </w:p>
    <w:p w14:paraId="654367C4">
      <w:pPr>
        <w:widowControl w:val="0"/>
        <w:tabs>
          <w:tab w:val="left" w:pos="600"/>
        </w:tabs>
        <w:adjustRightInd w:val="0"/>
        <w:snapToGrid w:val="0"/>
        <w:spacing w:after="0" w:line="360" w:lineRule="auto"/>
        <w:ind w:firstLine="480" w:firstLineChars="200"/>
        <w:rPr>
          <w:rFonts w:cs="Times New Roman"/>
          <w:color w:val="auto"/>
          <w:kern w:val="2"/>
          <w:sz w:val="24"/>
          <w:szCs w:val="24"/>
          <w:highlight w:val="none"/>
          <w:lang w:eastAsia="zh-CN"/>
        </w:rPr>
      </w:pPr>
      <w:r>
        <w:rPr>
          <w:rFonts w:hint="eastAsia" w:cs="Times New Roman"/>
          <w:color w:val="auto"/>
          <w:kern w:val="2"/>
          <w:sz w:val="24"/>
          <w:szCs w:val="24"/>
          <w:highlight w:val="none"/>
          <w:lang w:eastAsia="zh-CN"/>
        </w:rPr>
        <w:t>1.2</w:t>
      </w:r>
      <w:r>
        <w:rPr>
          <w:rFonts w:hint="eastAsia" w:cs="Times New Roman"/>
          <w:color w:val="auto"/>
          <w:kern w:val="2"/>
          <w:sz w:val="24"/>
          <w:szCs w:val="24"/>
          <w:highlight w:val="none"/>
          <w:lang w:val="en-US" w:eastAsia="zh-CN"/>
        </w:rPr>
        <w:t>3</w:t>
      </w:r>
      <w:r>
        <w:rPr>
          <w:rFonts w:hint="eastAsia" w:cs="Times New Roman"/>
          <w:color w:val="auto"/>
          <w:kern w:val="2"/>
          <w:sz w:val="24"/>
          <w:szCs w:val="24"/>
          <w:highlight w:val="none"/>
          <w:lang w:eastAsia="zh-CN"/>
        </w:rPr>
        <w:t>投标人所提供的任何进口设备在交货时提供原产地证明、生产国商会证明、生产国到中国的海运单据、海关报关单等证明文件。</w:t>
      </w:r>
    </w:p>
    <w:p w14:paraId="16A5122D">
      <w:pPr>
        <w:widowControl w:val="0"/>
        <w:tabs>
          <w:tab w:val="left" w:pos="600"/>
        </w:tabs>
        <w:adjustRightInd w:val="0"/>
        <w:snapToGrid w:val="0"/>
        <w:spacing w:after="0" w:line="360" w:lineRule="auto"/>
        <w:ind w:firstLine="480" w:firstLineChars="200"/>
        <w:rPr>
          <w:rFonts w:cs="Times New Roman"/>
          <w:color w:val="auto"/>
          <w:kern w:val="2"/>
          <w:sz w:val="24"/>
          <w:szCs w:val="24"/>
          <w:highlight w:val="none"/>
          <w:lang w:val="zh-CN" w:eastAsia="zh-CN"/>
        </w:rPr>
      </w:pPr>
      <w:r>
        <w:rPr>
          <w:rFonts w:hint="eastAsia" w:cs="Times New Roman"/>
          <w:color w:val="auto"/>
          <w:kern w:val="2"/>
          <w:sz w:val="24"/>
          <w:szCs w:val="24"/>
          <w:highlight w:val="none"/>
          <w:lang w:eastAsia="zh-CN"/>
        </w:rPr>
        <w:t>1.2</w:t>
      </w:r>
      <w:r>
        <w:rPr>
          <w:rFonts w:hint="eastAsia" w:cs="Times New Roman"/>
          <w:color w:val="auto"/>
          <w:kern w:val="2"/>
          <w:sz w:val="24"/>
          <w:szCs w:val="24"/>
          <w:highlight w:val="none"/>
          <w:lang w:val="en-US" w:eastAsia="zh-CN"/>
        </w:rPr>
        <w:t>4</w:t>
      </w:r>
      <w:r>
        <w:rPr>
          <w:rFonts w:hint="eastAsia" w:cs="Times New Roman"/>
          <w:color w:val="auto"/>
          <w:kern w:val="2"/>
          <w:sz w:val="24"/>
          <w:szCs w:val="24"/>
          <w:highlight w:val="none"/>
          <w:lang w:val="zh-CN" w:eastAsia="zh-CN"/>
        </w:rPr>
        <w:t>投标人所设计、制造、提供的设备必须满足国家能源局《防止电力生产重大事故的二十五项重点要求》的要求，如有违反，投标人承担全部责任。</w:t>
      </w:r>
    </w:p>
    <w:p w14:paraId="07A46D9D">
      <w:pPr>
        <w:widowControl w:val="0"/>
        <w:tabs>
          <w:tab w:val="left" w:pos="600"/>
        </w:tabs>
        <w:adjustRightInd w:val="0"/>
        <w:snapToGrid w:val="0"/>
        <w:spacing w:after="0" w:line="360" w:lineRule="auto"/>
        <w:ind w:firstLine="480" w:firstLineChars="200"/>
        <w:rPr>
          <w:rFonts w:cs="Times New Roman"/>
          <w:color w:val="auto"/>
          <w:kern w:val="2"/>
          <w:sz w:val="24"/>
          <w:szCs w:val="24"/>
          <w:highlight w:val="none"/>
          <w:lang w:val="zh-CN" w:eastAsia="zh-CN"/>
        </w:rPr>
      </w:pPr>
      <w:r>
        <w:rPr>
          <w:rFonts w:hint="eastAsia" w:cs="Times New Roman"/>
          <w:color w:val="auto"/>
          <w:kern w:val="2"/>
          <w:sz w:val="24"/>
          <w:szCs w:val="24"/>
          <w:highlight w:val="none"/>
          <w:lang w:eastAsia="zh-CN"/>
        </w:rPr>
        <w:t>1.2</w:t>
      </w:r>
      <w:r>
        <w:rPr>
          <w:rFonts w:hint="eastAsia" w:cs="Times New Roman"/>
          <w:color w:val="auto"/>
          <w:kern w:val="2"/>
          <w:sz w:val="24"/>
          <w:szCs w:val="24"/>
          <w:highlight w:val="none"/>
          <w:lang w:val="en-US" w:eastAsia="zh-CN"/>
        </w:rPr>
        <w:t>5</w:t>
      </w:r>
      <w:r>
        <w:rPr>
          <w:rFonts w:hint="eastAsia" w:cs="Times New Roman"/>
          <w:color w:val="auto"/>
          <w:kern w:val="2"/>
          <w:sz w:val="24"/>
          <w:szCs w:val="24"/>
          <w:highlight w:val="none"/>
          <w:lang w:val="zh-CN" w:eastAsia="zh-CN"/>
        </w:rPr>
        <w:t>投标人对所供设备进行深度调峰、灵活性调整的适应能力专题说明，至少包含设备深度调峰至20%、30%BMCR时的性能说明及曲线、设备运行参数、效率、设备深度调峰至20%的适应性、与其他系统的配合友好程度、先进技术等。</w:t>
      </w:r>
    </w:p>
    <w:p w14:paraId="733189BD">
      <w:pPr>
        <w:widowControl w:val="0"/>
        <w:tabs>
          <w:tab w:val="left" w:pos="600"/>
        </w:tabs>
        <w:autoSpaceDE/>
        <w:autoSpaceDN/>
        <w:adjustRightInd w:val="0"/>
        <w:snapToGrid w:val="0"/>
        <w:spacing w:after="0" w:line="360" w:lineRule="auto"/>
        <w:ind w:firstLine="480" w:firstLineChars="200"/>
        <w:textAlignment w:val="auto"/>
        <w:rPr>
          <w:rFonts w:hint="eastAsia" w:ascii="宋体" w:hAnsi="宋体" w:cs="Times New Roman"/>
          <w:b w:val="0"/>
          <w:color w:val="auto"/>
          <w:kern w:val="2"/>
          <w:sz w:val="24"/>
          <w:szCs w:val="24"/>
          <w:highlight w:val="none"/>
          <w:lang w:eastAsia="zh-CN"/>
        </w:rPr>
      </w:pPr>
      <w:r>
        <w:rPr>
          <w:rFonts w:hint="eastAsia" w:cs="Times New Roman"/>
          <w:color w:val="auto"/>
          <w:kern w:val="2"/>
          <w:sz w:val="24"/>
          <w:szCs w:val="24"/>
          <w:highlight w:val="none"/>
          <w:lang w:val="en-US" w:eastAsia="zh-CN"/>
        </w:rPr>
        <w:t>1.26</w:t>
      </w:r>
      <w:r>
        <w:rPr>
          <w:rFonts w:hint="eastAsia" w:ascii="宋体" w:hAnsi="宋体" w:cs="Times New Roman"/>
          <w:b w:val="0"/>
          <w:color w:val="auto"/>
          <w:kern w:val="2"/>
          <w:sz w:val="24"/>
          <w:szCs w:val="24"/>
          <w:highlight w:val="none"/>
          <w:lang w:eastAsia="zh-CN"/>
        </w:rPr>
        <w:t>根据</w:t>
      </w:r>
      <w:r>
        <w:rPr>
          <w:rFonts w:hint="eastAsia" w:cs="Times New Roman"/>
          <w:b w:val="0"/>
          <w:color w:val="auto"/>
          <w:kern w:val="2"/>
          <w:sz w:val="24"/>
          <w:szCs w:val="24"/>
          <w:highlight w:val="none"/>
          <w:lang w:val="en-US" w:eastAsia="zh-CN"/>
        </w:rPr>
        <w:t>西北</w:t>
      </w:r>
      <w:r>
        <w:rPr>
          <w:rFonts w:hint="eastAsia" w:ascii="宋体" w:hAnsi="宋体" w:cs="Times New Roman"/>
          <w:b w:val="0"/>
          <w:color w:val="auto"/>
          <w:kern w:val="2"/>
          <w:sz w:val="24"/>
          <w:szCs w:val="24"/>
          <w:highlight w:val="none"/>
          <w:lang w:eastAsia="zh-CN"/>
        </w:rPr>
        <w:t>电网对于</w:t>
      </w:r>
      <w:r>
        <w:rPr>
          <w:rFonts w:hint="eastAsia" w:cs="Times New Roman"/>
          <w:b w:val="0"/>
          <w:color w:val="auto"/>
          <w:kern w:val="2"/>
          <w:sz w:val="24"/>
          <w:szCs w:val="24"/>
          <w:highlight w:val="none"/>
          <w:lang w:val="en-US" w:eastAsia="zh-CN"/>
        </w:rPr>
        <w:t>75</w:t>
      </w:r>
      <w:r>
        <w:rPr>
          <w:rFonts w:hint="eastAsia" w:ascii="宋体" w:hAnsi="宋体" w:cs="Times New Roman"/>
          <w:b w:val="0"/>
          <w:color w:val="auto"/>
          <w:kern w:val="2"/>
          <w:sz w:val="24"/>
          <w:szCs w:val="24"/>
          <w:highlight w:val="none"/>
          <w:lang w:eastAsia="zh-CN"/>
        </w:rPr>
        <w:t>0KV系统自动化配置的要求，投标人应确保所提供的产品还应满足</w:t>
      </w:r>
      <w:r>
        <w:rPr>
          <w:rFonts w:hint="eastAsia" w:cs="Times New Roman"/>
          <w:b w:val="0"/>
          <w:color w:val="auto"/>
          <w:kern w:val="2"/>
          <w:sz w:val="24"/>
          <w:szCs w:val="24"/>
          <w:highlight w:val="none"/>
          <w:lang w:val="en-US" w:eastAsia="zh-CN"/>
        </w:rPr>
        <w:t>西北</w:t>
      </w:r>
      <w:r>
        <w:rPr>
          <w:rFonts w:hint="eastAsia" w:ascii="宋体" w:hAnsi="宋体" w:cs="Times New Roman"/>
          <w:b w:val="0"/>
          <w:color w:val="auto"/>
          <w:kern w:val="2"/>
          <w:sz w:val="24"/>
          <w:szCs w:val="24"/>
          <w:highlight w:val="none"/>
          <w:lang w:eastAsia="zh-CN"/>
        </w:rPr>
        <w:t>电网对于</w:t>
      </w:r>
      <w:r>
        <w:rPr>
          <w:rFonts w:hint="eastAsia" w:cs="Times New Roman"/>
          <w:b w:val="0"/>
          <w:color w:val="auto"/>
          <w:kern w:val="2"/>
          <w:sz w:val="24"/>
          <w:szCs w:val="24"/>
          <w:highlight w:val="none"/>
          <w:lang w:val="en-US" w:eastAsia="zh-CN"/>
        </w:rPr>
        <w:t>75</w:t>
      </w:r>
      <w:r>
        <w:rPr>
          <w:rFonts w:hint="eastAsia" w:ascii="宋体" w:hAnsi="宋体" w:cs="Times New Roman"/>
          <w:b w:val="0"/>
          <w:color w:val="auto"/>
          <w:kern w:val="2"/>
          <w:sz w:val="24"/>
          <w:szCs w:val="24"/>
          <w:highlight w:val="none"/>
          <w:lang w:eastAsia="zh-CN"/>
        </w:rPr>
        <w:t>0KV系统自动化的专门技术要求和设计组屏规范。</w:t>
      </w:r>
    </w:p>
    <w:p w14:paraId="2EDEEFD4">
      <w:pPr>
        <w:widowControl w:val="0"/>
        <w:tabs>
          <w:tab w:val="left" w:pos="600"/>
        </w:tabs>
        <w:adjustRightInd w:val="0"/>
        <w:snapToGrid w:val="0"/>
        <w:spacing w:after="0" w:line="360" w:lineRule="auto"/>
        <w:ind w:firstLine="480" w:firstLineChars="200"/>
        <w:rPr>
          <w:rFonts w:hint="eastAsia" w:cs="Times New Roman"/>
          <w:color w:val="auto"/>
          <w:kern w:val="2"/>
          <w:sz w:val="24"/>
          <w:szCs w:val="24"/>
          <w:highlight w:val="none"/>
          <w:lang w:eastAsia="zh-CN"/>
        </w:rPr>
      </w:pPr>
      <w:r>
        <w:rPr>
          <w:rFonts w:hint="eastAsia" w:cs="Times New Roman"/>
          <w:color w:val="auto"/>
          <w:kern w:val="2"/>
          <w:sz w:val="24"/>
          <w:szCs w:val="24"/>
          <w:highlight w:val="none"/>
          <w:lang w:eastAsia="zh-CN"/>
        </w:rPr>
        <w:t>1.2</w:t>
      </w:r>
      <w:r>
        <w:rPr>
          <w:rFonts w:hint="eastAsia" w:cs="Times New Roman"/>
          <w:color w:val="auto"/>
          <w:kern w:val="2"/>
          <w:sz w:val="24"/>
          <w:szCs w:val="24"/>
          <w:highlight w:val="none"/>
          <w:lang w:val="en-US" w:eastAsia="zh-CN"/>
        </w:rPr>
        <w:t>7</w:t>
      </w:r>
      <w:r>
        <w:rPr>
          <w:rFonts w:hint="eastAsia" w:cs="Times New Roman"/>
          <w:color w:val="auto"/>
          <w:kern w:val="2"/>
          <w:sz w:val="24"/>
          <w:szCs w:val="24"/>
          <w:highlight w:val="none"/>
          <w:lang w:eastAsia="zh-CN"/>
        </w:rPr>
        <w:t xml:space="preserve"> 本技术规范书未尽事宜，双方协商确定。</w:t>
      </w:r>
    </w:p>
    <w:p w14:paraId="30CA5954">
      <w:pPr>
        <w:keepNext/>
        <w:keepLines/>
        <w:widowControl w:val="0"/>
        <w:tabs>
          <w:tab w:val="left" w:pos="480"/>
          <w:tab w:val="left" w:pos="525"/>
        </w:tabs>
        <w:adjustRightInd w:val="0"/>
        <w:snapToGrid w:val="0"/>
        <w:spacing w:before="120" w:after="120" w:line="360" w:lineRule="auto"/>
        <w:outlineLvl w:val="2"/>
        <w:rPr>
          <w:rFonts w:hint="eastAsia" w:ascii="宋体" w:hAnsi="宋体" w:eastAsia="宋体" w:cs="宋体"/>
          <w:b/>
          <w:bCs w:val="0"/>
          <w:color w:val="auto"/>
          <w:kern w:val="44"/>
          <w:sz w:val="28"/>
          <w:szCs w:val="28"/>
          <w:highlight w:val="none"/>
          <w:lang w:eastAsia="zh-CN"/>
        </w:rPr>
      </w:pPr>
      <w:r>
        <w:rPr>
          <w:rFonts w:hint="eastAsia" w:ascii="宋体" w:hAnsi="宋体" w:eastAsia="宋体" w:cs="宋体"/>
          <w:b/>
          <w:bCs w:val="0"/>
          <w:color w:val="auto"/>
          <w:kern w:val="44"/>
          <w:sz w:val="28"/>
          <w:szCs w:val="28"/>
          <w:highlight w:val="none"/>
          <w:lang w:eastAsia="zh-CN"/>
        </w:rPr>
        <w:t>2 工程概况</w:t>
      </w:r>
    </w:p>
    <w:p w14:paraId="50870EA7">
      <w:pPr>
        <w:snapToGrid w:val="0"/>
        <w:spacing w:after="0" w:line="360" w:lineRule="auto"/>
        <w:ind w:firstLine="0" w:firstLineChars="200"/>
        <w:jc w:val="both"/>
        <w:rPr>
          <w:rFonts w:ascii="宋体" w:hAnsi="宋体" w:cs="Times New Roman"/>
          <w:bCs w:val="0"/>
          <w:snapToGrid w:val="0"/>
          <w:color w:val="auto"/>
          <w:w w:val="0"/>
          <w:kern w:val="0"/>
          <w:sz w:val="24"/>
          <w:szCs w:val="24"/>
          <w:highlight w:val="none"/>
          <w:lang w:eastAsia="zh-CN"/>
        </w:rPr>
      </w:pPr>
      <w:r>
        <w:rPr>
          <w:rFonts w:ascii="宋体" w:hAnsi="宋体" w:cs="Times New Roman"/>
          <w:snapToGrid w:val="0"/>
          <w:color w:val="auto"/>
          <w:w w:val="0"/>
          <w:kern w:val="0"/>
          <w:sz w:val="24"/>
          <w:szCs w:val="24"/>
          <w:highlight w:val="none"/>
          <w:lang w:eastAsia="zh-CN"/>
        </w:rPr>
        <w:t>2.1</w:t>
      </w:r>
      <w:r>
        <w:rPr>
          <w:rFonts w:hint="eastAsia" w:cs="Times New Roman"/>
          <w:snapToGrid w:val="0"/>
          <w:color w:val="auto"/>
          <w:w w:val="0"/>
          <w:kern w:val="0"/>
          <w:sz w:val="24"/>
          <w:szCs w:val="24"/>
          <w:highlight w:val="none"/>
          <w:lang w:eastAsia="zh-CN"/>
        </w:rPr>
        <w:t>本工程的地理位置、装机容量做简要概况描述</w:t>
      </w:r>
    </w:p>
    <w:p w14:paraId="07C9E031">
      <w:pPr>
        <w:widowControl w:val="0"/>
        <w:tabs>
          <w:tab w:val="left" w:pos="600"/>
        </w:tabs>
        <w:kinsoku/>
        <w:overflowPunct/>
        <w:adjustRightInd w:val="0"/>
        <w:snapToGrid w:val="0"/>
        <w:spacing w:line="360" w:lineRule="auto"/>
        <w:ind w:firstLine="480" w:firstLineChars="200"/>
        <w:rPr>
          <w:rFonts w:hint="eastAsia" w:ascii="宋体" w:hAnsi="宋体" w:eastAsia="宋体" w:cs="Times New Roman"/>
          <w:color w:val="auto"/>
          <w:kern w:val="2"/>
          <w:sz w:val="24"/>
          <w:szCs w:val="24"/>
          <w:highlight w:val="none"/>
          <w:lang w:eastAsia="zh-CN"/>
        </w:rPr>
      </w:pPr>
      <w:r>
        <w:rPr>
          <w:rFonts w:hint="eastAsia" w:ascii="宋体" w:hAnsi="宋体" w:eastAsia="宋体" w:cs="Times New Roman"/>
          <w:color w:val="auto"/>
          <w:kern w:val="2"/>
          <w:sz w:val="24"/>
          <w:szCs w:val="24"/>
          <w:highlight w:val="none"/>
          <w:lang w:eastAsia="zh-CN"/>
        </w:rPr>
        <w:t>浙能武威2×1000MW调峰火电机组工程位于甘肃省武威市境内。</w:t>
      </w:r>
    </w:p>
    <w:p w14:paraId="449A81E1">
      <w:pPr>
        <w:widowControl w:val="0"/>
        <w:tabs>
          <w:tab w:val="left" w:pos="600"/>
        </w:tabs>
        <w:kinsoku/>
        <w:overflowPunct/>
        <w:adjustRightInd w:val="0"/>
        <w:snapToGrid w:val="0"/>
        <w:spacing w:line="360" w:lineRule="auto"/>
        <w:ind w:firstLine="480" w:firstLineChars="200"/>
        <w:rPr>
          <w:rFonts w:hint="eastAsia" w:ascii="宋体" w:hAnsi="宋体" w:eastAsia="宋体" w:cs="Times New Roman"/>
          <w:color w:val="auto"/>
          <w:kern w:val="2"/>
          <w:sz w:val="24"/>
          <w:szCs w:val="24"/>
          <w:highlight w:val="none"/>
          <w:lang w:eastAsia="zh-CN"/>
        </w:rPr>
      </w:pPr>
      <w:r>
        <w:rPr>
          <w:rFonts w:hint="eastAsia" w:ascii="宋体" w:hAnsi="宋体" w:eastAsia="宋体" w:cs="Times New Roman"/>
          <w:color w:val="auto"/>
          <w:kern w:val="2"/>
          <w:sz w:val="24"/>
          <w:szCs w:val="24"/>
          <w:highlight w:val="none"/>
          <w:lang w:eastAsia="zh-CN"/>
        </w:rPr>
        <w:t>武威市地处甘肃省中部，河西走廊东端，北纬36°29′—39°27′，东经101°49′—104°16′之间，南北长326km，东西宽204km，总面积3.23×104km2，是沿丝绸之路自东而西进入河西走廊和新疆的东大门，东接兰州，南靠西宁，北邻银川和内蒙古，西通新疆，地处亚欧大陆桥的咽喉位置，处于兰州、银川、西宁城市经济圈的中心位置和西陇海兰新经济带的中间地带。</w:t>
      </w:r>
    </w:p>
    <w:p w14:paraId="54C46119">
      <w:pPr>
        <w:widowControl w:val="0"/>
        <w:tabs>
          <w:tab w:val="left" w:pos="600"/>
        </w:tabs>
        <w:kinsoku/>
        <w:overflowPunct/>
        <w:adjustRightInd w:val="0"/>
        <w:snapToGrid w:val="0"/>
        <w:spacing w:line="360" w:lineRule="auto"/>
        <w:ind w:firstLine="480" w:firstLineChars="200"/>
        <w:rPr>
          <w:rFonts w:hint="eastAsia" w:ascii="宋体" w:hAnsi="宋体" w:eastAsia="宋体" w:cs="Times New Roman"/>
          <w:color w:val="auto"/>
          <w:kern w:val="2"/>
          <w:sz w:val="24"/>
          <w:szCs w:val="24"/>
          <w:highlight w:val="none"/>
          <w:lang w:eastAsia="zh-CN"/>
        </w:rPr>
      </w:pPr>
      <w:r>
        <w:rPr>
          <w:rFonts w:hint="eastAsia" w:ascii="宋体" w:hAnsi="宋体" w:eastAsia="宋体" w:cs="Times New Roman"/>
          <w:color w:val="auto"/>
          <w:kern w:val="2"/>
          <w:sz w:val="24"/>
          <w:szCs w:val="24"/>
          <w:highlight w:val="none"/>
          <w:lang w:eastAsia="zh-CN"/>
        </w:rPr>
        <w:t>武威市东南距兰州市约276km，西北距金昌约74km。属黄土、青藏、蒙新三大高原的交汇地带，东靠白银市、兰州市，南部隔祁连山与青海省为邻，西与张掖市、金昌市接壤，北与内蒙古相连。</w:t>
      </w:r>
    </w:p>
    <w:p w14:paraId="55A4D4C0">
      <w:pPr>
        <w:widowControl w:val="0"/>
        <w:tabs>
          <w:tab w:val="left" w:pos="600"/>
        </w:tabs>
        <w:kinsoku/>
        <w:overflowPunct/>
        <w:adjustRightInd w:val="0"/>
        <w:snapToGrid w:val="0"/>
        <w:spacing w:line="360" w:lineRule="auto"/>
        <w:ind w:firstLine="480" w:firstLineChars="200"/>
        <w:rPr>
          <w:rFonts w:hint="eastAsia" w:ascii="宋体" w:hAnsi="宋体" w:eastAsia="宋体" w:cs="Times New Roman"/>
          <w:color w:val="auto"/>
          <w:kern w:val="2"/>
          <w:sz w:val="24"/>
          <w:szCs w:val="24"/>
          <w:highlight w:val="none"/>
          <w:lang w:eastAsia="zh-CN"/>
        </w:rPr>
      </w:pPr>
      <w:r>
        <w:rPr>
          <w:rFonts w:hint="eastAsia" w:ascii="宋体" w:hAnsi="宋体" w:eastAsia="宋体" w:cs="Times New Roman"/>
          <w:color w:val="auto"/>
          <w:kern w:val="2"/>
          <w:sz w:val="24"/>
          <w:szCs w:val="24"/>
          <w:highlight w:val="none"/>
          <w:lang w:eastAsia="zh-CN"/>
        </w:rPr>
        <w:t>本项目所在地民勤县红沙岗能源化工工业集中区，是武威市重点打造的产业集聚平台，区域内风能、光能以及矿产资源分布广、储量大，是全县工业资源最为丰富的地区，重点发展能源与材料产业、绿色精细化工产业、农畜产品精深加工三大产业，集能源利用、绿色食品、装备制造、商贸物流等于一体的创新型工业园区。</w:t>
      </w:r>
    </w:p>
    <w:p w14:paraId="578CC639">
      <w:pPr>
        <w:widowControl w:val="0"/>
        <w:tabs>
          <w:tab w:val="left" w:pos="600"/>
        </w:tabs>
        <w:kinsoku/>
        <w:overflowPunct/>
        <w:adjustRightInd w:val="0"/>
        <w:snapToGrid w:val="0"/>
        <w:spacing w:line="360" w:lineRule="auto"/>
        <w:ind w:firstLine="480" w:firstLineChars="200"/>
        <w:rPr>
          <w:rFonts w:hint="eastAsia" w:ascii="宋体" w:hAnsi="宋体" w:eastAsia="宋体" w:cs="Times New Roman"/>
          <w:color w:val="auto"/>
          <w:kern w:val="2"/>
          <w:sz w:val="24"/>
          <w:szCs w:val="24"/>
          <w:highlight w:val="none"/>
          <w:lang w:eastAsia="zh-CN"/>
        </w:rPr>
      </w:pPr>
      <w:r>
        <w:rPr>
          <w:rFonts w:hint="eastAsia" w:ascii="宋体" w:hAnsi="宋体" w:eastAsia="宋体" w:cs="Times New Roman"/>
          <w:color w:val="auto"/>
          <w:kern w:val="2"/>
          <w:sz w:val="24"/>
          <w:szCs w:val="24"/>
          <w:highlight w:val="none"/>
          <w:lang w:eastAsia="zh-CN"/>
        </w:rPr>
        <w:t>红沙岗厂址位于甘肃省武威市民勤县红沙岗镇红沙岗矿区一矿西南侧，二矿的东北侧。东侧为金阿铁路，北临民西公路，西南距红沙岗镇约9km。</w:t>
      </w:r>
    </w:p>
    <w:p w14:paraId="76D88048">
      <w:pPr>
        <w:widowControl w:val="0"/>
        <w:tabs>
          <w:tab w:val="left" w:pos="600"/>
        </w:tabs>
        <w:adjustRightInd w:val="0"/>
        <w:snapToGrid w:val="0"/>
        <w:spacing w:after="0" w:line="360" w:lineRule="auto"/>
        <w:ind w:firstLine="480" w:firstLineChars="200"/>
        <w:jc w:val="left"/>
        <w:rPr>
          <w:rFonts w:hint="eastAsia" w:ascii="宋体" w:hAnsi="宋体" w:eastAsia="宋体" w:cs="Times New Roman"/>
          <w:color w:val="auto"/>
          <w:kern w:val="2"/>
          <w:sz w:val="24"/>
          <w:szCs w:val="24"/>
          <w:highlight w:val="none"/>
          <w:lang w:eastAsia="zh-CN"/>
        </w:rPr>
      </w:pPr>
      <w:r>
        <w:rPr>
          <w:rFonts w:hint="eastAsia" w:ascii="宋体" w:hAnsi="宋体" w:eastAsia="宋体" w:cs="Times New Roman"/>
          <w:color w:val="auto"/>
          <w:kern w:val="2"/>
          <w:sz w:val="24"/>
          <w:szCs w:val="24"/>
          <w:highlight w:val="none"/>
          <w:lang w:eastAsia="zh-CN"/>
        </w:rPr>
        <w:t>厂址地形平坦，呈北高南低之势，海拔在1433～1427m之间，自然坡度约为0.6%。可供利用场地东西长约1.2km，南北宽约1.0km，可利用面积约120hm2，满足2×1000MW机组厂区及施工区的用地要求。</w:t>
      </w:r>
    </w:p>
    <w:p w14:paraId="16AF28BF">
      <w:pPr>
        <w:widowControl w:val="0"/>
        <w:tabs>
          <w:tab w:val="left" w:pos="600"/>
        </w:tabs>
        <w:adjustRightInd w:val="0"/>
        <w:snapToGrid w:val="0"/>
        <w:spacing w:line="360" w:lineRule="auto"/>
        <w:ind w:firstLine="480" w:firstLineChars="200"/>
        <w:rPr>
          <w:rFonts w:hint="eastAsia" w:ascii="宋体" w:hAnsi="宋体" w:eastAsia="宋体" w:cs="Times New Roman"/>
          <w:color w:val="auto"/>
          <w:kern w:val="2"/>
          <w:sz w:val="24"/>
          <w:szCs w:val="24"/>
          <w:highlight w:val="none"/>
          <w:lang w:eastAsia="zh-CN"/>
        </w:rPr>
      </w:pPr>
      <w:r>
        <w:rPr>
          <w:rFonts w:hint="eastAsia" w:ascii="宋体" w:hAnsi="宋体" w:eastAsia="宋体" w:cs="Times New Roman"/>
          <w:color w:val="auto"/>
          <w:kern w:val="2"/>
          <w:sz w:val="24"/>
          <w:szCs w:val="24"/>
          <w:highlight w:val="none"/>
          <w:lang w:val="en-US" w:eastAsia="zh-CN"/>
        </w:rPr>
        <w:t>本工程新建2台1000MW级机组，根据系统接入方案，</w:t>
      </w:r>
      <w:r>
        <w:rPr>
          <w:rFonts w:hint="eastAsia" w:ascii="宋体" w:hAnsi="宋体" w:eastAsia="宋体" w:cs="Times New Roman"/>
          <w:color w:val="auto"/>
          <w:kern w:val="2"/>
          <w:sz w:val="24"/>
          <w:szCs w:val="24"/>
          <w:highlight w:val="none"/>
          <w:lang w:eastAsia="zh-CN"/>
        </w:rPr>
        <w:t>本期工程以750kV一级电压接入系统，两回750kV出线至金武换流站，两回出线均加装线路并联电抗器。主接线采用一倍半断路器接线。发电机出口不装设断路器。</w:t>
      </w:r>
    </w:p>
    <w:p w14:paraId="7CCFBC9F">
      <w:pPr>
        <w:widowControl w:val="0"/>
        <w:tabs>
          <w:tab w:val="left" w:pos="600"/>
        </w:tabs>
        <w:adjustRightInd w:val="0"/>
        <w:snapToGrid w:val="0"/>
        <w:spacing w:line="360" w:lineRule="auto"/>
        <w:ind w:firstLine="480" w:firstLineChars="200"/>
        <w:rPr>
          <w:rFonts w:hint="eastAsia" w:ascii="宋体" w:hAnsi="宋体" w:eastAsia="宋体" w:cs="Times New Roman"/>
          <w:color w:val="auto"/>
          <w:kern w:val="2"/>
          <w:sz w:val="24"/>
          <w:szCs w:val="24"/>
          <w:highlight w:val="none"/>
          <w:lang w:eastAsia="zh-CN"/>
        </w:rPr>
      </w:pPr>
      <w:r>
        <w:rPr>
          <w:rFonts w:hint="eastAsia" w:ascii="宋体" w:hAnsi="宋体" w:eastAsia="宋体" w:cs="Times New Roman"/>
          <w:color w:val="auto"/>
          <w:kern w:val="2"/>
          <w:sz w:val="24"/>
          <w:szCs w:val="24"/>
          <w:highlight w:val="none"/>
          <w:lang w:eastAsia="zh-CN"/>
        </w:rPr>
        <w:t>本期建设的2×1000MW机组均以发电机－变压器组单元接线接入厂内750kV配电装置。本期工程共2个完整串，#1（2）机组进线分别与750kV至金武换流站#1（2）出线组成完整串。750kV配电装置采用户外敞开式布置。750kV配电装置布置位置已预留新能源接入条件，暂按一个间隔预留。</w:t>
      </w:r>
    </w:p>
    <w:p w14:paraId="6C9BB3A2">
      <w:pPr>
        <w:widowControl w:val="0"/>
        <w:tabs>
          <w:tab w:val="left" w:pos="600"/>
        </w:tabs>
        <w:adjustRightInd w:val="0"/>
        <w:snapToGrid w:val="0"/>
        <w:spacing w:after="0" w:line="360" w:lineRule="auto"/>
        <w:ind w:firstLine="480" w:firstLineChars="200"/>
        <w:jc w:val="left"/>
        <w:rPr>
          <w:rFonts w:hint="eastAsia" w:ascii="宋体" w:hAnsi="宋体" w:eastAsia="宋体" w:cs="Times New Roman"/>
          <w:color w:val="auto"/>
          <w:kern w:val="2"/>
          <w:sz w:val="24"/>
          <w:szCs w:val="24"/>
          <w:highlight w:val="none"/>
          <w:lang w:eastAsia="zh-CN"/>
        </w:rPr>
      </w:pPr>
      <w:r>
        <w:rPr>
          <w:rFonts w:hint="eastAsia" w:ascii="宋体" w:hAnsi="宋体" w:eastAsia="宋体" w:cs="Times New Roman"/>
          <w:color w:val="auto"/>
          <w:kern w:val="2"/>
          <w:sz w:val="24"/>
          <w:szCs w:val="24"/>
          <w:highlight w:val="none"/>
          <w:lang w:eastAsia="zh-CN"/>
        </w:rPr>
        <w:t>启/备电源从330kV红沙岗变电站引接一路110kV电源。本期厂内设110kV配电装置及一台110kV启/备变，110kV配电装置采用线变串形式，按屋外敞开式布置型式。</w:t>
      </w:r>
    </w:p>
    <w:p w14:paraId="300EF39E">
      <w:pPr>
        <w:snapToGrid w:val="0"/>
        <w:spacing w:after="0" w:line="360" w:lineRule="auto"/>
        <w:ind w:firstLine="0" w:firstLineChars="200"/>
        <w:jc w:val="both"/>
        <w:rPr>
          <w:rFonts w:ascii="Times New Roman" w:hAnsi="Times New Roman" w:cs="宋体"/>
          <w:bCs/>
          <w:color w:val="auto"/>
          <w:kern w:val="2"/>
          <w:sz w:val="24"/>
          <w:szCs w:val="24"/>
          <w:highlight w:val="none"/>
          <w:lang w:eastAsia="zh-CN"/>
        </w:rPr>
      </w:pPr>
      <w:r>
        <w:rPr>
          <w:rFonts w:ascii="宋体" w:hAnsi="宋体" w:cs="Times New Roman"/>
          <w:snapToGrid w:val="0"/>
          <w:color w:val="auto"/>
          <w:w w:val="0"/>
          <w:kern w:val="0"/>
          <w:sz w:val="24"/>
          <w:szCs w:val="24"/>
          <w:highlight w:val="none"/>
          <w:lang w:eastAsia="zh-CN"/>
        </w:rPr>
        <w:t>2.1.1</w:t>
      </w:r>
      <w:r>
        <w:rPr>
          <w:rFonts w:hint="eastAsia" w:ascii="宋体" w:hAnsi="宋体" w:cs="Times New Roman"/>
          <w:bCs w:val="0"/>
          <w:snapToGrid w:val="0"/>
          <w:color w:val="auto"/>
          <w:w w:val="0"/>
          <w:kern w:val="0"/>
          <w:sz w:val="24"/>
          <w:szCs w:val="24"/>
          <w:highlight w:val="none"/>
          <w:lang w:eastAsia="zh-CN"/>
        </w:rPr>
        <w:t xml:space="preserve">厂区的岩土工程条件： </w:t>
      </w:r>
      <w:r>
        <w:rPr>
          <w:rFonts w:hint="eastAsia" w:ascii="Times New Roman" w:hAnsi="Times New Roman" w:cs="宋体"/>
          <w:bCs/>
          <w:color w:val="auto"/>
          <w:kern w:val="2"/>
          <w:sz w:val="24"/>
          <w:szCs w:val="24"/>
          <w:highlight w:val="none"/>
          <w:lang w:eastAsia="zh-CN"/>
        </w:rPr>
        <w:t xml:space="preserve">      </w:t>
      </w:r>
    </w:p>
    <w:p w14:paraId="4B4146F2">
      <w:pPr>
        <w:widowControl w:val="0"/>
        <w:tabs>
          <w:tab w:val="left" w:pos="600"/>
        </w:tabs>
        <w:adjustRightInd w:val="0"/>
        <w:snapToGrid w:val="0"/>
        <w:spacing w:after="0" w:line="360" w:lineRule="auto"/>
        <w:ind w:firstLine="480" w:firstLineChars="200"/>
        <w:rPr>
          <w:rFonts w:cs="Times New Roman"/>
          <w:color w:val="auto"/>
          <w:kern w:val="2"/>
          <w:sz w:val="24"/>
          <w:szCs w:val="24"/>
          <w:highlight w:val="none"/>
          <w:lang w:eastAsia="zh-CN"/>
        </w:rPr>
      </w:pPr>
      <w:r>
        <w:rPr>
          <w:rFonts w:hint="eastAsia" w:cs="Times New Roman"/>
          <w:color w:val="auto"/>
          <w:kern w:val="2"/>
          <w:sz w:val="24"/>
          <w:szCs w:val="24"/>
          <w:highlight w:val="none"/>
          <w:lang w:eastAsia="zh-CN"/>
        </w:rPr>
        <w:t>厂址区横跨在滩涂区、陆域平原与山地丘陵三类地貌单元上，地形较复杂，地层变化较大。</w:t>
      </w:r>
    </w:p>
    <w:p w14:paraId="20A733B9">
      <w:pPr>
        <w:widowControl w:val="0"/>
        <w:tabs>
          <w:tab w:val="left" w:pos="600"/>
        </w:tabs>
        <w:adjustRightInd w:val="0"/>
        <w:snapToGrid w:val="0"/>
        <w:spacing w:after="0" w:line="360" w:lineRule="auto"/>
        <w:ind w:firstLine="0" w:firstLineChars="200"/>
        <w:jc w:val="left"/>
        <w:rPr>
          <w:rFonts w:ascii="宋体" w:hAnsi="宋体" w:cs="Times New Roman"/>
          <w:bCs w:val="0"/>
          <w:snapToGrid w:val="0"/>
          <w:color w:val="auto"/>
          <w:w w:val="0"/>
          <w:kern w:val="0"/>
          <w:sz w:val="24"/>
          <w:szCs w:val="24"/>
          <w:highlight w:val="none"/>
          <w:lang w:eastAsia="zh-CN"/>
        </w:rPr>
      </w:pPr>
      <w:r>
        <w:rPr>
          <w:rFonts w:ascii="宋体" w:hAnsi="宋体" w:cs="Times New Roman"/>
          <w:bCs w:val="0"/>
          <w:snapToGrid w:val="0"/>
          <w:color w:val="auto"/>
          <w:w w:val="0"/>
          <w:kern w:val="0"/>
          <w:sz w:val="24"/>
          <w:szCs w:val="24"/>
          <w:highlight w:val="none"/>
          <w:lang w:eastAsia="zh-CN"/>
        </w:rPr>
        <w:t>2.</w:t>
      </w:r>
      <w:r>
        <w:rPr>
          <w:rFonts w:ascii="宋体" w:hAnsi="宋体" w:cs="Times New Roman"/>
          <w:snapToGrid w:val="0"/>
          <w:color w:val="auto"/>
          <w:w w:val="0"/>
          <w:kern w:val="0"/>
          <w:sz w:val="24"/>
          <w:szCs w:val="24"/>
          <w:highlight w:val="none"/>
          <w:lang w:eastAsia="zh-CN"/>
        </w:rPr>
        <w:t>1.2</w:t>
      </w:r>
      <w:r>
        <w:rPr>
          <w:rFonts w:hint="eastAsia" w:ascii="宋体" w:hAnsi="宋体" w:cs="Times New Roman"/>
          <w:bCs w:val="0"/>
          <w:snapToGrid w:val="0"/>
          <w:color w:val="auto"/>
          <w:w w:val="0"/>
          <w:kern w:val="0"/>
          <w:sz w:val="24"/>
          <w:szCs w:val="24"/>
          <w:highlight w:val="none"/>
          <w:lang w:eastAsia="zh-CN"/>
        </w:rPr>
        <w:t>地震烈度：</w:t>
      </w:r>
    </w:p>
    <w:p w14:paraId="216690FF">
      <w:pPr>
        <w:widowControl w:val="0"/>
        <w:tabs>
          <w:tab w:val="left" w:pos="600"/>
        </w:tabs>
        <w:adjustRightInd w:val="0"/>
        <w:snapToGrid w:val="0"/>
        <w:spacing w:after="0" w:line="360" w:lineRule="auto"/>
        <w:ind w:firstLine="480" w:firstLineChars="200"/>
        <w:rPr>
          <w:rFonts w:ascii="Times New Roman" w:hAnsi="Times New Roman" w:cs="宋体"/>
          <w:bCs/>
          <w:color w:val="auto"/>
          <w:kern w:val="2"/>
          <w:sz w:val="24"/>
          <w:szCs w:val="24"/>
          <w:highlight w:val="none"/>
          <w:lang w:eastAsia="zh-CN"/>
        </w:rPr>
      </w:pPr>
      <w:r>
        <w:rPr>
          <w:rFonts w:hint="eastAsia" w:cs="Times New Roman"/>
          <w:color w:val="auto"/>
          <w:kern w:val="2"/>
          <w:sz w:val="24"/>
          <w:szCs w:val="24"/>
          <w:highlight w:val="none"/>
          <w:lang w:eastAsia="zh-CN"/>
        </w:rPr>
        <w:t>据</w:t>
      </w:r>
      <w:r>
        <w:rPr>
          <w:rFonts w:hint="eastAsia" w:cs="Times New Roman"/>
          <w:color w:val="auto"/>
          <w:kern w:val="2"/>
          <w:sz w:val="24"/>
          <w:szCs w:val="24"/>
          <w:highlight w:val="none"/>
          <w:lang w:val="en-US" w:eastAsia="zh-CN"/>
        </w:rPr>
        <w:t>甘肃</w:t>
      </w:r>
      <w:r>
        <w:rPr>
          <w:rFonts w:hint="eastAsia" w:cs="Times New Roman"/>
          <w:color w:val="auto"/>
          <w:kern w:val="2"/>
          <w:sz w:val="24"/>
          <w:szCs w:val="24"/>
          <w:highlight w:val="none"/>
          <w:lang w:eastAsia="zh-CN"/>
        </w:rPr>
        <w:t>省工程地震研究所关于本工程主厂区的《工程场地地震安全性评价报告》，50年超越概率10%地表水平峰值加速度为0.114g，相应地震基本烈度为VII度。</w:t>
      </w:r>
      <w:r>
        <w:rPr>
          <w:rFonts w:hint="eastAsia" w:ascii="Times New Roman" w:hAnsi="Times New Roman" w:cs="宋体"/>
          <w:bCs/>
          <w:color w:val="auto"/>
          <w:kern w:val="2"/>
          <w:sz w:val="24"/>
          <w:szCs w:val="24"/>
          <w:highlight w:val="none"/>
          <w:lang w:eastAsia="zh-CN"/>
        </w:rPr>
        <w:t xml:space="preserve"> </w:t>
      </w:r>
    </w:p>
    <w:p w14:paraId="68751DD7">
      <w:pPr>
        <w:widowControl w:val="0"/>
        <w:tabs>
          <w:tab w:val="left" w:pos="600"/>
        </w:tabs>
        <w:adjustRightInd w:val="0"/>
        <w:snapToGrid w:val="0"/>
        <w:spacing w:after="0" w:line="360" w:lineRule="auto"/>
        <w:ind w:firstLine="0" w:firstLineChars="200"/>
        <w:rPr>
          <w:rFonts w:cs="Times New Roman"/>
          <w:color w:val="auto"/>
          <w:kern w:val="2"/>
          <w:sz w:val="24"/>
          <w:szCs w:val="24"/>
          <w:highlight w:val="none"/>
          <w:lang w:eastAsia="zh-CN"/>
        </w:rPr>
      </w:pPr>
      <w:r>
        <w:rPr>
          <w:rFonts w:cs="Times New Roman"/>
          <w:snapToGrid w:val="0"/>
          <w:color w:val="auto"/>
          <w:w w:val="0"/>
          <w:sz w:val="24"/>
          <w:szCs w:val="24"/>
          <w:highlight w:val="none"/>
          <w:lang w:eastAsia="zh-CN"/>
        </w:rPr>
        <w:t xml:space="preserve">2.2 </w:t>
      </w:r>
      <w:r>
        <w:rPr>
          <w:rFonts w:hint="eastAsia" w:cs="Times New Roman"/>
          <w:color w:val="auto"/>
          <w:kern w:val="2"/>
          <w:sz w:val="24"/>
          <w:szCs w:val="24"/>
          <w:highlight w:val="none"/>
          <w:lang w:eastAsia="zh-CN"/>
        </w:rPr>
        <w:t>对保护装置设计以及布置做简述</w:t>
      </w:r>
    </w:p>
    <w:p w14:paraId="71880DDD">
      <w:pPr>
        <w:widowControl w:val="0"/>
        <w:tabs>
          <w:tab w:val="left" w:pos="600"/>
        </w:tabs>
        <w:adjustRightInd w:val="0"/>
        <w:spacing w:after="0" w:line="360" w:lineRule="auto"/>
        <w:ind w:firstLine="480" w:firstLineChars="200"/>
        <w:jc w:val="both"/>
        <w:rPr>
          <w:rFonts w:hint="eastAsia" w:ascii="宋体" w:cs="Times New Roman"/>
          <w:color w:val="auto"/>
          <w:kern w:val="2"/>
          <w:sz w:val="24"/>
          <w:szCs w:val="24"/>
          <w:highlight w:val="none"/>
          <w:lang w:eastAsia="zh-CN"/>
        </w:rPr>
      </w:pPr>
      <w:r>
        <w:rPr>
          <w:rFonts w:hint="eastAsia" w:ascii="宋体" w:cs="Times New Roman"/>
          <w:color w:val="auto"/>
          <w:kern w:val="2"/>
          <w:sz w:val="24"/>
          <w:szCs w:val="24"/>
          <w:highlight w:val="none"/>
          <w:lang w:eastAsia="zh-CN"/>
        </w:rPr>
        <w:t>本工程配置1套宽频同步相量测量系统，包含1面宽频测量处理屏、1台</w:t>
      </w:r>
      <w:r>
        <w:rPr>
          <w:rFonts w:hint="eastAsia" w:cs="Times New Roman"/>
          <w:color w:val="auto"/>
          <w:kern w:val="2"/>
          <w:sz w:val="24"/>
          <w:szCs w:val="24"/>
          <w:highlight w:val="none"/>
          <w:lang w:val="en-US" w:eastAsia="zh-CN"/>
        </w:rPr>
        <w:t>75</w:t>
      </w:r>
      <w:r>
        <w:rPr>
          <w:rFonts w:hint="eastAsia" w:ascii="宋体" w:cs="Times New Roman"/>
          <w:color w:val="auto"/>
          <w:kern w:val="2"/>
          <w:sz w:val="24"/>
          <w:szCs w:val="24"/>
          <w:highlight w:val="none"/>
          <w:lang w:eastAsia="zh-CN"/>
        </w:rPr>
        <w:t>0kV宽频测量采集屏、2台机组侧宽频测量采集屏。其中宽频测量处理屏内含2台宽频测量单元。</w:t>
      </w:r>
    </w:p>
    <w:p w14:paraId="1BA5E63E">
      <w:pPr>
        <w:widowControl w:val="0"/>
        <w:tabs>
          <w:tab w:val="left" w:pos="600"/>
        </w:tabs>
        <w:adjustRightInd w:val="0"/>
        <w:snapToGrid/>
        <w:spacing w:after="0" w:line="360" w:lineRule="auto"/>
        <w:ind w:firstLine="0" w:firstLineChars="200"/>
        <w:jc w:val="both"/>
        <w:rPr>
          <w:rFonts w:ascii="宋体" w:hAnsi="宋体" w:cs="Times New Roman"/>
          <w:bCs w:val="0"/>
          <w:snapToGrid w:val="0"/>
          <w:color w:val="auto"/>
          <w:w w:val="0"/>
          <w:kern w:val="0"/>
          <w:sz w:val="24"/>
          <w:szCs w:val="24"/>
          <w:highlight w:val="none"/>
          <w:lang w:eastAsia="zh-CN"/>
        </w:rPr>
      </w:pPr>
      <w:r>
        <w:rPr>
          <w:rFonts w:ascii="宋体" w:hAnsi="宋体" w:cs="Times New Roman"/>
          <w:snapToGrid w:val="0"/>
          <w:color w:val="auto"/>
          <w:w w:val="0"/>
          <w:kern w:val="0"/>
          <w:sz w:val="24"/>
          <w:szCs w:val="24"/>
          <w:highlight w:val="none"/>
          <w:lang w:eastAsia="zh-CN"/>
        </w:rPr>
        <w:t>2.3</w:t>
      </w:r>
      <w:r>
        <w:rPr>
          <w:rFonts w:hint="eastAsia" w:ascii="宋体" w:hAnsi="宋体" w:cs="Times New Roman"/>
          <w:bCs w:val="0"/>
          <w:snapToGrid w:val="0"/>
          <w:color w:val="auto"/>
          <w:w w:val="0"/>
          <w:kern w:val="0"/>
          <w:sz w:val="24"/>
          <w:szCs w:val="24"/>
          <w:highlight w:val="none"/>
          <w:lang w:eastAsia="zh-CN"/>
        </w:rPr>
        <w:t>气象条件（不限于此）</w:t>
      </w:r>
    </w:p>
    <w:p w14:paraId="52CDF630">
      <w:pPr>
        <w:pStyle w:val="206"/>
        <w:tabs>
          <w:tab w:val="left" w:pos="567"/>
        </w:tabs>
        <w:snapToGrid w:val="0"/>
        <w:spacing w:line="360" w:lineRule="auto"/>
        <w:ind w:firstLine="480" w:firstLineChars="200"/>
        <w:textAlignment w:val="bottom"/>
        <w:rPr>
          <w:rFonts w:hint="eastAsia" w:ascii="宋体" w:hAnsi="宋体" w:eastAsia="宋体" w:cs="Times New Roman"/>
          <w:color w:val="auto"/>
          <w:spacing w:val="0"/>
          <w:sz w:val="24"/>
          <w:szCs w:val="24"/>
          <w:highlight w:val="none"/>
        </w:rPr>
      </w:pPr>
      <w:r>
        <w:rPr>
          <w:rFonts w:hint="eastAsia" w:ascii="宋体" w:hAnsi="宋体" w:eastAsia="宋体" w:cs="Times New Roman"/>
          <w:color w:val="auto"/>
          <w:spacing w:val="0"/>
          <w:sz w:val="24"/>
          <w:szCs w:val="24"/>
          <w:highlight w:val="none"/>
        </w:rPr>
        <w:t>民勤属温带大陆性极干旱气候区，具有明显的蒙新沙漠气候特征。常年干燥、降水少，蒸发大，冬冷夏热，昼夜温差悬殊，日照长，风沙多。</w:t>
      </w:r>
    </w:p>
    <w:p w14:paraId="11042CED">
      <w:pPr>
        <w:pStyle w:val="207"/>
        <w:overflowPunct w:val="0"/>
        <w:autoSpaceDE w:val="0"/>
        <w:autoSpaceDN w:val="0"/>
        <w:adjustRightInd w:val="0"/>
        <w:snapToGrid w:val="0"/>
        <w:spacing w:line="360" w:lineRule="auto"/>
        <w:ind w:firstLine="482"/>
        <w:textAlignment w:val="baseline"/>
        <w:rPr>
          <w:rFonts w:hint="eastAsia" w:ascii="宋体" w:hAnsi="宋体" w:eastAsia="宋体" w:cs="Times New Roman"/>
          <w:b w:val="0"/>
          <w:color w:val="auto"/>
          <w:sz w:val="21"/>
          <w:szCs w:val="21"/>
          <w:highlight w:val="none"/>
        </w:rPr>
      </w:pPr>
      <w:r>
        <w:rPr>
          <w:rFonts w:hint="eastAsia" w:ascii="宋体" w:hAnsi="宋体" w:eastAsia="宋体" w:cs="Times New Roman"/>
          <w:snapToGrid/>
          <w:color w:val="auto"/>
          <w:kern w:val="2"/>
          <w:sz w:val="21"/>
          <w:szCs w:val="21"/>
          <w:highlight w:val="none"/>
        </w:rPr>
        <w:t>根据民勤气象站多年实测资料统计，求得累年基本气象要素值见下表。</w:t>
      </w:r>
    </w:p>
    <w:tbl>
      <w:tblPr>
        <w:tblStyle w:val="42"/>
        <w:tblW w:w="4872"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3621"/>
        <w:gridCol w:w="1213"/>
        <w:gridCol w:w="1414"/>
        <w:gridCol w:w="2415"/>
      </w:tblGrid>
      <w:tr w14:paraId="43EC050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9" w:hRule="atLeast"/>
        </w:trPr>
        <w:tc>
          <w:tcPr>
            <w:tcW w:w="2089" w:type="pct"/>
            <w:tcBorders>
              <w:top w:val="single" w:color="000000" w:sz="4" w:space="0"/>
              <w:left w:val="single" w:color="000000" w:sz="4" w:space="0"/>
              <w:bottom w:val="single" w:color="000000" w:sz="4" w:space="0"/>
              <w:right w:val="single" w:color="000000" w:sz="4" w:space="0"/>
            </w:tcBorders>
            <w:noWrap/>
            <w:vAlign w:val="center"/>
          </w:tcPr>
          <w:p w14:paraId="7D82A968">
            <w:pPr>
              <w:keepNext w:val="0"/>
              <w:keepLines w:val="0"/>
              <w:suppressLineNumbers w:val="0"/>
              <w:overflowPunct w:val="0"/>
              <w:autoSpaceDE w:val="0"/>
              <w:autoSpaceDN w:val="0"/>
              <w:snapToGrid w:val="0"/>
              <w:spacing w:before="0" w:beforeAutospacing="0" w:after="0" w:afterAutospacing="0" w:line="360" w:lineRule="atLeast"/>
              <w:ind w:left="0" w:right="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要素</w:t>
            </w:r>
          </w:p>
        </w:tc>
        <w:tc>
          <w:tcPr>
            <w:tcW w:w="700" w:type="pct"/>
            <w:tcBorders>
              <w:top w:val="single" w:color="000000" w:sz="4" w:space="0"/>
              <w:left w:val="nil"/>
              <w:bottom w:val="single" w:color="000000" w:sz="4" w:space="0"/>
              <w:right w:val="single" w:color="000000" w:sz="4" w:space="0"/>
            </w:tcBorders>
            <w:noWrap w:val="0"/>
            <w:vAlign w:val="center"/>
          </w:tcPr>
          <w:p w14:paraId="15A92F33">
            <w:pPr>
              <w:keepNext w:val="0"/>
              <w:keepLines w:val="0"/>
              <w:suppressLineNumbers w:val="0"/>
              <w:overflowPunct w:val="0"/>
              <w:autoSpaceDE w:val="0"/>
              <w:autoSpaceDN w:val="0"/>
              <w:snapToGrid w:val="0"/>
              <w:spacing w:before="0" w:beforeAutospacing="0" w:after="0" w:afterAutospacing="0" w:line="360" w:lineRule="atLeast"/>
              <w:ind w:left="0" w:right="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单位</w:t>
            </w:r>
          </w:p>
        </w:tc>
        <w:tc>
          <w:tcPr>
            <w:tcW w:w="816" w:type="pct"/>
            <w:tcBorders>
              <w:top w:val="single" w:color="000000" w:sz="4" w:space="0"/>
              <w:left w:val="nil"/>
              <w:bottom w:val="single" w:color="000000" w:sz="4" w:space="0"/>
              <w:right w:val="single" w:color="000000" w:sz="4" w:space="0"/>
            </w:tcBorders>
            <w:noWrap/>
            <w:vAlign w:val="center"/>
          </w:tcPr>
          <w:p w14:paraId="466908D1">
            <w:pPr>
              <w:keepNext w:val="0"/>
              <w:keepLines w:val="0"/>
              <w:suppressLineNumbers w:val="0"/>
              <w:overflowPunct w:val="0"/>
              <w:autoSpaceDE w:val="0"/>
              <w:autoSpaceDN w:val="0"/>
              <w:snapToGrid w:val="0"/>
              <w:spacing w:before="0" w:beforeAutospacing="0" w:after="0" w:afterAutospacing="0" w:line="360" w:lineRule="atLeast"/>
              <w:ind w:left="0" w:right="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数值</w:t>
            </w:r>
          </w:p>
        </w:tc>
        <w:tc>
          <w:tcPr>
            <w:tcW w:w="1393" w:type="pct"/>
            <w:tcBorders>
              <w:top w:val="single" w:color="000000" w:sz="4" w:space="0"/>
              <w:left w:val="nil"/>
              <w:bottom w:val="single" w:color="000000" w:sz="4" w:space="0"/>
              <w:right w:val="single" w:color="000000" w:sz="4" w:space="0"/>
            </w:tcBorders>
            <w:noWrap/>
            <w:vAlign w:val="center"/>
          </w:tcPr>
          <w:p w14:paraId="5D95379B">
            <w:pPr>
              <w:keepNext w:val="0"/>
              <w:keepLines w:val="0"/>
              <w:suppressLineNumbers w:val="0"/>
              <w:overflowPunct w:val="0"/>
              <w:autoSpaceDE w:val="0"/>
              <w:autoSpaceDN w:val="0"/>
              <w:snapToGrid w:val="0"/>
              <w:spacing w:before="0" w:beforeAutospacing="0" w:after="0" w:afterAutospacing="0" w:line="360" w:lineRule="atLeast"/>
              <w:ind w:left="0" w:right="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备注</w:t>
            </w:r>
          </w:p>
        </w:tc>
      </w:tr>
      <w:tr w14:paraId="70DA3B8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9" w:hRule="atLeast"/>
        </w:trPr>
        <w:tc>
          <w:tcPr>
            <w:tcW w:w="2089" w:type="pct"/>
            <w:tcBorders>
              <w:top w:val="single" w:color="000000" w:sz="4" w:space="0"/>
              <w:left w:val="single" w:color="000000" w:sz="4" w:space="0"/>
              <w:bottom w:val="single" w:color="000000" w:sz="4" w:space="0"/>
              <w:right w:val="single" w:color="000000" w:sz="4" w:space="0"/>
            </w:tcBorders>
            <w:noWrap/>
            <w:vAlign w:val="center"/>
          </w:tcPr>
          <w:p w14:paraId="19E56633">
            <w:pPr>
              <w:keepNext w:val="0"/>
              <w:keepLines w:val="0"/>
              <w:suppressLineNumbers w:val="0"/>
              <w:overflowPunct w:val="0"/>
              <w:autoSpaceDE w:val="0"/>
              <w:autoSpaceDN w:val="0"/>
              <w:snapToGrid w:val="0"/>
              <w:spacing w:before="0" w:beforeAutospacing="0" w:after="0" w:afterAutospacing="0" w:line="360" w:lineRule="atLeast"/>
              <w:ind w:left="0" w:right="0"/>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多年平均气温：</w:t>
            </w:r>
          </w:p>
        </w:tc>
        <w:tc>
          <w:tcPr>
            <w:tcW w:w="700" w:type="pct"/>
            <w:tcBorders>
              <w:top w:val="single" w:color="000000" w:sz="4" w:space="0"/>
              <w:left w:val="nil"/>
              <w:bottom w:val="single" w:color="000000" w:sz="4" w:space="0"/>
              <w:right w:val="single" w:color="000000" w:sz="4" w:space="0"/>
            </w:tcBorders>
            <w:noWrap w:val="0"/>
            <w:vAlign w:val="center"/>
          </w:tcPr>
          <w:p w14:paraId="49303252">
            <w:pPr>
              <w:keepNext w:val="0"/>
              <w:keepLines w:val="0"/>
              <w:suppressLineNumbers w:val="0"/>
              <w:overflowPunct w:val="0"/>
              <w:autoSpaceDE w:val="0"/>
              <w:autoSpaceDN w:val="0"/>
              <w:snapToGrid w:val="0"/>
              <w:spacing w:before="0" w:beforeAutospacing="0" w:after="0" w:afterAutospacing="0" w:line="360" w:lineRule="atLeast"/>
              <w:ind w:left="0" w:right="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w:t>
            </w:r>
          </w:p>
        </w:tc>
        <w:tc>
          <w:tcPr>
            <w:tcW w:w="816" w:type="pct"/>
            <w:tcBorders>
              <w:top w:val="single" w:color="000000" w:sz="4" w:space="0"/>
              <w:left w:val="nil"/>
              <w:bottom w:val="single" w:color="000000" w:sz="4" w:space="0"/>
              <w:right w:val="single" w:color="000000" w:sz="4" w:space="0"/>
            </w:tcBorders>
            <w:noWrap/>
            <w:vAlign w:val="center"/>
          </w:tcPr>
          <w:p w14:paraId="25BB221C">
            <w:pPr>
              <w:keepNext w:val="0"/>
              <w:keepLines w:val="0"/>
              <w:suppressLineNumbers w:val="0"/>
              <w:overflowPunct w:val="0"/>
              <w:autoSpaceDE w:val="0"/>
              <w:autoSpaceDN w:val="0"/>
              <w:snapToGrid w:val="0"/>
              <w:spacing w:before="0" w:beforeAutospacing="0" w:after="0" w:afterAutospacing="0" w:line="360" w:lineRule="atLeast"/>
              <w:ind w:left="0" w:right="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8.3</w:t>
            </w:r>
          </w:p>
        </w:tc>
        <w:tc>
          <w:tcPr>
            <w:tcW w:w="1393" w:type="pct"/>
            <w:tcBorders>
              <w:top w:val="single" w:color="000000" w:sz="4" w:space="0"/>
              <w:left w:val="nil"/>
              <w:bottom w:val="single" w:color="000000" w:sz="4" w:space="0"/>
              <w:right w:val="single" w:color="000000" w:sz="4" w:space="0"/>
            </w:tcBorders>
            <w:noWrap/>
            <w:vAlign w:val="center"/>
          </w:tcPr>
          <w:p w14:paraId="0219A0E3">
            <w:pPr>
              <w:keepNext w:val="0"/>
              <w:keepLines w:val="0"/>
              <w:suppressLineNumbers w:val="0"/>
              <w:overflowPunct w:val="0"/>
              <w:autoSpaceDE w:val="0"/>
              <w:autoSpaceDN w:val="0"/>
              <w:snapToGrid w:val="0"/>
              <w:spacing w:before="0" w:beforeAutospacing="0" w:after="0" w:afterAutospacing="0" w:line="360" w:lineRule="atLeast"/>
              <w:ind w:left="0" w:right="0"/>
              <w:jc w:val="center"/>
              <w:rPr>
                <w:rFonts w:hint="default" w:ascii="Times New Roman" w:hAnsi="Times New Roman" w:eastAsia="宋体" w:cs="Times New Roman"/>
                <w:color w:val="auto"/>
                <w:sz w:val="21"/>
                <w:szCs w:val="21"/>
                <w:highlight w:val="none"/>
              </w:rPr>
            </w:pPr>
          </w:p>
        </w:tc>
      </w:tr>
      <w:tr w14:paraId="687F6FB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9" w:hRule="atLeast"/>
        </w:trPr>
        <w:tc>
          <w:tcPr>
            <w:tcW w:w="2089" w:type="pct"/>
            <w:tcBorders>
              <w:top w:val="single" w:color="000000" w:sz="4" w:space="0"/>
              <w:left w:val="single" w:color="000000" w:sz="4" w:space="0"/>
              <w:bottom w:val="single" w:color="000000" w:sz="4" w:space="0"/>
              <w:right w:val="single" w:color="000000" w:sz="4" w:space="0"/>
            </w:tcBorders>
            <w:noWrap/>
            <w:vAlign w:val="center"/>
          </w:tcPr>
          <w:p w14:paraId="56043FD0">
            <w:pPr>
              <w:keepNext w:val="0"/>
              <w:keepLines w:val="0"/>
              <w:suppressLineNumbers w:val="0"/>
              <w:overflowPunct w:val="0"/>
              <w:autoSpaceDE w:val="0"/>
              <w:autoSpaceDN w:val="0"/>
              <w:snapToGrid w:val="0"/>
              <w:spacing w:before="0" w:beforeAutospacing="0" w:after="0" w:afterAutospacing="0" w:line="360" w:lineRule="atLeast"/>
              <w:ind w:left="0" w:right="0"/>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最热月平均气温</w:t>
            </w:r>
          </w:p>
        </w:tc>
        <w:tc>
          <w:tcPr>
            <w:tcW w:w="700" w:type="pct"/>
            <w:tcBorders>
              <w:top w:val="single" w:color="000000" w:sz="4" w:space="0"/>
              <w:left w:val="nil"/>
              <w:bottom w:val="single" w:color="000000" w:sz="4" w:space="0"/>
              <w:right w:val="single" w:color="000000" w:sz="4" w:space="0"/>
            </w:tcBorders>
            <w:noWrap w:val="0"/>
            <w:vAlign w:val="center"/>
          </w:tcPr>
          <w:p w14:paraId="5A28B2F9">
            <w:pPr>
              <w:keepNext w:val="0"/>
              <w:keepLines w:val="0"/>
              <w:suppressLineNumbers w:val="0"/>
              <w:overflowPunct w:val="0"/>
              <w:autoSpaceDE w:val="0"/>
              <w:autoSpaceDN w:val="0"/>
              <w:snapToGrid w:val="0"/>
              <w:spacing w:before="0" w:beforeAutospacing="0" w:after="0" w:afterAutospacing="0" w:line="360" w:lineRule="atLeast"/>
              <w:ind w:left="0" w:right="0" w:firstLine="420" w:firstLineChars="200"/>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w:t>
            </w:r>
          </w:p>
        </w:tc>
        <w:tc>
          <w:tcPr>
            <w:tcW w:w="816" w:type="pct"/>
            <w:tcBorders>
              <w:top w:val="single" w:color="000000" w:sz="4" w:space="0"/>
              <w:left w:val="nil"/>
              <w:bottom w:val="single" w:color="000000" w:sz="4" w:space="0"/>
              <w:right w:val="single" w:color="000000" w:sz="4" w:space="0"/>
            </w:tcBorders>
            <w:noWrap/>
            <w:vAlign w:val="center"/>
          </w:tcPr>
          <w:p w14:paraId="2A3BBB82">
            <w:pPr>
              <w:keepNext w:val="0"/>
              <w:keepLines w:val="0"/>
              <w:suppressLineNumbers w:val="0"/>
              <w:overflowPunct w:val="0"/>
              <w:autoSpaceDE w:val="0"/>
              <w:autoSpaceDN w:val="0"/>
              <w:snapToGrid w:val="0"/>
              <w:spacing w:before="0" w:beforeAutospacing="0" w:after="0" w:afterAutospacing="0" w:line="360" w:lineRule="atLeast"/>
              <w:ind w:left="0" w:right="0" w:firstLine="420" w:firstLineChars="200"/>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23.2</w:t>
            </w:r>
          </w:p>
        </w:tc>
        <w:tc>
          <w:tcPr>
            <w:tcW w:w="1393" w:type="pct"/>
            <w:tcBorders>
              <w:top w:val="single" w:color="000000" w:sz="4" w:space="0"/>
              <w:left w:val="nil"/>
              <w:bottom w:val="single" w:color="000000" w:sz="4" w:space="0"/>
              <w:right w:val="single" w:color="000000" w:sz="4" w:space="0"/>
            </w:tcBorders>
            <w:noWrap/>
            <w:vAlign w:val="center"/>
          </w:tcPr>
          <w:p w14:paraId="68BF3935">
            <w:pPr>
              <w:keepNext w:val="0"/>
              <w:keepLines w:val="0"/>
              <w:suppressLineNumbers w:val="0"/>
              <w:overflowPunct w:val="0"/>
              <w:autoSpaceDE w:val="0"/>
              <w:autoSpaceDN w:val="0"/>
              <w:snapToGrid w:val="0"/>
              <w:spacing w:before="0" w:beforeAutospacing="0" w:after="0" w:afterAutospacing="0" w:line="360" w:lineRule="atLeast"/>
              <w:ind w:left="0" w:right="0" w:firstLine="420" w:firstLineChars="200"/>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7月</w:t>
            </w:r>
          </w:p>
        </w:tc>
      </w:tr>
      <w:tr w14:paraId="07E74BA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9" w:hRule="atLeast"/>
        </w:trPr>
        <w:tc>
          <w:tcPr>
            <w:tcW w:w="2089" w:type="pct"/>
            <w:tcBorders>
              <w:top w:val="single" w:color="000000" w:sz="4" w:space="0"/>
              <w:left w:val="single" w:color="000000" w:sz="4" w:space="0"/>
              <w:bottom w:val="single" w:color="000000" w:sz="4" w:space="0"/>
              <w:right w:val="single" w:color="000000" w:sz="4" w:space="0"/>
            </w:tcBorders>
            <w:noWrap/>
            <w:vAlign w:val="center"/>
          </w:tcPr>
          <w:p w14:paraId="6FCD14A0">
            <w:pPr>
              <w:keepNext w:val="0"/>
              <w:keepLines w:val="0"/>
              <w:suppressLineNumbers w:val="0"/>
              <w:overflowPunct w:val="0"/>
              <w:autoSpaceDE w:val="0"/>
              <w:autoSpaceDN w:val="0"/>
              <w:snapToGrid w:val="0"/>
              <w:spacing w:before="0" w:beforeAutospacing="0" w:after="0" w:afterAutospacing="0" w:line="360" w:lineRule="atLeast"/>
              <w:ind w:left="0" w:right="0"/>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最冷月平均气温</w:t>
            </w:r>
          </w:p>
        </w:tc>
        <w:tc>
          <w:tcPr>
            <w:tcW w:w="700" w:type="pct"/>
            <w:tcBorders>
              <w:top w:val="single" w:color="000000" w:sz="4" w:space="0"/>
              <w:left w:val="nil"/>
              <w:bottom w:val="single" w:color="000000" w:sz="4" w:space="0"/>
              <w:right w:val="single" w:color="000000" w:sz="4" w:space="0"/>
            </w:tcBorders>
            <w:noWrap w:val="0"/>
            <w:vAlign w:val="center"/>
          </w:tcPr>
          <w:p w14:paraId="12CF7260">
            <w:pPr>
              <w:keepNext w:val="0"/>
              <w:keepLines w:val="0"/>
              <w:suppressLineNumbers w:val="0"/>
              <w:overflowPunct w:val="0"/>
              <w:autoSpaceDE w:val="0"/>
              <w:autoSpaceDN w:val="0"/>
              <w:snapToGrid w:val="0"/>
              <w:spacing w:before="0" w:beforeAutospacing="0" w:after="0" w:afterAutospacing="0" w:line="360" w:lineRule="atLeast"/>
              <w:ind w:left="0" w:right="0" w:firstLine="420" w:firstLineChars="200"/>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w:t>
            </w:r>
          </w:p>
        </w:tc>
        <w:tc>
          <w:tcPr>
            <w:tcW w:w="816" w:type="pct"/>
            <w:tcBorders>
              <w:top w:val="single" w:color="000000" w:sz="4" w:space="0"/>
              <w:left w:val="nil"/>
              <w:bottom w:val="single" w:color="000000" w:sz="4" w:space="0"/>
              <w:right w:val="single" w:color="000000" w:sz="4" w:space="0"/>
            </w:tcBorders>
            <w:noWrap/>
            <w:vAlign w:val="center"/>
          </w:tcPr>
          <w:p w14:paraId="222CC713">
            <w:pPr>
              <w:keepNext w:val="0"/>
              <w:keepLines w:val="0"/>
              <w:suppressLineNumbers w:val="0"/>
              <w:overflowPunct w:val="0"/>
              <w:autoSpaceDE w:val="0"/>
              <w:autoSpaceDN w:val="0"/>
              <w:snapToGrid w:val="0"/>
              <w:spacing w:before="0" w:beforeAutospacing="0" w:after="0" w:afterAutospacing="0" w:line="360" w:lineRule="atLeast"/>
              <w:ind w:left="0" w:right="0" w:firstLine="420" w:firstLineChars="200"/>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-8.6</w:t>
            </w:r>
          </w:p>
        </w:tc>
        <w:tc>
          <w:tcPr>
            <w:tcW w:w="1393" w:type="pct"/>
            <w:tcBorders>
              <w:top w:val="single" w:color="000000" w:sz="4" w:space="0"/>
              <w:left w:val="nil"/>
              <w:bottom w:val="single" w:color="000000" w:sz="4" w:space="0"/>
              <w:right w:val="single" w:color="000000" w:sz="4" w:space="0"/>
            </w:tcBorders>
            <w:noWrap/>
            <w:vAlign w:val="center"/>
          </w:tcPr>
          <w:p w14:paraId="2ED2F703">
            <w:pPr>
              <w:keepNext w:val="0"/>
              <w:keepLines w:val="0"/>
              <w:suppressLineNumbers w:val="0"/>
              <w:overflowPunct w:val="0"/>
              <w:autoSpaceDE w:val="0"/>
              <w:autoSpaceDN w:val="0"/>
              <w:snapToGrid w:val="0"/>
              <w:spacing w:before="0" w:beforeAutospacing="0" w:after="0" w:afterAutospacing="0" w:line="360" w:lineRule="atLeast"/>
              <w:ind w:left="0" w:right="0" w:firstLine="420" w:firstLineChars="200"/>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1月</w:t>
            </w:r>
          </w:p>
        </w:tc>
      </w:tr>
      <w:tr w14:paraId="5C555B0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9" w:hRule="atLeast"/>
        </w:trPr>
        <w:tc>
          <w:tcPr>
            <w:tcW w:w="2089" w:type="pct"/>
            <w:tcBorders>
              <w:top w:val="single" w:color="000000" w:sz="4" w:space="0"/>
              <w:left w:val="single" w:color="000000" w:sz="4" w:space="0"/>
              <w:bottom w:val="single" w:color="000000" w:sz="4" w:space="0"/>
              <w:right w:val="single" w:color="000000" w:sz="4" w:space="0"/>
            </w:tcBorders>
            <w:noWrap/>
            <w:vAlign w:val="center"/>
          </w:tcPr>
          <w:p w14:paraId="0EC22A6C">
            <w:pPr>
              <w:keepNext w:val="0"/>
              <w:keepLines w:val="0"/>
              <w:suppressLineNumbers w:val="0"/>
              <w:overflowPunct w:val="0"/>
              <w:autoSpaceDE w:val="0"/>
              <w:autoSpaceDN w:val="0"/>
              <w:snapToGrid w:val="0"/>
              <w:spacing w:before="0" w:beforeAutospacing="0" w:after="0" w:afterAutospacing="0" w:line="360" w:lineRule="atLeast"/>
              <w:ind w:left="0" w:right="0"/>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极端最高气温：</w:t>
            </w:r>
          </w:p>
        </w:tc>
        <w:tc>
          <w:tcPr>
            <w:tcW w:w="700" w:type="pct"/>
            <w:tcBorders>
              <w:top w:val="single" w:color="000000" w:sz="4" w:space="0"/>
              <w:left w:val="nil"/>
              <w:bottom w:val="single" w:color="000000" w:sz="4" w:space="0"/>
              <w:right w:val="single" w:color="000000" w:sz="4" w:space="0"/>
            </w:tcBorders>
            <w:noWrap w:val="0"/>
            <w:vAlign w:val="center"/>
          </w:tcPr>
          <w:p w14:paraId="7500258D">
            <w:pPr>
              <w:keepNext w:val="0"/>
              <w:keepLines w:val="0"/>
              <w:suppressLineNumbers w:val="0"/>
              <w:overflowPunct w:val="0"/>
              <w:autoSpaceDE w:val="0"/>
              <w:autoSpaceDN w:val="0"/>
              <w:snapToGrid w:val="0"/>
              <w:spacing w:before="0" w:beforeAutospacing="0" w:after="0" w:afterAutospacing="0" w:line="360" w:lineRule="atLeast"/>
              <w:ind w:left="0" w:right="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w:t>
            </w:r>
          </w:p>
        </w:tc>
        <w:tc>
          <w:tcPr>
            <w:tcW w:w="816" w:type="pct"/>
            <w:tcBorders>
              <w:top w:val="single" w:color="000000" w:sz="4" w:space="0"/>
              <w:left w:val="nil"/>
              <w:bottom w:val="single" w:color="000000" w:sz="4" w:space="0"/>
              <w:right w:val="single" w:color="000000" w:sz="4" w:space="0"/>
            </w:tcBorders>
            <w:noWrap/>
            <w:vAlign w:val="center"/>
          </w:tcPr>
          <w:p w14:paraId="57D57612">
            <w:pPr>
              <w:keepNext w:val="0"/>
              <w:keepLines w:val="0"/>
              <w:suppressLineNumbers w:val="0"/>
              <w:overflowPunct w:val="0"/>
              <w:autoSpaceDE w:val="0"/>
              <w:autoSpaceDN w:val="0"/>
              <w:snapToGrid w:val="0"/>
              <w:spacing w:before="0" w:beforeAutospacing="0" w:after="0" w:afterAutospacing="0" w:line="360" w:lineRule="atLeast"/>
              <w:ind w:left="0" w:right="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41.7</w:t>
            </w:r>
          </w:p>
        </w:tc>
        <w:tc>
          <w:tcPr>
            <w:tcW w:w="1393" w:type="pct"/>
            <w:tcBorders>
              <w:top w:val="single" w:color="000000" w:sz="4" w:space="0"/>
              <w:left w:val="nil"/>
              <w:bottom w:val="single" w:color="000000" w:sz="4" w:space="0"/>
              <w:right w:val="single" w:color="000000" w:sz="4" w:space="0"/>
            </w:tcBorders>
            <w:noWrap/>
            <w:vAlign w:val="center"/>
          </w:tcPr>
          <w:p w14:paraId="09167A7C">
            <w:pPr>
              <w:keepNext w:val="0"/>
              <w:keepLines w:val="0"/>
              <w:suppressLineNumbers w:val="0"/>
              <w:overflowPunct w:val="0"/>
              <w:autoSpaceDE w:val="0"/>
              <w:autoSpaceDN w:val="0"/>
              <w:snapToGrid w:val="0"/>
              <w:spacing w:before="0" w:beforeAutospacing="0" w:after="0" w:afterAutospacing="0" w:line="360" w:lineRule="atLeast"/>
              <w:ind w:left="0" w:right="0" w:firstLine="420" w:firstLineChars="200"/>
              <w:jc w:val="left"/>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kern w:val="2"/>
                <w:sz w:val="21"/>
                <w:szCs w:val="21"/>
                <w:highlight w:val="none"/>
                <w:lang w:val="en-US" w:eastAsia="zh-CN" w:bidi="ar"/>
              </w:rPr>
              <w:t>2010.7.30</w:t>
            </w:r>
          </w:p>
        </w:tc>
      </w:tr>
      <w:tr w14:paraId="339C9AD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9" w:hRule="atLeast"/>
        </w:trPr>
        <w:tc>
          <w:tcPr>
            <w:tcW w:w="2089" w:type="pct"/>
            <w:tcBorders>
              <w:top w:val="single" w:color="000000" w:sz="4" w:space="0"/>
              <w:left w:val="single" w:color="000000" w:sz="4" w:space="0"/>
              <w:bottom w:val="single" w:color="000000" w:sz="4" w:space="0"/>
              <w:right w:val="single" w:color="000000" w:sz="4" w:space="0"/>
            </w:tcBorders>
            <w:noWrap/>
            <w:vAlign w:val="center"/>
          </w:tcPr>
          <w:p w14:paraId="12B6EBF3">
            <w:pPr>
              <w:keepNext w:val="0"/>
              <w:keepLines w:val="0"/>
              <w:suppressLineNumbers w:val="0"/>
              <w:overflowPunct w:val="0"/>
              <w:autoSpaceDE w:val="0"/>
              <w:autoSpaceDN w:val="0"/>
              <w:snapToGrid w:val="0"/>
              <w:spacing w:before="0" w:beforeAutospacing="0" w:after="0" w:afterAutospacing="0" w:line="360" w:lineRule="atLeast"/>
              <w:ind w:left="0" w:right="0"/>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极端最低气温：</w:t>
            </w:r>
          </w:p>
        </w:tc>
        <w:tc>
          <w:tcPr>
            <w:tcW w:w="700" w:type="pct"/>
            <w:tcBorders>
              <w:top w:val="single" w:color="000000" w:sz="4" w:space="0"/>
              <w:left w:val="nil"/>
              <w:bottom w:val="single" w:color="000000" w:sz="4" w:space="0"/>
              <w:right w:val="single" w:color="000000" w:sz="4" w:space="0"/>
            </w:tcBorders>
            <w:noWrap w:val="0"/>
            <w:vAlign w:val="center"/>
          </w:tcPr>
          <w:p w14:paraId="1C01AB32">
            <w:pPr>
              <w:keepNext w:val="0"/>
              <w:keepLines w:val="0"/>
              <w:suppressLineNumbers w:val="0"/>
              <w:overflowPunct w:val="0"/>
              <w:autoSpaceDE w:val="0"/>
              <w:autoSpaceDN w:val="0"/>
              <w:snapToGrid w:val="0"/>
              <w:spacing w:before="0" w:beforeAutospacing="0" w:after="0" w:afterAutospacing="0" w:line="360" w:lineRule="atLeast"/>
              <w:ind w:left="0" w:right="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w:t>
            </w:r>
          </w:p>
        </w:tc>
        <w:tc>
          <w:tcPr>
            <w:tcW w:w="816" w:type="pct"/>
            <w:tcBorders>
              <w:top w:val="single" w:color="000000" w:sz="4" w:space="0"/>
              <w:left w:val="nil"/>
              <w:bottom w:val="single" w:color="000000" w:sz="4" w:space="0"/>
              <w:right w:val="single" w:color="000000" w:sz="4" w:space="0"/>
            </w:tcBorders>
            <w:noWrap/>
            <w:vAlign w:val="center"/>
          </w:tcPr>
          <w:p w14:paraId="4A911CA1">
            <w:pPr>
              <w:keepNext w:val="0"/>
              <w:keepLines w:val="0"/>
              <w:suppressLineNumbers w:val="0"/>
              <w:overflowPunct w:val="0"/>
              <w:autoSpaceDE w:val="0"/>
              <w:autoSpaceDN w:val="0"/>
              <w:snapToGrid w:val="0"/>
              <w:spacing w:before="0" w:beforeAutospacing="0" w:after="0" w:afterAutospacing="0" w:line="360" w:lineRule="atLeast"/>
              <w:ind w:left="0" w:right="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rPr>
              <w:t>-</w:t>
            </w:r>
            <w:r>
              <w:rPr>
                <w:rFonts w:hint="default" w:ascii="Times New Roman" w:hAnsi="Times New Roman" w:eastAsia="宋体" w:cs="Times New Roman"/>
                <w:color w:val="auto"/>
                <w:sz w:val="21"/>
                <w:szCs w:val="21"/>
                <w:highlight w:val="none"/>
                <w:lang w:val="en-US" w:eastAsia="zh-CN"/>
              </w:rPr>
              <w:t>29.5</w:t>
            </w:r>
          </w:p>
        </w:tc>
        <w:tc>
          <w:tcPr>
            <w:tcW w:w="1393" w:type="pct"/>
            <w:tcBorders>
              <w:top w:val="single" w:color="000000" w:sz="4" w:space="0"/>
              <w:left w:val="nil"/>
              <w:bottom w:val="single" w:color="000000" w:sz="4" w:space="0"/>
              <w:right w:val="single" w:color="000000" w:sz="4" w:space="0"/>
            </w:tcBorders>
            <w:noWrap/>
            <w:vAlign w:val="center"/>
          </w:tcPr>
          <w:p w14:paraId="610F8C37">
            <w:pPr>
              <w:keepNext w:val="0"/>
              <w:keepLines w:val="0"/>
              <w:widowControl/>
              <w:suppressLineNumbers w:val="0"/>
              <w:overflowPunct w:val="0"/>
              <w:autoSpaceDE w:val="0"/>
              <w:autoSpaceDN w:val="0"/>
              <w:snapToGrid w:val="0"/>
              <w:spacing w:before="0" w:beforeAutospacing="0" w:after="0" w:afterAutospacing="0" w:line="360" w:lineRule="atLeast"/>
              <w:ind w:left="0" w:right="0" w:firstLine="420" w:firstLineChars="200"/>
              <w:jc w:val="left"/>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kern w:val="2"/>
                <w:sz w:val="21"/>
                <w:szCs w:val="21"/>
                <w:highlight w:val="none"/>
                <w:lang w:val="en-US" w:eastAsia="zh-CN" w:bidi="ar"/>
              </w:rPr>
              <w:t>2008.2.1</w:t>
            </w:r>
          </w:p>
        </w:tc>
      </w:tr>
      <w:tr w14:paraId="47D99A9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9" w:hRule="atLeast"/>
        </w:trPr>
        <w:tc>
          <w:tcPr>
            <w:tcW w:w="2089" w:type="pct"/>
            <w:tcBorders>
              <w:top w:val="single" w:color="000000" w:sz="4" w:space="0"/>
              <w:left w:val="single" w:color="000000" w:sz="4" w:space="0"/>
              <w:bottom w:val="single" w:color="000000" w:sz="4" w:space="0"/>
              <w:right w:val="single" w:color="000000" w:sz="4" w:space="0"/>
            </w:tcBorders>
            <w:noWrap/>
            <w:vAlign w:val="center"/>
          </w:tcPr>
          <w:p w14:paraId="7A7827D2">
            <w:pPr>
              <w:keepNext w:val="0"/>
              <w:keepLines w:val="0"/>
              <w:suppressLineNumbers w:val="0"/>
              <w:overflowPunct w:val="0"/>
              <w:autoSpaceDE w:val="0"/>
              <w:autoSpaceDN w:val="0"/>
              <w:snapToGrid w:val="0"/>
              <w:spacing w:before="0" w:beforeAutospacing="0" w:after="0" w:afterAutospacing="0" w:line="360" w:lineRule="atLeast"/>
              <w:ind w:left="0" w:right="0"/>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多年平均气压</w:t>
            </w:r>
          </w:p>
        </w:tc>
        <w:tc>
          <w:tcPr>
            <w:tcW w:w="700" w:type="pct"/>
            <w:tcBorders>
              <w:top w:val="single" w:color="000000" w:sz="4" w:space="0"/>
              <w:left w:val="nil"/>
              <w:bottom w:val="single" w:color="000000" w:sz="4" w:space="0"/>
              <w:right w:val="single" w:color="000000" w:sz="4" w:space="0"/>
            </w:tcBorders>
            <w:noWrap w:val="0"/>
            <w:vAlign w:val="center"/>
          </w:tcPr>
          <w:p w14:paraId="29C70F8C">
            <w:pPr>
              <w:keepNext w:val="0"/>
              <w:keepLines w:val="0"/>
              <w:suppressLineNumbers w:val="0"/>
              <w:overflowPunct w:val="0"/>
              <w:autoSpaceDE w:val="0"/>
              <w:autoSpaceDN w:val="0"/>
              <w:snapToGrid w:val="0"/>
              <w:spacing w:before="0" w:beforeAutospacing="0" w:after="0" w:afterAutospacing="0" w:line="360" w:lineRule="atLeast"/>
              <w:ind w:left="0" w:right="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hPa</w:t>
            </w:r>
          </w:p>
        </w:tc>
        <w:tc>
          <w:tcPr>
            <w:tcW w:w="816" w:type="pct"/>
            <w:tcBorders>
              <w:top w:val="single" w:color="000000" w:sz="4" w:space="0"/>
              <w:left w:val="nil"/>
              <w:bottom w:val="single" w:color="000000" w:sz="4" w:space="0"/>
              <w:right w:val="single" w:color="000000" w:sz="4" w:space="0"/>
            </w:tcBorders>
            <w:noWrap/>
            <w:vAlign w:val="center"/>
          </w:tcPr>
          <w:p w14:paraId="443BA22D">
            <w:pPr>
              <w:keepNext w:val="0"/>
              <w:keepLines w:val="0"/>
              <w:suppressLineNumbers w:val="0"/>
              <w:overflowPunct w:val="0"/>
              <w:autoSpaceDE w:val="0"/>
              <w:autoSpaceDN w:val="0"/>
              <w:snapToGrid w:val="0"/>
              <w:spacing w:before="0" w:beforeAutospacing="0" w:after="0" w:afterAutospacing="0" w:line="360" w:lineRule="atLeast"/>
              <w:ind w:left="0" w:right="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rPr>
              <w:t>8</w:t>
            </w:r>
            <w:r>
              <w:rPr>
                <w:rFonts w:hint="default" w:ascii="Times New Roman" w:hAnsi="Times New Roman" w:eastAsia="宋体" w:cs="Times New Roman"/>
                <w:color w:val="auto"/>
                <w:sz w:val="21"/>
                <w:szCs w:val="21"/>
                <w:highlight w:val="none"/>
                <w:lang w:val="en-US" w:eastAsia="zh-CN"/>
              </w:rPr>
              <w:t>63.9</w:t>
            </w:r>
          </w:p>
        </w:tc>
        <w:tc>
          <w:tcPr>
            <w:tcW w:w="1393" w:type="pct"/>
            <w:tcBorders>
              <w:top w:val="single" w:color="000000" w:sz="4" w:space="0"/>
              <w:left w:val="nil"/>
              <w:bottom w:val="single" w:color="000000" w:sz="4" w:space="0"/>
              <w:right w:val="single" w:color="000000" w:sz="4" w:space="0"/>
            </w:tcBorders>
            <w:noWrap/>
            <w:vAlign w:val="center"/>
          </w:tcPr>
          <w:p w14:paraId="3E70C83F">
            <w:pPr>
              <w:keepNext w:val="0"/>
              <w:keepLines w:val="0"/>
              <w:suppressLineNumbers w:val="0"/>
              <w:overflowPunct w:val="0"/>
              <w:autoSpaceDE w:val="0"/>
              <w:autoSpaceDN w:val="0"/>
              <w:snapToGrid w:val="0"/>
              <w:spacing w:before="0" w:beforeAutospacing="0" w:after="0" w:afterAutospacing="0" w:line="360" w:lineRule="atLeast"/>
              <w:ind w:left="0" w:right="0"/>
              <w:jc w:val="center"/>
              <w:rPr>
                <w:rFonts w:hint="default" w:ascii="Times New Roman" w:hAnsi="Times New Roman" w:eastAsia="宋体" w:cs="Times New Roman"/>
                <w:color w:val="auto"/>
                <w:sz w:val="21"/>
                <w:szCs w:val="21"/>
                <w:highlight w:val="none"/>
              </w:rPr>
            </w:pPr>
          </w:p>
        </w:tc>
      </w:tr>
      <w:tr w14:paraId="1E52765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9" w:hRule="atLeast"/>
        </w:trPr>
        <w:tc>
          <w:tcPr>
            <w:tcW w:w="2089" w:type="pct"/>
            <w:tcBorders>
              <w:top w:val="single" w:color="000000" w:sz="4" w:space="0"/>
              <w:left w:val="single" w:color="000000" w:sz="4" w:space="0"/>
              <w:bottom w:val="single" w:color="000000" w:sz="4" w:space="0"/>
              <w:right w:val="single" w:color="000000" w:sz="4" w:space="0"/>
            </w:tcBorders>
            <w:noWrap/>
            <w:vAlign w:val="center"/>
          </w:tcPr>
          <w:p w14:paraId="6BFF36A9">
            <w:pPr>
              <w:keepNext w:val="0"/>
              <w:keepLines w:val="0"/>
              <w:suppressLineNumbers w:val="0"/>
              <w:overflowPunct w:val="0"/>
              <w:autoSpaceDE w:val="0"/>
              <w:autoSpaceDN w:val="0"/>
              <w:snapToGrid w:val="0"/>
              <w:spacing w:before="0" w:beforeAutospacing="0" w:after="0" w:afterAutospacing="0" w:line="360" w:lineRule="atLeast"/>
              <w:ind w:left="0" w:right="0"/>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多年平均相对湿度</w:t>
            </w:r>
          </w:p>
        </w:tc>
        <w:tc>
          <w:tcPr>
            <w:tcW w:w="700" w:type="pct"/>
            <w:tcBorders>
              <w:top w:val="single" w:color="000000" w:sz="4" w:space="0"/>
              <w:left w:val="nil"/>
              <w:bottom w:val="single" w:color="000000" w:sz="4" w:space="0"/>
              <w:right w:val="single" w:color="000000" w:sz="4" w:space="0"/>
            </w:tcBorders>
            <w:noWrap w:val="0"/>
            <w:vAlign w:val="center"/>
          </w:tcPr>
          <w:p w14:paraId="55DD10E2">
            <w:pPr>
              <w:keepNext w:val="0"/>
              <w:keepLines w:val="0"/>
              <w:suppressLineNumbers w:val="0"/>
              <w:overflowPunct w:val="0"/>
              <w:autoSpaceDE w:val="0"/>
              <w:autoSpaceDN w:val="0"/>
              <w:snapToGrid w:val="0"/>
              <w:spacing w:before="0" w:beforeAutospacing="0" w:after="0" w:afterAutospacing="0" w:line="360" w:lineRule="atLeast"/>
              <w:ind w:left="0" w:right="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w:t>
            </w:r>
          </w:p>
        </w:tc>
        <w:tc>
          <w:tcPr>
            <w:tcW w:w="816" w:type="pct"/>
            <w:tcBorders>
              <w:top w:val="single" w:color="000000" w:sz="4" w:space="0"/>
              <w:left w:val="nil"/>
              <w:bottom w:val="single" w:color="000000" w:sz="4" w:space="0"/>
              <w:right w:val="single" w:color="000000" w:sz="4" w:space="0"/>
            </w:tcBorders>
            <w:noWrap/>
            <w:vAlign w:val="center"/>
          </w:tcPr>
          <w:p w14:paraId="40E6D715">
            <w:pPr>
              <w:keepNext w:val="0"/>
              <w:keepLines w:val="0"/>
              <w:suppressLineNumbers w:val="0"/>
              <w:overflowPunct w:val="0"/>
              <w:autoSpaceDE w:val="0"/>
              <w:autoSpaceDN w:val="0"/>
              <w:snapToGrid w:val="0"/>
              <w:spacing w:before="0" w:beforeAutospacing="0" w:after="0" w:afterAutospacing="0" w:line="360" w:lineRule="atLeast"/>
              <w:ind w:left="0" w:right="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45</w:t>
            </w:r>
          </w:p>
        </w:tc>
        <w:tc>
          <w:tcPr>
            <w:tcW w:w="1393" w:type="pct"/>
            <w:tcBorders>
              <w:top w:val="single" w:color="000000" w:sz="4" w:space="0"/>
              <w:left w:val="nil"/>
              <w:bottom w:val="single" w:color="000000" w:sz="4" w:space="0"/>
              <w:right w:val="single" w:color="000000" w:sz="4" w:space="0"/>
            </w:tcBorders>
            <w:noWrap/>
            <w:vAlign w:val="center"/>
          </w:tcPr>
          <w:p w14:paraId="4F9B8D76">
            <w:pPr>
              <w:keepNext w:val="0"/>
              <w:keepLines w:val="0"/>
              <w:suppressLineNumbers w:val="0"/>
              <w:overflowPunct w:val="0"/>
              <w:autoSpaceDE w:val="0"/>
              <w:autoSpaceDN w:val="0"/>
              <w:snapToGrid w:val="0"/>
              <w:spacing w:before="0" w:beforeAutospacing="0" w:after="0" w:afterAutospacing="0" w:line="360" w:lineRule="atLeast"/>
              <w:ind w:left="0" w:right="0"/>
              <w:jc w:val="center"/>
              <w:rPr>
                <w:rFonts w:hint="default" w:ascii="Times New Roman" w:hAnsi="Times New Roman" w:eastAsia="宋体" w:cs="Times New Roman"/>
                <w:color w:val="auto"/>
                <w:sz w:val="21"/>
                <w:szCs w:val="21"/>
                <w:highlight w:val="none"/>
              </w:rPr>
            </w:pPr>
          </w:p>
        </w:tc>
      </w:tr>
      <w:tr w14:paraId="0B4EB0A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9" w:hRule="atLeast"/>
        </w:trPr>
        <w:tc>
          <w:tcPr>
            <w:tcW w:w="2089" w:type="pct"/>
            <w:tcBorders>
              <w:top w:val="single" w:color="000000" w:sz="4" w:space="0"/>
              <w:left w:val="single" w:color="000000" w:sz="4" w:space="0"/>
              <w:bottom w:val="single" w:color="000000" w:sz="4" w:space="0"/>
              <w:right w:val="single" w:color="000000" w:sz="4" w:space="0"/>
            </w:tcBorders>
            <w:noWrap/>
            <w:vAlign w:val="center"/>
          </w:tcPr>
          <w:p w14:paraId="19F65177">
            <w:pPr>
              <w:keepNext w:val="0"/>
              <w:keepLines w:val="0"/>
              <w:suppressLineNumbers w:val="0"/>
              <w:overflowPunct w:val="0"/>
              <w:autoSpaceDE w:val="0"/>
              <w:autoSpaceDN w:val="0"/>
              <w:snapToGrid w:val="0"/>
              <w:spacing w:before="0" w:beforeAutospacing="0" w:after="0" w:afterAutospacing="0" w:line="360" w:lineRule="atLeast"/>
              <w:ind w:left="0" w:right="0"/>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最小相对湿度</w:t>
            </w:r>
          </w:p>
        </w:tc>
        <w:tc>
          <w:tcPr>
            <w:tcW w:w="700" w:type="pct"/>
            <w:tcBorders>
              <w:top w:val="single" w:color="000000" w:sz="4" w:space="0"/>
              <w:left w:val="nil"/>
              <w:bottom w:val="single" w:color="000000" w:sz="4" w:space="0"/>
              <w:right w:val="single" w:color="000000" w:sz="4" w:space="0"/>
            </w:tcBorders>
            <w:noWrap w:val="0"/>
            <w:vAlign w:val="center"/>
          </w:tcPr>
          <w:p w14:paraId="0505975A">
            <w:pPr>
              <w:keepNext w:val="0"/>
              <w:keepLines w:val="0"/>
              <w:suppressLineNumbers w:val="0"/>
              <w:overflowPunct w:val="0"/>
              <w:autoSpaceDE w:val="0"/>
              <w:autoSpaceDN w:val="0"/>
              <w:snapToGrid w:val="0"/>
              <w:spacing w:before="0" w:beforeAutospacing="0" w:after="0" w:afterAutospacing="0" w:line="360" w:lineRule="atLeast"/>
              <w:ind w:left="0" w:right="0"/>
              <w:jc w:val="center"/>
              <w:rPr>
                <w:rFonts w:hint="default" w:ascii="Times New Roman" w:hAnsi="Times New Roman" w:eastAsia="宋体" w:cs="Times New Roman"/>
                <w:color w:val="auto"/>
                <w:sz w:val="21"/>
                <w:szCs w:val="21"/>
                <w:highlight w:val="none"/>
              </w:rPr>
            </w:pPr>
          </w:p>
        </w:tc>
        <w:tc>
          <w:tcPr>
            <w:tcW w:w="816" w:type="pct"/>
            <w:tcBorders>
              <w:top w:val="single" w:color="000000" w:sz="4" w:space="0"/>
              <w:left w:val="nil"/>
              <w:bottom w:val="single" w:color="000000" w:sz="4" w:space="0"/>
              <w:right w:val="single" w:color="000000" w:sz="4" w:space="0"/>
            </w:tcBorders>
            <w:noWrap/>
            <w:vAlign w:val="center"/>
          </w:tcPr>
          <w:p w14:paraId="4272EE33">
            <w:pPr>
              <w:keepNext w:val="0"/>
              <w:keepLines w:val="0"/>
              <w:suppressLineNumbers w:val="0"/>
              <w:overflowPunct w:val="0"/>
              <w:autoSpaceDE w:val="0"/>
              <w:autoSpaceDN w:val="0"/>
              <w:snapToGrid w:val="0"/>
              <w:spacing w:before="0" w:beforeAutospacing="0" w:after="0" w:afterAutospacing="0" w:line="360" w:lineRule="atLeast"/>
              <w:ind w:left="0" w:right="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0</w:t>
            </w:r>
          </w:p>
        </w:tc>
        <w:tc>
          <w:tcPr>
            <w:tcW w:w="1393" w:type="pct"/>
            <w:tcBorders>
              <w:top w:val="single" w:color="000000" w:sz="4" w:space="0"/>
              <w:left w:val="nil"/>
              <w:bottom w:val="single" w:color="000000" w:sz="4" w:space="0"/>
              <w:right w:val="single" w:color="000000" w:sz="4" w:space="0"/>
            </w:tcBorders>
            <w:noWrap/>
            <w:vAlign w:val="center"/>
          </w:tcPr>
          <w:p w14:paraId="34648C73">
            <w:pPr>
              <w:keepNext w:val="0"/>
              <w:keepLines w:val="0"/>
              <w:suppressLineNumbers w:val="0"/>
              <w:overflowPunct w:val="0"/>
              <w:autoSpaceDE w:val="0"/>
              <w:autoSpaceDN w:val="0"/>
              <w:snapToGrid w:val="0"/>
              <w:spacing w:before="0" w:beforeAutospacing="0" w:after="0" w:afterAutospacing="0" w:line="360" w:lineRule="atLeast"/>
              <w:ind w:left="0" w:right="0"/>
              <w:jc w:val="center"/>
              <w:rPr>
                <w:rFonts w:hint="default" w:ascii="Times New Roman" w:hAnsi="Times New Roman" w:eastAsia="宋体" w:cs="Times New Roman"/>
                <w:color w:val="auto"/>
                <w:sz w:val="21"/>
                <w:szCs w:val="21"/>
                <w:highlight w:val="none"/>
              </w:rPr>
            </w:pPr>
          </w:p>
        </w:tc>
      </w:tr>
      <w:tr w14:paraId="534EE37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9" w:hRule="atLeast"/>
        </w:trPr>
        <w:tc>
          <w:tcPr>
            <w:tcW w:w="2089" w:type="pct"/>
            <w:tcBorders>
              <w:top w:val="single" w:color="000000" w:sz="4" w:space="0"/>
              <w:left w:val="single" w:color="000000" w:sz="4" w:space="0"/>
              <w:bottom w:val="single" w:color="000000" w:sz="4" w:space="0"/>
              <w:right w:val="single" w:color="000000" w:sz="4" w:space="0"/>
            </w:tcBorders>
            <w:noWrap/>
            <w:vAlign w:val="center"/>
          </w:tcPr>
          <w:p w14:paraId="37F5A7F0">
            <w:pPr>
              <w:keepNext w:val="0"/>
              <w:keepLines w:val="0"/>
              <w:suppressLineNumbers w:val="0"/>
              <w:overflowPunct w:val="0"/>
              <w:autoSpaceDE w:val="0"/>
              <w:autoSpaceDN w:val="0"/>
              <w:snapToGrid w:val="0"/>
              <w:spacing w:before="0" w:beforeAutospacing="0" w:after="0" w:afterAutospacing="0" w:line="360" w:lineRule="atLeast"/>
              <w:ind w:left="0" w:right="0"/>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多年平均降水量</w:t>
            </w:r>
          </w:p>
        </w:tc>
        <w:tc>
          <w:tcPr>
            <w:tcW w:w="700" w:type="pct"/>
            <w:tcBorders>
              <w:top w:val="single" w:color="000000" w:sz="4" w:space="0"/>
              <w:left w:val="nil"/>
              <w:bottom w:val="single" w:color="000000" w:sz="4" w:space="0"/>
              <w:right w:val="single" w:color="000000" w:sz="4" w:space="0"/>
            </w:tcBorders>
            <w:noWrap w:val="0"/>
            <w:vAlign w:val="center"/>
          </w:tcPr>
          <w:p w14:paraId="7EEFE0C4">
            <w:pPr>
              <w:keepNext w:val="0"/>
              <w:keepLines w:val="0"/>
              <w:suppressLineNumbers w:val="0"/>
              <w:overflowPunct w:val="0"/>
              <w:autoSpaceDE w:val="0"/>
              <w:autoSpaceDN w:val="0"/>
              <w:snapToGrid w:val="0"/>
              <w:spacing w:before="0" w:beforeAutospacing="0" w:after="0" w:afterAutospacing="0" w:line="360" w:lineRule="atLeast"/>
              <w:ind w:left="0" w:right="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mm</w:t>
            </w:r>
          </w:p>
        </w:tc>
        <w:tc>
          <w:tcPr>
            <w:tcW w:w="816" w:type="pct"/>
            <w:tcBorders>
              <w:top w:val="single" w:color="000000" w:sz="4" w:space="0"/>
              <w:left w:val="nil"/>
              <w:bottom w:val="single" w:color="000000" w:sz="4" w:space="0"/>
              <w:right w:val="single" w:color="000000" w:sz="4" w:space="0"/>
            </w:tcBorders>
            <w:noWrap/>
            <w:vAlign w:val="center"/>
          </w:tcPr>
          <w:p w14:paraId="0ABB9D6B">
            <w:pPr>
              <w:keepNext w:val="0"/>
              <w:keepLines w:val="0"/>
              <w:suppressLineNumbers w:val="0"/>
              <w:overflowPunct w:val="0"/>
              <w:autoSpaceDE w:val="0"/>
              <w:autoSpaceDN w:val="0"/>
              <w:snapToGrid w:val="0"/>
              <w:spacing w:before="0" w:beforeAutospacing="0" w:after="0" w:afterAutospacing="0" w:line="360" w:lineRule="atLeast"/>
              <w:ind w:left="0" w:right="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113.0</w:t>
            </w:r>
          </w:p>
        </w:tc>
        <w:tc>
          <w:tcPr>
            <w:tcW w:w="1393" w:type="pct"/>
            <w:tcBorders>
              <w:top w:val="single" w:color="000000" w:sz="4" w:space="0"/>
              <w:left w:val="nil"/>
              <w:bottom w:val="single" w:color="000000" w:sz="4" w:space="0"/>
              <w:right w:val="single" w:color="000000" w:sz="4" w:space="0"/>
            </w:tcBorders>
            <w:noWrap/>
            <w:vAlign w:val="center"/>
          </w:tcPr>
          <w:p w14:paraId="0826C715">
            <w:pPr>
              <w:keepNext w:val="0"/>
              <w:keepLines w:val="0"/>
              <w:suppressLineNumbers w:val="0"/>
              <w:overflowPunct w:val="0"/>
              <w:autoSpaceDE w:val="0"/>
              <w:autoSpaceDN w:val="0"/>
              <w:snapToGrid w:val="0"/>
              <w:spacing w:before="0" w:beforeAutospacing="0" w:after="0" w:afterAutospacing="0" w:line="360" w:lineRule="atLeast"/>
              <w:ind w:left="0" w:right="0"/>
              <w:jc w:val="center"/>
              <w:rPr>
                <w:rFonts w:hint="default" w:ascii="Times New Roman" w:hAnsi="Times New Roman" w:eastAsia="宋体" w:cs="Times New Roman"/>
                <w:color w:val="auto"/>
                <w:sz w:val="21"/>
                <w:szCs w:val="21"/>
                <w:highlight w:val="none"/>
              </w:rPr>
            </w:pPr>
          </w:p>
        </w:tc>
      </w:tr>
      <w:tr w14:paraId="5D0C9CC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9" w:hRule="atLeast"/>
        </w:trPr>
        <w:tc>
          <w:tcPr>
            <w:tcW w:w="2089" w:type="pct"/>
            <w:tcBorders>
              <w:top w:val="single" w:color="000000" w:sz="4" w:space="0"/>
              <w:left w:val="single" w:color="000000" w:sz="4" w:space="0"/>
              <w:bottom w:val="single" w:color="000000" w:sz="4" w:space="0"/>
              <w:right w:val="single" w:color="000000" w:sz="4" w:space="0"/>
            </w:tcBorders>
            <w:noWrap/>
            <w:vAlign w:val="center"/>
          </w:tcPr>
          <w:p w14:paraId="212E76EA">
            <w:pPr>
              <w:keepNext w:val="0"/>
              <w:keepLines w:val="0"/>
              <w:suppressLineNumbers w:val="0"/>
              <w:overflowPunct w:val="0"/>
              <w:autoSpaceDE w:val="0"/>
              <w:autoSpaceDN w:val="0"/>
              <w:snapToGrid w:val="0"/>
              <w:spacing w:before="0" w:beforeAutospacing="0" w:after="0" w:afterAutospacing="0" w:line="360" w:lineRule="atLeast"/>
              <w:ind w:left="0" w:right="0"/>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一日最大降水量</w:t>
            </w:r>
          </w:p>
        </w:tc>
        <w:tc>
          <w:tcPr>
            <w:tcW w:w="700" w:type="pct"/>
            <w:tcBorders>
              <w:top w:val="single" w:color="000000" w:sz="4" w:space="0"/>
              <w:left w:val="nil"/>
              <w:bottom w:val="single" w:color="000000" w:sz="4" w:space="0"/>
              <w:right w:val="single" w:color="000000" w:sz="4" w:space="0"/>
            </w:tcBorders>
            <w:noWrap w:val="0"/>
            <w:vAlign w:val="center"/>
          </w:tcPr>
          <w:p w14:paraId="24058B6B">
            <w:pPr>
              <w:keepNext w:val="0"/>
              <w:keepLines w:val="0"/>
              <w:suppressLineNumbers w:val="0"/>
              <w:overflowPunct w:val="0"/>
              <w:autoSpaceDE w:val="0"/>
              <w:autoSpaceDN w:val="0"/>
              <w:snapToGrid w:val="0"/>
              <w:spacing w:before="0" w:beforeAutospacing="0" w:after="0" w:afterAutospacing="0" w:line="360" w:lineRule="atLeast"/>
              <w:ind w:left="0" w:right="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mm</w:t>
            </w:r>
          </w:p>
        </w:tc>
        <w:tc>
          <w:tcPr>
            <w:tcW w:w="816" w:type="pct"/>
            <w:tcBorders>
              <w:top w:val="single" w:color="000000" w:sz="4" w:space="0"/>
              <w:left w:val="nil"/>
              <w:bottom w:val="single" w:color="000000" w:sz="4" w:space="0"/>
              <w:right w:val="single" w:color="000000" w:sz="4" w:space="0"/>
            </w:tcBorders>
            <w:noWrap/>
            <w:vAlign w:val="center"/>
          </w:tcPr>
          <w:p w14:paraId="4EF6FABC">
            <w:pPr>
              <w:keepNext w:val="0"/>
              <w:keepLines w:val="0"/>
              <w:suppressLineNumbers w:val="0"/>
              <w:overflowPunct w:val="0"/>
              <w:autoSpaceDE w:val="0"/>
              <w:autoSpaceDN w:val="0"/>
              <w:snapToGrid w:val="0"/>
              <w:spacing w:before="0" w:beforeAutospacing="0" w:after="0" w:afterAutospacing="0" w:line="360" w:lineRule="atLeast"/>
              <w:ind w:left="0" w:right="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48</w:t>
            </w:r>
          </w:p>
        </w:tc>
        <w:tc>
          <w:tcPr>
            <w:tcW w:w="1393" w:type="pct"/>
            <w:tcBorders>
              <w:top w:val="single" w:color="000000" w:sz="4" w:space="0"/>
              <w:left w:val="nil"/>
              <w:bottom w:val="single" w:color="000000" w:sz="4" w:space="0"/>
              <w:right w:val="single" w:color="000000" w:sz="4" w:space="0"/>
            </w:tcBorders>
            <w:noWrap/>
            <w:vAlign w:val="center"/>
          </w:tcPr>
          <w:p w14:paraId="061062E4">
            <w:pPr>
              <w:keepNext w:val="0"/>
              <w:keepLines w:val="0"/>
              <w:suppressLineNumbers w:val="0"/>
              <w:overflowPunct w:val="0"/>
              <w:autoSpaceDE w:val="0"/>
              <w:autoSpaceDN w:val="0"/>
              <w:snapToGrid w:val="0"/>
              <w:spacing w:before="0" w:beforeAutospacing="0" w:after="0" w:afterAutospacing="0" w:line="360" w:lineRule="atLeast"/>
              <w:ind w:left="0" w:right="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rPr>
              <w:t>19</w:t>
            </w:r>
            <w:r>
              <w:rPr>
                <w:rFonts w:hint="default" w:ascii="Times New Roman" w:hAnsi="Times New Roman" w:eastAsia="宋体" w:cs="Times New Roman"/>
                <w:color w:val="auto"/>
                <w:sz w:val="21"/>
                <w:szCs w:val="21"/>
                <w:highlight w:val="none"/>
                <w:lang w:val="en-US" w:eastAsia="zh-CN"/>
              </w:rPr>
              <w:t>94.6.14</w:t>
            </w:r>
          </w:p>
        </w:tc>
      </w:tr>
      <w:tr w14:paraId="172BA21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9" w:hRule="atLeast"/>
        </w:trPr>
        <w:tc>
          <w:tcPr>
            <w:tcW w:w="2089" w:type="pct"/>
            <w:tcBorders>
              <w:top w:val="single" w:color="000000" w:sz="4" w:space="0"/>
              <w:left w:val="single" w:color="000000" w:sz="4" w:space="0"/>
              <w:bottom w:val="single" w:color="000000" w:sz="4" w:space="0"/>
              <w:right w:val="single" w:color="000000" w:sz="4" w:space="0"/>
            </w:tcBorders>
            <w:noWrap/>
            <w:vAlign w:val="center"/>
          </w:tcPr>
          <w:p w14:paraId="639F1C6E">
            <w:pPr>
              <w:keepNext w:val="0"/>
              <w:keepLines w:val="0"/>
              <w:suppressLineNumbers w:val="0"/>
              <w:overflowPunct w:val="0"/>
              <w:autoSpaceDE w:val="0"/>
              <w:autoSpaceDN w:val="0"/>
              <w:snapToGrid w:val="0"/>
              <w:spacing w:before="0" w:beforeAutospacing="0" w:after="0" w:afterAutospacing="0" w:line="360" w:lineRule="atLeast"/>
              <w:ind w:left="0" w:right="0"/>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多年平均蒸发量</w:t>
            </w:r>
          </w:p>
        </w:tc>
        <w:tc>
          <w:tcPr>
            <w:tcW w:w="700" w:type="pct"/>
            <w:tcBorders>
              <w:top w:val="single" w:color="000000" w:sz="4" w:space="0"/>
              <w:left w:val="nil"/>
              <w:bottom w:val="single" w:color="000000" w:sz="4" w:space="0"/>
              <w:right w:val="single" w:color="000000" w:sz="4" w:space="0"/>
            </w:tcBorders>
            <w:noWrap w:val="0"/>
            <w:vAlign w:val="center"/>
          </w:tcPr>
          <w:p w14:paraId="523291A2">
            <w:pPr>
              <w:keepNext w:val="0"/>
              <w:keepLines w:val="0"/>
              <w:suppressLineNumbers w:val="0"/>
              <w:overflowPunct w:val="0"/>
              <w:autoSpaceDE w:val="0"/>
              <w:autoSpaceDN w:val="0"/>
              <w:snapToGrid w:val="0"/>
              <w:spacing w:before="0" w:beforeAutospacing="0" w:after="0" w:afterAutospacing="0" w:line="360" w:lineRule="atLeast"/>
              <w:ind w:left="0" w:right="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mm</w:t>
            </w:r>
          </w:p>
        </w:tc>
        <w:tc>
          <w:tcPr>
            <w:tcW w:w="816" w:type="pct"/>
            <w:tcBorders>
              <w:top w:val="single" w:color="000000" w:sz="4" w:space="0"/>
              <w:left w:val="nil"/>
              <w:bottom w:val="single" w:color="000000" w:sz="4" w:space="0"/>
              <w:right w:val="single" w:color="000000" w:sz="4" w:space="0"/>
            </w:tcBorders>
            <w:noWrap/>
            <w:vAlign w:val="center"/>
          </w:tcPr>
          <w:p w14:paraId="07581AD5">
            <w:pPr>
              <w:keepNext w:val="0"/>
              <w:keepLines w:val="0"/>
              <w:suppressLineNumbers w:val="0"/>
              <w:overflowPunct w:val="0"/>
              <w:autoSpaceDE w:val="0"/>
              <w:autoSpaceDN w:val="0"/>
              <w:snapToGrid w:val="0"/>
              <w:spacing w:before="0" w:beforeAutospacing="0" w:after="0" w:afterAutospacing="0" w:line="360" w:lineRule="atLeast"/>
              <w:ind w:left="0" w:right="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2623.0</w:t>
            </w:r>
          </w:p>
        </w:tc>
        <w:tc>
          <w:tcPr>
            <w:tcW w:w="1393" w:type="pct"/>
            <w:tcBorders>
              <w:top w:val="single" w:color="000000" w:sz="4" w:space="0"/>
              <w:left w:val="nil"/>
              <w:bottom w:val="single" w:color="000000" w:sz="4" w:space="0"/>
              <w:right w:val="single" w:color="000000" w:sz="4" w:space="0"/>
            </w:tcBorders>
            <w:noWrap/>
            <w:vAlign w:val="center"/>
          </w:tcPr>
          <w:p w14:paraId="7F7621F8">
            <w:pPr>
              <w:keepNext w:val="0"/>
              <w:keepLines w:val="0"/>
              <w:suppressLineNumbers w:val="0"/>
              <w:overflowPunct w:val="0"/>
              <w:autoSpaceDE w:val="0"/>
              <w:autoSpaceDN w:val="0"/>
              <w:snapToGrid w:val="0"/>
              <w:spacing w:before="0" w:beforeAutospacing="0" w:after="0" w:afterAutospacing="0" w:line="360" w:lineRule="atLeast"/>
              <w:ind w:left="0" w:right="0"/>
              <w:jc w:val="center"/>
              <w:rPr>
                <w:rFonts w:hint="default" w:ascii="Times New Roman" w:hAnsi="Times New Roman" w:eastAsia="宋体" w:cs="Times New Roman"/>
                <w:color w:val="auto"/>
                <w:sz w:val="21"/>
                <w:szCs w:val="21"/>
                <w:highlight w:val="none"/>
              </w:rPr>
            </w:pPr>
          </w:p>
        </w:tc>
      </w:tr>
      <w:tr w14:paraId="47E4953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9" w:hRule="atLeast"/>
        </w:trPr>
        <w:tc>
          <w:tcPr>
            <w:tcW w:w="2089" w:type="pct"/>
            <w:tcBorders>
              <w:top w:val="single" w:color="000000" w:sz="4" w:space="0"/>
              <w:left w:val="single" w:color="000000" w:sz="4" w:space="0"/>
              <w:bottom w:val="single" w:color="000000" w:sz="4" w:space="0"/>
              <w:right w:val="single" w:color="000000" w:sz="4" w:space="0"/>
            </w:tcBorders>
            <w:noWrap/>
            <w:vAlign w:val="center"/>
          </w:tcPr>
          <w:p w14:paraId="16470F3B">
            <w:pPr>
              <w:keepNext w:val="0"/>
              <w:keepLines w:val="0"/>
              <w:suppressLineNumbers w:val="0"/>
              <w:overflowPunct w:val="0"/>
              <w:autoSpaceDE w:val="0"/>
              <w:autoSpaceDN w:val="0"/>
              <w:snapToGrid w:val="0"/>
              <w:spacing w:before="0" w:beforeAutospacing="0" w:after="0" w:afterAutospacing="0" w:line="360" w:lineRule="atLeast"/>
              <w:ind w:left="0" w:right="0"/>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多年平均风速</w:t>
            </w:r>
          </w:p>
        </w:tc>
        <w:tc>
          <w:tcPr>
            <w:tcW w:w="700" w:type="pct"/>
            <w:tcBorders>
              <w:top w:val="single" w:color="000000" w:sz="4" w:space="0"/>
              <w:left w:val="nil"/>
              <w:bottom w:val="single" w:color="000000" w:sz="4" w:space="0"/>
              <w:right w:val="single" w:color="000000" w:sz="4" w:space="0"/>
            </w:tcBorders>
            <w:noWrap w:val="0"/>
            <w:vAlign w:val="center"/>
          </w:tcPr>
          <w:p w14:paraId="4F7288BD">
            <w:pPr>
              <w:keepNext w:val="0"/>
              <w:keepLines w:val="0"/>
              <w:suppressLineNumbers w:val="0"/>
              <w:overflowPunct w:val="0"/>
              <w:autoSpaceDE w:val="0"/>
              <w:autoSpaceDN w:val="0"/>
              <w:snapToGrid w:val="0"/>
              <w:spacing w:before="0" w:beforeAutospacing="0" w:after="0" w:afterAutospacing="0" w:line="360" w:lineRule="atLeast"/>
              <w:ind w:left="0" w:right="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m/s</w:t>
            </w:r>
          </w:p>
        </w:tc>
        <w:tc>
          <w:tcPr>
            <w:tcW w:w="816" w:type="pct"/>
            <w:tcBorders>
              <w:top w:val="single" w:color="000000" w:sz="4" w:space="0"/>
              <w:left w:val="nil"/>
              <w:bottom w:val="single" w:color="000000" w:sz="4" w:space="0"/>
              <w:right w:val="single" w:color="000000" w:sz="4" w:space="0"/>
            </w:tcBorders>
            <w:noWrap/>
            <w:vAlign w:val="center"/>
          </w:tcPr>
          <w:p w14:paraId="3268A955">
            <w:pPr>
              <w:keepNext w:val="0"/>
              <w:keepLines w:val="0"/>
              <w:suppressLineNumbers w:val="0"/>
              <w:overflowPunct w:val="0"/>
              <w:autoSpaceDE w:val="0"/>
              <w:autoSpaceDN w:val="0"/>
              <w:snapToGrid w:val="0"/>
              <w:spacing w:before="0" w:beforeAutospacing="0" w:after="0" w:afterAutospacing="0" w:line="360" w:lineRule="atLeast"/>
              <w:ind w:left="0" w:right="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2.7</w:t>
            </w:r>
          </w:p>
        </w:tc>
        <w:tc>
          <w:tcPr>
            <w:tcW w:w="1393" w:type="pct"/>
            <w:tcBorders>
              <w:top w:val="single" w:color="000000" w:sz="4" w:space="0"/>
              <w:left w:val="nil"/>
              <w:bottom w:val="single" w:color="000000" w:sz="4" w:space="0"/>
              <w:right w:val="single" w:color="000000" w:sz="4" w:space="0"/>
            </w:tcBorders>
            <w:noWrap/>
            <w:vAlign w:val="center"/>
          </w:tcPr>
          <w:p w14:paraId="32E23246">
            <w:pPr>
              <w:keepNext w:val="0"/>
              <w:keepLines w:val="0"/>
              <w:suppressLineNumbers w:val="0"/>
              <w:overflowPunct w:val="0"/>
              <w:autoSpaceDE w:val="0"/>
              <w:autoSpaceDN w:val="0"/>
              <w:snapToGrid w:val="0"/>
              <w:spacing w:before="0" w:beforeAutospacing="0" w:after="0" w:afterAutospacing="0" w:line="360" w:lineRule="atLeast"/>
              <w:ind w:left="0" w:right="0"/>
              <w:jc w:val="center"/>
              <w:rPr>
                <w:rFonts w:hint="default" w:ascii="Times New Roman" w:hAnsi="Times New Roman" w:eastAsia="宋体" w:cs="Times New Roman"/>
                <w:color w:val="auto"/>
                <w:sz w:val="21"/>
                <w:szCs w:val="21"/>
                <w:highlight w:val="none"/>
              </w:rPr>
            </w:pPr>
          </w:p>
        </w:tc>
      </w:tr>
      <w:tr w14:paraId="04691B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9" w:hRule="atLeast"/>
        </w:trPr>
        <w:tc>
          <w:tcPr>
            <w:tcW w:w="2089" w:type="pct"/>
            <w:tcBorders>
              <w:top w:val="single" w:color="000000" w:sz="4" w:space="0"/>
              <w:left w:val="single" w:color="000000" w:sz="4" w:space="0"/>
              <w:bottom w:val="single" w:color="000000" w:sz="4" w:space="0"/>
              <w:right w:val="single" w:color="000000" w:sz="4" w:space="0"/>
            </w:tcBorders>
            <w:noWrap/>
            <w:vAlign w:val="center"/>
          </w:tcPr>
          <w:p w14:paraId="297A09E1">
            <w:pPr>
              <w:keepNext w:val="0"/>
              <w:keepLines w:val="0"/>
              <w:suppressLineNumbers w:val="0"/>
              <w:overflowPunct w:val="0"/>
              <w:autoSpaceDE w:val="0"/>
              <w:autoSpaceDN w:val="0"/>
              <w:snapToGrid w:val="0"/>
              <w:spacing w:before="0" w:beforeAutospacing="0" w:after="0" w:afterAutospacing="0" w:line="360" w:lineRule="atLeast"/>
              <w:ind w:left="0" w:right="0"/>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多年最大积雪深度</w:t>
            </w:r>
          </w:p>
        </w:tc>
        <w:tc>
          <w:tcPr>
            <w:tcW w:w="700" w:type="pct"/>
            <w:tcBorders>
              <w:top w:val="single" w:color="000000" w:sz="4" w:space="0"/>
              <w:left w:val="nil"/>
              <w:bottom w:val="single" w:color="000000" w:sz="4" w:space="0"/>
              <w:right w:val="single" w:color="000000" w:sz="4" w:space="0"/>
            </w:tcBorders>
            <w:noWrap w:val="0"/>
            <w:vAlign w:val="center"/>
          </w:tcPr>
          <w:p w14:paraId="48D0A2B0">
            <w:pPr>
              <w:keepNext w:val="0"/>
              <w:keepLines w:val="0"/>
              <w:suppressLineNumbers w:val="0"/>
              <w:overflowPunct w:val="0"/>
              <w:autoSpaceDE w:val="0"/>
              <w:autoSpaceDN w:val="0"/>
              <w:snapToGrid w:val="0"/>
              <w:spacing w:before="0" w:beforeAutospacing="0" w:after="0" w:afterAutospacing="0" w:line="360" w:lineRule="atLeast"/>
              <w:ind w:left="0" w:right="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cm</w:t>
            </w:r>
          </w:p>
        </w:tc>
        <w:tc>
          <w:tcPr>
            <w:tcW w:w="816" w:type="pct"/>
            <w:tcBorders>
              <w:top w:val="single" w:color="000000" w:sz="4" w:space="0"/>
              <w:left w:val="nil"/>
              <w:bottom w:val="single" w:color="000000" w:sz="4" w:space="0"/>
              <w:right w:val="single" w:color="000000" w:sz="4" w:space="0"/>
            </w:tcBorders>
            <w:noWrap/>
            <w:vAlign w:val="center"/>
          </w:tcPr>
          <w:p w14:paraId="4E16017C">
            <w:pPr>
              <w:keepNext w:val="0"/>
              <w:keepLines w:val="0"/>
              <w:suppressLineNumbers w:val="0"/>
              <w:overflowPunct w:val="0"/>
              <w:autoSpaceDE w:val="0"/>
              <w:autoSpaceDN w:val="0"/>
              <w:snapToGrid w:val="0"/>
              <w:spacing w:before="0" w:beforeAutospacing="0" w:after="0" w:afterAutospacing="0" w:line="360" w:lineRule="atLeast"/>
              <w:ind w:left="0" w:right="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14</w:t>
            </w:r>
          </w:p>
        </w:tc>
        <w:tc>
          <w:tcPr>
            <w:tcW w:w="1393" w:type="pct"/>
            <w:tcBorders>
              <w:top w:val="single" w:color="000000" w:sz="4" w:space="0"/>
              <w:left w:val="nil"/>
              <w:bottom w:val="single" w:color="000000" w:sz="4" w:space="0"/>
              <w:right w:val="single" w:color="000000" w:sz="4" w:space="0"/>
            </w:tcBorders>
            <w:noWrap/>
            <w:vAlign w:val="center"/>
          </w:tcPr>
          <w:p w14:paraId="0DD000FC">
            <w:pPr>
              <w:keepNext w:val="0"/>
              <w:keepLines w:val="0"/>
              <w:suppressLineNumbers w:val="0"/>
              <w:overflowPunct w:val="0"/>
              <w:autoSpaceDE w:val="0"/>
              <w:autoSpaceDN w:val="0"/>
              <w:snapToGrid w:val="0"/>
              <w:spacing w:before="0" w:beforeAutospacing="0" w:after="0" w:afterAutospacing="0" w:line="360" w:lineRule="atLeast"/>
              <w:ind w:left="0" w:right="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2010.10.24</w:t>
            </w:r>
          </w:p>
        </w:tc>
      </w:tr>
      <w:tr w14:paraId="588A046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9" w:hRule="atLeast"/>
        </w:trPr>
        <w:tc>
          <w:tcPr>
            <w:tcW w:w="2089" w:type="pct"/>
            <w:tcBorders>
              <w:top w:val="single" w:color="000000" w:sz="4" w:space="0"/>
              <w:left w:val="single" w:color="000000" w:sz="4" w:space="0"/>
              <w:bottom w:val="single" w:color="000000" w:sz="4" w:space="0"/>
              <w:right w:val="single" w:color="000000" w:sz="4" w:space="0"/>
            </w:tcBorders>
            <w:noWrap/>
            <w:vAlign w:val="center"/>
          </w:tcPr>
          <w:p w14:paraId="5C8087FA">
            <w:pPr>
              <w:keepNext w:val="0"/>
              <w:keepLines w:val="0"/>
              <w:suppressLineNumbers w:val="0"/>
              <w:overflowPunct w:val="0"/>
              <w:autoSpaceDE w:val="0"/>
              <w:autoSpaceDN w:val="0"/>
              <w:snapToGrid w:val="0"/>
              <w:spacing w:before="0" w:beforeAutospacing="0" w:after="0" w:afterAutospacing="0" w:line="360" w:lineRule="atLeast"/>
              <w:ind w:left="0" w:right="0"/>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多年平均大风日数</w:t>
            </w:r>
          </w:p>
        </w:tc>
        <w:tc>
          <w:tcPr>
            <w:tcW w:w="700" w:type="pct"/>
            <w:tcBorders>
              <w:top w:val="single" w:color="000000" w:sz="4" w:space="0"/>
              <w:left w:val="nil"/>
              <w:bottom w:val="single" w:color="000000" w:sz="4" w:space="0"/>
              <w:right w:val="single" w:color="000000" w:sz="4" w:space="0"/>
            </w:tcBorders>
            <w:noWrap w:val="0"/>
            <w:vAlign w:val="center"/>
          </w:tcPr>
          <w:p w14:paraId="7AA8339C">
            <w:pPr>
              <w:keepNext w:val="0"/>
              <w:keepLines w:val="0"/>
              <w:suppressLineNumbers w:val="0"/>
              <w:overflowPunct w:val="0"/>
              <w:autoSpaceDE w:val="0"/>
              <w:autoSpaceDN w:val="0"/>
              <w:snapToGrid w:val="0"/>
              <w:spacing w:before="0" w:beforeAutospacing="0" w:after="0" w:afterAutospacing="0" w:line="360" w:lineRule="atLeast"/>
              <w:ind w:left="0" w:right="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d</w:t>
            </w:r>
          </w:p>
        </w:tc>
        <w:tc>
          <w:tcPr>
            <w:tcW w:w="816" w:type="pct"/>
            <w:tcBorders>
              <w:top w:val="single" w:color="000000" w:sz="4" w:space="0"/>
              <w:left w:val="nil"/>
              <w:bottom w:val="single" w:color="000000" w:sz="4" w:space="0"/>
              <w:right w:val="single" w:color="000000" w:sz="4" w:space="0"/>
            </w:tcBorders>
            <w:noWrap/>
            <w:vAlign w:val="center"/>
          </w:tcPr>
          <w:p w14:paraId="2B84A771">
            <w:pPr>
              <w:keepNext w:val="0"/>
              <w:keepLines w:val="0"/>
              <w:suppressLineNumbers w:val="0"/>
              <w:overflowPunct w:val="0"/>
              <w:autoSpaceDE w:val="0"/>
              <w:autoSpaceDN w:val="0"/>
              <w:snapToGrid w:val="0"/>
              <w:spacing w:before="0" w:beforeAutospacing="0" w:after="0" w:afterAutospacing="0" w:line="360" w:lineRule="atLeast"/>
              <w:ind w:left="0" w:right="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25.0</w:t>
            </w:r>
          </w:p>
        </w:tc>
        <w:tc>
          <w:tcPr>
            <w:tcW w:w="1393" w:type="pct"/>
            <w:tcBorders>
              <w:top w:val="single" w:color="000000" w:sz="4" w:space="0"/>
              <w:left w:val="nil"/>
              <w:bottom w:val="single" w:color="000000" w:sz="4" w:space="0"/>
              <w:right w:val="single" w:color="000000" w:sz="4" w:space="0"/>
            </w:tcBorders>
            <w:noWrap/>
            <w:vAlign w:val="center"/>
          </w:tcPr>
          <w:p w14:paraId="774BC23F">
            <w:pPr>
              <w:keepNext w:val="0"/>
              <w:keepLines w:val="0"/>
              <w:suppressLineNumbers w:val="0"/>
              <w:overflowPunct w:val="0"/>
              <w:autoSpaceDE w:val="0"/>
              <w:autoSpaceDN w:val="0"/>
              <w:snapToGrid w:val="0"/>
              <w:spacing w:before="0" w:beforeAutospacing="0" w:after="0" w:afterAutospacing="0" w:line="360" w:lineRule="atLeast"/>
              <w:ind w:left="0" w:right="0"/>
              <w:jc w:val="center"/>
              <w:rPr>
                <w:rFonts w:hint="default" w:ascii="Times New Roman" w:hAnsi="Times New Roman" w:eastAsia="宋体" w:cs="Times New Roman"/>
                <w:color w:val="auto"/>
                <w:sz w:val="21"/>
                <w:szCs w:val="21"/>
                <w:highlight w:val="none"/>
              </w:rPr>
            </w:pPr>
          </w:p>
        </w:tc>
      </w:tr>
      <w:tr w14:paraId="5CD898B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9" w:hRule="atLeast"/>
        </w:trPr>
        <w:tc>
          <w:tcPr>
            <w:tcW w:w="2089" w:type="pct"/>
            <w:tcBorders>
              <w:top w:val="single" w:color="000000" w:sz="4" w:space="0"/>
              <w:left w:val="single" w:color="000000" w:sz="4" w:space="0"/>
              <w:bottom w:val="single" w:color="000000" w:sz="4" w:space="0"/>
              <w:right w:val="single" w:color="000000" w:sz="4" w:space="0"/>
            </w:tcBorders>
            <w:noWrap/>
            <w:vAlign w:val="center"/>
          </w:tcPr>
          <w:p w14:paraId="3BBA5CAB">
            <w:pPr>
              <w:keepNext w:val="0"/>
              <w:keepLines w:val="0"/>
              <w:suppressLineNumbers w:val="0"/>
              <w:overflowPunct w:val="0"/>
              <w:autoSpaceDE w:val="0"/>
              <w:autoSpaceDN w:val="0"/>
              <w:snapToGrid w:val="0"/>
              <w:spacing w:before="0" w:beforeAutospacing="0" w:after="0" w:afterAutospacing="0" w:line="360" w:lineRule="atLeast"/>
              <w:ind w:left="0" w:right="0"/>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多年平均沙暴日数</w:t>
            </w:r>
          </w:p>
        </w:tc>
        <w:tc>
          <w:tcPr>
            <w:tcW w:w="700" w:type="pct"/>
            <w:tcBorders>
              <w:top w:val="single" w:color="000000" w:sz="4" w:space="0"/>
              <w:left w:val="nil"/>
              <w:bottom w:val="single" w:color="000000" w:sz="4" w:space="0"/>
              <w:right w:val="single" w:color="000000" w:sz="4" w:space="0"/>
            </w:tcBorders>
            <w:noWrap w:val="0"/>
            <w:vAlign w:val="center"/>
          </w:tcPr>
          <w:p w14:paraId="1FD21827">
            <w:pPr>
              <w:keepNext w:val="0"/>
              <w:keepLines w:val="0"/>
              <w:suppressLineNumbers w:val="0"/>
              <w:overflowPunct w:val="0"/>
              <w:autoSpaceDE w:val="0"/>
              <w:autoSpaceDN w:val="0"/>
              <w:snapToGrid w:val="0"/>
              <w:spacing w:before="0" w:beforeAutospacing="0" w:after="0" w:afterAutospacing="0" w:line="360" w:lineRule="atLeast"/>
              <w:ind w:left="0" w:right="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d</w:t>
            </w:r>
          </w:p>
        </w:tc>
        <w:tc>
          <w:tcPr>
            <w:tcW w:w="816" w:type="pct"/>
            <w:tcBorders>
              <w:top w:val="single" w:color="000000" w:sz="4" w:space="0"/>
              <w:left w:val="nil"/>
              <w:bottom w:val="single" w:color="000000" w:sz="4" w:space="0"/>
              <w:right w:val="single" w:color="000000" w:sz="4" w:space="0"/>
            </w:tcBorders>
            <w:noWrap/>
            <w:vAlign w:val="center"/>
          </w:tcPr>
          <w:p w14:paraId="04675927">
            <w:pPr>
              <w:keepNext w:val="0"/>
              <w:keepLines w:val="0"/>
              <w:suppressLineNumbers w:val="0"/>
              <w:overflowPunct w:val="0"/>
              <w:autoSpaceDE w:val="0"/>
              <w:autoSpaceDN w:val="0"/>
              <w:snapToGrid w:val="0"/>
              <w:spacing w:before="0" w:beforeAutospacing="0" w:after="0" w:afterAutospacing="0" w:line="360" w:lineRule="atLeast"/>
              <w:ind w:left="0" w:right="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27.4</w:t>
            </w:r>
          </w:p>
        </w:tc>
        <w:tc>
          <w:tcPr>
            <w:tcW w:w="1393" w:type="pct"/>
            <w:tcBorders>
              <w:top w:val="single" w:color="000000" w:sz="4" w:space="0"/>
              <w:left w:val="nil"/>
              <w:bottom w:val="single" w:color="000000" w:sz="4" w:space="0"/>
              <w:right w:val="single" w:color="000000" w:sz="4" w:space="0"/>
            </w:tcBorders>
            <w:noWrap/>
            <w:vAlign w:val="center"/>
          </w:tcPr>
          <w:p w14:paraId="7C3AC199">
            <w:pPr>
              <w:keepNext w:val="0"/>
              <w:keepLines w:val="0"/>
              <w:suppressLineNumbers w:val="0"/>
              <w:overflowPunct w:val="0"/>
              <w:autoSpaceDE w:val="0"/>
              <w:autoSpaceDN w:val="0"/>
              <w:snapToGrid w:val="0"/>
              <w:spacing w:before="0" w:beforeAutospacing="0" w:after="0" w:afterAutospacing="0" w:line="360" w:lineRule="atLeast"/>
              <w:ind w:left="0" w:right="0"/>
              <w:jc w:val="center"/>
              <w:rPr>
                <w:rFonts w:hint="default" w:ascii="Times New Roman" w:hAnsi="Times New Roman" w:eastAsia="宋体" w:cs="Times New Roman"/>
                <w:color w:val="auto"/>
                <w:sz w:val="21"/>
                <w:szCs w:val="21"/>
                <w:highlight w:val="none"/>
              </w:rPr>
            </w:pPr>
          </w:p>
        </w:tc>
      </w:tr>
      <w:tr w14:paraId="384CF95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9" w:hRule="atLeast"/>
        </w:trPr>
        <w:tc>
          <w:tcPr>
            <w:tcW w:w="2089" w:type="pct"/>
            <w:tcBorders>
              <w:top w:val="single" w:color="000000" w:sz="4" w:space="0"/>
              <w:left w:val="single" w:color="000000" w:sz="4" w:space="0"/>
              <w:bottom w:val="single" w:color="000000" w:sz="4" w:space="0"/>
              <w:right w:val="single" w:color="000000" w:sz="4" w:space="0"/>
            </w:tcBorders>
            <w:noWrap/>
            <w:vAlign w:val="center"/>
          </w:tcPr>
          <w:p w14:paraId="5B02585D">
            <w:pPr>
              <w:keepNext w:val="0"/>
              <w:keepLines w:val="0"/>
              <w:suppressLineNumbers w:val="0"/>
              <w:overflowPunct w:val="0"/>
              <w:autoSpaceDE w:val="0"/>
              <w:autoSpaceDN w:val="0"/>
              <w:snapToGrid w:val="0"/>
              <w:spacing w:before="0" w:beforeAutospacing="0" w:after="0" w:afterAutospacing="0" w:line="360" w:lineRule="atLeast"/>
              <w:ind w:left="0" w:right="0"/>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多年平均雷暴日数</w:t>
            </w:r>
          </w:p>
        </w:tc>
        <w:tc>
          <w:tcPr>
            <w:tcW w:w="700" w:type="pct"/>
            <w:tcBorders>
              <w:top w:val="single" w:color="000000" w:sz="4" w:space="0"/>
              <w:left w:val="nil"/>
              <w:bottom w:val="single" w:color="000000" w:sz="4" w:space="0"/>
              <w:right w:val="single" w:color="000000" w:sz="4" w:space="0"/>
            </w:tcBorders>
            <w:noWrap w:val="0"/>
            <w:vAlign w:val="center"/>
          </w:tcPr>
          <w:p w14:paraId="5C930533">
            <w:pPr>
              <w:keepNext w:val="0"/>
              <w:keepLines w:val="0"/>
              <w:suppressLineNumbers w:val="0"/>
              <w:overflowPunct w:val="0"/>
              <w:autoSpaceDE w:val="0"/>
              <w:autoSpaceDN w:val="0"/>
              <w:snapToGrid w:val="0"/>
              <w:spacing w:before="0" w:beforeAutospacing="0" w:after="0" w:afterAutospacing="0" w:line="360" w:lineRule="atLeast"/>
              <w:ind w:left="0" w:right="0"/>
              <w:jc w:val="center"/>
              <w:rPr>
                <w:rFonts w:hint="default" w:ascii="Times New Roman" w:hAnsi="Times New Roman" w:eastAsia="宋体" w:cs="Times New Roman"/>
                <w:color w:val="auto"/>
                <w:sz w:val="21"/>
                <w:szCs w:val="21"/>
                <w:highlight w:val="none"/>
              </w:rPr>
            </w:pPr>
          </w:p>
        </w:tc>
        <w:tc>
          <w:tcPr>
            <w:tcW w:w="816" w:type="pct"/>
            <w:tcBorders>
              <w:top w:val="single" w:color="000000" w:sz="4" w:space="0"/>
              <w:left w:val="nil"/>
              <w:bottom w:val="single" w:color="000000" w:sz="4" w:space="0"/>
              <w:right w:val="single" w:color="000000" w:sz="4" w:space="0"/>
            </w:tcBorders>
            <w:noWrap/>
            <w:vAlign w:val="center"/>
          </w:tcPr>
          <w:p w14:paraId="79BB182C">
            <w:pPr>
              <w:keepNext w:val="0"/>
              <w:keepLines w:val="0"/>
              <w:suppressLineNumbers w:val="0"/>
              <w:overflowPunct w:val="0"/>
              <w:autoSpaceDE w:val="0"/>
              <w:autoSpaceDN w:val="0"/>
              <w:snapToGrid w:val="0"/>
              <w:spacing w:before="0" w:beforeAutospacing="0" w:after="0" w:afterAutospacing="0" w:line="360" w:lineRule="atLeast"/>
              <w:ind w:left="0" w:right="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9.6</w:t>
            </w:r>
          </w:p>
        </w:tc>
        <w:tc>
          <w:tcPr>
            <w:tcW w:w="1393" w:type="pct"/>
            <w:tcBorders>
              <w:top w:val="single" w:color="000000" w:sz="4" w:space="0"/>
              <w:left w:val="nil"/>
              <w:bottom w:val="single" w:color="000000" w:sz="4" w:space="0"/>
              <w:right w:val="single" w:color="000000" w:sz="4" w:space="0"/>
            </w:tcBorders>
            <w:noWrap/>
            <w:vAlign w:val="center"/>
          </w:tcPr>
          <w:p w14:paraId="73F9EE8A">
            <w:pPr>
              <w:keepNext w:val="0"/>
              <w:keepLines w:val="0"/>
              <w:suppressLineNumbers w:val="0"/>
              <w:overflowPunct w:val="0"/>
              <w:autoSpaceDE w:val="0"/>
              <w:autoSpaceDN w:val="0"/>
              <w:snapToGrid w:val="0"/>
              <w:spacing w:before="0" w:beforeAutospacing="0" w:after="0" w:afterAutospacing="0" w:line="360" w:lineRule="atLeast"/>
              <w:ind w:left="0" w:right="0"/>
              <w:jc w:val="center"/>
              <w:rPr>
                <w:rFonts w:hint="default" w:ascii="Times New Roman" w:hAnsi="Times New Roman" w:eastAsia="宋体" w:cs="Times New Roman"/>
                <w:color w:val="auto"/>
                <w:sz w:val="21"/>
                <w:szCs w:val="21"/>
                <w:highlight w:val="none"/>
              </w:rPr>
            </w:pPr>
          </w:p>
        </w:tc>
      </w:tr>
      <w:tr w14:paraId="6E733B2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9" w:hRule="atLeast"/>
        </w:trPr>
        <w:tc>
          <w:tcPr>
            <w:tcW w:w="2089" w:type="pct"/>
            <w:tcBorders>
              <w:top w:val="single" w:color="000000" w:sz="4" w:space="0"/>
              <w:left w:val="single" w:color="000000" w:sz="4" w:space="0"/>
              <w:bottom w:val="single" w:color="000000" w:sz="4" w:space="0"/>
              <w:right w:val="single" w:color="000000" w:sz="4" w:space="0"/>
            </w:tcBorders>
            <w:noWrap/>
            <w:vAlign w:val="center"/>
          </w:tcPr>
          <w:p w14:paraId="4BD2FE71">
            <w:pPr>
              <w:keepNext w:val="0"/>
              <w:keepLines w:val="0"/>
              <w:suppressLineNumbers w:val="0"/>
              <w:overflowPunct w:val="0"/>
              <w:autoSpaceDE w:val="0"/>
              <w:autoSpaceDN w:val="0"/>
              <w:snapToGrid w:val="0"/>
              <w:spacing w:before="0" w:beforeAutospacing="0" w:after="0" w:afterAutospacing="0" w:line="360" w:lineRule="atLeast"/>
              <w:ind w:left="0" w:right="0"/>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多年平均降水日数</w:t>
            </w:r>
          </w:p>
        </w:tc>
        <w:tc>
          <w:tcPr>
            <w:tcW w:w="700" w:type="pct"/>
            <w:tcBorders>
              <w:top w:val="single" w:color="000000" w:sz="4" w:space="0"/>
              <w:left w:val="nil"/>
              <w:bottom w:val="single" w:color="000000" w:sz="4" w:space="0"/>
              <w:right w:val="single" w:color="000000" w:sz="4" w:space="0"/>
            </w:tcBorders>
            <w:noWrap w:val="0"/>
            <w:vAlign w:val="center"/>
          </w:tcPr>
          <w:p w14:paraId="1316B594">
            <w:pPr>
              <w:keepNext w:val="0"/>
              <w:keepLines w:val="0"/>
              <w:suppressLineNumbers w:val="0"/>
              <w:overflowPunct w:val="0"/>
              <w:autoSpaceDE w:val="0"/>
              <w:autoSpaceDN w:val="0"/>
              <w:snapToGrid w:val="0"/>
              <w:spacing w:before="0" w:beforeAutospacing="0" w:after="0" w:afterAutospacing="0" w:line="360" w:lineRule="atLeast"/>
              <w:ind w:left="0" w:right="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d</w:t>
            </w:r>
          </w:p>
        </w:tc>
        <w:tc>
          <w:tcPr>
            <w:tcW w:w="816" w:type="pct"/>
            <w:tcBorders>
              <w:top w:val="single" w:color="000000" w:sz="4" w:space="0"/>
              <w:left w:val="nil"/>
              <w:bottom w:val="single" w:color="000000" w:sz="4" w:space="0"/>
              <w:right w:val="single" w:color="000000" w:sz="4" w:space="0"/>
            </w:tcBorders>
            <w:noWrap/>
            <w:vAlign w:val="center"/>
          </w:tcPr>
          <w:p w14:paraId="54266E92">
            <w:pPr>
              <w:keepNext w:val="0"/>
              <w:keepLines w:val="0"/>
              <w:suppressLineNumbers w:val="0"/>
              <w:overflowPunct w:val="0"/>
              <w:autoSpaceDE w:val="0"/>
              <w:autoSpaceDN w:val="0"/>
              <w:snapToGrid w:val="0"/>
              <w:spacing w:before="0" w:beforeAutospacing="0" w:after="0" w:afterAutospacing="0" w:line="360" w:lineRule="atLeast"/>
              <w:ind w:left="0" w:right="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38.6</w:t>
            </w:r>
          </w:p>
        </w:tc>
        <w:tc>
          <w:tcPr>
            <w:tcW w:w="1393" w:type="pct"/>
            <w:tcBorders>
              <w:top w:val="single" w:color="000000" w:sz="4" w:space="0"/>
              <w:left w:val="nil"/>
              <w:bottom w:val="single" w:color="000000" w:sz="4" w:space="0"/>
              <w:right w:val="single" w:color="000000" w:sz="4" w:space="0"/>
            </w:tcBorders>
            <w:noWrap/>
            <w:vAlign w:val="center"/>
          </w:tcPr>
          <w:p w14:paraId="15CBCF70">
            <w:pPr>
              <w:keepNext w:val="0"/>
              <w:keepLines w:val="0"/>
              <w:suppressLineNumbers w:val="0"/>
              <w:overflowPunct w:val="0"/>
              <w:autoSpaceDE w:val="0"/>
              <w:autoSpaceDN w:val="0"/>
              <w:snapToGrid w:val="0"/>
              <w:spacing w:before="0" w:beforeAutospacing="0" w:after="0" w:afterAutospacing="0" w:line="360" w:lineRule="atLeast"/>
              <w:ind w:left="0" w:right="0"/>
              <w:jc w:val="center"/>
              <w:rPr>
                <w:rFonts w:hint="default" w:ascii="Times New Roman" w:hAnsi="Times New Roman" w:eastAsia="宋体" w:cs="Times New Roman"/>
                <w:color w:val="auto"/>
                <w:sz w:val="21"/>
                <w:szCs w:val="21"/>
                <w:highlight w:val="none"/>
              </w:rPr>
            </w:pPr>
          </w:p>
        </w:tc>
      </w:tr>
      <w:tr w14:paraId="7DEFE23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9" w:hRule="atLeast"/>
        </w:trPr>
        <w:tc>
          <w:tcPr>
            <w:tcW w:w="2089" w:type="pct"/>
            <w:tcBorders>
              <w:top w:val="single" w:color="000000" w:sz="4" w:space="0"/>
              <w:left w:val="single" w:color="000000" w:sz="4" w:space="0"/>
              <w:bottom w:val="single" w:color="000000" w:sz="4" w:space="0"/>
              <w:right w:val="single" w:color="000000" w:sz="4" w:space="0"/>
            </w:tcBorders>
            <w:noWrap/>
            <w:vAlign w:val="center"/>
          </w:tcPr>
          <w:p w14:paraId="216AA027">
            <w:pPr>
              <w:keepNext w:val="0"/>
              <w:keepLines w:val="0"/>
              <w:suppressLineNumbers w:val="0"/>
              <w:overflowPunct w:val="0"/>
              <w:autoSpaceDE w:val="0"/>
              <w:autoSpaceDN w:val="0"/>
              <w:snapToGrid w:val="0"/>
              <w:spacing w:before="0" w:beforeAutospacing="0" w:after="0" w:afterAutospacing="0" w:line="360" w:lineRule="atLeast"/>
              <w:ind w:left="0" w:right="0"/>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多年平均雾日数</w:t>
            </w:r>
          </w:p>
        </w:tc>
        <w:tc>
          <w:tcPr>
            <w:tcW w:w="700" w:type="pct"/>
            <w:tcBorders>
              <w:top w:val="single" w:color="000000" w:sz="4" w:space="0"/>
              <w:left w:val="nil"/>
              <w:bottom w:val="single" w:color="000000" w:sz="4" w:space="0"/>
              <w:right w:val="single" w:color="000000" w:sz="4" w:space="0"/>
            </w:tcBorders>
            <w:noWrap w:val="0"/>
            <w:vAlign w:val="center"/>
          </w:tcPr>
          <w:p w14:paraId="043A0D9F">
            <w:pPr>
              <w:keepNext w:val="0"/>
              <w:keepLines w:val="0"/>
              <w:suppressLineNumbers w:val="0"/>
              <w:overflowPunct w:val="0"/>
              <w:autoSpaceDE w:val="0"/>
              <w:autoSpaceDN w:val="0"/>
              <w:snapToGrid w:val="0"/>
              <w:spacing w:before="0" w:beforeAutospacing="0" w:after="0" w:afterAutospacing="0" w:line="360" w:lineRule="atLeast"/>
              <w:ind w:left="0" w:right="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d</w:t>
            </w:r>
          </w:p>
        </w:tc>
        <w:tc>
          <w:tcPr>
            <w:tcW w:w="816" w:type="pct"/>
            <w:tcBorders>
              <w:top w:val="single" w:color="000000" w:sz="4" w:space="0"/>
              <w:left w:val="nil"/>
              <w:bottom w:val="single" w:color="000000" w:sz="4" w:space="0"/>
              <w:right w:val="single" w:color="000000" w:sz="4" w:space="0"/>
            </w:tcBorders>
            <w:noWrap/>
            <w:vAlign w:val="center"/>
          </w:tcPr>
          <w:p w14:paraId="29C6F29A">
            <w:pPr>
              <w:keepNext w:val="0"/>
              <w:keepLines w:val="0"/>
              <w:suppressLineNumbers w:val="0"/>
              <w:overflowPunct w:val="0"/>
              <w:autoSpaceDE w:val="0"/>
              <w:autoSpaceDN w:val="0"/>
              <w:snapToGrid w:val="0"/>
              <w:spacing w:before="0" w:beforeAutospacing="0" w:after="0" w:afterAutospacing="0" w:line="360" w:lineRule="atLeast"/>
              <w:ind w:left="0" w:right="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1.</w:t>
            </w:r>
            <w:r>
              <w:rPr>
                <w:rFonts w:hint="default" w:ascii="Times New Roman" w:hAnsi="Times New Roman" w:eastAsia="宋体" w:cs="Times New Roman"/>
                <w:color w:val="auto"/>
                <w:sz w:val="21"/>
                <w:szCs w:val="21"/>
                <w:highlight w:val="none"/>
                <w:lang w:val="en-US" w:eastAsia="zh-CN"/>
              </w:rPr>
              <w:t>8</w:t>
            </w:r>
          </w:p>
        </w:tc>
        <w:tc>
          <w:tcPr>
            <w:tcW w:w="1393" w:type="pct"/>
            <w:tcBorders>
              <w:top w:val="single" w:color="000000" w:sz="4" w:space="0"/>
              <w:left w:val="nil"/>
              <w:bottom w:val="single" w:color="000000" w:sz="4" w:space="0"/>
              <w:right w:val="single" w:color="000000" w:sz="4" w:space="0"/>
            </w:tcBorders>
            <w:noWrap/>
            <w:vAlign w:val="center"/>
          </w:tcPr>
          <w:p w14:paraId="3FE8878C">
            <w:pPr>
              <w:keepNext w:val="0"/>
              <w:keepLines w:val="0"/>
              <w:suppressLineNumbers w:val="0"/>
              <w:spacing w:before="0" w:beforeAutospacing="0" w:after="0" w:afterAutospacing="0"/>
              <w:ind w:left="0" w:right="0"/>
              <w:rPr>
                <w:rFonts w:hint="default" w:ascii="Times New Roman" w:hAnsi="Times New Roman" w:eastAsia="宋体" w:cs="Times New Roman"/>
                <w:color w:val="auto"/>
                <w:sz w:val="21"/>
                <w:szCs w:val="21"/>
                <w:highlight w:val="none"/>
              </w:rPr>
            </w:pPr>
          </w:p>
        </w:tc>
      </w:tr>
    </w:tbl>
    <w:p w14:paraId="1D515F4A">
      <w:pPr>
        <w:widowControl w:val="0"/>
        <w:tabs>
          <w:tab w:val="left" w:pos="600"/>
        </w:tabs>
        <w:adjustRightInd w:val="0"/>
        <w:snapToGrid w:val="0"/>
        <w:spacing w:before="0" w:after="0" w:line="360" w:lineRule="auto"/>
        <w:ind w:left="0" w:right="28" w:firstLine="480" w:firstLineChars="200"/>
        <w:jc w:val="left"/>
        <w:textAlignment w:val="bottom"/>
        <w:rPr>
          <w:rFonts w:hint="eastAsia" w:ascii="宋体" w:hAnsi="宋体" w:eastAsia="宋体" w:cs="Times New Roman"/>
          <w:color w:val="auto"/>
          <w:spacing w:val="0"/>
          <w:kern w:val="2"/>
          <w:sz w:val="24"/>
          <w:szCs w:val="24"/>
          <w:highlight w:val="none"/>
          <w:lang w:val="en-US" w:eastAsia="zh-CN" w:bidi="ar-SA"/>
        </w:rPr>
      </w:pPr>
      <w:r>
        <w:rPr>
          <w:rFonts w:hint="eastAsia" w:ascii="宋体" w:hAnsi="宋体" w:eastAsia="宋体" w:cs="Times New Roman"/>
          <w:color w:val="auto"/>
          <w:spacing w:val="0"/>
          <w:kern w:val="2"/>
          <w:sz w:val="24"/>
          <w:szCs w:val="24"/>
          <w:highlight w:val="none"/>
          <w:lang w:val="en-US" w:eastAsia="zh-CN" w:bidi="ar-SA"/>
        </w:rPr>
        <w:t>根据民勤气象站历年的观测资料， 采用极值Ⅰ型法统计计算， 求得五十年一遇 10m 高 10min 平均最大风速为 28.9m/s，相应风压为 0.52kN/m2 ；百年一遇 10m 高 10min 平均最大风速为 30.9m/s，相应风压为 0.6kN/m2，考虑到红沙岗地处荒漠地带， 风速一般比县城大， 结合周围地区风压和《建筑结构荷载规范》中的全国基本风压分布图综合分析后认为，厂址五十年一遇10m高10min 平均最大风速应29.7m/s，相应风压为 0.55kN/m</w:t>
      </w:r>
      <w:r>
        <w:rPr>
          <w:rFonts w:hint="eastAsia" w:ascii="宋体" w:hAnsi="宋体" w:eastAsia="宋体" w:cs="Times New Roman"/>
          <w:color w:val="auto"/>
          <w:spacing w:val="0"/>
          <w:kern w:val="2"/>
          <w:sz w:val="24"/>
          <w:szCs w:val="24"/>
          <w:highlight w:val="none"/>
          <w:vertAlign w:val="baseline"/>
          <w:lang w:val="en-US" w:eastAsia="zh-CN" w:bidi="ar-SA"/>
        </w:rPr>
        <w:t>2</w:t>
      </w:r>
      <w:r>
        <w:rPr>
          <w:rFonts w:hint="eastAsia" w:ascii="宋体" w:hAnsi="宋体" w:eastAsia="宋体" w:cs="Times New Roman"/>
          <w:color w:val="auto"/>
          <w:spacing w:val="0"/>
          <w:kern w:val="2"/>
          <w:sz w:val="24"/>
          <w:szCs w:val="24"/>
          <w:highlight w:val="none"/>
          <w:lang w:val="en-US" w:eastAsia="zh-CN" w:bidi="ar-SA"/>
        </w:rPr>
        <w:t xml:space="preserve"> ；百年一遇 10m 高 10min 平均最大风速为 32.2m/s，相应风压为 0.65kN/m</w:t>
      </w:r>
      <w:r>
        <w:rPr>
          <w:rFonts w:hint="eastAsia" w:ascii="宋体" w:hAnsi="宋体" w:eastAsia="宋体" w:cs="Times New Roman"/>
          <w:color w:val="auto"/>
          <w:spacing w:val="0"/>
          <w:kern w:val="2"/>
          <w:sz w:val="24"/>
          <w:szCs w:val="24"/>
          <w:highlight w:val="none"/>
          <w:vertAlign w:val="baseline"/>
          <w:lang w:val="en-US" w:eastAsia="zh-CN" w:bidi="ar-SA"/>
        </w:rPr>
        <w:t>2</w:t>
      </w:r>
      <w:r>
        <w:rPr>
          <w:rFonts w:hint="eastAsia" w:ascii="宋体" w:hAnsi="宋体" w:eastAsia="宋体" w:cs="Times New Roman"/>
          <w:color w:val="auto"/>
          <w:spacing w:val="0"/>
          <w:kern w:val="2"/>
          <w:sz w:val="24"/>
          <w:szCs w:val="24"/>
          <w:highlight w:val="none"/>
          <w:lang w:val="en-US" w:eastAsia="zh-CN" w:bidi="ar-SA"/>
        </w:rPr>
        <w:t>。</w:t>
      </w:r>
    </w:p>
    <w:p w14:paraId="19E6F39F">
      <w:pPr>
        <w:keepNext/>
        <w:keepLines/>
        <w:widowControl w:val="0"/>
        <w:tabs>
          <w:tab w:val="left" w:pos="480"/>
          <w:tab w:val="left" w:pos="525"/>
        </w:tabs>
        <w:adjustRightInd w:val="0"/>
        <w:snapToGrid w:val="0"/>
        <w:spacing w:before="120" w:after="120" w:line="360" w:lineRule="auto"/>
        <w:outlineLvl w:val="2"/>
        <w:rPr>
          <w:rFonts w:hint="eastAsia" w:ascii="宋体" w:hAnsi="宋体" w:eastAsia="宋体" w:cs="宋体"/>
          <w:b/>
          <w:bCs w:val="0"/>
          <w:color w:val="auto"/>
          <w:kern w:val="44"/>
          <w:sz w:val="28"/>
          <w:szCs w:val="28"/>
          <w:highlight w:val="none"/>
          <w:lang w:eastAsia="zh-CN"/>
        </w:rPr>
      </w:pPr>
      <w:r>
        <w:rPr>
          <w:rFonts w:hint="eastAsia" w:ascii="宋体" w:hAnsi="宋体" w:eastAsia="宋体" w:cs="宋体"/>
          <w:b/>
          <w:bCs w:val="0"/>
          <w:color w:val="auto"/>
          <w:kern w:val="44"/>
          <w:sz w:val="28"/>
          <w:szCs w:val="28"/>
          <w:highlight w:val="none"/>
          <w:lang w:eastAsia="zh-CN"/>
        </w:rPr>
        <w:t>3 设计和运行条件</w:t>
      </w:r>
    </w:p>
    <w:p w14:paraId="09BAD85B">
      <w:pPr>
        <w:widowControl w:val="0"/>
        <w:tabs>
          <w:tab w:val="left" w:pos="600"/>
        </w:tabs>
        <w:adjustRightInd w:val="0"/>
        <w:snapToGrid w:val="0"/>
        <w:spacing w:after="0" w:line="360" w:lineRule="auto"/>
        <w:ind w:firstLine="480" w:firstLineChars="200"/>
        <w:rPr>
          <w:rFonts w:cs="Times New Roman"/>
          <w:color w:val="auto"/>
          <w:kern w:val="2"/>
          <w:sz w:val="24"/>
          <w:szCs w:val="24"/>
          <w:highlight w:val="none"/>
          <w:lang w:eastAsia="zh-CN"/>
        </w:rPr>
      </w:pPr>
      <w:r>
        <w:rPr>
          <w:rFonts w:cs="Times New Roman"/>
          <w:color w:val="auto"/>
          <w:kern w:val="2"/>
          <w:sz w:val="24"/>
          <w:szCs w:val="24"/>
          <w:highlight w:val="none"/>
          <w:lang w:eastAsia="zh-CN"/>
        </w:rPr>
        <w:t xml:space="preserve">3.1 </w:t>
      </w:r>
      <w:r>
        <w:rPr>
          <w:rFonts w:hint="eastAsia" w:cs="Times New Roman"/>
          <w:color w:val="auto"/>
          <w:kern w:val="2"/>
          <w:sz w:val="24"/>
          <w:szCs w:val="24"/>
          <w:highlight w:val="none"/>
          <w:lang w:eastAsia="zh-CN"/>
        </w:rPr>
        <w:t>工程地质条件</w:t>
      </w:r>
    </w:p>
    <w:p w14:paraId="6475EB31">
      <w:pPr>
        <w:widowControl w:val="0"/>
        <w:tabs>
          <w:tab w:val="left" w:pos="600"/>
        </w:tabs>
        <w:adjustRightInd w:val="0"/>
        <w:snapToGrid w:val="0"/>
        <w:spacing w:after="0" w:line="360" w:lineRule="auto"/>
        <w:ind w:firstLine="480" w:firstLineChars="200"/>
        <w:rPr>
          <w:rFonts w:hint="eastAsia" w:ascii="宋体" w:hAnsi="宋体" w:eastAsia="宋体" w:cs="Times New Roman"/>
          <w:color w:val="auto"/>
          <w:kern w:val="2"/>
          <w:sz w:val="24"/>
          <w:szCs w:val="24"/>
          <w:highlight w:val="none"/>
          <w:lang w:eastAsia="zh-CN"/>
        </w:rPr>
      </w:pPr>
      <w:r>
        <w:rPr>
          <w:rFonts w:hint="eastAsia" w:ascii="宋体" w:hAnsi="宋体" w:eastAsia="宋体" w:cs="Times New Roman"/>
          <w:color w:val="auto"/>
          <w:kern w:val="2"/>
          <w:sz w:val="24"/>
          <w:szCs w:val="24"/>
          <w:highlight w:val="none"/>
          <w:lang w:eastAsia="zh-CN"/>
        </w:rPr>
        <w:t>武威市地处甘肃省中部，河西走廊东端，北纬36°29′—39°27′，东经101°49′—104°16′之间，南北长326km，东西宽204km，总面积3.23×104km2</w:t>
      </w:r>
      <w:r>
        <w:rPr>
          <w:rFonts w:hint="eastAsia" w:cs="Times New Roman"/>
          <w:color w:val="auto"/>
          <w:kern w:val="2"/>
          <w:sz w:val="24"/>
          <w:szCs w:val="24"/>
          <w:highlight w:val="none"/>
          <w:lang w:eastAsia="zh-CN"/>
        </w:rPr>
        <w:t>。</w:t>
      </w:r>
    </w:p>
    <w:p w14:paraId="43213CA7">
      <w:pPr>
        <w:widowControl w:val="0"/>
        <w:tabs>
          <w:tab w:val="left" w:pos="600"/>
        </w:tabs>
        <w:adjustRightInd w:val="0"/>
        <w:snapToGrid w:val="0"/>
        <w:spacing w:after="0" w:line="360" w:lineRule="auto"/>
        <w:ind w:firstLine="480" w:firstLineChars="200"/>
        <w:rPr>
          <w:rFonts w:cs="Times New Roman"/>
          <w:color w:val="auto"/>
          <w:kern w:val="2"/>
          <w:sz w:val="24"/>
          <w:szCs w:val="24"/>
          <w:highlight w:val="none"/>
          <w:lang w:eastAsia="zh-CN"/>
        </w:rPr>
      </w:pPr>
      <w:r>
        <w:rPr>
          <w:rFonts w:cs="Times New Roman"/>
          <w:color w:val="auto"/>
          <w:kern w:val="2"/>
          <w:sz w:val="24"/>
          <w:szCs w:val="24"/>
          <w:highlight w:val="none"/>
          <w:lang w:eastAsia="zh-CN"/>
        </w:rPr>
        <w:t xml:space="preserve">3.2 </w:t>
      </w:r>
      <w:r>
        <w:rPr>
          <w:rFonts w:hint="eastAsia" w:cs="Times New Roman"/>
          <w:color w:val="auto"/>
          <w:kern w:val="2"/>
          <w:sz w:val="24"/>
          <w:szCs w:val="24"/>
          <w:highlight w:val="none"/>
          <w:lang w:eastAsia="zh-CN"/>
        </w:rPr>
        <w:t>厂址海拔高度</w:t>
      </w:r>
    </w:p>
    <w:p w14:paraId="4EF5875F">
      <w:pPr>
        <w:widowControl w:val="0"/>
        <w:tabs>
          <w:tab w:val="left" w:pos="600"/>
        </w:tabs>
        <w:adjustRightInd w:val="0"/>
        <w:snapToGrid w:val="0"/>
        <w:spacing w:after="0" w:line="360" w:lineRule="auto"/>
        <w:ind w:firstLine="480" w:firstLineChars="200"/>
        <w:rPr>
          <w:rFonts w:cs="Times New Roman"/>
          <w:color w:val="auto"/>
          <w:kern w:val="2"/>
          <w:sz w:val="24"/>
          <w:szCs w:val="24"/>
          <w:highlight w:val="none"/>
          <w:lang w:eastAsia="zh-CN"/>
        </w:rPr>
      </w:pPr>
      <w:r>
        <w:rPr>
          <w:rFonts w:hint="eastAsia" w:cs="Times New Roman"/>
          <w:color w:val="auto"/>
          <w:kern w:val="2"/>
          <w:sz w:val="24"/>
          <w:szCs w:val="24"/>
          <w:highlight w:val="none"/>
          <w:lang w:eastAsia="zh-CN"/>
        </w:rPr>
        <w:t>海拔高度 &lt;1500m</w:t>
      </w:r>
    </w:p>
    <w:p w14:paraId="56B3E54F">
      <w:pPr>
        <w:widowControl w:val="0"/>
        <w:tabs>
          <w:tab w:val="left" w:pos="600"/>
        </w:tabs>
        <w:adjustRightInd w:val="0"/>
        <w:snapToGrid w:val="0"/>
        <w:spacing w:after="0" w:line="360" w:lineRule="auto"/>
        <w:ind w:firstLine="480" w:firstLineChars="200"/>
        <w:rPr>
          <w:rFonts w:cs="Times New Roman"/>
          <w:color w:val="auto"/>
          <w:kern w:val="2"/>
          <w:sz w:val="24"/>
          <w:szCs w:val="24"/>
          <w:highlight w:val="none"/>
          <w:lang w:eastAsia="zh-CN"/>
        </w:rPr>
      </w:pPr>
      <w:r>
        <w:rPr>
          <w:rFonts w:cs="Times New Roman"/>
          <w:color w:val="auto"/>
          <w:kern w:val="2"/>
          <w:sz w:val="24"/>
          <w:szCs w:val="24"/>
          <w:highlight w:val="none"/>
          <w:lang w:eastAsia="zh-CN"/>
        </w:rPr>
        <w:t>3.</w:t>
      </w:r>
      <w:bookmarkStart w:id="6" w:name="_Toc42919546"/>
      <w:bookmarkStart w:id="7" w:name="_Toc501726270"/>
      <w:bookmarkStart w:id="8" w:name="_Toc487356734"/>
      <w:bookmarkStart w:id="9" w:name="_Toc487358392"/>
      <w:r>
        <w:rPr>
          <w:rFonts w:hint="eastAsia" w:cs="Times New Roman"/>
          <w:color w:val="auto"/>
          <w:kern w:val="2"/>
          <w:sz w:val="24"/>
          <w:szCs w:val="24"/>
          <w:highlight w:val="none"/>
          <w:lang w:val="en-US" w:eastAsia="zh-CN"/>
        </w:rPr>
        <w:t>3</w:t>
      </w:r>
      <w:r>
        <w:rPr>
          <w:rFonts w:cs="Times New Roman"/>
          <w:color w:val="auto"/>
          <w:kern w:val="2"/>
          <w:sz w:val="24"/>
          <w:szCs w:val="24"/>
          <w:highlight w:val="none"/>
          <w:lang w:eastAsia="zh-CN"/>
        </w:rPr>
        <w:t xml:space="preserve"> 其他使用条件</w:t>
      </w:r>
      <w:bookmarkEnd w:id="6"/>
      <w:bookmarkEnd w:id="7"/>
      <w:bookmarkEnd w:id="8"/>
      <w:bookmarkEnd w:id="9"/>
    </w:p>
    <w:p w14:paraId="586DF05C">
      <w:pPr>
        <w:widowControl w:val="0"/>
        <w:tabs>
          <w:tab w:val="left" w:pos="600"/>
        </w:tabs>
        <w:adjustRightInd w:val="0"/>
        <w:snapToGrid w:val="0"/>
        <w:spacing w:after="0" w:line="360" w:lineRule="auto"/>
        <w:ind w:firstLine="480" w:firstLineChars="200"/>
        <w:rPr>
          <w:rFonts w:hint="eastAsia" w:cs="Times New Roman"/>
          <w:bCs w:val="0"/>
          <w:color w:val="auto"/>
          <w:kern w:val="2"/>
          <w:sz w:val="24"/>
          <w:szCs w:val="24"/>
          <w:highlight w:val="none"/>
          <w:u w:val="none"/>
          <w:lang w:eastAsia="zh-CN"/>
        </w:rPr>
      </w:pPr>
      <w:r>
        <w:rPr>
          <w:rFonts w:hint="eastAsia" w:cs="Times New Roman"/>
          <w:bCs w:val="0"/>
          <w:color w:val="auto"/>
          <w:kern w:val="2"/>
          <w:sz w:val="24"/>
          <w:szCs w:val="24"/>
          <w:highlight w:val="none"/>
          <w:lang w:eastAsia="zh-CN"/>
        </w:rPr>
        <w:t>环境污秽等级</w:t>
      </w:r>
      <w:r>
        <w:rPr>
          <w:rFonts w:hint="eastAsia" w:cs="Times New Roman"/>
          <w:b w:val="0"/>
          <w:color w:val="auto"/>
          <w:kern w:val="2"/>
          <w:sz w:val="24"/>
          <w:szCs w:val="24"/>
          <w:highlight w:val="none"/>
          <w:lang w:eastAsia="zh-CN"/>
        </w:rPr>
        <w:t>___</w:t>
      </w:r>
      <w:r>
        <w:rPr>
          <w:rFonts w:hint="eastAsia" w:ascii="宋体" w:hAnsi="宋体" w:eastAsia="宋体" w:cs="Times New Roman"/>
          <w:color w:val="auto"/>
          <w:kern w:val="2"/>
          <w:sz w:val="24"/>
          <w:szCs w:val="24"/>
          <w:highlight w:val="none"/>
          <w:u w:val="none"/>
          <w:lang w:eastAsia="zh-CN"/>
        </w:rPr>
        <w:t>IV</w:t>
      </w:r>
      <w:r>
        <w:rPr>
          <w:rFonts w:hint="eastAsia" w:cs="Times New Roman"/>
          <w:b w:val="0"/>
          <w:color w:val="auto"/>
          <w:kern w:val="2"/>
          <w:sz w:val="24"/>
          <w:szCs w:val="24"/>
          <w:highlight w:val="none"/>
          <w:lang w:eastAsia="zh-CN"/>
        </w:rPr>
        <w:t>______</w:t>
      </w:r>
    </w:p>
    <w:p w14:paraId="381885B5">
      <w:pPr>
        <w:widowControl w:val="0"/>
        <w:tabs>
          <w:tab w:val="left" w:pos="600"/>
        </w:tabs>
        <w:adjustRightInd w:val="0"/>
        <w:snapToGrid w:val="0"/>
        <w:spacing w:after="0" w:line="360" w:lineRule="auto"/>
        <w:ind w:firstLine="480" w:firstLineChars="200"/>
        <w:rPr>
          <w:rFonts w:hint="eastAsia" w:cs="Times New Roman"/>
          <w:bCs w:val="0"/>
          <w:color w:val="auto"/>
          <w:kern w:val="2"/>
          <w:sz w:val="24"/>
          <w:szCs w:val="24"/>
          <w:highlight w:val="none"/>
          <w:lang w:eastAsia="zh-CN"/>
        </w:rPr>
      </w:pPr>
      <w:r>
        <w:rPr>
          <w:rFonts w:hint="eastAsia" w:cs="Times New Roman"/>
          <w:bCs w:val="0"/>
          <w:color w:val="auto"/>
          <w:kern w:val="2"/>
          <w:sz w:val="24"/>
          <w:szCs w:val="24"/>
          <w:highlight w:val="none"/>
          <w:lang w:eastAsia="zh-CN"/>
        </w:rPr>
        <w:t>泄露比距</w:t>
      </w:r>
      <w:r>
        <w:rPr>
          <w:rFonts w:hint="eastAsia" w:cs="Times New Roman"/>
          <w:b w:val="0"/>
          <w:color w:val="auto"/>
          <w:kern w:val="2"/>
          <w:sz w:val="24"/>
          <w:szCs w:val="24"/>
          <w:highlight w:val="none"/>
          <w:lang w:eastAsia="zh-CN"/>
        </w:rPr>
        <w:t>_____</w:t>
      </w:r>
      <w:r>
        <w:rPr>
          <w:rFonts w:hint="eastAsia" w:ascii="宋体" w:hAnsi="宋体" w:eastAsia="宋体" w:cs="Times New Roman"/>
          <w:color w:val="auto"/>
          <w:kern w:val="2"/>
          <w:sz w:val="24"/>
          <w:szCs w:val="24"/>
          <w:highlight w:val="none"/>
          <w:u w:val="none"/>
          <w:lang w:eastAsia="zh-CN"/>
        </w:rPr>
        <w:t>3.1</w:t>
      </w:r>
      <w:r>
        <w:rPr>
          <w:rFonts w:hint="eastAsia" w:cs="Times New Roman"/>
          <w:b w:val="0"/>
          <w:color w:val="auto"/>
          <w:kern w:val="2"/>
          <w:sz w:val="24"/>
          <w:szCs w:val="24"/>
          <w:highlight w:val="none"/>
          <w:lang w:eastAsia="zh-CN"/>
        </w:rPr>
        <w:t>____</w:t>
      </w:r>
      <w:r>
        <w:rPr>
          <w:rFonts w:hint="eastAsia" w:cs="Times New Roman"/>
          <w:bCs w:val="0"/>
          <w:color w:val="auto"/>
          <w:kern w:val="2"/>
          <w:sz w:val="24"/>
          <w:szCs w:val="24"/>
          <w:highlight w:val="none"/>
          <w:lang w:eastAsia="zh-CN"/>
        </w:rPr>
        <w:t>cm/kV（最高工作线电压）</w:t>
      </w:r>
    </w:p>
    <w:p w14:paraId="0AF75928">
      <w:pPr>
        <w:widowControl w:val="0"/>
        <w:tabs>
          <w:tab w:val="left" w:pos="600"/>
        </w:tabs>
        <w:adjustRightInd w:val="0"/>
        <w:snapToGrid w:val="0"/>
        <w:spacing w:after="0" w:line="360" w:lineRule="auto"/>
        <w:ind w:firstLine="480" w:firstLineChars="200"/>
        <w:rPr>
          <w:rFonts w:cs="宋体"/>
          <w:b w:val="0"/>
          <w:bCs/>
          <w:color w:val="auto"/>
          <w:kern w:val="2"/>
          <w:sz w:val="24"/>
          <w:szCs w:val="24"/>
          <w:highlight w:val="none"/>
          <w:u w:val="none"/>
          <w:lang w:eastAsia="zh-CN"/>
        </w:rPr>
      </w:pPr>
      <w:r>
        <w:rPr>
          <w:rFonts w:hint="eastAsia" w:cs="宋体"/>
          <w:bCs/>
          <w:color w:val="auto"/>
          <w:kern w:val="2"/>
          <w:sz w:val="24"/>
          <w:szCs w:val="24"/>
          <w:highlight w:val="none"/>
          <w:lang w:eastAsia="zh-CN"/>
        </w:rPr>
        <w:t>系统额定频率</w:t>
      </w:r>
      <w:r>
        <w:rPr>
          <w:rFonts w:cs="宋体"/>
          <w:b/>
          <w:color w:val="auto"/>
          <w:kern w:val="2"/>
          <w:sz w:val="24"/>
          <w:szCs w:val="24"/>
          <w:highlight w:val="none"/>
          <w:lang w:eastAsia="zh-CN"/>
        </w:rPr>
        <w:t>__</w:t>
      </w:r>
      <w:r>
        <w:rPr>
          <w:rFonts w:cs="宋体"/>
          <w:b w:val="0"/>
          <w:bCs/>
          <w:color w:val="auto"/>
          <w:kern w:val="2"/>
          <w:sz w:val="24"/>
          <w:szCs w:val="24"/>
          <w:highlight w:val="none"/>
          <w:lang w:eastAsia="zh-CN"/>
        </w:rPr>
        <w:t>___</w:t>
      </w:r>
      <w:r>
        <w:rPr>
          <w:rFonts w:hint="eastAsia" w:cs="宋体"/>
          <w:b w:val="0"/>
          <w:bCs/>
          <w:color w:val="auto"/>
          <w:kern w:val="2"/>
          <w:sz w:val="24"/>
          <w:szCs w:val="24"/>
          <w:highlight w:val="none"/>
          <w:lang w:val="en-US" w:eastAsia="zh-CN"/>
        </w:rPr>
        <w:t>50</w:t>
      </w:r>
      <w:r>
        <w:rPr>
          <w:rFonts w:cs="宋体"/>
          <w:b w:val="0"/>
          <w:bCs/>
          <w:color w:val="auto"/>
          <w:kern w:val="2"/>
          <w:sz w:val="24"/>
          <w:szCs w:val="24"/>
          <w:highlight w:val="none"/>
          <w:lang w:eastAsia="zh-CN"/>
        </w:rPr>
        <w:t>_____Hz</w:t>
      </w:r>
    </w:p>
    <w:p w14:paraId="43F145A0">
      <w:pPr>
        <w:widowControl w:val="0"/>
        <w:tabs>
          <w:tab w:val="left" w:pos="600"/>
        </w:tabs>
        <w:adjustRightInd w:val="0"/>
        <w:snapToGrid w:val="0"/>
        <w:spacing w:after="0" w:line="360" w:lineRule="auto"/>
        <w:ind w:firstLine="480" w:firstLineChars="200"/>
        <w:rPr>
          <w:rFonts w:cs="宋体"/>
          <w:b w:val="0"/>
          <w:bCs/>
          <w:color w:val="auto"/>
          <w:kern w:val="2"/>
          <w:sz w:val="24"/>
          <w:szCs w:val="24"/>
          <w:highlight w:val="none"/>
          <w:u w:val="none"/>
          <w:lang w:eastAsia="zh-CN"/>
        </w:rPr>
      </w:pPr>
      <w:r>
        <w:rPr>
          <w:rFonts w:hint="eastAsia" w:cs="宋体"/>
          <w:b w:val="0"/>
          <w:bCs/>
          <w:color w:val="auto"/>
          <w:kern w:val="2"/>
          <w:sz w:val="24"/>
          <w:szCs w:val="24"/>
          <w:highlight w:val="none"/>
          <w:lang w:eastAsia="zh-CN"/>
        </w:rPr>
        <w:t>系统额定电压</w:t>
      </w:r>
      <w:r>
        <w:rPr>
          <w:rFonts w:cs="宋体"/>
          <w:b w:val="0"/>
          <w:bCs/>
          <w:color w:val="auto"/>
          <w:kern w:val="2"/>
          <w:sz w:val="24"/>
          <w:szCs w:val="24"/>
          <w:highlight w:val="none"/>
          <w:lang w:eastAsia="zh-CN"/>
        </w:rPr>
        <w:t>_____</w:t>
      </w:r>
      <w:r>
        <w:rPr>
          <w:rFonts w:hint="eastAsia" w:cs="宋体"/>
          <w:b w:val="0"/>
          <w:bCs/>
          <w:color w:val="auto"/>
          <w:kern w:val="2"/>
          <w:sz w:val="24"/>
          <w:szCs w:val="24"/>
          <w:highlight w:val="none"/>
          <w:lang w:val="en-US" w:eastAsia="zh-CN"/>
        </w:rPr>
        <w:t>75</w:t>
      </w:r>
      <w:r>
        <w:rPr>
          <w:rFonts w:cs="宋体"/>
          <w:b w:val="0"/>
          <w:bCs/>
          <w:color w:val="auto"/>
          <w:kern w:val="2"/>
          <w:sz w:val="24"/>
          <w:szCs w:val="24"/>
          <w:highlight w:val="none"/>
          <w:lang w:eastAsia="zh-CN"/>
        </w:rPr>
        <w:t>0_____kV</w:t>
      </w:r>
    </w:p>
    <w:p w14:paraId="2751D693">
      <w:pPr>
        <w:widowControl w:val="0"/>
        <w:tabs>
          <w:tab w:val="left" w:pos="600"/>
        </w:tabs>
        <w:adjustRightInd w:val="0"/>
        <w:snapToGrid w:val="0"/>
        <w:spacing w:after="0" w:line="360" w:lineRule="auto"/>
        <w:ind w:firstLine="480" w:firstLineChars="200"/>
        <w:rPr>
          <w:rFonts w:cs="宋体"/>
          <w:b w:val="0"/>
          <w:bCs/>
          <w:color w:val="auto"/>
          <w:kern w:val="2"/>
          <w:sz w:val="24"/>
          <w:szCs w:val="24"/>
          <w:highlight w:val="none"/>
          <w:u w:val="none"/>
          <w:lang w:eastAsia="zh-CN"/>
        </w:rPr>
      </w:pPr>
      <w:r>
        <w:rPr>
          <w:rFonts w:hint="eastAsia" w:cs="宋体"/>
          <w:b w:val="0"/>
          <w:bCs/>
          <w:color w:val="auto"/>
          <w:kern w:val="2"/>
          <w:sz w:val="24"/>
          <w:szCs w:val="24"/>
          <w:highlight w:val="none"/>
          <w:lang w:eastAsia="zh-CN"/>
        </w:rPr>
        <w:t>系统最高电压</w:t>
      </w:r>
      <w:r>
        <w:rPr>
          <w:rFonts w:cs="宋体"/>
          <w:b w:val="0"/>
          <w:bCs/>
          <w:color w:val="auto"/>
          <w:kern w:val="2"/>
          <w:sz w:val="24"/>
          <w:szCs w:val="24"/>
          <w:highlight w:val="none"/>
          <w:lang w:eastAsia="zh-CN"/>
        </w:rPr>
        <w:t>_____</w:t>
      </w:r>
      <w:r>
        <w:rPr>
          <w:rFonts w:hint="eastAsia" w:cs="宋体"/>
          <w:b w:val="0"/>
          <w:bCs/>
          <w:color w:val="auto"/>
          <w:kern w:val="2"/>
          <w:sz w:val="24"/>
          <w:szCs w:val="24"/>
          <w:highlight w:val="none"/>
          <w:lang w:val="en-US" w:eastAsia="zh-CN"/>
        </w:rPr>
        <w:t>75</w:t>
      </w:r>
      <w:r>
        <w:rPr>
          <w:rFonts w:cs="宋体"/>
          <w:b w:val="0"/>
          <w:bCs/>
          <w:color w:val="auto"/>
          <w:kern w:val="2"/>
          <w:sz w:val="24"/>
          <w:szCs w:val="24"/>
          <w:highlight w:val="none"/>
          <w:lang w:eastAsia="zh-CN"/>
        </w:rPr>
        <w:t>0______kV</w:t>
      </w:r>
    </w:p>
    <w:p w14:paraId="4891B885">
      <w:pPr>
        <w:widowControl w:val="0"/>
        <w:tabs>
          <w:tab w:val="left" w:pos="600"/>
        </w:tabs>
        <w:adjustRightInd w:val="0"/>
        <w:snapToGrid w:val="0"/>
        <w:spacing w:after="0" w:line="360" w:lineRule="auto"/>
        <w:ind w:firstLine="480" w:firstLineChars="200"/>
        <w:rPr>
          <w:rFonts w:cs="宋体"/>
          <w:b w:val="0"/>
          <w:bCs/>
          <w:color w:val="auto"/>
          <w:kern w:val="2"/>
          <w:sz w:val="24"/>
          <w:szCs w:val="24"/>
          <w:highlight w:val="none"/>
          <w:u w:val="none"/>
          <w:lang w:eastAsia="zh-CN"/>
        </w:rPr>
      </w:pPr>
      <w:r>
        <w:rPr>
          <w:rFonts w:hint="eastAsia" w:cs="宋体"/>
          <w:b w:val="0"/>
          <w:bCs/>
          <w:color w:val="auto"/>
          <w:kern w:val="2"/>
          <w:sz w:val="24"/>
          <w:szCs w:val="24"/>
          <w:highlight w:val="none"/>
          <w:lang w:eastAsia="zh-CN"/>
        </w:rPr>
        <w:t>系统中性点接地方式</w:t>
      </w:r>
      <w:r>
        <w:rPr>
          <w:rFonts w:cs="宋体"/>
          <w:b w:val="0"/>
          <w:bCs/>
          <w:color w:val="auto"/>
          <w:kern w:val="2"/>
          <w:sz w:val="24"/>
          <w:szCs w:val="24"/>
          <w:highlight w:val="none"/>
          <w:lang w:eastAsia="zh-CN"/>
        </w:rPr>
        <w:t>______</w:t>
      </w:r>
      <w:r>
        <w:rPr>
          <w:rFonts w:hint="eastAsia" w:cs="宋体"/>
          <w:b w:val="0"/>
          <w:bCs/>
          <w:color w:val="auto"/>
          <w:kern w:val="2"/>
          <w:sz w:val="24"/>
          <w:szCs w:val="24"/>
          <w:highlight w:val="none"/>
          <w:lang w:eastAsia="zh-CN"/>
        </w:rPr>
        <w:t>直接接地（高压侧）</w:t>
      </w:r>
      <w:r>
        <w:rPr>
          <w:rFonts w:cs="宋体"/>
          <w:b w:val="0"/>
          <w:bCs/>
          <w:color w:val="auto"/>
          <w:kern w:val="2"/>
          <w:sz w:val="24"/>
          <w:szCs w:val="24"/>
          <w:highlight w:val="none"/>
          <w:lang w:eastAsia="zh-CN"/>
        </w:rPr>
        <w:t>_________</w:t>
      </w:r>
    </w:p>
    <w:p w14:paraId="2E8B9F8B">
      <w:pPr>
        <w:widowControl w:val="0"/>
        <w:tabs>
          <w:tab w:val="left" w:pos="600"/>
        </w:tabs>
        <w:adjustRightInd w:val="0"/>
        <w:snapToGrid w:val="0"/>
        <w:spacing w:after="0" w:line="360" w:lineRule="auto"/>
        <w:ind w:firstLine="480" w:firstLineChars="200"/>
        <w:rPr>
          <w:rFonts w:cs="宋体"/>
          <w:b w:val="0"/>
          <w:bCs/>
          <w:color w:val="auto"/>
          <w:kern w:val="2"/>
          <w:sz w:val="24"/>
          <w:szCs w:val="24"/>
          <w:highlight w:val="none"/>
          <w:u w:val="none"/>
          <w:lang w:eastAsia="zh-CN"/>
        </w:rPr>
      </w:pPr>
      <w:r>
        <w:rPr>
          <w:rFonts w:hint="eastAsia" w:cs="宋体"/>
          <w:b w:val="0"/>
          <w:bCs/>
          <w:color w:val="auto"/>
          <w:kern w:val="2"/>
          <w:sz w:val="24"/>
          <w:szCs w:val="24"/>
          <w:highlight w:val="none"/>
          <w:lang w:eastAsia="zh-CN"/>
        </w:rPr>
        <w:t>与其他设备连接方式</w:t>
      </w:r>
      <w:r>
        <w:rPr>
          <w:rFonts w:cs="宋体"/>
          <w:b w:val="0"/>
          <w:bCs/>
          <w:color w:val="auto"/>
          <w:kern w:val="2"/>
          <w:sz w:val="24"/>
          <w:szCs w:val="24"/>
          <w:highlight w:val="none"/>
          <w:lang w:eastAsia="zh-CN"/>
        </w:rPr>
        <w:t>_______________</w:t>
      </w:r>
    </w:p>
    <w:p w14:paraId="560C365B">
      <w:pPr>
        <w:widowControl w:val="0"/>
        <w:tabs>
          <w:tab w:val="left" w:pos="600"/>
        </w:tabs>
        <w:adjustRightInd w:val="0"/>
        <w:snapToGrid w:val="0"/>
        <w:spacing w:after="0" w:line="360" w:lineRule="auto"/>
        <w:ind w:firstLine="480" w:firstLineChars="200"/>
        <w:rPr>
          <w:rFonts w:cs="宋体"/>
          <w:b w:val="0"/>
          <w:bCs/>
          <w:color w:val="auto"/>
          <w:kern w:val="2"/>
          <w:sz w:val="24"/>
          <w:szCs w:val="24"/>
          <w:highlight w:val="none"/>
          <w:u w:val="none"/>
          <w:lang w:eastAsia="zh-CN"/>
        </w:rPr>
      </w:pPr>
      <w:r>
        <w:rPr>
          <w:rFonts w:hint="eastAsia" w:cs="宋体"/>
          <w:b w:val="0"/>
          <w:bCs/>
          <w:color w:val="auto"/>
          <w:kern w:val="2"/>
          <w:sz w:val="24"/>
          <w:szCs w:val="24"/>
          <w:highlight w:val="none"/>
          <w:lang w:eastAsia="zh-CN"/>
        </w:rPr>
        <w:t>控制电源</w:t>
      </w:r>
      <w:r>
        <w:rPr>
          <w:rFonts w:cs="宋体"/>
          <w:b w:val="0"/>
          <w:bCs/>
          <w:color w:val="auto"/>
          <w:kern w:val="2"/>
          <w:sz w:val="24"/>
          <w:szCs w:val="24"/>
          <w:highlight w:val="none"/>
          <w:lang w:eastAsia="zh-CN"/>
        </w:rPr>
        <w:t>_______DC110________V</w:t>
      </w:r>
    </w:p>
    <w:p w14:paraId="07FFB3AF">
      <w:pPr>
        <w:widowControl w:val="0"/>
        <w:tabs>
          <w:tab w:val="left" w:pos="600"/>
        </w:tabs>
        <w:adjustRightInd w:val="0"/>
        <w:snapToGrid w:val="0"/>
        <w:spacing w:after="0" w:line="360" w:lineRule="auto"/>
        <w:ind w:firstLine="480" w:firstLineChars="200"/>
        <w:rPr>
          <w:rFonts w:cs="宋体"/>
          <w:b w:val="0"/>
          <w:bCs/>
          <w:color w:val="auto"/>
          <w:kern w:val="2"/>
          <w:sz w:val="24"/>
          <w:szCs w:val="24"/>
          <w:highlight w:val="none"/>
          <w:u w:val="none"/>
          <w:lang w:eastAsia="zh-CN"/>
        </w:rPr>
      </w:pPr>
      <w:r>
        <w:rPr>
          <w:rFonts w:hint="eastAsia" w:cs="宋体"/>
          <w:b w:val="0"/>
          <w:bCs/>
          <w:color w:val="auto"/>
          <w:kern w:val="2"/>
          <w:sz w:val="24"/>
          <w:szCs w:val="24"/>
          <w:highlight w:val="none"/>
          <w:lang w:eastAsia="zh-CN"/>
        </w:rPr>
        <w:t>操作电源</w:t>
      </w:r>
      <w:r>
        <w:rPr>
          <w:rFonts w:cs="宋体"/>
          <w:b w:val="0"/>
          <w:bCs/>
          <w:color w:val="auto"/>
          <w:kern w:val="2"/>
          <w:sz w:val="24"/>
          <w:szCs w:val="24"/>
          <w:highlight w:val="none"/>
          <w:lang w:eastAsia="zh-CN"/>
        </w:rPr>
        <w:t>______DC</w:t>
      </w:r>
      <w:r>
        <w:rPr>
          <w:rFonts w:hint="eastAsia" w:cs="宋体"/>
          <w:b w:val="0"/>
          <w:bCs/>
          <w:color w:val="auto"/>
          <w:kern w:val="2"/>
          <w:sz w:val="24"/>
          <w:szCs w:val="24"/>
          <w:highlight w:val="none"/>
          <w:lang w:eastAsia="zh-CN"/>
        </w:rPr>
        <w:t>1</w:t>
      </w:r>
      <w:r>
        <w:rPr>
          <w:rFonts w:hint="eastAsia" w:cs="宋体"/>
          <w:b w:val="0"/>
          <w:bCs/>
          <w:color w:val="auto"/>
          <w:kern w:val="2"/>
          <w:sz w:val="24"/>
          <w:szCs w:val="24"/>
          <w:highlight w:val="none"/>
          <w:lang w:val="en-US" w:eastAsia="zh-CN"/>
        </w:rPr>
        <w:t>1</w:t>
      </w:r>
      <w:r>
        <w:rPr>
          <w:rFonts w:cs="宋体"/>
          <w:b w:val="0"/>
          <w:bCs/>
          <w:color w:val="auto"/>
          <w:kern w:val="2"/>
          <w:sz w:val="24"/>
          <w:szCs w:val="24"/>
          <w:highlight w:val="none"/>
          <w:lang w:eastAsia="zh-CN"/>
        </w:rPr>
        <w:t>0_________V</w:t>
      </w:r>
    </w:p>
    <w:p w14:paraId="1D79ED86">
      <w:pPr>
        <w:widowControl w:val="0"/>
        <w:tabs>
          <w:tab w:val="left" w:pos="600"/>
        </w:tabs>
        <w:adjustRightInd w:val="0"/>
        <w:snapToGrid w:val="0"/>
        <w:spacing w:after="0" w:line="360" w:lineRule="auto"/>
        <w:ind w:firstLine="480" w:firstLineChars="200"/>
        <w:rPr>
          <w:rFonts w:cs="宋体"/>
          <w:color w:val="auto"/>
          <w:kern w:val="2"/>
          <w:sz w:val="24"/>
          <w:szCs w:val="24"/>
          <w:highlight w:val="none"/>
          <w:u w:val="none"/>
          <w:lang w:eastAsia="zh-CN"/>
        </w:rPr>
      </w:pPr>
      <w:r>
        <w:rPr>
          <w:rFonts w:hint="eastAsia" w:cs="宋体"/>
          <w:b w:val="0"/>
          <w:bCs/>
          <w:color w:val="auto"/>
          <w:kern w:val="2"/>
          <w:sz w:val="24"/>
          <w:szCs w:val="24"/>
          <w:highlight w:val="none"/>
          <w:lang w:eastAsia="zh-CN"/>
        </w:rPr>
        <w:t>加热器电源（如有）</w:t>
      </w:r>
      <w:r>
        <w:rPr>
          <w:rFonts w:cs="宋体"/>
          <w:b w:val="0"/>
          <w:bCs/>
          <w:color w:val="auto"/>
          <w:kern w:val="2"/>
          <w:sz w:val="24"/>
          <w:szCs w:val="24"/>
          <w:highlight w:val="none"/>
          <w:lang w:eastAsia="zh-CN"/>
        </w:rPr>
        <w:t>_____AC220___</w:t>
      </w:r>
      <w:r>
        <w:rPr>
          <w:rFonts w:cs="宋体"/>
          <w:b/>
          <w:color w:val="auto"/>
          <w:kern w:val="2"/>
          <w:sz w:val="24"/>
          <w:szCs w:val="24"/>
          <w:highlight w:val="none"/>
          <w:lang w:eastAsia="zh-CN"/>
        </w:rPr>
        <w:t>____</w:t>
      </w:r>
      <w:r>
        <w:rPr>
          <w:rFonts w:cs="宋体"/>
          <w:bCs/>
          <w:color w:val="auto"/>
          <w:kern w:val="2"/>
          <w:sz w:val="24"/>
          <w:szCs w:val="24"/>
          <w:highlight w:val="none"/>
          <w:lang w:eastAsia="zh-CN"/>
        </w:rPr>
        <w:t>V</w:t>
      </w:r>
    </w:p>
    <w:p w14:paraId="1C356D20">
      <w:pPr>
        <w:widowControl w:val="0"/>
        <w:tabs>
          <w:tab w:val="left" w:pos="600"/>
        </w:tabs>
        <w:adjustRightInd w:val="0"/>
        <w:snapToGrid w:val="0"/>
        <w:spacing w:after="0" w:line="360" w:lineRule="auto"/>
        <w:ind w:firstLine="480" w:firstLineChars="200"/>
        <w:rPr>
          <w:rFonts w:cs="宋体"/>
          <w:color w:val="auto"/>
          <w:kern w:val="2"/>
          <w:sz w:val="24"/>
          <w:szCs w:val="24"/>
          <w:highlight w:val="none"/>
          <w:u w:val="none"/>
          <w:lang w:eastAsia="zh-CN"/>
        </w:rPr>
      </w:pPr>
      <w:r>
        <w:rPr>
          <w:rFonts w:hint="eastAsia" w:cs="宋体"/>
          <w:color w:val="auto"/>
          <w:kern w:val="2"/>
          <w:sz w:val="24"/>
          <w:szCs w:val="24"/>
          <w:highlight w:val="none"/>
          <w:lang w:eastAsia="zh-CN"/>
        </w:rPr>
        <w:t>其他电源</w:t>
      </w:r>
      <w:r>
        <w:rPr>
          <w:rFonts w:cs="宋体"/>
          <w:b/>
          <w:color w:val="auto"/>
          <w:kern w:val="2"/>
          <w:sz w:val="24"/>
          <w:szCs w:val="24"/>
          <w:highlight w:val="none"/>
          <w:lang w:eastAsia="zh-CN"/>
        </w:rPr>
        <w:t>_______________</w:t>
      </w:r>
      <w:r>
        <w:rPr>
          <w:rFonts w:cs="宋体"/>
          <w:bCs/>
          <w:color w:val="auto"/>
          <w:kern w:val="2"/>
          <w:sz w:val="24"/>
          <w:szCs w:val="24"/>
          <w:highlight w:val="none"/>
          <w:lang w:eastAsia="zh-CN"/>
        </w:rPr>
        <w:t>V</w:t>
      </w:r>
    </w:p>
    <w:p w14:paraId="1C673501">
      <w:pPr>
        <w:keepNext/>
        <w:keepLines/>
        <w:widowControl w:val="0"/>
        <w:tabs>
          <w:tab w:val="left" w:pos="480"/>
          <w:tab w:val="left" w:pos="525"/>
        </w:tabs>
        <w:adjustRightInd w:val="0"/>
        <w:snapToGrid w:val="0"/>
        <w:spacing w:before="0" w:after="0" w:line="360" w:lineRule="auto"/>
        <w:ind w:firstLine="0" w:firstLineChars="0"/>
        <w:outlineLvl w:val="2"/>
        <w:rPr>
          <w:rFonts w:hint="eastAsia" w:ascii="宋体" w:hAnsi="宋体" w:eastAsia="宋体" w:cs="宋体"/>
          <w:b/>
          <w:bCs w:val="0"/>
          <w:color w:val="auto"/>
          <w:kern w:val="44"/>
          <w:sz w:val="28"/>
          <w:szCs w:val="28"/>
          <w:highlight w:val="none"/>
          <w:lang w:eastAsia="zh-CN"/>
        </w:rPr>
      </w:pPr>
      <w:r>
        <w:rPr>
          <w:rFonts w:hint="eastAsia" w:ascii="宋体" w:hAnsi="宋体" w:eastAsia="宋体" w:cs="宋体"/>
          <w:b/>
          <w:bCs w:val="0"/>
          <w:color w:val="auto"/>
          <w:kern w:val="44"/>
          <w:sz w:val="28"/>
          <w:szCs w:val="28"/>
          <w:highlight w:val="none"/>
          <w:lang w:eastAsia="zh-CN"/>
        </w:rPr>
        <w:t>4 宽频同步相量测量装置技术要求</w:t>
      </w:r>
    </w:p>
    <w:p w14:paraId="78E512C3">
      <w:pPr>
        <w:widowControl w:val="0"/>
        <w:tabs>
          <w:tab w:val="left" w:pos="600"/>
        </w:tabs>
        <w:adjustRightInd w:val="0"/>
        <w:snapToGrid w:val="0"/>
        <w:spacing w:after="0" w:line="360" w:lineRule="auto"/>
        <w:ind w:left="0" w:leftChars="0" w:firstLine="482" w:firstLineChars="200"/>
        <w:outlineLvl w:val="3"/>
        <w:rPr>
          <w:rFonts w:hint="eastAsia" w:cs="Times New Roman"/>
          <w:b/>
          <w:bCs/>
          <w:color w:val="auto"/>
          <w:kern w:val="2"/>
          <w:sz w:val="24"/>
          <w:szCs w:val="24"/>
          <w:highlight w:val="none"/>
          <w:lang w:val="en-US" w:eastAsia="zh-CN"/>
        </w:rPr>
      </w:pPr>
      <w:r>
        <w:rPr>
          <w:rFonts w:hint="eastAsia" w:cs="Times New Roman"/>
          <w:b/>
          <w:bCs/>
          <w:color w:val="auto"/>
          <w:kern w:val="2"/>
          <w:sz w:val="24"/>
          <w:szCs w:val="24"/>
          <w:highlight w:val="none"/>
          <w:lang w:val="en-US" w:eastAsia="zh-CN"/>
        </w:rPr>
        <w:t>4.1  总的技术要求</w:t>
      </w:r>
    </w:p>
    <w:p w14:paraId="6E6EF124">
      <w:pPr>
        <w:widowControl w:val="0"/>
        <w:tabs>
          <w:tab w:val="left" w:pos="600"/>
        </w:tabs>
        <w:adjustRightInd w:val="0"/>
        <w:snapToGrid w:val="0"/>
        <w:spacing w:after="0" w:line="360" w:lineRule="auto"/>
        <w:ind w:firstLine="480" w:firstLineChars="200"/>
        <w:rPr>
          <w:rFonts w:hint="eastAsia" w:ascii="宋体" w:hAnsi="宋体" w:cs="Times New Roman"/>
          <w:color w:val="auto"/>
          <w:spacing w:val="0"/>
          <w:kern w:val="2"/>
          <w:sz w:val="24"/>
          <w:szCs w:val="24"/>
          <w:highlight w:val="none"/>
          <w:lang w:eastAsia="zh-CN"/>
        </w:rPr>
      </w:pPr>
      <w:r>
        <w:rPr>
          <w:rFonts w:hint="eastAsia" w:cs="Times New Roman"/>
          <w:color w:val="auto"/>
          <w:spacing w:val="0"/>
          <w:kern w:val="2"/>
          <w:sz w:val="24"/>
          <w:szCs w:val="24"/>
          <w:highlight w:val="none"/>
          <w:lang w:val="en-US" w:eastAsia="zh-CN"/>
        </w:rPr>
        <w:t xml:space="preserve">4.1.1 </w:t>
      </w:r>
      <w:r>
        <w:rPr>
          <w:rFonts w:hint="eastAsia" w:ascii="宋体" w:hAnsi="宋体" w:cs="Times New Roman"/>
          <w:color w:val="auto"/>
          <w:spacing w:val="0"/>
          <w:kern w:val="2"/>
          <w:sz w:val="24"/>
          <w:szCs w:val="24"/>
          <w:highlight w:val="none"/>
          <w:lang w:eastAsia="zh-CN"/>
        </w:rPr>
        <w:t>一般工况</w:t>
      </w:r>
    </w:p>
    <w:p w14:paraId="313536EE">
      <w:pPr>
        <w:widowControl w:val="0"/>
        <w:tabs>
          <w:tab w:val="left" w:pos="600"/>
        </w:tabs>
        <w:adjustRightInd w:val="0"/>
        <w:snapToGrid w:val="0"/>
        <w:spacing w:after="0" w:line="360" w:lineRule="auto"/>
        <w:ind w:firstLine="480" w:firstLineChars="200"/>
        <w:rPr>
          <w:rFonts w:hint="eastAsia" w:ascii="宋体" w:hAnsi="宋体" w:cs="Times New Roman"/>
          <w:color w:val="auto"/>
          <w:spacing w:val="0"/>
          <w:kern w:val="2"/>
          <w:sz w:val="24"/>
          <w:szCs w:val="24"/>
          <w:highlight w:val="none"/>
          <w:lang w:eastAsia="zh-CN"/>
        </w:rPr>
      </w:pPr>
      <w:r>
        <w:rPr>
          <w:rFonts w:hint="eastAsia" w:ascii="宋体" w:hAnsi="宋体" w:cs="Times New Roman"/>
          <w:color w:val="auto"/>
          <w:spacing w:val="0"/>
          <w:kern w:val="2"/>
          <w:sz w:val="24"/>
          <w:szCs w:val="24"/>
          <w:highlight w:val="none"/>
          <w:lang w:eastAsia="zh-CN"/>
        </w:rPr>
        <w:t>·  高度（海拔）： 1</w:t>
      </w:r>
      <w:r>
        <w:rPr>
          <w:rFonts w:hint="eastAsia" w:cs="Times New Roman"/>
          <w:color w:val="auto"/>
          <w:spacing w:val="0"/>
          <w:kern w:val="2"/>
          <w:sz w:val="24"/>
          <w:szCs w:val="24"/>
          <w:highlight w:val="none"/>
          <w:lang w:eastAsia="zh-CN"/>
        </w:rPr>
        <w:t>5</w:t>
      </w:r>
      <w:r>
        <w:rPr>
          <w:rFonts w:hint="eastAsia" w:ascii="宋体" w:hAnsi="宋体" w:cs="Times New Roman"/>
          <w:color w:val="auto"/>
          <w:spacing w:val="0"/>
          <w:kern w:val="2"/>
          <w:sz w:val="24"/>
          <w:szCs w:val="24"/>
          <w:highlight w:val="none"/>
          <w:lang w:eastAsia="zh-CN"/>
        </w:rPr>
        <w:t>00M；</w:t>
      </w:r>
    </w:p>
    <w:p w14:paraId="0E9469F3">
      <w:pPr>
        <w:widowControl w:val="0"/>
        <w:tabs>
          <w:tab w:val="left" w:pos="600"/>
        </w:tabs>
        <w:adjustRightInd w:val="0"/>
        <w:snapToGrid w:val="0"/>
        <w:spacing w:after="0" w:line="360" w:lineRule="auto"/>
        <w:ind w:firstLine="480" w:firstLineChars="200"/>
        <w:rPr>
          <w:rFonts w:hint="eastAsia" w:ascii="宋体" w:hAnsi="宋体" w:cs="Times New Roman"/>
          <w:color w:val="auto"/>
          <w:spacing w:val="0"/>
          <w:kern w:val="2"/>
          <w:sz w:val="24"/>
          <w:szCs w:val="24"/>
          <w:highlight w:val="none"/>
          <w:lang w:eastAsia="zh-CN"/>
        </w:rPr>
      </w:pPr>
      <w:r>
        <w:rPr>
          <w:rFonts w:hint="eastAsia" w:ascii="宋体" w:hAnsi="宋体" w:cs="Times New Roman"/>
          <w:color w:val="auto"/>
          <w:spacing w:val="0"/>
          <w:kern w:val="2"/>
          <w:sz w:val="24"/>
          <w:szCs w:val="24"/>
          <w:highlight w:val="none"/>
          <w:lang w:eastAsia="zh-CN"/>
        </w:rPr>
        <w:t>·  最大月平均相对湿度： 90%；</w:t>
      </w:r>
    </w:p>
    <w:p w14:paraId="3B8B3D54">
      <w:pPr>
        <w:widowControl w:val="0"/>
        <w:tabs>
          <w:tab w:val="left" w:pos="600"/>
        </w:tabs>
        <w:adjustRightInd w:val="0"/>
        <w:snapToGrid w:val="0"/>
        <w:spacing w:after="0" w:line="360" w:lineRule="auto"/>
        <w:ind w:firstLine="480" w:firstLineChars="200"/>
        <w:rPr>
          <w:rFonts w:hint="eastAsia" w:ascii="宋体" w:hAnsi="宋体" w:cs="Times New Roman"/>
          <w:color w:val="auto"/>
          <w:spacing w:val="0"/>
          <w:kern w:val="2"/>
          <w:sz w:val="24"/>
          <w:szCs w:val="24"/>
          <w:highlight w:val="none"/>
          <w:lang w:eastAsia="zh-CN"/>
        </w:rPr>
      </w:pPr>
      <w:r>
        <w:rPr>
          <w:rFonts w:hint="eastAsia" w:ascii="宋体" w:hAnsi="宋体" w:cs="Times New Roman"/>
          <w:color w:val="auto"/>
          <w:spacing w:val="0"/>
          <w:kern w:val="2"/>
          <w:sz w:val="24"/>
          <w:szCs w:val="24"/>
          <w:highlight w:val="none"/>
          <w:lang w:eastAsia="zh-CN"/>
        </w:rPr>
        <w:t>·  最高环境温度： 40</w:t>
      </w:r>
      <w:r>
        <w:rPr>
          <w:rFonts w:hint="eastAsia" w:ascii="宋体" w:hAnsi="宋体" w:cs="Times New Roman"/>
          <w:color w:val="auto"/>
          <w:kern w:val="2"/>
          <w:sz w:val="24"/>
          <w:szCs w:val="24"/>
          <w:highlight w:val="none"/>
          <w:lang w:eastAsia="zh-CN"/>
        </w:rPr>
        <w:t>℃；</w:t>
      </w:r>
    </w:p>
    <w:p w14:paraId="32C361A6">
      <w:pPr>
        <w:widowControl w:val="0"/>
        <w:tabs>
          <w:tab w:val="left" w:pos="600"/>
        </w:tabs>
        <w:adjustRightInd w:val="0"/>
        <w:snapToGrid w:val="0"/>
        <w:spacing w:after="0" w:line="360" w:lineRule="auto"/>
        <w:ind w:firstLine="480" w:firstLineChars="200"/>
        <w:rPr>
          <w:rFonts w:hint="eastAsia" w:ascii="宋体" w:hAnsi="宋体" w:cs="Times New Roman"/>
          <w:color w:val="auto"/>
          <w:spacing w:val="0"/>
          <w:kern w:val="2"/>
          <w:sz w:val="24"/>
          <w:szCs w:val="24"/>
          <w:highlight w:val="none"/>
          <w:lang w:eastAsia="zh-CN"/>
        </w:rPr>
      </w:pPr>
      <w:r>
        <w:rPr>
          <w:rFonts w:hint="eastAsia" w:ascii="宋体" w:hAnsi="宋体" w:cs="Times New Roman"/>
          <w:color w:val="auto"/>
          <w:spacing w:val="0"/>
          <w:kern w:val="2"/>
          <w:sz w:val="24"/>
          <w:szCs w:val="24"/>
          <w:highlight w:val="none"/>
          <w:lang w:eastAsia="zh-CN"/>
        </w:rPr>
        <w:t>·  最低环境温度： -15</w:t>
      </w:r>
      <w:r>
        <w:rPr>
          <w:rFonts w:hint="eastAsia" w:ascii="宋体" w:hAnsi="宋体" w:cs="Times New Roman"/>
          <w:color w:val="auto"/>
          <w:kern w:val="2"/>
          <w:sz w:val="24"/>
          <w:szCs w:val="24"/>
          <w:highlight w:val="none"/>
          <w:lang w:eastAsia="zh-CN"/>
        </w:rPr>
        <w:t>℃；</w:t>
      </w:r>
    </w:p>
    <w:p w14:paraId="3BFC67B2">
      <w:pPr>
        <w:widowControl w:val="0"/>
        <w:tabs>
          <w:tab w:val="left" w:pos="600"/>
        </w:tabs>
        <w:adjustRightInd w:val="0"/>
        <w:snapToGrid w:val="0"/>
        <w:spacing w:after="0" w:line="360" w:lineRule="auto"/>
        <w:ind w:firstLine="480" w:firstLineChars="200"/>
        <w:rPr>
          <w:rFonts w:hint="eastAsia" w:ascii="宋体" w:hAnsi="宋体" w:cs="Times New Roman"/>
          <w:color w:val="auto"/>
          <w:spacing w:val="0"/>
          <w:kern w:val="2"/>
          <w:sz w:val="24"/>
          <w:szCs w:val="24"/>
          <w:highlight w:val="none"/>
          <w:lang w:eastAsia="zh-CN"/>
        </w:rPr>
      </w:pPr>
      <w:r>
        <w:rPr>
          <w:rFonts w:hint="eastAsia" w:ascii="宋体" w:hAnsi="宋体" w:cs="Times New Roman"/>
          <w:color w:val="auto"/>
          <w:spacing w:val="0"/>
          <w:kern w:val="2"/>
          <w:sz w:val="24"/>
          <w:szCs w:val="24"/>
          <w:highlight w:val="none"/>
          <w:lang w:eastAsia="zh-CN"/>
        </w:rPr>
        <w:t>·  日气温最大变化： 25</w:t>
      </w:r>
      <w:r>
        <w:rPr>
          <w:rFonts w:hint="eastAsia" w:ascii="宋体" w:hAnsi="宋体" w:cs="Times New Roman"/>
          <w:color w:val="auto"/>
          <w:kern w:val="2"/>
          <w:sz w:val="24"/>
          <w:szCs w:val="24"/>
          <w:highlight w:val="none"/>
          <w:lang w:eastAsia="zh-CN"/>
        </w:rPr>
        <w:t>℃；</w:t>
      </w:r>
    </w:p>
    <w:p w14:paraId="238B3862">
      <w:pPr>
        <w:widowControl w:val="0"/>
        <w:tabs>
          <w:tab w:val="left" w:pos="600"/>
        </w:tabs>
        <w:adjustRightInd w:val="0"/>
        <w:snapToGrid w:val="0"/>
        <w:spacing w:after="0" w:line="360" w:lineRule="auto"/>
        <w:ind w:firstLine="480" w:firstLineChars="200"/>
        <w:rPr>
          <w:rFonts w:hint="eastAsia" w:ascii="宋体" w:hAnsi="宋体" w:cs="Times New Roman"/>
          <w:color w:val="auto"/>
          <w:spacing w:val="0"/>
          <w:kern w:val="2"/>
          <w:sz w:val="24"/>
          <w:szCs w:val="24"/>
          <w:highlight w:val="none"/>
          <w:lang w:eastAsia="zh-CN"/>
        </w:rPr>
      </w:pPr>
      <w:r>
        <w:rPr>
          <w:rFonts w:hint="eastAsia" w:ascii="宋体" w:hAnsi="宋体" w:cs="Times New Roman"/>
          <w:color w:val="auto"/>
          <w:spacing w:val="0"/>
          <w:kern w:val="2"/>
          <w:sz w:val="24"/>
          <w:szCs w:val="24"/>
          <w:highlight w:val="none"/>
          <w:lang w:eastAsia="zh-CN"/>
        </w:rPr>
        <w:t xml:space="preserve">·  抗地震能力： </w:t>
      </w:r>
      <w:r>
        <w:rPr>
          <w:rFonts w:hint="eastAsia" w:ascii="宋体" w:hAnsi="宋体" w:cs="Times New Roman"/>
          <w:color w:val="auto"/>
          <w:kern w:val="2"/>
          <w:sz w:val="24"/>
          <w:szCs w:val="24"/>
          <w:highlight w:val="none"/>
          <w:lang w:eastAsia="zh-CN"/>
        </w:rPr>
        <w:t>地面水平加速度0.2g，垂直加速度0.1g同时作用，分析计算的安全系数不小于1.6。</w:t>
      </w:r>
    </w:p>
    <w:p w14:paraId="6B769ED4">
      <w:pPr>
        <w:widowControl w:val="0"/>
        <w:tabs>
          <w:tab w:val="left" w:pos="600"/>
        </w:tabs>
        <w:adjustRightInd w:val="0"/>
        <w:snapToGrid w:val="0"/>
        <w:spacing w:after="0" w:line="360" w:lineRule="auto"/>
        <w:ind w:firstLine="480" w:firstLineChars="200"/>
        <w:rPr>
          <w:rFonts w:hint="eastAsia" w:ascii="宋体" w:hAnsi="宋体" w:cs="Times New Roman"/>
          <w:color w:val="auto"/>
          <w:spacing w:val="0"/>
          <w:kern w:val="2"/>
          <w:sz w:val="24"/>
          <w:szCs w:val="24"/>
          <w:highlight w:val="none"/>
          <w:lang w:eastAsia="zh-CN"/>
        </w:rPr>
      </w:pPr>
      <w:r>
        <w:rPr>
          <w:rFonts w:hint="eastAsia" w:cs="Times New Roman"/>
          <w:color w:val="auto"/>
          <w:spacing w:val="0"/>
          <w:kern w:val="2"/>
          <w:sz w:val="24"/>
          <w:szCs w:val="24"/>
          <w:highlight w:val="none"/>
          <w:lang w:val="en-US" w:eastAsia="zh-CN"/>
        </w:rPr>
        <w:t>4.1.2</w:t>
      </w:r>
      <w:r>
        <w:rPr>
          <w:rFonts w:hint="eastAsia" w:ascii="宋体" w:hAnsi="宋体" w:cs="Times New Roman"/>
          <w:color w:val="auto"/>
          <w:spacing w:val="0"/>
          <w:kern w:val="2"/>
          <w:sz w:val="24"/>
          <w:szCs w:val="24"/>
          <w:highlight w:val="none"/>
          <w:lang w:eastAsia="zh-CN"/>
        </w:rPr>
        <w:t>额定值</w:t>
      </w:r>
    </w:p>
    <w:p w14:paraId="1D128459">
      <w:pPr>
        <w:widowControl w:val="0"/>
        <w:tabs>
          <w:tab w:val="left" w:pos="600"/>
        </w:tabs>
        <w:adjustRightInd w:val="0"/>
        <w:snapToGrid w:val="0"/>
        <w:spacing w:after="0" w:line="360" w:lineRule="auto"/>
        <w:ind w:firstLine="480" w:firstLineChars="200"/>
        <w:rPr>
          <w:rFonts w:hint="eastAsia" w:ascii="宋体" w:hAnsi="宋体" w:cs="Times New Roman"/>
          <w:color w:val="auto"/>
          <w:spacing w:val="0"/>
          <w:kern w:val="2"/>
          <w:sz w:val="24"/>
          <w:szCs w:val="24"/>
          <w:highlight w:val="none"/>
          <w:lang w:eastAsia="zh-CN"/>
        </w:rPr>
      </w:pPr>
      <w:r>
        <w:rPr>
          <w:rFonts w:hint="eastAsia" w:ascii="宋体" w:hAnsi="宋体" w:cs="Times New Roman"/>
          <w:color w:val="auto"/>
          <w:spacing w:val="0"/>
          <w:kern w:val="2"/>
          <w:sz w:val="24"/>
          <w:szCs w:val="24"/>
          <w:highlight w:val="none"/>
          <w:lang w:eastAsia="zh-CN"/>
        </w:rPr>
        <w:t>·  额定交流电流： 1A；</w:t>
      </w:r>
    </w:p>
    <w:p w14:paraId="3F0E2893">
      <w:pPr>
        <w:widowControl w:val="0"/>
        <w:tabs>
          <w:tab w:val="left" w:pos="600"/>
        </w:tabs>
        <w:adjustRightInd w:val="0"/>
        <w:snapToGrid w:val="0"/>
        <w:spacing w:after="0" w:line="360" w:lineRule="auto"/>
        <w:ind w:firstLine="480" w:firstLineChars="200"/>
        <w:rPr>
          <w:rFonts w:hint="eastAsia" w:ascii="宋体" w:hAnsi="宋体" w:cs="Times New Roman"/>
          <w:color w:val="auto"/>
          <w:spacing w:val="0"/>
          <w:kern w:val="2"/>
          <w:sz w:val="24"/>
          <w:szCs w:val="24"/>
          <w:highlight w:val="none"/>
          <w:lang w:eastAsia="zh-CN"/>
        </w:rPr>
      </w:pPr>
      <w:r>
        <w:rPr>
          <w:rFonts w:hint="eastAsia" w:ascii="宋体" w:hAnsi="宋体" w:cs="Times New Roman"/>
          <w:color w:val="auto"/>
          <w:spacing w:val="0"/>
          <w:kern w:val="2"/>
          <w:sz w:val="24"/>
          <w:szCs w:val="24"/>
          <w:highlight w:val="none"/>
          <w:lang w:eastAsia="zh-CN"/>
        </w:rPr>
        <w:t>·  额定交流电压： 100V/√3 （相电压），100V （零序电压）；</w:t>
      </w:r>
    </w:p>
    <w:p w14:paraId="04E1BC78">
      <w:pPr>
        <w:widowControl w:val="0"/>
        <w:tabs>
          <w:tab w:val="left" w:pos="600"/>
        </w:tabs>
        <w:adjustRightInd w:val="0"/>
        <w:snapToGrid w:val="0"/>
        <w:spacing w:after="0" w:line="360" w:lineRule="auto"/>
        <w:ind w:firstLine="480" w:firstLineChars="200"/>
        <w:rPr>
          <w:rFonts w:hint="eastAsia" w:ascii="宋体" w:hAnsi="宋体" w:cs="Times New Roman"/>
          <w:color w:val="auto"/>
          <w:spacing w:val="0"/>
          <w:kern w:val="2"/>
          <w:sz w:val="24"/>
          <w:szCs w:val="24"/>
          <w:highlight w:val="none"/>
          <w:lang w:eastAsia="zh-CN"/>
        </w:rPr>
      </w:pPr>
      <w:r>
        <w:rPr>
          <w:rFonts w:hint="eastAsia" w:ascii="宋体" w:hAnsi="宋体" w:cs="Times New Roman"/>
          <w:color w:val="auto"/>
          <w:spacing w:val="0"/>
          <w:kern w:val="2"/>
          <w:sz w:val="24"/>
          <w:szCs w:val="24"/>
          <w:highlight w:val="none"/>
          <w:lang w:eastAsia="zh-CN"/>
        </w:rPr>
        <w:t>·  CT变比：3000-4000/1</w:t>
      </w:r>
    </w:p>
    <w:p w14:paraId="0CA4AD24">
      <w:pPr>
        <w:widowControl w:val="0"/>
        <w:tabs>
          <w:tab w:val="left" w:pos="600"/>
        </w:tabs>
        <w:adjustRightInd w:val="0"/>
        <w:snapToGrid w:val="0"/>
        <w:spacing w:after="0" w:line="360" w:lineRule="auto"/>
        <w:ind w:firstLine="480" w:firstLineChars="200"/>
        <w:rPr>
          <w:rFonts w:hint="eastAsia" w:ascii="宋体" w:hAnsi="宋体" w:cs="Times New Roman"/>
          <w:color w:val="auto"/>
          <w:spacing w:val="0"/>
          <w:kern w:val="2"/>
          <w:sz w:val="24"/>
          <w:szCs w:val="24"/>
          <w:highlight w:val="none"/>
          <w:lang w:eastAsia="zh-CN"/>
        </w:rPr>
      </w:pPr>
      <w:r>
        <w:rPr>
          <w:rFonts w:hint="eastAsia" w:ascii="宋体" w:hAnsi="宋体" w:cs="Times New Roman"/>
          <w:color w:val="auto"/>
          <w:spacing w:val="0"/>
          <w:kern w:val="2"/>
          <w:sz w:val="24"/>
          <w:szCs w:val="24"/>
          <w:highlight w:val="none"/>
          <w:lang w:eastAsia="zh-CN"/>
        </w:rPr>
        <w:t>·  PT变比：</w:t>
      </w:r>
      <w:r>
        <w:rPr>
          <w:rFonts w:hint="eastAsia" w:cs="Times New Roman"/>
          <w:color w:val="auto"/>
          <w:spacing w:val="0"/>
          <w:kern w:val="2"/>
          <w:sz w:val="24"/>
          <w:szCs w:val="24"/>
          <w:highlight w:val="none"/>
          <w:lang w:eastAsia="zh-CN"/>
        </w:rPr>
        <w:t>7</w:t>
      </w:r>
      <w:r>
        <w:rPr>
          <w:rFonts w:hint="eastAsia" w:cs="Times New Roman"/>
          <w:color w:val="auto"/>
          <w:spacing w:val="0"/>
          <w:kern w:val="2"/>
          <w:sz w:val="24"/>
          <w:szCs w:val="24"/>
          <w:highlight w:val="none"/>
          <w:lang w:val="en-US" w:eastAsia="zh-CN"/>
        </w:rPr>
        <w:t>5</w:t>
      </w:r>
      <w:r>
        <w:rPr>
          <w:rFonts w:hint="eastAsia" w:ascii="宋体" w:hAnsi="宋体" w:cs="Times New Roman"/>
          <w:color w:val="auto"/>
          <w:spacing w:val="0"/>
          <w:kern w:val="2"/>
          <w:sz w:val="24"/>
          <w:szCs w:val="24"/>
          <w:highlight w:val="none"/>
          <w:lang w:eastAsia="zh-CN"/>
        </w:rPr>
        <w:t>0kV/√3 / 100V/√3 （相电压），</w:t>
      </w:r>
      <w:r>
        <w:rPr>
          <w:rFonts w:hint="eastAsia" w:cs="Times New Roman"/>
          <w:color w:val="auto"/>
          <w:spacing w:val="0"/>
          <w:kern w:val="2"/>
          <w:sz w:val="24"/>
          <w:szCs w:val="24"/>
          <w:highlight w:val="none"/>
          <w:lang w:eastAsia="zh-CN"/>
        </w:rPr>
        <w:t>7</w:t>
      </w:r>
      <w:r>
        <w:rPr>
          <w:rFonts w:hint="eastAsia" w:cs="Times New Roman"/>
          <w:color w:val="auto"/>
          <w:spacing w:val="0"/>
          <w:kern w:val="2"/>
          <w:sz w:val="24"/>
          <w:szCs w:val="24"/>
          <w:highlight w:val="none"/>
          <w:lang w:val="en-US" w:eastAsia="zh-CN"/>
        </w:rPr>
        <w:t>5</w:t>
      </w:r>
      <w:r>
        <w:rPr>
          <w:rFonts w:hint="eastAsia" w:ascii="宋体" w:hAnsi="宋体" w:cs="Times New Roman"/>
          <w:color w:val="auto"/>
          <w:spacing w:val="0"/>
          <w:kern w:val="2"/>
          <w:sz w:val="24"/>
          <w:szCs w:val="24"/>
          <w:highlight w:val="none"/>
          <w:lang w:eastAsia="zh-CN"/>
        </w:rPr>
        <w:t>0kV/√3 / 100V （零序电压）；</w:t>
      </w:r>
    </w:p>
    <w:p w14:paraId="302605AC">
      <w:pPr>
        <w:widowControl w:val="0"/>
        <w:tabs>
          <w:tab w:val="left" w:pos="600"/>
        </w:tabs>
        <w:adjustRightInd w:val="0"/>
        <w:snapToGrid w:val="0"/>
        <w:spacing w:after="0" w:line="360" w:lineRule="auto"/>
        <w:ind w:firstLine="480" w:firstLineChars="200"/>
        <w:rPr>
          <w:rFonts w:hint="eastAsia" w:ascii="宋体" w:hAnsi="宋体" w:cs="Times New Roman"/>
          <w:color w:val="auto"/>
          <w:spacing w:val="0"/>
          <w:kern w:val="2"/>
          <w:sz w:val="24"/>
          <w:szCs w:val="24"/>
          <w:highlight w:val="none"/>
          <w:lang w:eastAsia="zh-CN"/>
        </w:rPr>
      </w:pPr>
      <w:r>
        <w:rPr>
          <w:rFonts w:hint="eastAsia" w:ascii="宋体" w:hAnsi="宋体" w:cs="Times New Roman"/>
          <w:color w:val="auto"/>
          <w:spacing w:val="0"/>
          <w:kern w:val="2"/>
          <w:sz w:val="24"/>
          <w:szCs w:val="24"/>
          <w:highlight w:val="none"/>
          <w:lang w:eastAsia="zh-CN"/>
        </w:rPr>
        <w:t>·  额定频率： 50Hz；</w:t>
      </w:r>
    </w:p>
    <w:p w14:paraId="52DB0919">
      <w:pPr>
        <w:widowControl w:val="0"/>
        <w:tabs>
          <w:tab w:val="left" w:pos="600"/>
        </w:tabs>
        <w:adjustRightInd w:val="0"/>
        <w:snapToGrid w:val="0"/>
        <w:spacing w:after="0" w:line="360" w:lineRule="auto"/>
        <w:ind w:firstLine="480" w:firstLineChars="200"/>
        <w:rPr>
          <w:rFonts w:hint="eastAsia" w:ascii="宋体" w:hAnsi="宋体" w:cs="Times New Roman"/>
          <w:color w:val="auto"/>
          <w:spacing w:val="0"/>
          <w:kern w:val="2"/>
          <w:sz w:val="24"/>
          <w:szCs w:val="24"/>
          <w:highlight w:val="none"/>
          <w:lang w:eastAsia="zh-CN"/>
        </w:rPr>
      </w:pPr>
      <w:r>
        <w:rPr>
          <w:rFonts w:hint="eastAsia" w:ascii="宋体" w:hAnsi="宋体" w:cs="Times New Roman"/>
          <w:color w:val="auto"/>
          <w:spacing w:val="0"/>
          <w:kern w:val="2"/>
          <w:sz w:val="24"/>
          <w:szCs w:val="24"/>
          <w:highlight w:val="none"/>
          <w:lang w:eastAsia="zh-CN"/>
        </w:rPr>
        <w:t>·  额定直流电压： 110V；</w:t>
      </w:r>
    </w:p>
    <w:p w14:paraId="0D8F1F16">
      <w:pPr>
        <w:widowControl w:val="0"/>
        <w:tabs>
          <w:tab w:val="left" w:pos="600"/>
        </w:tabs>
        <w:adjustRightInd w:val="0"/>
        <w:snapToGrid w:val="0"/>
        <w:spacing w:after="0" w:line="360" w:lineRule="auto"/>
        <w:ind w:firstLine="480" w:firstLineChars="200"/>
        <w:rPr>
          <w:rFonts w:hint="eastAsia" w:ascii="宋体" w:hAnsi="宋体" w:cs="Times New Roman"/>
          <w:color w:val="auto"/>
          <w:spacing w:val="0"/>
          <w:kern w:val="2"/>
          <w:sz w:val="24"/>
          <w:szCs w:val="24"/>
          <w:highlight w:val="none"/>
          <w:lang w:eastAsia="zh-CN"/>
        </w:rPr>
      </w:pPr>
      <w:r>
        <w:rPr>
          <w:rFonts w:hint="eastAsia" w:ascii="宋体" w:hAnsi="宋体" w:cs="Times New Roman"/>
          <w:color w:val="auto"/>
          <w:spacing w:val="0"/>
          <w:kern w:val="2"/>
          <w:sz w:val="24"/>
          <w:szCs w:val="24"/>
          <w:highlight w:val="none"/>
          <w:lang w:eastAsia="zh-CN"/>
        </w:rPr>
        <w:t>·  保护装置交流电流回路功率消耗（在额定电流下，包括中线回路负载），每相应&lt;1VA（</w:t>
      </w:r>
      <w:r>
        <w:rPr>
          <w:rFonts w:hint="eastAsia" w:cs="Times New Roman"/>
          <w:color w:val="auto"/>
          <w:spacing w:val="0"/>
          <w:kern w:val="2"/>
          <w:sz w:val="24"/>
          <w:szCs w:val="24"/>
          <w:highlight w:val="none"/>
          <w:lang w:val="en-US" w:eastAsia="zh-CN"/>
        </w:rPr>
        <w:t>投标人</w:t>
      </w:r>
      <w:r>
        <w:rPr>
          <w:rFonts w:hint="eastAsia" w:ascii="宋体" w:hAnsi="宋体" w:cs="Times New Roman"/>
          <w:color w:val="auto"/>
          <w:spacing w:val="0"/>
          <w:kern w:val="2"/>
          <w:sz w:val="24"/>
          <w:szCs w:val="24"/>
          <w:highlight w:val="none"/>
          <w:lang w:eastAsia="zh-CN"/>
        </w:rPr>
        <w:t>应提供确切数值）；</w:t>
      </w:r>
    </w:p>
    <w:p w14:paraId="0C0BA2CF">
      <w:pPr>
        <w:widowControl w:val="0"/>
        <w:tabs>
          <w:tab w:val="left" w:pos="600"/>
        </w:tabs>
        <w:adjustRightInd w:val="0"/>
        <w:snapToGrid w:val="0"/>
        <w:spacing w:after="0" w:line="360" w:lineRule="auto"/>
        <w:ind w:firstLine="480" w:firstLineChars="200"/>
        <w:rPr>
          <w:rFonts w:hint="eastAsia" w:ascii="宋体" w:hAnsi="宋体" w:cs="Times New Roman"/>
          <w:color w:val="auto"/>
          <w:spacing w:val="0"/>
          <w:kern w:val="2"/>
          <w:sz w:val="24"/>
          <w:szCs w:val="24"/>
          <w:highlight w:val="none"/>
          <w:lang w:eastAsia="zh-CN"/>
        </w:rPr>
      </w:pPr>
      <w:r>
        <w:rPr>
          <w:rFonts w:hint="eastAsia" w:ascii="宋体" w:hAnsi="宋体" w:cs="Times New Roman"/>
          <w:color w:val="auto"/>
          <w:spacing w:val="0"/>
          <w:kern w:val="2"/>
          <w:sz w:val="24"/>
          <w:szCs w:val="24"/>
          <w:highlight w:val="none"/>
          <w:lang w:eastAsia="zh-CN"/>
        </w:rPr>
        <w:t>·  保护装置交流电压回路功率消耗（在额定电压下）每相应&lt;3VA（</w:t>
      </w:r>
      <w:r>
        <w:rPr>
          <w:rFonts w:hint="eastAsia" w:cs="Times New Roman"/>
          <w:color w:val="auto"/>
          <w:spacing w:val="0"/>
          <w:kern w:val="2"/>
          <w:sz w:val="24"/>
          <w:szCs w:val="24"/>
          <w:highlight w:val="none"/>
          <w:lang w:val="en-US" w:eastAsia="zh-CN"/>
        </w:rPr>
        <w:t>投标人</w:t>
      </w:r>
      <w:r>
        <w:rPr>
          <w:rFonts w:hint="eastAsia" w:ascii="宋体" w:hAnsi="宋体" w:cs="Times New Roman"/>
          <w:color w:val="auto"/>
          <w:spacing w:val="0"/>
          <w:kern w:val="2"/>
          <w:sz w:val="24"/>
          <w:szCs w:val="24"/>
          <w:highlight w:val="none"/>
          <w:lang w:eastAsia="zh-CN"/>
        </w:rPr>
        <w:t>应提供确切数值）。</w:t>
      </w:r>
    </w:p>
    <w:p w14:paraId="570DA747">
      <w:pPr>
        <w:widowControl w:val="0"/>
        <w:tabs>
          <w:tab w:val="left" w:pos="600"/>
        </w:tabs>
        <w:adjustRightInd w:val="0"/>
        <w:snapToGrid w:val="0"/>
        <w:spacing w:after="0" w:line="360" w:lineRule="auto"/>
        <w:ind w:firstLine="480" w:firstLineChars="200"/>
        <w:rPr>
          <w:rFonts w:hint="eastAsia" w:ascii="宋体" w:hAnsi="宋体" w:cs="Times New Roman"/>
          <w:color w:val="auto"/>
          <w:spacing w:val="0"/>
          <w:kern w:val="2"/>
          <w:sz w:val="24"/>
          <w:szCs w:val="24"/>
          <w:highlight w:val="none"/>
          <w:lang w:eastAsia="zh-CN"/>
        </w:rPr>
      </w:pPr>
      <w:r>
        <w:rPr>
          <w:rFonts w:hint="eastAsia" w:cs="Times New Roman"/>
          <w:color w:val="auto"/>
          <w:spacing w:val="0"/>
          <w:kern w:val="2"/>
          <w:sz w:val="24"/>
          <w:szCs w:val="24"/>
          <w:highlight w:val="none"/>
          <w:lang w:eastAsia="zh-CN"/>
        </w:rPr>
        <w:t>4</w:t>
      </w:r>
      <w:r>
        <w:rPr>
          <w:rFonts w:hint="eastAsia" w:ascii="宋体" w:hAnsi="宋体" w:cs="Times New Roman"/>
          <w:color w:val="auto"/>
          <w:spacing w:val="0"/>
          <w:kern w:val="2"/>
          <w:sz w:val="24"/>
          <w:szCs w:val="24"/>
          <w:highlight w:val="none"/>
          <w:lang w:eastAsia="zh-CN"/>
        </w:rPr>
        <w:t>.</w:t>
      </w:r>
      <w:r>
        <w:rPr>
          <w:rFonts w:hint="eastAsia" w:cs="Times New Roman"/>
          <w:color w:val="auto"/>
          <w:spacing w:val="0"/>
          <w:kern w:val="2"/>
          <w:sz w:val="24"/>
          <w:szCs w:val="24"/>
          <w:highlight w:val="none"/>
          <w:lang w:val="en-US" w:eastAsia="zh-CN"/>
        </w:rPr>
        <w:t>1.</w:t>
      </w:r>
      <w:r>
        <w:rPr>
          <w:rFonts w:hint="eastAsia" w:ascii="宋体" w:hAnsi="宋体" w:cs="Times New Roman"/>
          <w:color w:val="auto"/>
          <w:spacing w:val="0"/>
          <w:kern w:val="2"/>
          <w:sz w:val="24"/>
          <w:szCs w:val="24"/>
          <w:highlight w:val="none"/>
          <w:lang w:eastAsia="zh-CN"/>
        </w:rPr>
        <w:t>3  装置温度特性</w:t>
      </w:r>
    </w:p>
    <w:p w14:paraId="3195A005">
      <w:pPr>
        <w:widowControl w:val="0"/>
        <w:tabs>
          <w:tab w:val="left" w:pos="600"/>
        </w:tabs>
        <w:adjustRightInd w:val="0"/>
        <w:snapToGrid w:val="0"/>
        <w:spacing w:after="0" w:line="360" w:lineRule="auto"/>
        <w:ind w:firstLine="480" w:firstLineChars="200"/>
        <w:rPr>
          <w:rFonts w:hint="eastAsia" w:ascii="宋体" w:hAnsi="宋体" w:cs="Times New Roman"/>
          <w:color w:val="auto"/>
          <w:spacing w:val="0"/>
          <w:kern w:val="2"/>
          <w:sz w:val="24"/>
          <w:szCs w:val="24"/>
          <w:highlight w:val="none"/>
          <w:lang w:eastAsia="zh-CN"/>
        </w:rPr>
      </w:pPr>
      <w:r>
        <w:rPr>
          <w:rFonts w:hint="eastAsia" w:ascii="宋体" w:hAnsi="宋体" w:cs="Times New Roman"/>
          <w:color w:val="auto"/>
          <w:spacing w:val="0"/>
          <w:kern w:val="2"/>
          <w:sz w:val="24"/>
          <w:szCs w:val="24"/>
          <w:highlight w:val="none"/>
          <w:lang w:eastAsia="zh-CN"/>
        </w:rPr>
        <w:t xml:space="preserve">    环境温度在-5℃</w:t>
      </w:r>
      <w:r>
        <w:rPr>
          <w:rFonts w:hint="eastAsia" w:ascii="宋体" w:hAnsi="宋体" w:cs="Times New Roman"/>
          <w:color w:val="auto"/>
          <w:kern w:val="2"/>
          <w:sz w:val="24"/>
          <w:szCs w:val="24"/>
          <w:highlight w:val="none"/>
          <w:lang w:eastAsia="zh-CN"/>
        </w:rPr>
        <w:t>～</w:t>
      </w:r>
      <w:r>
        <w:rPr>
          <w:rFonts w:hint="eastAsia" w:ascii="宋体" w:hAnsi="宋体" w:cs="Times New Roman"/>
          <w:color w:val="auto"/>
          <w:spacing w:val="0"/>
          <w:kern w:val="2"/>
          <w:sz w:val="24"/>
          <w:szCs w:val="24"/>
          <w:highlight w:val="none"/>
          <w:lang w:eastAsia="zh-CN"/>
        </w:rPr>
        <w:t>+40℃时，装置应能满足规范书所规定的精度。</w:t>
      </w:r>
    </w:p>
    <w:p w14:paraId="357A7D11">
      <w:pPr>
        <w:widowControl w:val="0"/>
        <w:tabs>
          <w:tab w:val="left" w:pos="600"/>
        </w:tabs>
        <w:adjustRightInd w:val="0"/>
        <w:snapToGrid w:val="0"/>
        <w:spacing w:after="0" w:line="360" w:lineRule="auto"/>
        <w:ind w:firstLine="480" w:firstLineChars="200"/>
        <w:rPr>
          <w:rFonts w:hint="eastAsia" w:ascii="宋体" w:hAnsi="宋体" w:cs="Times New Roman"/>
          <w:color w:val="auto"/>
          <w:spacing w:val="0"/>
          <w:kern w:val="2"/>
          <w:sz w:val="24"/>
          <w:szCs w:val="24"/>
          <w:highlight w:val="none"/>
          <w:lang w:eastAsia="zh-CN"/>
        </w:rPr>
      </w:pPr>
      <w:r>
        <w:rPr>
          <w:rFonts w:hint="eastAsia" w:ascii="宋体" w:hAnsi="宋体" w:cs="Times New Roman"/>
          <w:color w:val="auto"/>
          <w:spacing w:val="0"/>
          <w:kern w:val="2"/>
          <w:sz w:val="24"/>
          <w:szCs w:val="24"/>
          <w:highlight w:val="none"/>
          <w:lang w:eastAsia="zh-CN"/>
        </w:rPr>
        <w:t xml:space="preserve">    环境温度在-10℃</w:t>
      </w:r>
      <w:r>
        <w:rPr>
          <w:rFonts w:hint="eastAsia" w:ascii="宋体" w:hAnsi="宋体" w:cs="Times New Roman"/>
          <w:color w:val="auto"/>
          <w:kern w:val="2"/>
          <w:sz w:val="24"/>
          <w:szCs w:val="24"/>
          <w:highlight w:val="none"/>
          <w:lang w:eastAsia="zh-CN"/>
        </w:rPr>
        <w:t>～</w:t>
      </w:r>
      <w:r>
        <w:rPr>
          <w:rFonts w:hint="eastAsia" w:ascii="宋体" w:hAnsi="宋体" w:cs="Times New Roman"/>
          <w:color w:val="auto"/>
          <w:spacing w:val="0"/>
          <w:kern w:val="2"/>
          <w:sz w:val="24"/>
          <w:szCs w:val="24"/>
          <w:highlight w:val="none"/>
          <w:lang w:eastAsia="zh-CN"/>
        </w:rPr>
        <w:t>+45℃时，装置应能正常工作。</w:t>
      </w:r>
    </w:p>
    <w:p w14:paraId="382B21E7">
      <w:pPr>
        <w:widowControl w:val="0"/>
        <w:tabs>
          <w:tab w:val="left" w:pos="600"/>
        </w:tabs>
        <w:adjustRightInd w:val="0"/>
        <w:snapToGrid w:val="0"/>
        <w:spacing w:after="0" w:line="360" w:lineRule="auto"/>
        <w:ind w:firstLine="480" w:firstLineChars="200"/>
        <w:rPr>
          <w:rFonts w:hint="eastAsia" w:ascii="宋体" w:hAnsi="宋体" w:cs="Times New Roman"/>
          <w:color w:val="auto"/>
          <w:spacing w:val="0"/>
          <w:kern w:val="2"/>
          <w:sz w:val="24"/>
          <w:szCs w:val="24"/>
          <w:highlight w:val="none"/>
          <w:lang w:eastAsia="zh-CN"/>
        </w:rPr>
      </w:pPr>
      <w:r>
        <w:rPr>
          <w:rFonts w:hint="eastAsia" w:cs="Times New Roman"/>
          <w:color w:val="auto"/>
          <w:spacing w:val="0"/>
          <w:kern w:val="2"/>
          <w:sz w:val="24"/>
          <w:szCs w:val="24"/>
          <w:highlight w:val="none"/>
          <w:lang w:eastAsia="zh-CN"/>
        </w:rPr>
        <w:t>4</w:t>
      </w:r>
      <w:r>
        <w:rPr>
          <w:rFonts w:hint="eastAsia" w:ascii="宋体" w:hAnsi="宋体" w:cs="Times New Roman"/>
          <w:color w:val="auto"/>
          <w:spacing w:val="0"/>
          <w:kern w:val="2"/>
          <w:sz w:val="24"/>
          <w:szCs w:val="24"/>
          <w:highlight w:val="none"/>
          <w:lang w:eastAsia="zh-CN"/>
        </w:rPr>
        <w:t>.</w:t>
      </w:r>
      <w:r>
        <w:rPr>
          <w:rFonts w:hint="eastAsia" w:cs="Times New Roman"/>
          <w:color w:val="auto"/>
          <w:spacing w:val="0"/>
          <w:kern w:val="2"/>
          <w:sz w:val="24"/>
          <w:szCs w:val="24"/>
          <w:highlight w:val="none"/>
          <w:lang w:val="en-US" w:eastAsia="zh-CN"/>
        </w:rPr>
        <w:t>1.4</w:t>
      </w:r>
      <w:r>
        <w:rPr>
          <w:rFonts w:hint="eastAsia" w:ascii="宋体" w:hAnsi="宋体" w:cs="Times New Roman"/>
          <w:color w:val="auto"/>
          <w:spacing w:val="0"/>
          <w:kern w:val="2"/>
          <w:sz w:val="24"/>
          <w:szCs w:val="24"/>
          <w:highlight w:val="none"/>
          <w:lang w:eastAsia="zh-CN"/>
        </w:rPr>
        <w:t xml:space="preserve">  相量测量装置应用要求</w:t>
      </w:r>
    </w:p>
    <w:p w14:paraId="33E59B7A">
      <w:pPr>
        <w:widowControl w:val="0"/>
        <w:tabs>
          <w:tab w:val="left" w:pos="600"/>
        </w:tabs>
        <w:adjustRightInd w:val="0"/>
        <w:snapToGrid w:val="0"/>
        <w:spacing w:after="0" w:line="360" w:lineRule="auto"/>
        <w:ind w:firstLine="480" w:firstLineChars="200"/>
        <w:rPr>
          <w:rFonts w:hint="eastAsia" w:ascii="宋体" w:hAnsi="宋体" w:cs="Times New Roman"/>
          <w:color w:val="auto"/>
          <w:spacing w:val="0"/>
          <w:kern w:val="2"/>
          <w:sz w:val="24"/>
          <w:szCs w:val="24"/>
          <w:highlight w:val="none"/>
          <w:lang w:eastAsia="zh-CN"/>
        </w:rPr>
      </w:pPr>
      <w:r>
        <w:rPr>
          <w:rFonts w:hint="eastAsia" w:ascii="宋体" w:hAnsi="宋体" w:cs="Times New Roman"/>
          <w:color w:val="auto"/>
          <w:spacing w:val="0"/>
          <w:kern w:val="2"/>
          <w:sz w:val="24"/>
          <w:szCs w:val="24"/>
          <w:highlight w:val="none"/>
          <w:lang w:eastAsia="zh-CN"/>
        </w:rPr>
        <w:t>相量测量装置可以组建电力系统实时动态监测系统，实时监测电网的运行状态，观测系统的稳定裕度，记录电压失稳、低频振荡等动态过程，实现电力系统安全预警，并逐步实现电力系统动态控制分析等高级应用，能够实现系统运行的长期实时数据记录。根据需要可实现与SCADA/EMS系统及安全自动控制系统的连接，实现对电力系统的动态过程进行控制。</w:t>
      </w:r>
    </w:p>
    <w:p w14:paraId="531735E8">
      <w:pPr>
        <w:widowControl w:val="0"/>
        <w:tabs>
          <w:tab w:val="left" w:pos="600"/>
        </w:tabs>
        <w:adjustRightInd w:val="0"/>
        <w:snapToGrid w:val="0"/>
        <w:spacing w:after="0" w:line="360" w:lineRule="auto"/>
        <w:ind w:firstLine="480" w:firstLineChars="200"/>
        <w:rPr>
          <w:rFonts w:hint="eastAsia" w:ascii="宋体" w:hAnsi="宋体" w:cs="Times New Roman"/>
          <w:color w:val="auto"/>
          <w:spacing w:val="0"/>
          <w:kern w:val="2"/>
          <w:sz w:val="24"/>
          <w:szCs w:val="24"/>
          <w:highlight w:val="none"/>
          <w:lang w:eastAsia="zh-CN"/>
        </w:rPr>
      </w:pPr>
      <w:r>
        <w:rPr>
          <w:rFonts w:hint="eastAsia" w:cs="Times New Roman"/>
          <w:color w:val="auto"/>
          <w:spacing w:val="0"/>
          <w:kern w:val="2"/>
          <w:sz w:val="24"/>
          <w:szCs w:val="24"/>
          <w:highlight w:val="none"/>
          <w:lang w:eastAsia="zh-CN"/>
        </w:rPr>
        <w:t>4</w:t>
      </w:r>
      <w:r>
        <w:rPr>
          <w:rFonts w:hint="eastAsia" w:ascii="宋体" w:hAnsi="宋体" w:cs="Times New Roman"/>
          <w:color w:val="auto"/>
          <w:spacing w:val="0"/>
          <w:kern w:val="2"/>
          <w:sz w:val="24"/>
          <w:szCs w:val="24"/>
          <w:highlight w:val="none"/>
          <w:lang w:eastAsia="zh-CN"/>
        </w:rPr>
        <w:t>.</w:t>
      </w:r>
      <w:r>
        <w:rPr>
          <w:rFonts w:hint="eastAsia" w:cs="Times New Roman"/>
          <w:color w:val="auto"/>
          <w:spacing w:val="0"/>
          <w:kern w:val="2"/>
          <w:sz w:val="24"/>
          <w:szCs w:val="24"/>
          <w:highlight w:val="none"/>
          <w:lang w:val="en-US" w:eastAsia="zh-CN"/>
        </w:rPr>
        <w:t>1.5</w:t>
      </w:r>
      <w:r>
        <w:rPr>
          <w:rFonts w:hint="eastAsia" w:ascii="宋体" w:hAnsi="宋体" w:cs="Times New Roman"/>
          <w:color w:val="auto"/>
          <w:spacing w:val="0"/>
          <w:kern w:val="2"/>
          <w:sz w:val="24"/>
          <w:szCs w:val="24"/>
          <w:highlight w:val="none"/>
          <w:lang w:eastAsia="zh-CN"/>
        </w:rPr>
        <w:t xml:space="preserve">  相量测量装置的软件、硬件及结构设计要求</w:t>
      </w:r>
    </w:p>
    <w:p w14:paraId="7A7F935E">
      <w:pPr>
        <w:widowControl w:val="0"/>
        <w:tabs>
          <w:tab w:val="left" w:pos="600"/>
        </w:tabs>
        <w:adjustRightInd w:val="0"/>
        <w:snapToGrid w:val="0"/>
        <w:spacing w:after="0" w:line="360" w:lineRule="auto"/>
        <w:ind w:firstLine="480" w:firstLineChars="200"/>
        <w:rPr>
          <w:rFonts w:hint="eastAsia" w:ascii="宋体" w:hAnsi="宋体" w:cs="Times New Roman"/>
          <w:color w:val="auto"/>
          <w:spacing w:val="0"/>
          <w:kern w:val="2"/>
          <w:sz w:val="24"/>
          <w:szCs w:val="24"/>
          <w:highlight w:val="none"/>
          <w:lang w:eastAsia="zh-CN"/>
        </w:rPr>
      </w:pPr>
      <w:r>
        <w:rPr>
          <w:rFonts w:hint="eastAsia" w:ascii="宋体" w:hAnsi="宋体" w:cs="Times New Roman"/>
          <w:color w:val="auto"/>
          <w:spacing w:val="0"/>
          <w:kern w:val="2"/>
          <w:sz w:val="24"/>
          <w:szCs w:val="24"/>
          <w:highlight w:val="none"/>
          <w:lang w:eastAsia="zh-CN"/>
        </w:rPr>
        <w:t>相量测量装置按照对系统进行实时控制的要求进行设计和制造。软件、硬件及结构设计遵循安全自动装置的技术要求。</w:t>
      </w:r>
    </w:p>
    <w:p w14:paraId="40A62321">
      <w:pPr>
        <w:widowControl w:val="0"/>
        <w:tabs>
          <w:tab w:val="left" w:pos="600"/>
        </w:tabs>
        <w:adjustRightInd w:val="0"/>
        <w:snapToGrid w:val="0"/>
        <w:spacing w:after="0" w:line="360" w:lineRule="auto"/>
        <w:ind w:firstLine="480" w:firstLineChars="200"/>
        <w:rPr>
          <w:rFonts w:hint="eastAsia" w:ascii="宋体" w:hAnsi="宋体" w:cs="Times New Roman"/>
          <w:color w:val="auto"/>
          <w:spacing w:val="0"/>
          <w:kern w:val="2"/>
          <w:sz w:val="24"/>
          <w:szCs w:val="24"/>
          <w:highlight w:val="none"/>
          <w:lang w:eastAsia="zh-CN"/>
        </w:rPr>
      </w:pPr>
      <w:r>
        <w:rPr>
          <w:rFonts w:hint="eastAsia" w:cs="Times New Roman"/>
          <w:color w:val="auto"/>
          <w:spacing w:val="0"/>
          <w:kern w:val="2"/>
          <w:sz w:val="24"/>
          <w:szCs w:val="24"/>
          <w:highlight w:val="none"/>
          <w:lang w:eastAsia="zh-CN"/>
        </w:rPr>
        <w:t>4</w:t>
      </w:r>
      <w:r>
        <w:rPr>
          <w:rFonts w:hint="eastAsia" w:ascii="宋体" w:hAnsi="宋体" w:cs="Times New Roman"/>
          <w:color w:val="auto"/>
          <w:spacing w:val="0"/>
          <w:kern w:val="2"/>
          <w:sz w:val="24"/>
          <w:szCs w:val="24"/>
          <w:highlight w:val="none"/>
          <w:lang w:eastAsia="zh-CN"/>
        </w:rPr>
        <w:t>.</w:t>
      </w:r>
      <w:r>
        <w:rPr>
          <w:rFonts w:hint="eastAsia" w:cs="Times New Roman"/>
          <w:color w:val="auto"/>
          <w:spacing w:val="0"/>
          <w:kern w:val="2"/>
          <w:sz w:val="24"/>
          <w:szCs w:val="24"/>
          <w:highlight w:val="none"/>
          <w:lang w:val="en-US" w:eastAsia="zh-CN"/>
        </w:rPr>
        <w:t>1.6</w:t>
      </w:r>
      <w:r>
        <w:rPr>
          <w:rFonts w:hint="eastAsia" w:ascii="宋体" w:hAnsi="宋体" w:cs="Times New Roman"/>
          <w:color w:val="auto"/>
          <w:spacing w:val="0"/>
          <w:kern w:val="2"/>
          <w:sz w:val="24"/>
          <w:szCs w:val="24"/>
          <w:highlight w:val="none"/>
          <w:lang w:eastAsia="zh-CN"/>
        </w:rPr>
        <w:t xml:space="preserve">  安全防护要求</w:t>
      </w:r>
    </w:p>
    <w:p w14:paraId="5E79A4AC">
      <w:pPr>
        <w:spacing w:line="360" w:lineRule="auto"/>
        <w:ind w:firstLine="624"/>
        <w:rPr>
          <w:rFonts w:hint="eastAsia" w:ascii="宋体" w:eastAsia="宋体"/>
          <w:color w:val="auto"/>
          <w:sz w:val="24"/>
          <w:szCs w:val="24"/>
          <w:highlight w:val="none"/>
          <w:lang w:eastAsia="zh-CN"/>
        </w:rPr>
      </w:pPr>
      <w:r>
        <w:rPr>
          <w:rFonts w:hint="eastAsia" w:ascii="宋体" w:hAnsi="宋体" w:cs="Times New Roman"/>
          <w:color w:val="auto"/>
          <w:spacing w:val="0"/>
          <w:kern w:val="2"/>
          <w:sz w:val="24"/>
          <w:szCs w:val="24"/>
          <w:highlight w:val="none"/>
          <w:lang w:eastAsia="zh-CN"/>
        </w:rPr>
        <w:t>电力系统实时动态监测系统符合国家电力监管委员会颁布的《电力二次系统安全防护总体方案》规定的要求</w:t>
      </w:r>
      <w:r>
        <w:rPr>
          <w:rFonts w:hint="eastAsia" w:cs="Times New Roman"/>
          <w:color w:val="auto"/>
          <w:spacing w:val="0"/>
          <w:kern w:val="2"/>
          <w:sz w:val="24"/>
          <w:szCs w:val="24"/>
          <w:highlight w:val="none"/>
          <w:lang w:val="en-US" w:eastAsia="zh-CN"/>
        </w:rPr>
        <w:t>和</w:t>
      </w:r>
      <w:r>
        <w:rPr>
          <w:rFonts w:hint="eastAsia" w:ascii="宋体"/>
          <w:color w:val="auto"/>
          <w:sz w:val="24"/>
          <w:szCs w:val="24"/>
          <w:highlight w:val="none"/>
        </w:rPr>
        <w:t>国家发展和改革委员会令20</w:t>
      </w:r>
      <w:r>
        <w:rPr>
          <w:rFonts w:hint="eastAsia" w:ascii="宋体"/>
          <w:color w:val="auto"/>
          <w:sz w:val="24"/>
          <w:szCs w:val="24"/>
          <w:highlight w:val="none"/>
          <w:lang w:val="en-US" w:eastAsia="zh-CN"/>
        </w:rPr>
        <w:t>2</w:t>
      </w:r>
      <w:r>
        <w:rPr>
          <w:rFonts w:hint="eastAsia" w:ascii="宋体"/>
          <w:color w:val="auto"/>
          <w:sz w:val="24"/>
          <w:szCs w:val="24"/>
          <w:highlight w:val="none"/>
        </w:rPr>
        <w:t>4年第</w:t>
      </w:r>
      <w:r>
        <w:rPr>
          <w:rFonts w:hint="eastAsia" w:ascii="宋体"/>
          <w:color w:val="auto"/>
          <w:sz w:val="24"/>
          <w:szCs w:val="24"/>
          <w:highlight w:val="none"/>
          <w:lang w:val="en-US" w:eastAsia="zh-CN"/>
        </w:rPr>
        <w:t>27</w:t>
      </w:r>
      <w:r>
        <w:rPr>
          <w:rFonts w:hint="eastAsia" w:ascii="宋体"/>
          <w:color w:val="auto"/>
          <w:sz w:val="24"/>
          <w:szCs w:val="24"/>
          <w:highlight w:val="none"/>
        </w:rPr>
        <w:t>号电力监控系统安全防护规定</w:t>
      </w:r>
      <w:r>
        <w:rPr>
          <w:rFonts w:hint="eastAsia" w:ascii="宋体"/>
          <w:color w:val="auto"/>
          <w:sz w:val="24"/>
          <w:szCs w:val="24"/>
          <w:highlight w:val="none"/>
          <w:lang w:eastAsia="zh-CN"/>
        </w:rPr>
        <w:t>。</w:t>
      </w:r>
    </w:p>
    <w:p w14:paraId="5EB32CA5">
      <w:pPr>
        <w:widowControl w:val="0"/>
        <w:tabs>
          <w:tab w:val="left" w:pos="600"/>
        </w:tabs>
        <w:adjustRightInd w:val="0"/>
        <w:snapToGrid w:val="0"/>
        <w:spacing w:after="0" w:line="360" w:lineRule="auto"/>
        <w:ind w:firstLine="480" w:firstLineChars="200"/>
        <w:rPr>
          <w:rFonts w:hint="eastAsia" w:ascii="宋体" w:hAnsi="宋体" w:cs="Times New Roman"/>
          <w:color w:val="auto"/>
          <w:spacing w:val="0"/>
          <w:kern w:val="2"/>
          <w:sz w:val="24"/>
          <w:szCs w:val="24"/>
          <w:highlight w:val="none"/>
          <w:lang w:eastAsia="zh-CN"/>
        </w:rPr>
      </w:pPr>
      <w:r>
        <w:rPr>
          <w:rFonts w:hint="eastAsia" w:cs="Times New Roman"/>
          <w:color w:val="auto"/>
          <w:spacing w:val="0"/>
          <w:kern w:val="2"/>
          <w:sz w:val="24"/>
          <w:szCs w:val="24"/>
          <w:highlight w:val="none"/>
          <w:lang w:eastAsia="zh-CN"/>
        </w:rPr>
        <w:t>4</w:t>
      </w:r>
      <w:r>
        <w:rPr>
          <w:rFonts w:hint="eastAsia" w:ascii="宋体" w:hAnsi="宋体" w:cs="Times New Roman"/>
          <w:color w:val="auto"/>
          <w:spacing w:val="0"/>
          <w:kern w:val="2"/>
          <w:sz w:val="24"/>
          <w:szCs w:val="24"/>
          <w:highlight w:val="none"/>
          <w:lang w:eastAsia="zh-CN"/>
        </w:rPr>
        <w:t>.</w:t>
      </w:r>
      <w:r>
        <w:rPr>
          <w:rFonts w:hint="eastAsia" w:cs="Times New Roman"/>
          <w:color w:val="auto"/>
          <w:spacing w:val="0"/>
          <w:kern w:val="2"/>
          <w:sz w:val="24"/>
          <w:szCs w:val="24"/>
          <w:highlight w:val="none"/>
          <w:lang w:val="en-US" w:eastAsia="zh-CN"/>
        </w:rPr>
        <w:t>1.7</w:t>
      </w:r>
      <w:r>
        <w:rPr>
          <w:rFonts w:hint="eastAsia" w:ascii="宋体" w:hAnsi="宋体" w:cs="Times New Roman"/>
          <w:color w:val="auto"/>
          <w:spacing w:val="0"/>
          <w:kern w:val="2"/>
          <w:sz w:val="24"/>
          <w:szCs w:val="24"/>
          <w:highlight w:val="none"/>
          <w:lang w:eastAsia="zh-CN"/>
        </w:rPr>
        <w:t xml:space="preserve">  在雷击过电压、一次回路操作、系统故障及其他强干扰作用下，不应误动和拒动。装置快速瞬变干扰试验、高频干扰试验、辐射电磁场干扰试验、冲击电压试验和绝缘试验应至少符合IEC标准。装置调试端口应带有光电隔离。</w:t>
      </w:r>
    </w:p>
    <w:p w14:paraId="28C24B1F">
      <w:pPr>
        <w:widowControl w:val="0"/>
        <w:tabs>
          <w:tab w:val="left" w:pos="600"/>
        </w:tabs>
        <w:adjustRightInd w:val="0"/>
        <w:snapToGrid w:val="0"/>
        <w:spacing w:after="0" w:line="360" w:lineRule="auto"/>
        <w:ind w:firstLine="480" w:firstLineChars="200"/>
        <w:rPr>
          <w:rFonts w:hint="eastAsia" w:ascii="宋体" w:hAnsi="宋体" w:cs="Times New Roman"/>
          <w:color w:val="auto"/>
          <w:spacing w:val="0"/>
          <w:kern w:val="2"/>
          <w:sz w:val="24"/>
          <w:szCs w:val="24"/>
          <w:highlight w:val="none"/>
          <w:lang w:eastAsia="zh-CN"/>
        </w:rPr>
      </w:pPr>
      <w:r>
        <w:rPr>
          <w:rFonts w:hint="eastAsia" w:cs="Times New Roman"/>
          <w:color w:val="auto"/>
          <w:spacing w:val="0"/>
          <w:kern w:val="2"/>
          <w:sz w:val="24"/>
          <w:szCs w:val="24"/>
          <w:highlight w:val="none"/>
          <w:lang w:eastAsia="zh-CN"/>
        </w:rPr>
        <w:t>4</w:t>
      </w:r>
      <w:r>
        <w:rPr>
          <w:rFonts w:hint="eastAsia" w:ascii="宋体" w:hAnsi="宋体" w:cs="Times New Roman"/>
          <w:color w:val="auto"/>
          <w:spacing w:val="0"/>
          <w:kern w:val="2"/>
          <w:sz w:val="24"/>
          <w:szCs w:val="24"/>
          <w:highlight w:val="none"/>
          <w:lang w:eastAsia="zh-CN"/>
        </w:rPr>
        <w:t>.</w:t>
      </w:r>
      <w:r>
        <w:rPr>
          <w:rFonts w:hint="eastAsia" w:cs="Times New Roman"/>
          <w:color w:val="auto"/>
          <w:spacing w:val="0"/>
          <w:kern w:val="2"/>
          <w:sz w:val="24"/>
          <w:szCs w:val="24"/>
          <w:highlight w:val="none"/>
          <w:lang w:val="en-US" w:eastAsia="zh-CN"/>
        </w:rPr>
        <w:t>1.8</w:t>
      </w:r>
      <w:r>
        <w:rPr>
          <w:rFonts w:hint="eastAsia" w:ascii="宋体" w:hAnsi="宋体" w:cs="Times New Roman"/>
          <w:color w:val="auto"/>
          <w:spacing w:val="0"/>
          <w:kern w:val="2"/>
          <w:sz w:val="24"/>
          <w:szCs w:val="24"/>
          <w:highlight w:val="none"/>
          <w:lang w:eastAsia="zh-CN"/>
        </w:rPr>
        <w:t xml:space="preserve">  相量测量柜与其他设备之间，应采用光电耦合或继电器触点进行连接，不应有电的直接联系。</w:t>
      </w:r>
    </w:p>
    <w:p w14:paraId="3E3DA54F">
      <w:pPr>
        <w:widowControl w:val="0"/>
        <w:tabs>
          <w:tab w:val="left" w:pos="600"/>
        </w:tabs>
        <w:adjustRightInd w:val="0"/>
        <w:snapToGrid w:val="0"/>
        <w:spacing w:after="0" w:line="360" w:lineRule="auto"/>
        <w:ind w:firstLine="480" w:firstLineChars="200"/>
        <w:rPr>
          <w:rFonts w:hint="eastAsia" w:ascii="宋体" w:hAnsi="宋体" w:cs="Times New Roman"/>
          <w:color w:val="auto"/>
          <w:spacing w:val="0"/>
          <w:kern w:val="2"/>
          <w:sz w:val="24"/>
          <w:szCs w:val="24"/>
          <w:highlight w:val="none"/>
          <w:lang w:eastAsia="zh-CN"/>
        </w:rPr>
      </w:pPr>
      <w:r>
        <w:rPr>
          <w:rFonts w:hint="eastAsia" w:cs="Times New Roman"/>
          <w:color w:val="auto"/>
          <w:spacing w:val="0"/>
          <w:kern w:val="2"/>
          <w:sz w:val="24"/>
          <w:szCs w:val="24"/>
          <w:highlight w:val="none"/>
          <w:lang w:eastAsia="zh-CN"/>
        </w:rPr>
        <w:t>4</w:t>
      </w:r>
      <w:r>
        <w:rPr>
          <w:rFonts w:hint="eastAsia" w:ascii="宋体" w:hAnsi="宋体" w:cs="Times New Roman"/>
          <w:color w:val="auto"/>
          <w:spacing w:val="0"/>
          <w:kern w:val="2"/>
          <w:sz w:val="24"/>
          <w:szCs w:val="24"/>
          <w:highlight w:val="none"/>
          <w:lang w:eastAsia="zh-CN"/>
        </w:rPr>
        <w:t>.</w:t>
      </w:r>
      <w:r>
        <w:rPr>
          <w:rFonts w:hint="eastAsia" w:cs="Times New Roman"/>
          <w:color w:val="auto"/>
          <w:spacing w:val="0"/>
          <w:kern w:val="2"/>
          <w:sz w:val="24"/>
          <w:szCs w:val="24"/>
          <w:highlight w:val="none"/>
          <w:lang w:val="en-US" w:eastAsia="zh-CN"/>
        </w:rPr>
        <w:t>1.9</w:t>
      </w:r>
      <w:r>
        <w:rPr>
          <w:rFonts w:hint="eastAsia" w:ascii="宋体" w:hAnsi="宋体" w:cs="Times New Roman"/>
          <w:color w:val="auto"/>
          <w:spacing w:val="0"/>
          <w:kern w:val="2"/>
          <w:sz w:val="24"/>
          <w:szCs w:val="24"/>
          <w:highlight w:val="none"/>
          <w:lang w:eastAsia="zh-CN"/>
        </w:rPr>
        <w:t xml:space="preserve">  相量测量柜中的插件应接触可靠，并且有良好的互换性，以便检修时能迅速更换。</w:t>
      </w:r>
    </w:p>
    <w:p w14:paraId="6A939561">
      <w:pPr>
        <w:widowControl w:val="0"/>
        <w:tabs>
          <w:tab w:val="left" w:pos="600"/>
        </w:tabs>
        <w:adjustRightInd w:val="0"/>
        <w:snapToGrid w:val="0"/>
        <w:spacing w:after="0" w:line="360" w:lineRule="auto"/>
        <w:ind w:firstLine="480" w:firstLineChars="200"/>
        <w:rPr>
          <w:rFonts w:hint="eastAsia" w:ascii="宋体" w:hAnsi="宋体" w:cs="Times New Roman"/>
          <w:color w:val="auto"/>
          <w:spacing w:val="0"/>
          <w:kern w:val="2"/>
          <w:sz w:val="24"/>
          <w:szCs w:val="24"/>
          <w:highlight w:val="none"/>
          <w:lang w:eastAsia="zh-CN"/>
        </w:rPr>
      </w:pPr>
      <w:r>
        <w:rPr>
          <w:rFonts w:hint="eastAsia" w:cs="Times New Roman"/>
          <w:color w:val="auto"/>
          <w:spacing w:val="0"/>
          <w:kern w:val="2"/>
          <w:sz w:val="24"/>
          <w:szCs w:val="24"/>
          <w:highlight w:val="none"/>
          <w:lang w:eastAsia="zh-CN"/>
        </w:rPr>
        <w:t>4</w:t>
      </w:r>
      <w:r>
        <w:rPr>
          <w:rFonts w:hint="eastAsia" w:ascii="宋体" w:hAnsi="宋体" w:cs="Times New Roman"/>
          <w:color w:val="auto"/>
          <w:spacing w:val="0"/>
          <w:kern w:val="2"/>
          <w:sz w:val="24"/>
          <w:szCs w:val="24"/>
          <w:highlight w:val="none"/>
          <w:lang w:eastAsia="zh-CN"/>
        </w:rPr>
        <w:t>.</w:t>
      </w:r>
      <w:r>
        <w:rPr>
          <w:rFonts w:hint="eastAsia" w:cs="Times New Roman"/>
          <w:color w:val="auto"/>
          <w:spacing w:val="0"/>
          <w:kern w:val="2"/>
          <w:sz w:val="24"/>
          <w:szCs w:val="24"/>
          <w:highlight w:val="none"/>
          <w:lang w:val="en-US" w:eastAsia="zh-CN"/>
        </w:rPr>
        <w:t>1.10</w:t>
      </w:r>
      <w:r>
        <w:rPr>
          <w:rFonts w:hint="eastAsia" w:ascii="宋体" w:hAnsi="宋体" w:cs="Times New Roman"/>
          <w:color w:val="auto"/>
          <w:spacing w:val="0"/>
          <w:kern w:val="2"/>
          <w:sz w:val="24"/>
          <w:szCs w:val="24"/>
          <w:highlight w:val="none"/>
          <w:lang w:eastAsia="zh-CN"/>
        </w:rPr>
        <w:t xml:space="preserve">  装置应具有直流电源快速小开关，与装置安装在同一柜上。装置的逻辑回路应由独立的直流/直流变换器供电。直流电压消失时，装置不应误动，同时应有输出接点以启动告警信号。应有监视直流回路电压消失的告警信号继电器。直流电源电压在80％～115％额定值范围内变化时，装置应正确工作。在直流电源恢复（包括缓慢的恢复）到80％</w:t>
      </w:r>
      <w:r>
        <w:rPr>
          <w:rFonts w:hint="eastAsia" w:ascii="宋体" w:hAnsi="宋体" w:cs="Times New Roman"/>
          <w:i w:val="0"/>
          <w:color w:val="auto"/>
          <w:spacing w:val="0"/>
          <w:kern w:val="2"/>
          <w:sz w:val="24"/>
          <w:szCs w:val="24"/>
          <w:highlight w:val="none"/>
          <w:lang w:eastAsia="zh-CN"/>
        </w:rPr>
        <w:t>U</w:t>
      </w:r>
      <w:r>
        <w:rPr>
          <w:rFonts w:hint="eastAsia" w:ascii="宋体" w:hAnsi="宋体" w:cs="Times New Roman"/>
          <w:color w:val="auto"/>
          <w:spacing w:val="0"/>
          <w:kern w:val="2"/>
          <w:sz w:val="24"/>
          <w:szCs w:val="24"/>
          <w:highlight w:val="none"/>
          <w:vertAlign w:val="baseline"/>
          <w:lang w:eastAsia="zh-CN"/>
        </w:rPr>
        <w:t>N</w:t>
      </w:r>
      <w:r>
        <w:rPr>
          <w:rFonts w:hint="eastAsia" w:ascii="宋体" w:hAnsi="宋体" w:cs="Times New Roman"/>
          <w:color w:val="auto"/>
          <w:spacing w:val="0"/>
          <w:kern w:val="2"/>
          <w:sz w:val="24"/>
          <w:szCs w:val="24"/>
          <w:highlight w:val="none"/>
          <w:lang w:eastAsia="zh-CN"/>
        </w:rPr>
        <w:t>时，直流逆变电源应能自动启动。直流电源波纹系数小于或等于5％时，装置应正确工作。拉合直流电源以及插拔熔丝发生重复击穿火花时，装置不应误动作。直流电源回路出现各种异常情况（如短路、断线、接地等）时装置不应误动作。</w:t>
      </w:r>
    </w:p>
    <w:p w14:paraId="32E70901">
      <w:pPr>
        <w:widowControl w:val="0"/>
        <w:tabs>
          <w:tab w:val="left" w:pos="600"/>
        </w:tabs>
        <w:adjustRightInd w:val="0"/>
        <w:snapToGrid w:val="0"/>
        <w:spacing w:after="0" w:line="360" w:lineRule="auto"/>
        <w:ind w:firstLine="480" w:firstLineChars="200"/>
        <w:rPr>
          <w:rFonts w:hint="eastAsia" w:ascii="宋体" w:hAnsi="宋体" w:cs="Times New Roman"/>
          <w:color w:val="auto"/>
          <w:spacing w:val="0"/>
          <w:kern w:val="2"/>
          <w:sz w:val="24"/>
          <w:szCs w:val="24"/>
          <w:highlight w:val="none"/>
          <w:lang w:eastAsia="zh-CN"/>
        </w:rPr>
      </w:pPr>
      <w:r>
        <w:rPr>
          <w:rFonts w:hint="eastAsia" w:cs="Times New Roman"/>
          <w:color w:val="auto"/>
          <w:spacing w:val="0"/>
          <w:kern w:val="2"/>
          <w:sz w:val="24"/>
          <w:szCs w:val="24"/>
          <w:highlight w:val="none"/>
          <w:lang w:eastAsia="zh-CN"/>
        </w:rPr>
        <w:t>4</w:t>
      </w:r>
      <w:r>
        <w:rPr>
          <w:rFonts w:hint="eastAsia" w:ascii="宋体" w:hAnsi="宋体" w:cs="Times New Roman"/>
          <w:color w:val="auto"/>
          <w:spacing w:val="0"/>
          <w:kern w:val="2"/>
          <w:sz w:val="24"/>
          <w:szCs w:val="24"/>
          <w:highlight w:val="none"/>
          <w:lang w:eastAsia="zh-CN"/>
        </w:rPr>
        <w:t>.</w:t>
      </w:r>
      <w:r>
        <w:rPr>
          <w:rFonts w:hint="eastAsia" w:cs="Times New Roman"/>
          <w:color w:val="auto"/>
          <w:spacing w:val="0"/>
          <w:kern w:val="2"/>
          <w:sz w:val="24"/>
          <w:szCs w:val="24"/>
          <w:highlight w:val="none"/>
          <w:lang w:val="en-US" w:eastAsia="zh-CN"/>
        </w:rPr>
        <w:t>1.11</w:t>
      </w:r>
      <w:r>
        <w:rPr>
          <w:rFonts w:hint="eastAsia" w:ascii="宋体" w:hAnsi="宋体" w:cs="Times New Roman"/>
          <w:color w:val="auto"/>
          <w:spacing w:val="0"/>
          <w:kern w:val="2"/>
          <w:sz w:val="24"/>
          <w:szCs w:val="24"/>
          <w:highlight w:val="none"/>
          <w:lang w:eastAsia="zh-CN"/>
        </w:rPr>
        <w:t xml:space="preserve">  应提供标准的试验插件及试验插头，以便对各套装置的输入和输出回路进行隔离或能通入电流、电压进行试验。另外，对每面柜的出口跳闸、闭锁重合闸等输入、输出回路应在柜面上有隔离措施，以便在运行中分别断开。隔离及试验部件应考虑操作的方便性，隔离压板标签栏位置应安装在隔离件本体或隔离件下部。</w:t>
      </w:r>
    </w:p>
    <w:p w14:paraId="4DC53E59">
      <w:pPr>
        <w:widowControl w:val="0"/>
        <w:tabs>
          <w:tab w:val="left" w:pos="600"/>
        </w:tabs>
        <w:adjustRightInd w:val="0"/>
        <w:snapToGrid w:val="0"/>
        <w:spacing w:after="0" w:line="360" w:lineRule="auto"/>
        <w:ind w:firstLine="480" w:firstLineChars="200"/>
        <w:rPr>
          <w:rFonts w:hint="eastAsia" w:ascii="宋体" w:hAnsi="宋体" w:cs="Times New Roman"/>
          <w:color w:val="auto"/>
          <w:spacing w:val="0"/>
          <w:kern w:val="2"/>
          <w:sz w:val="24"/>
          <w:szCs w:val="24"/>
          <w:highlight w:val="none"/>
          <w:lang w:eastAsia="zh-CN"/>
        </w:rPr>
      </w:pPr>
      <w:r>
        <w:rPr>
          <w:rFonts w:hint="eastAsia" w:cs="Times New Roman"/>
          <w:color w:val="auto"/>
          <w:spacing w:val="0"/>
          <w:kern w:val="2"/>
          <w:sz w:val="24"/>
          <w:szCs w:val="24"/>
          <w:highlight w:val="none"/>
          <w:lang w:eastAsia="zh-CN"/>
        </w:rPr>
        <w:t>4</w:t>
      </w:r>
      <w:r>
        <w:rPr>
          <w:rFonts w:hint="eastAsia" w:ascii="宋体" w:hAnsi="宋体" w:cs="Times New Roman"/>
          <w:color w:val="auto"/>
          <w:spacing w:val="0"/>
          <w:kern w:val="2"/>
          <w:sz w:val="24"/>
          <w:szCs w:val="24"/>
          <w:highlight w:val="none"/>
          <w:lang w:eastAsia="zh-CN"/>
        </w:rPr>
        <w:t>.</w:t>
      </w:r>
      <w:r>
        <w:rPr>
          <w:rFonts w:hint="eastAsia" w:cs="Times New Roman"/>
          <w:color w:val="auto"/>
          <w:spacing w:val="0"/>
          <w:kern w:val="2"/>
          <w:sz w:val="24"/>
          <w:szCs w:val="24"/>
          <w:highlight w:val="none"/>
          <w:lang w:val="en-US" w:eastAsia="zh-CN"/>
        </w:rPr>
        <w:t>1.12</w:t>
      </w:r>
      <w:r>
        <w:rPr>
          <w:rFonts w:hint="eastAsia" w:ascii="宋体" w:hAnsi="宋体" w:cs="Times New Roman"/>
          <w:color w:val="auto"/>
          <w:spacing w:val="0"/>
          <w:kern w:val="2"/>
          <w:sz w:val="24"/>
          <w:szCs w:val="24"/>
          <w:highlight w:val="none"/>
          <w:lang w:eastAsia="zh-CN"/>
        </w:rPr>
        <w:t xml:space="preserve">  装置的出口回路、主要电路、装置异常及交、直流消失等应有经常监视及自诊断功能，以便在动作后启动告警信号、远动信号、事件记录等。</w:t>
      </w:r>
    </w:p>
    <w:p w14:paraId="6521386A">
      <w:pPr>
        <w:widowControl w:val="0"/>
        <w:tabs>
          <w:tab w:val="left" w:pos="600"/>
        </w:tabs>
        <w:adjustRightInd w:val="0"/>
        <w:snapToGrid w:val="0"/>
        <w:spacing w:after="0" w:line="360" w:lineRule="auto"/>
        <w:ind w:firstLine="480" w:firstLineChars="200"/>
        <w:rPr>
          <w:rFonts w:hint="eastAsia" w:ascii="宋体" w:hAnsi="宋体" w:cs="Times New Roman"/>
          <w:color w:val="auto"/>
          <w:spacing w:val="0"/>
          <w:kern w:val="2"/>
          <w:sz w:val="24"/>
          <w:szCs w:val="24"/>
          <w:highlight w:val="none"/>
          <w:lang w:eastAsia="zh-CN"/>
        </w:rPr>
      </w:pPr>
      <w:r>
        <w:rPr>
          <w:rFonts w:hint="eastAsia" w:cs="Times New Roman"/>
          <w:color w:val="auto"/>
          <w:spacing w:val="0"/>
          <w:kern w:val="2"/>
          <w:sz w:val="24"/>
          <w:szCs w:val="24"/>
          <w:highlight w:val="none"/>
          <w:lang w:eastAsia="zh-CN"/>
        </w:rPr>
        <w:t>4</w:t>
      </w:r>
      <w:r>
        <w:rPr>
          <w:rFonts w:hint="eastAsia" w:ascii="宋体" w:hAnsi="宋体" w:cs="Times New Roman"/>
          <w:color w:val="auto"/>
          <w:spacing w:val="0"/>
          <w:kern w:val="2"/>
          <w:sz w:val="24"/>
          <w:szCs w:val="24"/>
          <w:highlight w:val="none"/>
          <w:lang w:eastAsia="zh-CN"/>
        </w:rPr>
        <w:t>.</w:t>
      </w:r>
      <w:r>
        <w:rPr>
          <w:rFonts w:hint="eastAsia" w:cs="Times New Roman"/>
          <w:color w:val="auto"/>
          <w:spacing w:val="0"/>
          <w:kern w:val="2"/>
          <w:sz w:val="24"/>
          <w:szCs w:val="24"/>
          <w:highlight w:val="none"/>
          <w:lang w:val="en-US" w:eastAsia="zh-CN"/>
        </w:rPr>
        <w:t>1.13</w:t>
      </w:r>
      <w:r>
        <w:rPr>
          <w:rFonts w:hint="eastAsia" w:ascii="宋体" w:hAnsi="宋体" w:cs="Times New Roman"/>
          <w:color w:val="auto"/>
          <w:spacing w:val="0"/>
          <w:kern w:val="2"/>
          <w:sz w:val="24"/>
          <w:szCs w:val="24"/>
          <w:highlight w:val="none"/>
          <w:lang w:eastAsia="zh-CN"/>
        </w:rPr>
        <w:t xml:space="preserve">  装置中跳闸出口回路动作信号及启动中央信号的接点应自保持，在直流电源消失后应能维持动作。只有当运行人员复归后，信号才能复归，复归按钮装在屏上的适当位置，以便于操作。用于远动信号和事件记录信号的接点不应保持。</w:t>
      </w:r>
    </w:p>
    <w:p w14:paraId="066D0BF2">
      <w:pPr>
        <w:widowControl w:val="0"/>
        <w:tabs>
          <w:tab w:val="left" w:pos="600"/>
        </w:tabs>
        <w:adjustRightInd w:val="0"/>
        <w:snapToGrid w:val="0"/>
        <w:spacing w:after="0" w:line="360" w:lineRule="auto"/>
        <w:ind w:firstLine="480" w:firstLineChars="200"/>
        <w:rPr>
          <w:rFonts w:hint="eastAsia" w:ascii="宋体" w:hAnsi="宋体" w:cs="Times New Roman"/>
          <w:color w:val="auto"/>
          <w:spacing w:val="0"/>
          <w:kern w:val="2"/>
          <w:sz w:val="24"/>
          <w:szCs w:val="24"/>
          <w:highlight w:val="none"/>
          <w:lang w:eastAsia="zh-CN"/>
        </w:rPr>
      </w:pPr>
      <w:r>
        <w:rPr>
          <w:rFonts w:hint="eastAsia" w:cs="Times New Roman"/>
          <w:color w:val="auto"/>
          <w:spacing w:val="0"/>
          <w:kern w:val="2"/>
          <w:sz w:val="24"/>
          <w:szCs w:val="24"/>
          <w:highlight w:val="none"/>
          <w:lang w:eastAsia="zh-CN"/>
        </w:rPr>
        <w:t>4</w:t>
      </w:r>
      <w:r>
        <w:rPr>
          <w:rFonts w:hint="eastAsia" w:ascii="宋体" w:hAnsi="宋体" w:cs="Times New Roman"/>
          <w:color w:val="auto"/>
          <w:spacing w:val="0"/>
          <w:kern w:val="2"/>
          <w:sz w:val="24"/>
          <w:szCs w:val="24"/>
          <w:highlight w:val="none"/>
          <w:lang w:eastAsia="zh-CN"/>
        </w:rPr>
        <w:t>.</w:t>
      </w:r>
      <w:r>
        <w:rPr>
          <w:rFonts w:hint="eastAsia" w:cs="Times New Roman"/>
          <w:color w:val="auto"/>
          <w:spacing w:val="0"/>
          <w:kern w:val="2"/>
          <w:sz w:val="24"/>
          <w:szCs w:val="24"/>
          <w:highlight w:val="none"/>
          <w:lang w:val="en-US" w:eastAsia="zh-CN"/>
        </w:rPr>
        <w:t>1.14</w:t>
      </w:r>
      <w:r>
        <w:rPr>
          <w:rFonts w:hint="eastAsia" w:ascii="宋体" w:hAnsi="宋体" w:cs="Times New Roman"/>
          <w:color w:val="auto"/>
          <w:spacing w:val="0"/>
          <w:kern w:val="2"/>
          <w:sz w:val="24"/>
          <w:szCs w:val="24"/>
          <w:highlight w:val="none"/>
          <w:lang w:eastAsia="zh-CN"/>
        </w:rPr>
        <w:t xml:space="preserve">    装置中任意一元件损坏时，装置不应误动作。</w:t>
      </w:r>
    </w:p>
    <w:p w14:paraId="18402083">
      <w:pPr>
        <w:widowControl w:val="0"/>
        <w:tabs>
          <w:tab w:val="left" w:pos="600"/>
        </w:tabs>
        <w:adjustRightInd w:val="0"/>
        <w:snapToGrid w:val="0"/>
        <w:spacing w:after="0" w:line="360" w:lineRule="auto"/>
        <w:ind w:right="0" w:firstLine="480" w:firstLineChars="200"/>
        <w:rPr>
          <w:rFonts w:hint="eastAsia" w:ascii="宋体" w:hAnsi="宋体" w:cs="Times New Roman"/>
          <w:color w:val="auto"/>
          <w:spacing w:val="0"/>
          <w:kern w:val="2"/>
          <w:sz w:val="24"/>
          <w:szCs w:val="24"/>
          <w:highlight w:val="none"/>
          <w:lang w:eastAsia="zh-CN"/>
        </w:rPr>
      </w:pPr>
      <w:r>
        <w:rPr>
          <w:rFonts w:hint="eastAsia" w:cs="Times New Roman"/>
          <w:color w:val="auto"/>
          <w:spacing w:val="0"/>
          <w:kern w:val="2"/>
          <w:sz w:val="24"/>
          <w:szCs w:val="24"/>
          <w:highlight w:val="none"/>
          <w:lang w:eastAsia="zh-CN"/>
        </w:rPr>
        <w:t>4</w:t>
      </w:r>
      <w:r>
        <w:rPr>
          <w:rFonts w:hint="eastAsia" w:ascii="宋体" w:hAnsi="宋体" w:cs="Times New Roman"/>
          <w:color w:val="auto"/>
          <w:spacing w:val="0"/>
          <w:kern w:val="2"/>
          <w:sz w:val="24"/>
          <w:szCs w:val="24"/>
          <w:highlight w:val="none"/>
          <w:lang w:eastAsia="zh-CN"/>
        </w:rPr>
        <w:t>.</w:t>
      </w:r>
      <w:r>
        <w:rPr>
          <w:rFonts w:hint="eastAsia" w:cs="Times New Roman"/>
          <w:color w:val="auto"/>
          <w:spacing w:val="0"/>
          <w:kern w:val="2"/>
          <w:sz w:val="24"/>
          <w:szCs w:val="24"/>
          <w:highlight w:val="none"/>
          <w:lang w:val="en-US" w:eastAsia="zh-CN"/>
        </w:rPr>
        <w:t>1.15</w:t>
      </w:r>
      <w:r>
        <w:rPr>
          <w:rFonts w:hint="eastAsia" w:ascii="宋体" w:hAnsi="宋体" w:cs="Times New Roman"/>
          <w:color w:val="auto"/>
          <w:spacing w:val="0"/>
          <w:kern w:val="2"/>
          <w:sz w:val="24"/>
          <w:szCs w:val="24"/>
          <w:highlight w:val="none"/>
          <w:lang w:eastAsia="zh-CN"/>
        </w:rPr>
        <w:t xml:space="preserve">    </w:t>
      </w:r>
      <w:r>
        <w:rPr>
          <w:rFonts w:hint="eastAsia" w:cs="Times New Roman"/>
          <w:color w:val="auto"/>
          <w:spacing w:val="0"/>
          <w:kern w:val="2"/>
          <w:sz w:val="24"/>
          <w:szCs w:val="24"/>
          <w:highlight w:val="none"/>
          <w:lang w:val="en-US" w:eastAsia="zh-CN"/>
        </w:rPr>
        <w:t>投标人</w:t>
      </w:r>
      <w:r>
        <w:rPr>
          <w:rFonts w:hint="eastAsia" w:ascii="宋体" w:hAnsi="宋体" w:cs="Times New Roman"/>
          <w:color w:val="auto"/>
          <w:spacing w:val="0"/>
          <w:kern w:val="2"/>
          <w:sz w:val="24"/>
          <w:szCs w:val="24"/>
          <w:highlight w:val="none"/>
          <w:lang w:eastAsia="zh-CN"/>
        </w:rPr>
        <w:t>应提供装置已经运行的情况以及在运行或制造过程中装置的改进情况资料。</w:t>
      </w:r>
    </w:p>
    <w:p w14:paraId="559FBB83">
      <w:pPr>
        <w:widowControl w:val="0"/>
        <w:tabs>
          <w:tab w:val="left" w:pos="600"/>
        </w:tabs>
        <w:adjustRightInd w:val="0"/>
        <w:snapToGrid w:val="0"/>
        <w:spacing w:after="0" w:line="360" w:lineRule="auto"/>
        <w:ind w:left="0" w:leftChars="0" w:firstLine="482" w:firstLineChars="200"/>
        <w:outlineLvl w:val="3"/>
        <w:rPr>
          <w:rFonts w:hint="eastAsia" w:cs="Times New Roman"/>
          <w:b/>
          <w:bCs/>
          <w:color w:val="auto"/>
          <w:kern w:val="2"/>
          <w:sz w:val="24"/>
          <w:szCs w:val="24"/>
          <w:highlight w:val="none"/>
          <w:lang w:val="en-US" w:eastAsia="zh-CN"/>
        </w:rPr>
      </w:pPr>
      <w:r>
        <w:rPr>
          <w:rFonts w:hint="eastAsia" w:cs="Times New Roman"/>
          <w:b/>
          <w:bCs/>
          <w:color w:val="auto"/>
          <w:kern w:val="2"/>
          <w:sz w:val="24"/>
          <w:szCs w:val="24"/>
          <w:highlight w:val="none"/>
          <w:lang w:val="en-US" w:eastAsia="zh-CN"/>
        </w:rPr>
        <w:t>4.2  宽频测量采集装置技术要求</w:t>
      </w:r>
    </w:p>
    <w:p w14:paraId="59A84729">
      <w:pPr>
        <w:widowControl w:val="0"/>
        <w:tabs>
          <w:tab w:val="left" w:pos="600"/>
        </w:tabs>
        <w:adjustRightInd w:val="0"/>
        <w:snapToGrid w:val="0"/>
        <w:spacing w:after="0" w:line="360" w:lineRule="auto"/>
        <w:ind w:firstLine="480" w:firstLineChars="200"/>
        <w:rPr>
          <w:rFonts w:hint="eastAsia" w:cs="Times New Roman"/>
          <w:color w:val="auto"/>
          <w:kern w:val="2"/>
          <w:sz w:val="24"/>
          <w:szCs w:val="24"/>
          <w:highlight w:val="none"/>
          <w:lang w:eastAsia="zh-CN"/>
        </w:rPr>
      </w:pPr>
      <w:r>
        <w:rPr>
          <w:rFonts w:hint="eastAsia" w:cs="Times New Roman"/>
          <w:color w:val="auto"/>
          <w:kern w:val="2"/>
          <w:sz w:val="24"/>
          <w:szCs w:val="24"/>
          <w:highlight w:val="none"/>
          <w:lang w:eastAsia="zh-CN"/>
        </w:rPr>
        <w:t>4.2.1 接口要求</w:t>
      </w:r>
    </w:p>
    <w:p w14:paraId="23F789FF">
      <w:pPr>
        <w:widowControl w:val="0"/>
        <w:numPr>
          <w:ilvl w:val="-1"/>
          <w:numId w:val="0"/>
        </w:numPr>
        <w:tabs>
          <w:tab w:val="left" w:pos="600"/>
        </w:tabs>
        <w:adjustRightInd w:val="0"/>
        <w:snapToGrid w:val="0"/>
        <w:spacing w:after="0" w:line="360" w:lineRule="auto"/>
        <w:ind w:left="0" w:firstLine="480" w:firstLineChars="200"/>
        <w:rPr>
          <w:rFonts w:hint="eastAsia" w:cs="Times New Roman"/>
          <w:color w:val="auto"/>
          <w:kern w:val="2"/>
          <w:sz w:val="24"/>
          <w:szCs w:val="24"/>
          <w:highlight w:val="none"/>
          <w:lang w:eastAsia="zh-CN"/>
        </w:rPr>
      </w:pPr>
      <w:r>
        <w:rPr>
          <w:rFonts w:hint="eastAsia" w:cs="Times New Roman"/>
          <w:color w:val="auto"/>
          <w:kern w:val="2"/>
          <w:sz w:val="24"/>
          <w:szCs w:val="24"/>
          <w:highlight w:val="none"/>
          <w:lang w:eastAsia="zh-CN"/>
        </w:rPr>
        <w:t>（</w:t>
      </w:r>
      <w:r>
        <w:rPr>
          <w:rFonts w:hint="eastAsia" w:cs="Times New Roman"/>
          <w:color w:val="auto"/>
          <w:kern w:val="2"/>
          <w:sz w:val="24"/>
          <w:szCs w:val="24"/>
          <w:highlight w:val="none"/>
          <w:lang w:val="en-US" w:eastAsia="zh-CN"/>
        </w:rPr>
        <w:t>1</w:t>
      </w:r>
      <w:r>
        <w:rPr>
          <w:rFonts w:hint="eastAsia" w:cs="Times New Roman"/>
          <w:color w:val="auto"/>
          <w:kern w:val="2"/>
          <w:sz w:val="24"/>
          <w:szCs w:val="24"/>
          <w:highlight w:val="none"/>
          <w:lang w:eastAsia="zh-CN"/>
        </w:rPr>
        <w:t>）通信接口。宽频测量装置通信接口要求如下：（</w:t>
      </w:r>
      <w:r>
        <w:rPr>
          <w:rFonts w:hint="eastAsia" w:cs="Times New Roman"/>
          <w:color w:val="auto"/>
          <w:kern w:val="2"/>
          <w:sz w:val="24"/>
          <w:szCs w:val="24"/>
          <w:highlight w:val="none"/>
          <w:lang w:val="en-US" w:eastAsia="zh-CN"/>
        </w:rPr>
        <w:t>a</w:t>
      </w:r>
      <w:r>
        <w:rPr>
          <w:rFonts w:hint="eastAsia" w:cs="Times New Roman"/>
          <w:color w:val="auto"/>
          <w:kern w:val="2"/>
          <w:sz w:val="24"/>
          <w:szCs w:val="24"/>
          <w:highlight w:val="none"/>
          <w:lang w:eastAsia="zh-CN"/>
        </w:rPr>
        <w:t>）应具有不少于3个</w:t>
      </w:r>
      <w:r>
        <w:rPr>
          <w:rFonts w:hint="eastAsia" w:cs="Times New Roman"/>
          <w:color w:val="auto"/>
          <w:kern w:val="2"/>
          <w:sz w:val="24"/>
          <w:szCs w:val="24"/>
          <w:highlight w:val="none"/>
          <w:lang w:val="en-US" w:eastAsia="zh-CN"/>
        </w:rPr>
        <w:t>以太网络接口</w:t>
      </w:r>
      <w:r>
        <w:rPr>
          <w:rFonts w:hint="eastAsia" w:cs="Times New Roman"/>
          <w:color w:val="auto"/>
          <w:kern w:val="2"/>
          <w:sz w:val="24"/>
          <w:szCs w:val="24"/>
          <w:highlight w:val="none"/>
          <w:lang w:eastAsia="zh-CN"/>
        </w:rPr>
        <w:t>；（</w:t>
      </w:r>
      <w:r>
        <w:rPr>
          <w:rFonts w:hint="eastAsia" w:cs="Times New Roman"/>
          <w:color w:val="auto"/>
          <w:kern w:val="2"/>
          <w:sz w:val="24"/>
          <w:szCs w:val="24"/>
          <w:highlight w:val="none"/>
          <w:lang w:val="en-US" w:eastAsia="zh-CN"/>
        </w:rPr>
        <w:t>b）</w:t>
      </w:r>
      <w:r>
        <w:rPr>
          <w:rFonts w:hint="eastAsia" w:cs="Times New Roman"/>
          <w:color w:val="auto"/>
          <w:kern w:val="2"/>
          <w:sz w:val="24"/>
          <w:szCs w:val="24"/>
          <w:highlight w:val="none"/>
          <w:lang w:eastAsia="zh-CN"/>
        </w:rPr>
        <w:t>宽频测量装置的站控层网络接口应采用RJ45电以太网接口或多模光纤以太网接口；（</w:t>
      </w:r>
      <w:r>
        <w:rPr>
          <w:rFonts w:hint="eastAsia" w:cs="Times New Roman"/>
          <w:color w:val="auto"/>
          <w:kern w:val="2"/>
          <w:sz w:val="24"/>
          <w:szCs w:val="24"/>
          <w:highlight w:val="none"/>
          <w:lang w:val="en-US" w:eastAsia="zh-CN"/>
        </w:rPr>
        <w:t>c</w:t>
      </w:r>
      <w:r>
        <w:rPr>
          <w:rFonts w:hint="eastAsia" w:cs="Times New Roman"/>
          <w:color w:val="auto"/>
          <w:kern w:val="2"/>
          <w:sz w:val="24"/>
          <w:szCs w:val="24"/>
          <w:highlight w:val="none"/>
          <w:lang w:eastAsia="zh-CN"/>
        </w:rPr>
        <w:t>）多模光纤连接器宜采用波长为1310nm的ST或LC型光纤接口。</w:t>
      </w:r>
    </w:p>
    <w:p w14:paraId="24DBC6D0">
      <w:pPr>
        <w:widowControl w:val="0"/>
        <w:numPr>
          <w:ilvl w:val="-1"/>
          <w:numId w:val="0"/>
        </w:numPr>
        <w:tabs>
          <w:tab w:val="left" w:pos="600"/>
        </w:tabs>
        <w:adjustRightInd w:val="0"/>
        <w:snapToGrid w:val="0"/>
        <w:spacing w:after="0" w:line="360" w:lineRule="auto"/>
        <w:ind w:left="0" w:firstLine="480" w:firstLineChars="200"/>
        <w:rPr>
          <w:rFonts w:hint="eastAsia" w:cs="Times New Roman"/>
          <w:color w:val="auto"/>
          <w:kern w:val="2"/>
          <w:sz w:val="24"/>
          <w:szCs w:val="24"/>
          <w:highlight w:val="none"/>
          <w:lang w:eastAsia="zh-CN"/>
        </w:rPr>
      </w:pPr>
      <w:r>
        <w:rPr>
          <w:rFonts w:hint="eastAsia" w:cs="Times New Roman"/>
          <w:color w:val="auto"/>
          <w:kern w:val="2"/>
          <w:sz w:val="24"/>
          <w:szCs w:val="24"/>
          <w:highlight w:val="none"/>
          <w:lang w:eastAsia="zh-CN"/>
        </w:rPr>
        <w:t>（</w:t>
      </w:r>
      <w:r>
        <w:rPr>
          <w:rFonts w:hint="eastAsia" w:cs="Times New Roman"/>
          <w:color w:val="auto"/>
          <w:kern w:val="2"/>
          <w:sz w:val="24"/>
          <w:szCs w:val="24"/>
          <w:highlight w:val="none"/>
          <w:lang w:val="en-US" w:eastAsia="zh-CN"/>
        </w:rPr>
        <w:t>2</w:t>
      </w:r>
      <w:r>
        <w:rPr>
          <w:rFonts w:hint="eastAsia" w:cs="Times New Roman"/>
          <w:color w:val="auto"/>
          <w:kern w:val="2"/>
          <w:sz w:val="24"/>
          <w:szCs w:val="24"/>
          <w:highlight w:val="none"/>
          <w:lang w:eastAsia="zh-CN"/>
        </w:rPr>
        <w:t>）对时接口。（</w:t>
      </w:r>
      <w:r>
        <w:rPr>
          <w:rFonts w:hint="eastAsia" w:cs="Times New Roman"/>
          <w:color w:val="auto"/>
          <w:kern w:val="2"/>
          <w:sz w:val="24"/>
          <w:szCs w:val="24"/>
          <w:highlight w:val="none"/>
          <w:lang w:val="en-US" w:eastAsia="zh-CN"/>
        </w:rPr>
        <w:t>a</w:t>
      </w:r>
      <w:r>
        <w:rPr>
          <w:rFonts w:hint="eastAsia" w:cs="Times New Roman"/>
          <w:color w:val="auto"/>
          <w:kern w:val="2"/>
          <w:sz w:val="24"/>
          <w:szCs w:val="24"/>
          <w:highlight w:val="none"/>
          <w:lang w:eastAsia="zh-CN"/>
        </w:rPr>
        <w:t>）宽频测量装置应具有IRIG-B对时输入接口，采用光纤B码时，光纤连接器宜采用多模、波长为850nm的ST或LC光纤接口；（</w:t>
      </w:r>
      <w:r>
        <w:rPr>
          <w:rFonts w:hint="eastAsia" w:cs="Times New Roman"/>
          <w:color w:val="auto"/>
          <w:kern w:val="2"/>
          <w:sz w:val="24"/>
          <w:szCs w:val="24"/>
          <w:highlight w:val="none"/>
          <w:lang w:val="en-US" w:eastAsia="zh-CN"/>
        </w:rPr>
        <w:t>b</w:t>
      </w:r>
      <w:r>
        <w:rPr>
          <w:rFonts w:hint="eastAsia" w:cs="Times New Roman"/>
          <w:color w:val="auto"/>
          <w:kern w:val="2"/>
          <w:sz w:val="24"/>
          <w:szCs w:val="24"/>
          <w:highlight w:val="none"/>
          <w:lang w:eastAsia="zh-CN"/>
        </w:rPr>
        <w:t>）采用电B码时，应采用RS485电平接口。</w:t>
      </w:r>
    </w:p>
    <w:p w14:paraId="0425A9BF">
      <w:pPr>
        <w:widowControl w:val="0"/>
        <w:numPr>
          <w:ilvl w:val="-1"/>
          <w:numId w:val="0"/>
        </w:numPr>
        <w:tabs>
          <w:tab w:val="left" w:pos="600"/>
        </w:tabs>
        <w:adjustRightInd w:val="0"/>
        <w:snapToGrid w:val="0"/>
        <w:spacing w:after="0" w:line="360" w:lineRule="auto"/>
        <w:ind w:left="0" w:firstLine="480" w:firstLineChars="200"/>
        <w:rPr>
          <w:rFonts w:hint="eastAsia" w:cs="Times New Roman"/>
          <w:color w:val="auto"/>
          <w:kern w:val="2"/>
          <w:sz w:val="24"/>
          <w:szCs w:val="24"/>
          <w:highlight w:val="none"/>
          <w:lang w:eastAsia="zh-CN"/>
        </w:rPr>
      </w:pPr>
      <w:r>
        <w:rPr>
          <w:rFonts w:hint="eastAsia" w:cs="Times New Roman"/>
          <w:color w:val="auto"/>
          <w:kern w:val="2"/>
          <w:sz w:val="24"/>
          <w:szCs w:val="24"/>
          <w:highlight w:val="none"/>
          <w:lang w:eastAsia="zh-CN"/>
        </w:rPr>
        <w:t>（</w:t>
      </w:r>
      <w:r>
        <w:rPr>
          <w:rFonts w:hint="eastAsia" w:cs="Times New Roman"/>
          <w:color w:val="auto"/>
          <w:kern w:val="2"/>
          <w:sz w:val="24"/>
          <w:szCs w:val="24"/>
          <w:highlight w:val="none"/>
          <w:lang w:val="en-US" w:eastAsia="zh-CN"/>
        </w:rPr>
        <w:t>3</w:t>
      </w:r>
      <w:r>
        <w:rPr>
          <w:rFonts w:hint="eastAsia" w:cs="Times New Roman"/>
          <w:color w:val="auto"/>
          <w:kern w:val="2"/>
          <w:sz w:val="24"/>
          <w:szCs w:val="24"/>
          <w:highlight w:val="none"/>
          <w:lang w:eastAsia="zh-CN"/>
        </w:rPr>
        <w:t>）硬接点输出要求。宽频测量装置应至少具备以下2路硬接点告警输出信号：（</w:t>
      </w:r>
      <w:r>
        <w:rPr>
          <w:rFonts w:hint="eastAsia" w:cs="Times New Roman"/>
          <w:color w:val="auto"/>
          <w:kern w:val="2"/>
          <w:sz w:val="24"/>
          <w:szCs w:val="24"/>
          <w:highlight w:val="none"/>
          <w:lang w:val="en-US" w:eastAsia="zh-CN"/>
        </w:rPr>
        <w:t>a</w:t>
      </w:r>
      <w:r>
        <w:rPr>
          <w:rFonts w:hint="eastAsia" w:cs="Times New Roman"/>
          <w:color w:val="auto"/>
          <w:kern w:val="2"/>
          <w:sz w:val="24"/>
          <w:szCs w:val="24"/>
          <w:highlight w:val="none"/>
          <w:lang w:eastAsia="zh-CN"/>
        </w:rPr>
        <w:t>）故障信号：直流电源消失告警，直流电源消失时导通，应为常闭接点；（</w:t>
      </w:r>
      <w:r>
        <w:rPr>
          <w:rFonts w:hint="eastAsia" w:cs="Times New Roman"/>
          <w:color w:val="auto"/>
          <w:kern w:val="2"/>
          <w:sz w:val="24"/>
          <w:szCs w:val="24"/>
          <w:highlight w:val="none"/>
          <w:lang w:val="en-US" w:eastAsia="zh-CN"/>
        </w:rPr>
        <w:t>b</w:t>
      </w:r>
      <w:r>
        <w:rPr>
          <w:rFonts w:hint="eastAsia" w:cs="Times New Roman"/>
          <w:color w:val="auto"/>
          <w:kern w:val="2"/>
          <w:sz w:val="24"/>
          <w:szCs w:val="24"/>
          <w:highlight w:val="none"/>
          <w:lang w:eastAsia="zh-CN"/>
        </w:rPr>
        <w:t>）异常信号：装置异常告警，装置自检异常或同步对时异常时导通，应为常开接点。</w:t>
      </w:r>
    </w:p>
    <w:p w14:paraId="150D7C34">
      <w:pPr>
        <w:widowControl w:val="0"/>
        <w:tabs>
          <w:tab w:val="left" w:pos="600"/>
        </w:tabs>
        <w:adjustRightInd w:val="0"/>
        <w:snapToGrid w:val="0"/>
        <w:spacing w:after="0" w:line="360" w:lineRule="auto"/>
        <w:ind w:firstLine="480" w:firstLineChars="200"/>
        <w:rPr>
          <w:rFonts w:hint="eastAsia" w:cs="Times New Roman"/>
          <w:color w:val="auto"/>
          <w:kern w:val="2"/>
          <w:sz w:val="24"/>
          <w:szCs w:val="24"/>
          <w:highlight w:val="none"/>
          <w:lang w:eastAsia="zh-CN"/>
        </w:rPr>
      </w:pPr>
      <w:r>
        <w:rPr>
          <w:rFonts w:hint="eastAsia" w:cs="Times New Roman"/>
          <w:color w:val="auto"/>
          <w:kern w:val="2"/>
          <w:sz w:val="24"/>
          <w:szCs w:val="24"/>
          <w:highlight w:val="none"/>
          <w:lang w:eastAsia="zh-CN"/>
        </w:rPr>
        <w:t>4.2</w:t>
      </w:r>
      <w:r>
        <w:rPr>
          <w:rFonts w:hint="eastAsia" w:cs="Times New Roman"/>
          <w:color w:val="auto"/>
          <w:kern w:val="2"/>
          <w:sz w:val="24"/>
          <w:szCs w:val="24"/>
          <w:highlight w:val="none"/>
          <w:lang w:val="en-US" w:eastAsia="zh-CN"/>
        </w:rPr>
        <w:t>.2</w:t>
      </w:r>
      <w:r>
        <w:rPr>
          <w:rFonts w:hint="eastAsia" w:cs="Times New Roman"/>
          <w:color w:val="auto"/>
          <w:kern w:val="2"/>
          <w:sz w:val="24"/>
          <w:szCs w:val="24"/>
          <w:highlight w:val="none"/>
          <w:lang w:eastAsia="zh-CN"/>
        </w:rPr>
        <w:t>功能要求</w:t>
      </w:r>
    </w:p>
    <w:p w14:paraId="7BE188D3">
      <w:pPr>
        <w:widowControl w:val="0"/>
        <w:numPr>
          <w:ilvl w:val="-1"/>
          <w:numId w:val="0"/>
        </w:numPr>
        <w:tabs>
          <w:tab w:val="left" w:pos="600"/>
        </w:tabs>
        <w:adjustRightInd w:val="0"/>
        <w:snapToGrid w:val="0"/>
        <w:spacing w:after="0" w:line="360" w:lineRule="auto"/>
        <w:ind w:left="0" w:firstLine="480" w:firstLineChars="200"/>
        <w:rPr>
          <w:rFonts w:hint="eastAsia" w:cs="Times New Roman"/>
          <w:color w:val="auto"/>
          <w:kern w:val="2"/>
          <w:sz w:val="24"/>
          <w:szCs w:val="24"/>
          <w:highlight w:val="none"/>
          <w:lang w:eastAsia="zh-CN"/>
        </w:rPr>
      </w:pPr>
      <w:r>
        <w:rPr>
          <w:rFonts w:hint="eastAsia" w:cs="Times New Roman"/>
          <w:color w:val="auto"/>
          <w:kern w:val="2"/>
          <w:sz w:val="24"/>
          <w:szCs w:val="24"/>
          <w:highlight w:val="none"/>
          <w:lang w:eastAsia="zh-CN"/>
        </w:rPr>
        <w:t>（</w:t>
      </w:r>
      <w:r>
        <w:rPr>
          <w:rFonts w:hint="eastAsia" w:cs="Times New Roman"/>
          <w:color w:val="auto"/>
          <w:kern w:val="2"/>
          <w:sz w:val="24"/>
          <w:szCs w:val="24"/>
          <w:highlight w:val="none"/>
          <w:lang w:val="en-US" w:eastAsia="zh-CN"/>
        </w:rPr>
        <w:t>1</w:t>
      </w:r>
      <w:r>
        <w:rPr>
          <w:rFonts w:hint="eastAsia" w:cs="Times New Roman"/>
          <w:color w:val="auto"/>
          <w:kern w:val="2"/>
          <w:sz w:val="24"/>
          <w:szCs w:val="24"/>
          <w:highlight w:val="none"/>
          <w:lang w:eastAsia="zh-CN"/>
        </w:rPr>
        <w:t>）基本要求。宽频测量装置基本要求如下：（</w:t>
      </w:r>
      <w:r>
        <w:rPr>
          <w:rFonts w:hint="eastAsia" w:cs="Times New Roman"/>
          <w:color w:val="auto"/>
          <w:kern w:val="2"/>
          <w:sz w:val="24"/>
          <w:szCs w:val="24"/>
          <w:highlight w:val="none"/>
          <w:lang w:val="en-US" w:eastAsia="zh-CN"/>
        </w:rPr>
        <w:t>a</w:t>
      </w:r>
      <w:r>
        <w:rPr>
          <w:rFonts w:hint="eastAsia" w:cs="Times New Roman"/>
          <w:color w:val="auto"/>
          <w:kern w:val="2"/>
          <w:sz w:val="24"/>
          <w:szCs w:val="24"/>
          <w:highlight w:val="none"/>
          <w:lang w:eastAsia="zh-CN"/>
        </w:rPr>
        <w:t>）装置应具有基波相量测量、谐波/间谐波测量功能；（</w:t>
      </w:r>
      <w:r>
        <w:rPr>
          <w:rFonts w:hint="eastAsia" w:cs="Times New Roman"/>
          <w:color w:val="auto"/>
          <w:kern w:val="2"/>
          <w:sz w:val="24"/>
          <w:szCs w:val="24"/>
          <w:highlight w:val="none"/>
          <w:lang w:val="en-US" w:eastAsia="zh-CN"/>
        </w:rPr>
        <w:t>b</w:t>
      </w:r>
      <w:r>
        <w:rPr>
          <w:rFonts w:hint="eastAsia" w:cs="Times New Roman"/>
          <w:color w:val="auto"/>
          <w:kern w:val="2"/>
          <w:sz w:val="24"/>
          <w:szCs w:val="24"/>
          <w:highlight w:val="none"/>
          <w:lang w:eastAsia="zh-CN"/>
        </w:rPr>
        <w:t>）应具有宽频振荡监测功能，包含低频振荡监测、次/超同步振荡监测及100-300Hz宽频段振荡监测；（</w:t>
      </w:r>
      <w:r>
        <w:rPr>
          <w:rFonts w:hint="eastAsia" w:cs="Times New Roman"/>
          <w:color w:val="auto"/>
          <w:kern w:val="2"/>
          <w:sz w:val="24"/>
          <w:szCs w:val="24"/>
          <w:highlight w:val="none"/>
          <w:lang w:val="en-US" w:eastAsia="zh-CN"/>
        </w:rPr>
        <w:t>c</w:t>
      </w:r>
      <w:r>
        <w:rPr>
          <w:rFonts w:hint="eastAsia" w:cs="Times New Roman"/>
          <w:color w:val="auto"/>
          <w:kern w:val="2"/>
          <w:sz w:val="24"/>
          <w:szCs w:val="24"/>
          <w:highlight w:val="none"/>
          <w:lang w:eastAsia="zh-CN"/>
        </w:rPr>
        <w:t>）应具有谐波/间谐波越限告警、振荡告警及录波功能；（</w:t>
      </w:r>
      <w:r>
        <w:rPr>
          <w:rFonts w:hint="eastAsia" w:cs="Times New Roman"/>
          <w:color w:val="auto"/>
          <w:kern w:val="2"/>
          <w:sz w:val="24"/>
          <w:szCs w:val="24"/>
          <w:highlight w:val="none"/>
          <w:lang w:val="en-US" w:eastAsia="zh-CN"/>
        </w:rPr>
        <w:t>d</w:t>
      </w:r>
      <w:r>
        <w:rPr>
          <w:rFonts w:hint="eastAsia" w:cs="Times New Roman"/>
          <w:color w:val="auto"/>
          <w:kern w:val="2"/>
          <w:sz w:val="24"/>
          <w:szCs w:val="24"/>
          <w:highlight w:val="none"/>
          <w:lang w:eastAsia="zh-CN"/>
        </w:rPr>
        <w:t>）应具有时间同步对时管理功能。</w:t>
      </w:r>
    </w:p>
    <w:p w14:paraId="6B34B988">
      <w:pPr>
        <w:widowControl w:val="0"/>
        <w:numPr>
          <w:ilvl w:val="-1"/>
          <w:numId w:val="0"/>
        </w:numPr>
        <w:tabs>
          <w:tab w:val="left" w:pos="600"/>
        </w:tabs>
        <w:adjustRightInd w:val="0"/>
        <w:snapToGrid w:val="0"/>
        <w:spacing w:after="0" w:line="360" w:lineRule="auto"/>
        <w:ind w:left="0" w:firstLine="480" w:firstLineChars="200"/>
        <w:rPr>
          <w:rFonts w:hint="eastAsia" w:cs="Times New Roman"/>
          <w:color w:val="auto"/>
          <w:kern w:val="2"/>
          <w:sz w:val="24"/>
          <w:szCs w:val="24"/>
          <w:highlight w:val="none"/>
          <w:lang w:eastAsia="zh-CN"/>
        </w:rPr>
      </w:pPr>
      <w:r>
        <w:rPr>
          <w:rFonts w:hint="eastAsia" w:cs="Times New Roman"/>
          <w:color w:val="auto"/>
          <w:kern w:val="2"/>
          <w:sz w:val="24"/>
          <w:szCs w:val="24"/>
          <w:highlight w:val="none"/>
          <w:lang w:eastAsia="zh-CN"/>
        </w:rPr>
        <w:t>（</w:t>
      </w:r>
      <w:r>
        <w:rPr>
          <w:rFonts w:hint="eastAsia" w:cs="Times New Roman"/>
          <w:color w:val="auto"/>
          <w:kern w:val="2"/>
          <w:sz w:val="24"/>
          <w:szCs w:val="24"/>
          <w:highlight w:val="none"/>
          <w:lang w:val="en-US" w:eastAsia="zh-CN"/>
        </w:rPr>
        <w:t>2</w:t>
      </w:r>
      <w:r>
        <w:rPr>
          <w:rFonts w:hint="eastAsia" w:cs="Times New Roman"/>
          <w:color w:val="auto"/>
          <w:kern w:val="2"/>
          <w:sz w:val="24"/>
          <w:szCs w:val="24"/>
          <w:highlight w:val="none"/>
          <w:lang w:eastAsia="zh-CN"/>
        </w:rPr>
        <w:t>）采样要求。宽频测量装置采样要求如下：（</w:t>
      </w:r>
      <w:r>
        <w:rPr>
          <w:rFonts w:hint="eastAsia" w:cs="Times New Roman"/>
          <w:color w:val="auto"/>
          <w:kern w:val="2"/>
          <w:sz w:val="24"/>
          <w:szCs w:val="24"/>
          <w:highlight w:val="none"/>
          <w:lang w:val="en-US" w:eastAsia="zh-CN"/>
        </w:rPr>
        <w:t>a</w:t>
      </w:r>
      <w:r>
        <w:rPr>
          <w:rFonts w:hint="eastAsia" w:cs="Times New Roman"/>
          <w:color w:val="auto"/>
          <w:kern w:val="2"/>
          <w:sz w:val="24"/>
          <w:szCs w:val="24"/>
          <w:highlight w:val="none"/>
          <w:lang w:eastAsia="zh-CN"/>
        </w:rPr>
        <w:t>）宜采用模拟量采样；（</w:t>
      </w:r>
      <w:r>
        <w:rPr>
          <w:rFonts w:hint="eastAsia" w:cs="Times New Roman"/>
          <w:color w:val="auto"/>
          <w:kern w:val="2"/>
          <w:sz w:val="24"/>
          <w:szCs w:val="24"/>
          <w:highlight w:val="none"/>
          <w:lang w:val="en-US" w:eastAsia="zh-CN"/>
        </w:rPr>
        <w:t>b</w:t>
      </w:r>
      <w:r>
        <w:rPr>
          <w:rFonts w:hint="eastAsia" w:cs="Times New Roman"/>
          <w:color w:val="auto"/>
          <w:kern w:val="2"/>
          <w:sz w:val="24"/>
          <w:szCs w:val="24"/>
          <w:highlight w:val="none"/>
          <w:lang w:eastAsia="zh-CN"/>
        </w:rPr>
        <w:t>）采样频率应不低于12.8kHz；（</w:t>
      </w:r>
      <w:r>
        <w:rPr>
          <w:rFonts w:hint="eastAsia" w:cs="Times New Roman"/>
          <w:color w:val="auto"/>
          <w:kern w:val="2"/>
          <w:sz w:val="24"/>
          <w:szCs w:val="24"/>
          <w:highlight w:val="none"/>
          <w:lang w:val="en-US" w:eastAsia="zh-CN"/>
        </w:rPr>
        <w:t>c</w:t>
      </w:r>
      <w:r>
        <w:rPr>
          <w:rFonts w:hint="eastAsia" w:cs="Times New Roman"/>
          <w:color w:val="auto"/>
          <w:kern w:val="2"/>
          <w:sz w:val="24"/>
          <w:szCs w:val="24"/>
          <w:highlight w:val="none"/>
          <w:lang w:eastAsia="zh-CN"/>
        </w:rPr>
        <w:t>）</w:t>
      </w:r>
      <w:r>
        <w:rPr>
          <w:rFonts w:hint="eastAsia" w:cs="Times New Roman"/>
          <w:color w:val="auto"/>
          <w:kern w:val="2"/>
          <w:sz w:val="24"/>
          <w:szCs w:val="24"/>
          <w:highlight w:val="none"/>
          <w:lang w:eastAsia="zh-CN"/>
        </w:rPr>
        <w:t>应能接入不少于8个电气间隔的数据测量，每个电气间隔应接入三相电压、三相电流。</w:t>
      </w:r>
    </w:p>
    <w:p w14:paraId="38D8B3AC">
      <w:pPr>
        <w:widowControl w:val="0"/>
        <w:numPr>
          <w:ilvl w:val="-1"/>
          <w:numId w:val="0"/>
        </w:numPr>
        <w:tabs>
          <w:tab w:val="left" w:pos="600"/>
        </w:tabs>
        <w:adjustRightInd w:val="0"/>
        <w:snapToGrid w:val="0"/>
        <w:spacing w:after="0" w:line="360" w:lineRule="auto"/>
        <w:ind w:left="0" w:firstLine="480" w:firstLineChars="200"/>
        <w:rPr>
          <w:rFonts w:hint="eastAsia" w:cs="Times New Roman"/>
          <w:color w:val="auto"/>
          <w:kern w:val="2"/>
          <w:sz w:val="24"/>
          <w:szCs w:val="24"/>
          <w:highlight w:val="none"/>
          <w:lang w:eastAsia="zh-CN"/>
        </w:rPr>
      </w:pPr>
      <w:r>
        <w:rPr>
          <w:rFonts w:hint="eastAsia" w:cs="Times New Roman"/>
          <w:color w:val="auto"/>
          <w:kern w:val="2"/>
          <w:sz w:val="24"/>
          <w:szCs w:val="24"/>
          <w:highlight w:val="none"/>
          <w:lang w:eastAsia="zh-CN"/>
        </w:rPr>
        <w:t>（</w:t>
      </w:r>
      <w:r>
        <w:rPr>
          <w:rFonts w:hint="eastAsia" w:cs="Times New Roman"/>
          <w:color w:val="auto"/>
          <w:kern w:val="2"/>
          <w:sz w:val="24"/>
          <w:szCs w:val="24"/>
          <w:highlight w:val="none"/>
          <w:lang w:val="en-US" w:eastAsia="zh-CN"/>
        </w:rPr>
        <w:t>3</w:t>
      </w:r>
      <w:r>
        <w:rPr>
          <w:rFonts w:hint="eastAsia" w:cs="Times New Roman"/>
          <w:color w:val="auto"/>
          <w:kern w:val="2"/>
          <w:sz w:val="24"/>
          <w:szCs w:val="24"/>
          <w:highlight w:val="none"/>
          <w:lang w:eastAsia="zh-CN"/>
        </w:rPr>
        <w:t>）测量功能。宽频测量装置测量功能要求如下：（</w:t>
      </w:r>
      <w:r>
        <w:rPr>
          <w:rFonts w:hint="eastAsia" w:cs="Times New Roman"/>
          <w:color w:val="auto"/>
          <w:kern w:val="2"/>
          <w:sz w:val="24"/>
          <w:szCs w:val="24"/>
          <w:highlight w:val="none"/>
          <w:lang w:val="en-US" w:eastAsia="zh-CN"/>
        </w:rPr>
        <w:t>a</w:t>
      </w:r>
      <w:r>
        <w:rPr>
          <w:rFonts w:hint="eastAsia" w:cs="Times New Roman"/>
          <w:color w:val="auto"/>
          <w:kern w:val="2"/>
          <w:sz w:val="24"/>
          <w:szCs w:val="24"/>
          <w:highlight w:val="none"/>
          <w:lang w:eastAsia="zh-CN"/>
        </w:rPr>
        <w:t>）应支持三相基波电压相量、三相基波电流相量、电压电流的基波正序相量、频率、频率变化率、功率和开关量信号的测量功能；（</w:t>
      </w:r>
      <w:r>
        <w:rPr>
          <w:rFonts w:hint="eastAsia" w:cs="Times New Roman"/>
          <w:color w:val="auto"/>
          <w:kern w:val="2"/>
          <w:sz w:val="24"/>
          <w:szCs w:val="24"/>
          <w:highlight w:val="none"/>
          <w:lang w:val="en-US" w:eastAsia="zh-CN"/>
        </w:rPr>
        <w:t>b</w:t>
      </w:r>
      <w:r>
        <w:rPr>
          <w:rFonts w:hint="eastAsia" w:cs="Times New Roman"/>
          <w:color w:val="auto"/>
          <w:kern w:val="2"/>
          <w:sz w:val="24"/>
          <w:szCs w:val="24"/>
          <w:highlight w:val="none"/>
          <w:lang w:eastAsia="zh-CN"/>
        </w:rPr>
        <w:t>）应支持2.5-45Hz、55-100Hz范围内间谐波电压、电流的测量，包括频率及各频率对应的幅值；（</w:t>
      </w:r>
      <w:r>
        <w:rPr>
          <w:rFonts w:hint="eastAsia" w:cs="Times New Roman"/>
          <w:color w:val="auto"/>
          <w:kern w:val="2"/>
          <w:sz w:val="24"/>
          <w:szCs w:val="24"/>
          <w:highlight w:val="none"/>
          <w:lang w:val="en-US" w:eastAsia="zh-CN"/>
        </w:rPr>
        <w:t>c</w:t>
      </w:r>
      <w:r>
        <w:rPr>
          <w:rFonts w:hint="eastAsia" w:cs="Times New Roman"/>
          <w:color w:val="auto"/>
          <w:kern w:val="2"/>
          <w:sz w:val="24"/>
          <w:szCs w:val="24"/>
          <w:highlight w:val="none"/>
          <w:lang w:eastAsia="zh-CN"/>
        </w:rPr>
        <w:t>）应支持100-2500Hz范围内谐波、间谐波测量，谐波、间谐波的计算方法宜遵循</w:t>
      </w:r>
      <w:r>
        <w:rPr>
          <w:rFonts w:hint="eastAsia" w:cs="Times New Roman"/>
          <w:color w:val="auto"/>
          <w:kern w:val="2"/>
          <w:sz w:val="24"/>
          <w:szCs w:val="24"/>
          <w:highlight w:val="none"/>
          <w:lang w:val="en-GB" w:eastAsia="zh-CN"/>
        </w:rPr>
        <w:t>GB/T 17626.7标准。</w:t>
      </w:r>
    </w:p>
    <w:p w14:paraId="05F223D5">
      <w:pPr>
        <w:widowControl w:val="0"/>
        <w:numPr>
          <w:ilvl w:val="-1"/>
          <w:numId w:val="0"/>
        </w:numPr>
        <w:tabs>
          <w:tab w:val="left" w:pos="600"/>
        </w:tabs>
        <w:adjustRightInd w:val="0"/>
        <w:snapToGrid w:val="0"/>
        <w:spacing w:after="0" w:line="360" w:lineRule="auto"/>
        <w:ind w:firstLine="480" w:firstLineChars="200"/>
        <w:rPr>
          <w:rFonts w:hint="eastAsia" w:eastAsia="宋体" w:cs="Times New Roman"/>
          <w:color w:val="auto"/>
          <w:kern w:val="2"/>
          <w:sz w:val="24"/>
          <w:szCs w:val="24"/>
          <w:highlight w:val="none"/>
          <w:lang w:eastAsia="zh-CN"/>
        </w:rPr>
      </w:pPr>
      <w:r>
        <w:rPr>
          <w:rFonts w:hint="eastAsia" w:cs="Times New Roman"/>
          <w:color w:val="auto"/>
          <w:kern w:val="2"/>
          <w:sz w:val="24"/>
          <w:szCs w:val="24"/>
          <w:highlight w:val="none"/>
          <w:lang w:eastAsia="zh-CN"/>
        </w:rPr>
        <w:t>（</w:t>
      </w:r>
      <w:r>
        <w:rPr>
          <w:rFonts w:hint="eastAsia" w:cs="Times New Roman"/>
          <w:color w:val="auto"/>
          <w:kern w:val="2"/>
          <w:sz w:val="24"/>
          <w:szCs w:val="24"/>
          <w:highlight w:val="none"/>
          <w:lang w:val="en-US" w:eastAsia="zh-CN"/>
        </w:rPr>
        <w:t>4</w:t>
      </w:r>
      <w:r>
        <w:rPr>
          <w:rFonts w:hint="eastAsia" w:cs="Times New Roman"/>
          <w:color w:val="auto"/>
          <w:kern w:val="2"/>
          <w:sz w:val="24"/>
          <w:szCs w:val="24"/>
          <w:highlight w:val="none"/>
          <w:lang w:eastAsia="zh-CN"/>
        </w:rPr>
        <w:t>）宽频振荡监测功能。（</w:t>
      </w:r>
      <w:r>
        <w:rPr>
          <w:rFonts w:hint="eastAsia" w:cs="Times New Roman"/>
          <w:color w:val="auto"/>
          <w:kern w:val="2"/>
          <w:sz w:val="24"/>
          <w:szCs w:val="24"/>
          <w:highlight w:val="none"/>
          <w:lang w:val="en-US" w:eastAsia="zh-CN"/>
        </w:rPr>
        <w:t>a</w:t>
      </w:r>
      <w:r>
        <w:rPr>
          <w:rFonts w:hint="eastAsia" w:cs="Times New Roman"/>
          <w:color w:val="auto"/>
          <w:kern w:val="2"/>
          <w:sz w:val="24"/>
          <w:szCs w:val="24"/>
          <w:highlight w:val="none"/>
          <w:lang w:eastAsia="zh-CN"/>
        </w:rPr>
        <w:t>）低频振荡监测功能（应能监测0.1～2.5Hz范围内电网功率的低频振荡，在电网发生低频振荡时应触发告警并启动录波，并将监测的低频振荡的频率、幅值信息传输到主站。）。（</w:t>
      </w:r>
      <w:r>
        <w:rPr>
          <w:rFonts w:hint="eastAsia" w:cs="Times New Roman"/>
          <w:color w:val="auto"/>
          <w:kern w:val="2"/>
          <w:sz w:val="24"/>
          <w:szCs w:val="24"/>
          <w:highlight w:val="none"/>
          <w:lang w:val="en-US" w:eastAsia="zh-CN"/>
        </w:rPr>
        <w:t>b</w:t>
      </w:r>
      <w:r>
        <w:rPr>
          <w:rFonts w:hint="eastAsia" w:cs="Times New Roman"/>
          <w:color w:val="auto"/>
          <w:kern w:val="2"/>
          <w:sz w:val="24"/>
          <w:szCs w:val="24"/>
          <w:highlight w:val="none"/>
          <w:lang w:eastAsia="zh-CN"/>
        </w:rPr>
        <w:t>）次/超同步振荡监测功能（应能监测2.5～45Hz范围功率的次同步振荡和55～95Hz范围内功率的超同步振荡；电网发生次/超同步振荡时应触发告警并启动录波，并将告警事件传输给主站；应能按照振荡幅度的强弱依次将最主要的10个振荡频率及对应的幅值上送。（</w:t>
      </w:r>
      <w:r>
        <w:rPr>
          <w:rFonts w:hint="eastAsia" w:cs="Times New Roman"/>
          <w:color w:val="auto"/>
          <w:kern w:val="2"/>
          <w:sz w:val="24"/>
          <w:szCs w:val="24"/>
          <w:highlight w:val="none"/>
          <w:lang w:val="en-US" w:eastAsia="zh-CN"/>
        </w:rPr>
        <w:t>c</w:t>
      </w:r>
      <w:r>
        <w:rPr>
          <w:rFonts w:hint="eastAsia" w:cs="Times New Roman"/>
          <w:color w:val="auto"/>
          <w:kern w:val="2"/>
          <w:sz w:val="24"/>
          <w:szCs w:val="24"/>
          <w:highlight w:val="none"/>
          <w:lang w:eastAsia="zh-CN"/>
        </w:rPr>
        <w:t>）</w:t>
      </w:r>
      <w:r>
        <w:rPr>
          <w:rFonts w:hint="eastAsia"/>
          <w:color w:val="auto"/>
          <w:sz w:val="24"/>
          <w:szCs w:val="24"/>
          <w:highlight w:val="none"/>
        </w:rPr>
        <w:t>100-300Hz宽频振荡监测功能</w:t>
      </w:r>
      <w:r>
        <w:rPr>
          <w:rFonts w:hint="eastAsia"/>
          <w:color w:val="auto"/>
          <w:sz w:val="24"/>
          <w:szCs w:val="24"/>
          <w:highlight w:val="none"/>
          <w:lang w:eastAsia="zh-CN"/>
        </w:rPr>
        <w:t>（</w:t>
      </w:r>
      <w:r>
        <w:rPr>
          <w:rFonts w:hint="eastAsia" w:cs="Times New Roman"/>
          <w:color w:val="auto"/>
          <w:kern w:val="2"/>
          <w:sz w:val="24"/>
          <w:szCs w:val="24"/>
          <w:highlight w:val="none"/>
          <w:lang w:eastAsia="zh-CN"/>
        </w:rPr>
        <w:t>应能监测100-300Hz范围内功率的宽频振荡；电网发生宽频振荡时，应触发告警并启动录波，并将告警事件传输给主站；应能按照振荡幅度的强弱依次将最主要的10个振荡频率及对应的幅值上送。</w:t>
      </w:r>
      <w:r>
        <w:rPr>
          <w:rFonts w:hint="eastAsia"/>
          <w:color w:val="auto"/>
          <w:sz w:val="24"/>
          <w:szCs w:val="24"/>
          <w:highlight w:val="none"/>
          <w:lang w:eastAsia="zh-CN"/>
        </w:rPr>
        <w:t>）</w:t>
      </w:r>
    </w:p>
    <w:p w14:paraId="6E0A75FC">
      <w:pPr>
        <w:widowControl w:val="0"/>
        <w:numPr>
          <w:ilvl w:val="-1"/>
          <w:numId w:val="0"/>
        </w:numPr>
        <w:tabs>
          <w:tab w:val="left" w:pos="600"/>
        </w:tabs>
        <w:adjustRightInd w:val="0"/>
        <w:snapToGrid w:val="0"/>
        <w:spacing w:after="0" w:line="360" w:lineRule="auto"/>
        <w:ind w:left="0" w:firstLine="480" w:firstLineChars="200"/>
        <w:rPr>
          <w:rFonts w:hint="eastAsia" w:cs="Times New Roman"/>
          <w:color w:val="auto"/>
          <w:kern w:val="2"/>
          <w:sz w:val="24"/>
          <w:szCs w:val="24"/>
          <w:highlight w:val="none"/>
          <w:lang w:eastAsia="zh-CN"/>
        </w:rPr>
      </w:pPr>
      <w:r>
        <w:rPr>
          <w:rFonts w:hint="eastAsia" w:cs="Times New Roman"/>
          <w:color w:val="auto"/>
          <w:kern w:val="2"/>
          <w:sz w:val="24"/>
          <w:szCs w:val="24"/>
          <w:highlight w:val="none"/>
          <w:lang w:eastAsia="zh-CN"/>
        </w:rPr>
        <w:t>（</w:t>
      </w:r>
      <w:r>
        <w:rPr>
          <w:rFonts w:hint="eastAsia" w:cs="Times New Roman"/>
          <w:color w:val="auto"/>
          <w:kern w:val="2"/>
          <w:sz w:val="24"/>
          <w:szCs w:val="24"/>
          <w:highlight w:val="none"/>
          <w:lang w:val="en-US" w:eastAsia="zh-CN"/>
        </w:rPr>
        <w:t>5</w:t>
      </w:r>
      <w:r>
        <w:rPr>
          <w:rFonts w:hint="eastAsia" w:cs="Times New Roman"/>
          <w:color w:val="auto"/>
          <w:kern w:val="2"/>
          <w:sz w:val="24"/>
          <w:szCs w:val="24"/>
          <w:highlight w:val="none"/>
          <w:lang w:eastAsia="zh-CN"/>
        </w:rPr>
        <w:t>）通信功能。（</w:t>
      </w:r>
      <w:r>
        <w:rPr>
          <w:rFonts w:hint="eastAsia" w:cs="Times New Roman"/>
          <w:color w:val="auto"/>
          <w:kern w:val="2"/>
          <w:sz w:val="24"/>
          <w:szCs w:val="24"/>
          <w:highlight w:val="none"/>
          <w:lang w:val="en-US" w:eastAsia="zh-CN"/>
        </w:rPr>
        <w:t>a</w:t>
      </w:r>
      <w:r>
        <w:rPr>
          <w:rFonts w:hint="eastAsia" w:cs="Times New Roman"/>
          <w:color w:val="auto"/>
          <w:kern w:val="2"/>
          <w:sz w:val="24"/>
          <w:szCs w:val="24"/>
          <w:highlight w:val="none"/>
          <w:lang w:eastAsia="zh-CN"/>
        </w:rPr>
        <w:t>）应支持GB/T26865.2标准，具有对外传输同步相量、间谐波、谐波、告警信息及录波文件的功能；</w:t>
      </w:r>
      <w:r>
        <w:rPr>
          <w:rFonts w:hint="eastAsia" w:cs="Times New Roman"/>
          <w:color w:val="auto"/>
          <w:kern w:val="2"/>
          <w:sz w:val="24"/>
          <w:szCs w:val="24"/>
          <w:highlight w:val="none"/>
          <w:lang w:eastAsia="zh-CN"/>
        </w:rPr>
        <w:t>建议宽频测量装置传输规约需同时支持V3、V2版本规约。</w:t>
      </w:r>
      <w:r>
        <w:rPr>
          <w:rFonts w:hint="eastAsia" w:cs="Times New Roman"/>
          <w:color w:val="auto"/>
          <w:kern w:val="2"/>
          <w:sz w:val="24"/>
          <w:szCs w:val="24"/>
          <w:highlight w:val="none"/>
          <w:lang w:eastAsia="zh-CN"/>
        </w:rPr>
        <w:t>（</w:t>
      </w:r>
      <w:r>
        <w:rPr>
          <w:rFonts w:hint="eastAsia" w:cs="Times New Roman"/>
          <w:color w:val="auto"/>
          <w:kern w:val="2"/>
          <w:sz w:val="24"/>
          <w:szCs w:val="24"/>
          <w:highlight w:val="none"/>
          <w:lang w:val="en-US" w:eastAsia="zh-CN"/>
        </w:rPr>
        <w:t>b</w:t>
      </w:r>
      <w:r>
        <w:rPr>
          <w:rFonts w:hint="eastAsia" w:cs="Times New Roman"/>
          <w:color w:val="auto"/>
          <w:kern w:val="2"/>
          <w:sz w:val="24"/>
          <w:szCs w:val="24"/>
          <w:highlight w:val="none"/>
          <w:lang w:eastAsia="zh-CN"/>
        </w:rPr>
        <w:t>）应支持DL/T860标准，具有对外传输告警信息和状态事件的功能；也可具有对外传输基波、谐波、间谐波测量数据的相关功能；（</w:t>
      </w:r>
      <w:r>
        <w:rPr>
          <w:rFonts w:hint="eastAsia" w:cs="Times New Roman"/>
          <w:color w:val="auto"/>
          <w:kern w:val="2"/>
          <w:sz w:val="24"/>
          <w:szCs w:val="24"/>
          <w:highlight w:val="none"/>
          <w:lang w:val="en-US" w:eastAsia="zh-CN"/>
        </w:rPr>
        <w:t>c</w:t>
      </w:r>
      <w:r>
        <w:rPr>
          <w:rFonts w:hint="eastAsia" w:cs="Times New Roman"/>
          <w:color w:val="auto"/>
          <w:kern w:val="2"/>
          <w:sz w:val="24"/>
          <w:szCs w:val="24"/>
          <w:highlight w:val="none"/>
          <w:lang w:eastAsia="zh-CN"/>
        </w:rPr>
        <w:t>）宽频测量数据实时上送时应采用《</w:t>
      </w:r>
      <w:r>
        <w:rPr>
          <w:rFonts w:hint="eastAsia" w:cs="Times New Roman"/>
          <w:color w:val="auto"/>
          <w:kern w:val="2"/>
          <w:sz w:val="24"/>
          <w:szCs w:val="24"/>
          <w:highlight w:val="none"/>
          <w:lang w:val="en-US" w:eastAsia="zh-CN"/>
        </w:rPr>
        <w:t>Q/GDW 12214-2022</w:t>
      </w:r>
      <w:r>
        <w:rPr>
          <w:rFonts w:hint="eastAsia" w:cs="Times New Roman"/>
          <w:color w:val="auto"/>
          <w:kern w:val="2"/>
          <w:sz w:val="24"/>
          <w:szCs w:val="24"/>
          <w:highlight w:val="none"/>
          <w:lang w:eastAsia="zh-CN"/>
        </w:rPr>
        <w:t>》附录A宽频测量装置传输规约。</w:t>
      </w:r>
    </w:p>
    <w:p w14:paraId="17162ACA">
      <w:pPr>
        <w:widowControl w:val="0"/>
        <w:tabs>
          <w:tab w:val="left" w:pos="600"/>
        </w:tabs>
        <w:adjustRightInd w:val="0"/>
        <w:snapToGrid w:val="0"/>
        <w:spacing w:after="0" w:line="360" w:lineRule="auto"/>
        <w:ind w:firstLine="480" w:firstLineChars="200"/>
        <w:rPr>
          <w:rFonts w:hint="eastAsia" w:cs="Times New Roman"/>
          <w:color w:val="auto"/>
          <w:kern w:val="2"/>
          <w:sz w:val="24"/>
          <w:szCs w:val="24"/>
          <w:highlight w:val="none"/>
          <w:lang w:eastAsia="zh-CN"/>
        </w:rPr>
      </w:pPr>
      <w:r>
        <w:rPr>
          <w:rFonts w:hint="eastAsia" w:cs="Times New Roman"/>
          <w:color w:val="auto"/>
          <w:kern w:val="2"/>
          <w:sz w:val="24"/>
          <w:szCs w:val="24"/>
          <w:highlight w:val="none"/>
          <w:lang w:eastAsia="zh-CN"/>
        </w:rPr>
        <w:t>（</w:t>
      </w:r>
      <w:r>
        <w:rPr>
          <w:rFonts w:hint="eastAsia" w:cs="Times New Roman"/>
          <w:color w:val="auto"/>
          <w:kern w:val="2"/>
          <w:sz w:val="24"/>
          <w:szCs w:val="24"/>
          <w:highlight w:val="none"/>
          <w:lang w:val="en-US" w:eastAsia="zh-CN"/>
        </w:rPr>
        <w:t>6</w:t>
      </w:r>
      <w:r>
        <w:rPr>
          <w:rFonts w:hint="eastAsia" w:cs="Times New Roman"/>
          <w:color w:val="auto"/>
          <w:kern w:val="2"/>
          <w:sz w:val="24"/>
          <w:szCs w:val="24"/>
          <w:highlight w:val="none"/>
          <w:lang w:eastAsia="zh-CN"/>
        </w:rPr>
        <w:t>）数据记录功能。</w:t>
      </w:r>
    </w:p>
    <w:p w14:paraId="2B3260FC">
      <w:pPr>
        <w:widowControl w:val="0"/>
        <w:numPr>
          <w:ilvl w:val="-1"/>
          <w:numId w:val="0"/>
        </w:numPr>
        <w:tabs>
          <w:tab w:val="left" w:pos="600"/>
        </w:tabs>
        <w:adjustRightInd w:val="0"/>
        <w:snapToGrid w:val="0"/>
        <w:spacing w:after="0" w:line="360" w:lineRule="auto"/>
        <w:ind w:left="0" w:firstLine="480" w:firstLineChars="200"/>
        <w:rPr>
          <w:rFonts w:hint="eastAsia" w:cs="Times New Roman"/>
          <w:color w:val="auto"/>
          <w:kern w:val="2"/>
          <w:sz w:val="24"/>
          <w:szCs w:val="24"/>
          <w:highlight w:val="none"/>
          <w:lang w:eastAsia="zh-CN"/>
        </w:rPr>
      </w:pPr>
      <w:r>
        <w:rPr>
          <w:rFonts w:hint="eastAsia" w:cs="Times New Roman"/>
          <w:color w:val="auto"/>
          <w:kern w:val="2"/>
          <w:sz w:val="24"/>
          <w:szCs w:val="24"/>
          <w:highlight w:val="none"/>
          <w:lang w:eastAsia="zh-CN"/>
        </w:rPr>
        <w:t>（</w:t>
      </w:r>
      <w:r>
        <w:rPr>
          <w:rFonts w:hint="eastAsia" w:cs="Times New Roman"/>
          <w:color w:val="auto"/>
          <w:kern w:val="2"/>
          <w:sz w:val="24"/>
          <w:szCs w:val="24"/>
          <w:highlight w:val="none"/>
          <w:lang w:val="en-US" w:eastAsia="zh-CN"/>
        </w:rPr>
        <w:t>6.1</w:t>
      </w:r>
      <w:r>
        <w:rPr>
          <w:rFonts w:hint="eastAsia" w:cs="Times New Roman"/>
          <w:color w:val="auto"/>
          <w:kern w:val="2"/>
          <w:sz w:val="24"/>
          <w:szCs w:val="24"/>
          <w:highlight w:val="none"/>
          <w:lang w:eastAsia="zh-CN"/>
        </w:rPr>
        <w:t>）数据记录功能。装置应具备故障录波功能，在电网发生下列事件时应能建立事件记录，并启动录波：（</w:t>
      </w:r>
      <w:r>
        <w:rPr>
          <w:rFonts w:hint="eastAsia" w:cs="Times New Roman"/>
          <w:color w:val="auto"/>
          <w:kern w:val="2"/>
          <w:sz w:val="24"/>
          <w:szCs w:val="24"/>
          <w:highlight w:val="none"/>
          <w:lang w:val="en-US" w:eastAsia="zh-CN"/>
        </w:rPr>
        <w:t>a</w:t>
      </w:r>
      <w:r>
        <w:rPr>
          <w:rFonts w:hint="eastAsia" w:cs="Times New Roman"/>
          <w:color w:val="auto"/>
          <w:kern w:val="2"/>
          <w:sz w:val="24"/>
          <w:szCs w:val="24"/>
          <w:highlight w:val="none"/>
          <w:lang w:eastAsia="zh-CN"/>
        </w:rPr>
        <w:t>）频率越限；（</w:t>
      </w:r>
      <w:r>
        <w:rPr>
          <w:rFonts w:hint="eastAsia" w:cs="Times New Roman"/>
          <w:color w:val="auto"/>
          <w:kern w:val="2"/>
          <w:sz w:val="24"/>
          <w:szCs w:val="24"/>
          <w:highlight w:val="none"/>
          <w:lang w:val="en-US" w:eastAsia="zh-CN"/>
        </w:rPr>
        <w:t>b</w:t>
      </w:r>
      <w:r>
        <w:rPr>
          <w:rFonts w:hint="eastAsia" w:cs="Times New Roman"/>
          <w:color w:val="auto"/>
          <w:kern w:val="2"/>
          <w:sz w:val="24"/>
          <w:szCs w:val="24"/>
          <w:highlight w:val="none"/>
          <w:lang w:eastAsia="zh-CN"/>
        </w:rPr>
        <w:t>）频率变化率越限；（</w:t>
      </w:r>
      <w:r>
        <w:rPr>
          <w:rFonts w:hint="eastAsia" w:cs="Times New Roman"/>
          <w:color w:val="auto"/>
          <w:kern w:val="2"/>
          <w:sz w:val="24"/>
          <w:szCs w:val="24"/>
          <w:highlight w:val="none"/>
          <w:lang w:val="en-US" w:eastAsia="zh-CN"/>
        </w:rPr>
        <w:t>c</w:t>
      </w:r>
      <w:r>
        <w:rPr>
          <w:rFonts w:hint="eastAsia" w:cs="Times New Roman"/>
          <w:color w:val="auto"/>
          <w:kern w:val="2"/>
          <w:sz w:val="24"/>
          <w:szCs w:val="24"/>
          <w:highlight w:val="none"/>
          <w:lang w:eastAsia="zh-CN"/>
        </w:rPr>
        <w:t>）幅值越上限，包括正序电压、正序电流、负序电压、负序电流、零序电压、零序电流、相电压、相电流越上限；（</w:t>
      </w:r>
      <w:r>
        <w:rPr>
          <w:rFonts w:hint="eastAsia" w:cs="Times New Roman"/>
          <w:color w:val="auto"/>
          <w:kern w:val="2"/>
          <w:sz w:val="24"/>
          <w:szCs w:val="24"/>
          <w:highlight w:val="none"/>
          <w:lang w:val="en-US" w:eastAsia="zh-CN"/>
        </w:rPr>
        <w:t>d</w:t>
      </w:r>
      <w:r>
        <w:rPr>
          <w:rFonts w:hint="eastAsia" w:cs="Times New Roman"/>
          <w:color w:val="auto"/>
          <w:kern w:val="2"/>
          <w:sz w:val="24"/>
          <w:szCs w:val="24"/>
          <w:highlight w:val="none"/>
          <w:lang w:eastAsia="zh-CN"/>
        </w:rPr>
        <w:t>）幅值越下限，包括正序电压、相电压越下限；</w:t>
      </w:r>
      <w:r>
        <w:rPr>
          <w:rFonts w:hint="eastAsia" w:cs="Times New Roman"/>
          <w:color w:val="auto"/>
          <w:kern w:val="2"/>
          <w:sz w:val="24"/>
          <w:szCs w:val="24"/>
          <w:highlight w:val="none"/>
          <w:lang w:val="en-US" w:eastAsia="zh-CN"/>
        </w:rPr>
        <w:t>(e)</w:t>
      </w:r>
      <w:r>
        <w:rPr>
          <w:rFonts w:hint="eastAsia" w:cs="Times New Roman"/>
          <w:color w:val="auto"/>
          <w:kern w:val="2"/>
          <w:sz w:val="24"/>
          <w:szCs w:val="24"/>
          <w:highlight w:val="none"/>
          <w:lang w:eastAsia="zh-CN"/>
        </w:rPr>
        <w:t>系统发生低频振荡；</w:t>
      </w:r>
      <w:r>
        <w:rPr>
          <w:rFonts w:hint="eastAsia" w:cs="Times New Roman"/>
          <w:color w:val="auto"/>
          <w:kern w:val="2"/>
          <w:sz w:val="24"/>
          <w:szCs w:val="24"/>
          <w:highlight w:val="none"/>
          <w:lang w:val="en-US" w:eastAsia="zh-CN"/>
        </w:rPr>
        <w:t>(f)</w:t>
      </w:r>
      <w:r>
        <w:rPr>
          <w:rFonts w:hint="eastAsia" w:cs="Times New Roman"/>
          <w:color w:val="auto"/>
          <w:kern w:val="2"/>
          <w:sz w:val="24"/>
          <w:szCs w:val="24"/>
          <w:highlight w:val="none"/>
          <w:lang w:eastAsia="zh-CN"/>
        </w:rPr>
        <w:t>系统发生次/超同步振荡；</w:t>
      </w:r>
      <w:r>
        <w:rPr>
          <w:rFonts w:hint="eastAsia" w:cs="Times New Roman"/>
          <w:color w:val="auto"/>
          <w:kern w:val="2"/>
          <w:sz w:val="24"/>
          <w:szCs w:val="24"/>
          <w:highlight w:val="none"/>
          <w:lang w:val="en-US" w:eastAsia="zh-CN"/>
        </w:rPr>
        <w:t>(g)</w:t>
      </w:r>
      <w:r>
        <w:rPr>
          <w:rFonts w:hint="eastAsia" w:cs="Times New Roman"/>
          <w:color w:val="auto"/>
          <w:kern w:val="2"/>
          <w:sz w:val="24"/>
          <w:szCs w:val="24"/>
          <w:highlight w:val="none"/>
          <w:lang w:eastAsia="zh-CN"/>
        </w:rPr>
        <w:t>系统发生宽频振荡；</w:t>
      </w:r>
      <w:r>
        <w:rPr>
          <w:rFonts w:hint="eastAsia" w:cs="Times New Roman"/>
          <w:color w:val="auto"/>
          <w:kern w:val="2"/>
          <w:sz w:val="24"/>
          <w:szCs w:val="24"/>
          <w:highlight w:val="none"/>
          <w:lang w:val="en-US" w:eastAsia="zh-CN"/>
        </w:rPr>
        <w:t>(h)</w:t>
      </w:r>
      <w:r>
        <w:rPr>
          <w:rFonts w:hint="eastAsia" w:cs="Times New Roman"/>
          <w:color w:val="auto"/>
          <w:kern w:val="2"/>
          <w:sz w:val="24"/>
          <w:szCs w:val="24"/>
          <w:highlight w:val="none"/>
          <w:lang w:eastAsia="zh-CN"/>
        </w:rPr>
        <w:t>系统发生谐波电流越限、谐波电压越限；</w:t>
      </w:r>
      <w:r>
        <w:rPr>
          <w:rFonts w:hint="eastAsia" w:cs="Times New Roman"/>
          <w:color w:val="auto"/>
          <w:kern w:val="2"/>
          <w:sz w:val="24"/>
          <w:szCs w:val="24"/>
          <w:highlight w:val="none"/>
          <w:lang w:val="en-US" w:eastAsia="zh-CN"/>
        </w:rPr>
        <w:t>(i)</w:t>
      </w:r>
      <w:r>
        <w:rPr>
          <w:rFonts w:hint="eastAsia" w:cs="Times New Roman"/>
          <w:color w:val="auto"/>
          <w:kern w:val="2"/>
          <w:sz w:val="24"/>
          <w:szCs w:val="24"/>
          <w:highlight w:val="none"/>
          <w:lang w:eastAsia="zh-CN"/>
        </w:rPr>
        <w:t>系统发生间谐波电压越限、间谐波电流越限。</w:t>
      </w:r>
    </w:p>
    <w:p w14:paraId="3C13D9A5">
      <w:pPr>
        <w:widowControl w:val="0"/>
        <w:numPr>
          <w:ilvl w:val="-1"/>
          <w:numId w:val="0"/>
        </w:numPr>
        <w:tabs>
          <w:tab w:val="left" w:pos="600"/>
        </w:tabs>
        <w:adjustRightInd w:val="0"/>
        <w:snapToGrid w:val="0"/>
        <w:spacing w:after="0" w:line="360" w:lineRule="auto"/>
        <w:ind w:left="0" w:firstLine="480" w:firstLineChars="200"/>
        <w:rPr>
          <w:rFonts w:hint="eastAsia" w:cs="Times New Roman"/>
          <w:color w:val="auto"/>
          <w:kern w:val="2"/>
          <w:sz w:val="24"/>
          <w:szCs w:val="24"/>
          <w:highlight w:val="none"/>
          <w:lang w:eastAsia="zh-CN"/>
        </w:rPr>
      </w:pPr>
      <w:r>
        <w:rPr>
          <w:rFonts w:hint="eastAsia" w:cs="Times New Roman"/>
          <w:color w:val="auto"/>
          <w:kern w:val="2"/>
          <w:sz w:val="24"/>
          <w:szCs w:val="24"/>
          <w:highlight w:val="none"/>
          <w:lang w:val="en-US" w:eastAsia="zh-CN"/>
        </w:rPr>
        <w:t>(6.2)</w:t>
      </w:r>
      <w:r>
        <w:rPr>
          <w:rFonts w:hint="eastAsia" w:cs="Times New Roman"/>
          <w:color w:val="auto"/>
          <w:kern w:val="2"/>
          <w:sz w:val="24"/>
          <w:szCs w:val="24"/>
          <w:highlight w:val="none"/>
          <w:lang w:eastAsia="zh-CN"/>
        </w:rPr>
        <w:t>数据记录的安全性。宽频测量装置数据记录的安全性要求如下：（</w:t>
      </w:r>
      <w:r>
        <w:rPr>
          <w:rFonts w:hint="eastAsia" w:cs="Times New Roman"/>
          <w:color w:val="auto"/>
          <w:kern w:val="2"/>
          <w:sz w:val="24"/>
          <w:szCs w:val="24"/>
          <w:highlight w:val="none"/>
          <w:lang w:val="en-US" w:eastAsia="zh-CN"/>
        </w:rPr>
        <w:t>a</w:t>
      </w:r>
      <w:r>
        <w:rPr>
          <w:rFonts w:hint="eastAsia" w:cs="Times New Roman"/>
          <w:color w:val="auto"/>
          <w:kern w:val="2"/>
          <w:sz w:val="24"/>
          <w:szCs w:val="24"/>
          <w:highlight w:val="none"/>
          <w:lang w:eastAsia="zh-CN"/>
        </w:rPr>
        <w:t>）不应因直流电源中断、快速或缓慢波动及跌落丢失已保存的记录数据和录波文件；（</w:t>
      </w:r>
      <w:r>
        <w:rPr>
          <w:rFonts w:hint="eastAsia" w:cs="Times New Roman"/>
          <w:color w:val="auto"/>
          <w:kern w:val="2"/>
          <w:sz w:val="24"/>
          <w:szCs w:val="24"/>
          <w:highlight w:val="none"/>
          <w:lang w:val="en-US" w:eastAsia="zh-CN"/>
        </w:rPr>
        <w:t>b</w:t>
      </w:r>
      <w:r>
        <w:rPr>
          <w:rFonts w:hint="eastAsia" w:cs="Times New Roman"/>
          <w:color w:val="auto"/>
          <w:kern w:val="2"/>
          <w:sz w:val="24"/>
          <w:szCs w:val="24"/>
          <w:highlight w:val="none"/>
          <w:lang w:eastAsia="zh-CN"/>
        </w:rPr>
        <w:t>）不应因外部访问而删除动态记录数据和录波文件；（</w:t>
      </w:r>
      <w:r>
        <w:rPr>
          <w:rFonts w:hint="eastAsia" w:cs="Times New Roman"/>
          <w:color w:val="auto"/>
          <w:kern w:val="2"/>
          <w:sz w:val="24"/>
          <w:szCs w:val="24"/>
          <w:highlight w:val="none"/>
          <w:lang w:val="en-US" w:eastAsia="zh-CN"/>
        </w:rPr>
        <w:t>c</w:t>
      </w:r>
      <w:r>
        <w:rPr>
          <w:rFonts w:hint="eastAsia" w:cs="Times New Roman"/>
          <w:color w:val="auto"/>
          <w:kern w:val="2"/>
          <w:sz w:val="24"/>
          <w:szCs w:val="24"/>
          <w:highlight w:val="none"/>
          <w:lang w:eastAsia="zh-CN"/>
        </w:rPr>
        <w:t>）不应提供人工删除和修改动态记录数据和录波文件的功能；（</w:t>
      </w:r>
      <w:r>
        <w:rPr>
          <w:rFonts w:hint="eastAsia" w:cs="Times New Roman"/>
          <w:color w:val="auto"/>
          <w:kern w:val="2"/>
          <w:sz w:val="24"/>
          <w:szCs w:val="24"/>
          <w:highlight w:val="none"/>
          <w:lang w:val="en-US" w:eastAsia="zh-CN"/>
        </w:rPr>
        <w:t>d</w:t>
      </w:r>
      <w:r>
        <w:rPr>
          <w:rFonts w:hint="eastAsia" w:cs="Times New Roman"/>
          <w:color w:val="auto"/>
          <w:kern w:val="2"/>
          <w:sz w:val="24"/>
          <w:szCs w:val="24"/>
          <w:highlight w:val="none"/>
          <w:lang w:eastAsia="zh-CN"/>
        </w:rPr>
        <w:t>）时间同步、失步切换时，应能可靠记录动态数据，并保证记录数据时标的正确性。</w:t>
      </w:r>
    </w:p>
    <w:p w14:paraId="423DB937">
      <w:pPr>
        <w:widowControl w:val="0"/>
        <w:numPr>
          <w:ilvl w:val="-1"/>
          <w:numId w:val="0"/>
        </w:numPr>
        <w:tabs>
          <w:tab w:val="left" w:pos="600"/>
        </w:tabs>
        <w:adjustRightInd w:val="0"/>
        <w:snapToGrid w:val="0"/>
        <w:spacing w:after="0" w:line="360" w:lineRule="auto"/>
        <w:ind w:left="0" w:firstLine="480" w:firstLineChars="200"/>
        <w:rPr>
          <w:rFonts w:hint="eastAsia" w:cs="Times New Roman"/>
          <w:color w:val="auto"/>
          <w:kern w:val="2"/>
          <w:sz w:val="24"/>
          <w:szCs w:val="24"/>
          <w:highlight w:val="none"/>
          <w:lang w:eastAsia="zh-CN"/>
        </w:rPr>
      </w:pPr>
      <w:r>
        <w:rPr>
          <w:rFonts w:hint="eastAsia" w:cs="Times New Roman"/>
          <w:color w:val="auto"/>
          <w:kern w:val="2"/>
          <w:sz w:val="24"/>
          <w:szCs w:val="24"/>
          <w:highlight w:val="none"/>
          <w:lang w:eastAsia="zh-CN"/>
        </w:rPr>
        <w:t>（</w:t>
      </w:r>
      <w:r>
        <w:rPr>
          <w:rFonts w:hint="eastAsia" w:cs="Times New Roman"/>
          <w:color w:val="auto"/>
          <w:kern w:val="2"/>
          <w:sz w:val="24"/>
          <w:szCs w:val="24"/>
          <w:highlight w:val="none"/>
          <w:lang w:val="en-US" w:eastAsia="zh-CN"/>
        </w:rPr>
        <w:t>7</w:t>
      </w:r>
      <w:r>
        <w:rPr>
          <w:rFonts w:hint="eastAsia" w:cs="Times New Roman"/>
          <w:color w:val="auto"/>
          <w:kern w:val="2"/>
          <w:sz w:val="24"/>
          <w:szCs w:val="24"/>
          <w:highlight w:val="none"/>
          <w:lang w:eastAsia="zh-CN"/>
        </w:rPr>
        <w:t>）时间同步。（</w:t>
      </w:r>
      <w:r>
        <w:rPr>
          <w:rFonts w:hint="eastAsia" w:cs="Times New Roman"/>
          <w:color w:val="auto"/>
          <w:kern w:val="2"/>
          <w:sz w:val="24"/>
          <w:szCs w:val="24"/>
          <w:highlight w:val="none"/>
          <w:lang w:val="en-US" w:eastAsia="zh-CN"/>
        </w:rPr>
        <w:t>a</w:t>
      </w:r>
      <w:r>
        <w:rPr>
          <w:rFonts w:hint="eastAsia" w:cs="Times New Roman"/>
          <w:color w:val="auto"/>
          <w:kern w:val="2"/>
          <w:sz w:val="24"/>
          <w:szCs w:val="24"/>
          <w:highlight w:val="none"/>
          <w:lang w:eastAsia="zh-CN"/>
        </w:rPr>
        <w:t>）宽频测量装置应采用厂站时间同步装置输出的时间同步信号作为数据采样的基准时间源。（</w:t>
      </w:r>
      <w:r>
        <w:rPr>
          <w:rFonts w:hint="eastAsia" w:cs="Times New Roman"/>
          <w:color w:val="auto"/>
          <w:kern w:val="2"/>
          <w:sz w:val="24"/>
          <w:szCs w:val="24"/>
          <w:highlight w:val="none"/>
          <w:lang w:val="en-US" w:eastAsia="zh-CN"/>
        </w:rPr>
        <w:t>b</w:t>
      </w:r>
      <w:r>
        <w:rPr>
          <w:rFonts w:hint="eastAsia" w:cs="Times New Roman"/>
          <w:color w:val="auto"/>
          <w:kern w:val="2"/>
          <w:sz w:val="24"/>
          <w:szCs w:val="24"/>
          <w:highlight w:val="none"/>
          <w:lang w:eastAsia="zh-CN"/>
        </w:rPr>
        <w:t>）装置同步功能应具有守时功能，在闰秒发生期间，装置不应产生数据错误、数据丢失等异常状况；数据帧中的闰秒标志位应能真实反应闰秒的实际情况。</w:t>
      </w:r>
    </w:p>
    <w:p w14:paraId="04E6FB8B">
      <w:pPr>
        <w:widowControl w:val="0"/>
        <w:tabs>
          <w:tab w:val="left" w:pos="600"/>
        </w:tabs>
        <w:adjustRightInd w:val="0"/>
        <w:snapToGrid w:val="0"/>
        <w:spacing w:after="0" w:line="360" w:lineRule="auto"/>
        <w:ind w:firstLine="480" w:firstLineChars="200"/>
        <w:rPr>
          <w:rFonts w:hint="eastAsia" w:cs="Times New Roman"/>
          <w:color w:val="auto"/>
          <w:kern w:val="2"/>
          <w:sz w:val="24"/>
          <w:szCs w:val="24"/>
          <w:highlight w:val="none"/>
          <w:lang w:eastAsia="zh-CN"/>
        </w:rPr>
      </w:pPr>
      <w:r>
        <w:rPr>
          <w:rFonts w:hint="eastAsia" w:cs="Times New Roman"/>
          <w:color w:val="auto"/>
          <w:kern w:val="2"/>
          <w:sz w:val="24"/>
          <w:szCs w:val="24"/>
          <w:highlight w:val="none"/>
          <w:lang w:eastAsia="zh-CN"/>
        </w:rPr>
        <w:t>4.2</w:t>
      </w:r>
      <w:r>
        <w:rPr>
          <w:rFonts w:hint="eastAsia" w:cs="Times New Roman"/>
          <w:color w:val="auto"/>
          <w:kern w:val="2"/>
          <w:sz w:val="24"/>
          <w:szCs w:val="24"/>
          <w:highlight w:val="none"/>
          <w:lang w:val="en-US" w:eastAsia="zh-CN"/>
        </w:rPr>
        <w:t>.3</w:t>
      </w:r>
      <w:r>
        <w:rPr>
          <w:rFonts w:hint="eastAsia" w:cs="Times New Roman"/>
          <w:color w:val="auto"/>
          <w:kern w:val="2"/>
          <w:sz w:val="24"/>
          <w:szCs w:val="24"/>
          <w:highlight w:val="none"/>
          <w:lang w:eastAsia="zh-CN"/>
        </w:rPr>
        <w:t>性能要求</w:t>
      </w:r>
    </w:p>
    <w:p w14:paraId="75EE41AF">
      <w:pPr>
        <w:widowControl w:val="0"/>
        <w:tabs>
          <w:tab w:val="left" w:pos="600"/>
        </w:tabs>
        <w:adjustRightInd w:val="0"/>
        <w:snapToGrid w:val="0"/>
        <w:spacing w:after="0" w:line="360" w:lineRule="auto"/>
        <w:ind w:firstLine="480" w:firstLineChars="200"/>
        <w:rPr>
          <w:rFonts w:hint="eastAsia" w:cs="Times New Roman"/>
          <w:color w:val="auto"/>
          <w:kern w:val="2"/>
          <w:sz w:val="24"/>
          <w:szCs w:val="24"/>
          <w:highlight w:val="none"/>
          <w:lang w:eastAsia="zh-CN"/>
        </w:rPr>
      </w:pPr>
      <w:r>
        <w:rPr>
          <w:rFonts w:hint="eastAsia" w:cs="Times New Roman"/>
          <w:color w:val="auto"/>
          <w:kern w:val="2"/>
          <w:sz w:val="24"/>
          <w:szCs w:val="24"/>
          <w:highlight w:val="none"/>
          <w:lang w:eastAsia="zh-CN"/>
        </w:rPr>
        <w:t>（</w:t>
      </w:r>
      <w:r>
        <w:rPr>
          <w:rFonts w:hint="eastAsia" w:cs="Times New Roman"/>
          <w:color w:val="auto"/>
          <w:kern w:val="2"/>
          <w:sz w:val="24"/>
          <w:szCs w:val="24"/>
          <w:highlight w:val="none"/>
          <w:lang w:val="en-US" w:eastAsia="zh-CN"/>
        </w:rPr>
        <w:t>1</w:t>
      </w:r>
      <w:r>
        <w:rPr>
          <w:rFonts w:hint="eastAsia" w:cs="Times New Roman"/>
          <w:color w:val="auto"/>
          <w:kern w:val="2"/>
          <w:sz w:val="24"/>
          <w:szCs w:val="24"/>
          <w:highlight w:val="none"/>
          <w:lang w:eastAsia="zh-CN"/>
        </w:rPr>
        <w:t>）零漂要求。交流二次电压回路的零漂值应小于0.05V，交流二次电流回路的零漂值应小于0.1%In。</w:t>
      </w:r>
    </w:p>
    <w:p w14:paraId="1FAC3602">
      <w:pPr>
        <w:widowControl w:val="0"/>
        <w:tabs>
          <w:tab w:val="left" w:pos="600"/>
        </w:tabs>
        <w:adjustRightInd w:val="0"/>
        <w:snapToGrid w:val="0"/>
        <w:spacing w:after="0" w:line="360" w:lineRule="auto"/>
        <w:ind w:firstLine="480" w:firstLineChars="200"/>
        <w:rPr>
          <w:rFonts w:hint="eastAsia" w:cs="Times New Roman"/>
          <w:color w:val="auto"/>
          <w:kern w:val="2"/>
          <w:sz w:val="24"/>
          <w:szCs w:val="24"/>
          <w:highlight w:val="none"/>
          <w:lang w:eastAsia="zh-CN"/>
        </w:rPr>
      </w:pPr>
      <w:r>
        <w:rPr>
          <w:rFonts w:hint="eastAsia" w:cs="Times New Roman"/>
          <w:color w:val="auto"/>
          <w:kern w:val="2"/>
          <w:sz w:val="24"/>
          <w:szCs w:val="24"/>
          <w:highlight w:val="none"/>
          <w:lang w:eastAsia="zh-CN"/>
        </w:rPr>
        <w:t>（</w:t>
      </w:r>
      <w:r>
        <w:rPr>
          <w:rFonts w:hint="eastAsia" w:cs="Times New Roman"/>
          <w:color w:val="auto"/>
          <w:kern w:val="2"/>
          <w:sz w:val="24"/>
          <w:szCs w:val="24"/>
          <w:highlight w:val="none"/>
          <w:lang w:val="en-US" w:eastAsia="zh-CN"/>
        </w:rPr>
        <w:t>2</w:t>
      </w:r>
      <w:r>
        <w:rPr>
          <w:rFonts w:hint="eastAsia" w:cs="Times New Roman"/>
          <w:color w:val="auto"/>
          <w:kern w:val="2"/>
          <w:sz w:val="24"/>
          <w:szCs w:val="24"/>
          <w:highlight w:val="none"/>
          <w:lang w:eastAsia="zh-CN"/>
        </w:rPr>
        <w:t>）频率设置要求。电压异常时，装置间隔频率显示为0，通信规约FREQ字段设置0x8000，对应的频率偏移量为-32.768Hz，表明该频率数值无效。</w:t>
      </w:r>
    </w:p>
    <w:p w14:paraId="09E32B7B">
      <w:pPr>
        <w:widowControl w:val="0"/>
        <w:numPr>
          <w:ilvl w:val="-1"/>
          <w:numId w:val="0"/>
        </w:numPr>
        <w:tabs>
          <w:tab w:val="left" w:pos="600"/>
        </w:tabs>
        <w:adjustRightInd w:val="0"/>
        <w:snapToGrid w:val="0"/>
        <w:spacing w:after="0" w:line="360" w:lineRule="auto"/>
        <w:ind w:left="0" w:firstLine="480" w:firstLineChars="200"/>
        <w:rPr>
          <w:rFonts w:hint="eastAsia" w:cs="Times New Roman"/>
          <w:color w:val="auto"/>
          <w:kern w:val="2"/>
          <w:sz w:val="24"/>
          <w:szCs w:val="24"/>
          <w:highlight w:val="none"/>
          <w:lang w:eastAsia="zh-CN"/>
        </w:rPr>
      </w:pPr>
      <w:r>
        <w:rPr>
          <w:rFonts w:hint="eastAsia" w:cs="Times New Roman"/>
          <w:color w:val="auto"/>
          <w:kern w:val="2"/>
          <w:sz w:val="24"/>
          <w:szCs w:val="24"/>
          <w:highlight w:val="none"/>
          <w:lang w:eastAsia="zh-CN"/>
        </w:rPr>
        <w:t>（</w:t>
      </w:r>
      <w:r>
        <w:rPr>
          <w:rFonts w:hint="eastAsia" w:cs="Times New Roman"/>
          <w:color w:val="auto"/>
          <w:kern w:val="2"/>
          <w:sz w:val="24"/>
          <w:szCs w:val="24"/>
          <w:highlight w:val="none"/>
          <w:lang w:val="en-US" w:eastAsia="zh-CN"/>
        </w:rPr>
        <w:t>3</w:t>
      </w:r>
      <w:r>
        <w:rPr>
          <w:rFonts w:hint="eastAsia" w:cs="Times New Roman"/>
          <w:color w:val="auto"/>
          <w:kern w:val="2"/>
          <w:sz w:val="24"/>
          <w:szCs w:val="24"/>
          <w:highlight w:val="none"/>
          <w:lang w:eastAsia="zh-CN"/>
        </w:rPr>
        <w:t>）测量精度。（</w:t>
      </w:r>
      <w:r>
        <w:rPr>
          <w:rFonts w:hint="eastAsia" w:cs="Times New Roman"/>
          <w:color w:val="auto"/>
          <w:kern w:val="2"/>
          <w:sz w:val="24"/>
          <w:szCs w:val="24"/>
          <w:highlight w:val="none"/>
          <w:lang w:val="en-US" w:eastAsia="zh-CN"/>
        </w:rPr>
        <w:t>a</w:t>
      </w:r>
      <w:r>
        <w:rPr>
          <w:rFonts w:hint="eastAsia" w:cs="Times New Roman"/>
          <w:color w:val="auto"/>
          <w:kern w:val="2"/>
          <w:sz w:val="24"/>
          <w:szCs w:val="24"/>
          <w:highlight w:val="none"/>
          <w:lang w:eastAsia="zh-CN"/>
        </w:rPr>
        <w:t>）基波电压、电流相量测量准确度，频率偏移准确度、带外频率影响、双通道双频率、阶跃响应、幅值调制、相角调制、幅值相角同时调制、频率斜坡、三相不平衡测量准确度有功和无功测量的准确度应遵循Q/GDW 10131的要求；（</w:t>
      </w:r>
      <w:r>
        <w:rPr>
          <w:rFonts w:hint="eastAsia" w:cs="Times New Roman"/>
          <w:color w:val="auto"/>
          <w:kern w:val="2"/>
          <w:sz w:val="24"/>
          <w:szCs w:val="24"/>
          <w:highlight w:val="none"/>
          <w:lang w:val="en-US" w:eastAsia="zh-CN"/>
        </w:rPr>
        <w:t>b</w:t>
      </w:r>
      <w:r>
        <w:rPr>
          <w:rFonts w:hint="eastAsia" w:cs="Times New Roman"/>
          <w:color w:val="auto"/>
          <w:kern w:val="2"/>
          <w:sz w:val="24"/>
          <w:szCs w:val="24"/>
          <w:highlight w:val="none"/>
          <w:lang w:eastAsia="zh-CN"/>
        </w:rPr>
        <w:t>）谐波/间谐波测量准确度应遵循GB/T17626.7标准。</w:t>
      </w:r>
    </w:p>
    <w:p w14:paraId="1E8C0EC2">
      <w:pPr>
        <w:widowControl w:val="0"/>
        <w:numPr>
          <w:ilvl w:val="-1"/>
          <w:numId w:val="0"/>
        </w:numPr>
        <w:tabs>
          <w:tab w:val="left" w:pos="600"/>
        </w:tabs>
        <w:adjustRightInd w:val="0"/>
        <w:snapToGrid w:val="0"/>
        <w:spacing w:after="0" w:line="360" w:lineRule="auto"/>
        <w:ind w:left="0" w:firstLine="480" w:firstLineChars="200"/>
        <w:rPr>
          <w:rFonts w:hint="eastAsia" w:cs="Times New Roman"/>
          <w:color w:val="auto"/>
          <w:kern w:val="2"/>
          <w:sz w:val="24"/>
          <w:szCs w:val="24"/>
          <w:highlight w:val="none"/>
          <w:lang w:eastAsia="zh-CN"/>
        </w:rPr>
      </w:pPr>
      <w:r>
        <w:rPr>
          <w:rFonts w:hint="eastAsia" w:cs="Times New Roman"/>
          <w:color w:val="auto"/>
          <w:kern w:val="2"/>
          <w:sz w:val="24"/>
          <w:szCs w:val="24"/>
          <w:highlight w:val="none"/>
          <w:lang w:eastAsia="zh-CN"/>
        </w:rPr>
        <w:t>（</w:t>
      </w:r>
      <w:r>
        <w:rPr>
          <w:rFonts w:hint="eastAsia" w:cs="Times New Roman"/>
          <w:color w:val="auto"/>
          <w:kern w:val="2"/>
          <w:sz w:val="24"/>
          <w:szCs w:val="24"/>
          <w:highlight w:val="none"/>
          <w:lang w:val="en-US" w:eastAsia="zh-CN"/>
        </w:rPr>
        <w:t>4</w:t>
      </w:r>
      <w:r>
        <w:rPr>
          <w:rFonts w:hint="eastAsia" w:cs="Times New Roman"/>
          <w:color w:val="auto"/>
          <w:kern w:val="2"/>
          <w:sz w:val="24"/>
          <w:szCs w:val="24"/>
          <w:highlight w:val="none"/>
          <w:lang w:eastAsia="zh-CN"/>
        </w:rPr>
        <w:t>）装置录波。</w:t>
      </w:r>
      <w:r>
        <w:rPr>
          <w:rFonts w:hint="eastAsia" w:cs="Times New Roman"/>
          <w:color w:val="auto"/>
          <w:kern w:val="2"/>
          <w:sz w:val="24"/>
          <w:szCs w:val="24"/>
          <w:highlight w:val="none"/>
          <w:lang w:val="en-US" w:eastAsia="zh-CN"/>
        </w:rPr>
        <w:t>(a)</w:t>
      </w:r>
      <w:r>
        <w:rPr>
          <w:rFonts w:hint="eastAsia" w:cs="Times New Roman"/>
          <w:color w:val="auto"/>
          <w:kern w:val="2"/>
          <w:sz w:val="24"/>
          <w:szCs w:val="24"/>
          <w:highlight w:val="none"/>
          <w:lang w:eastAsia="zh-CN"/>
        </w:rPr>
        <w:t>应支持触发录波和连续录波两种方式；</w:t>
      </w:r>
      <w:r>
        <w:rPr>
          <w:rFonts w:hint="eastAsia" w:cs="Times New Roman"/>
          <w:color w:val="auto"/>
          <w:kern w:val="2"/>
          <w:sz w:val="24"/>
          <w:szCs w:val="24"/>
          <w:highlight w:val="none"/>
          <w:lang w:val="en-US" w:eastAsia="zh-CN"/>
        </w:rPr>
        <w:t>(b)</w:t>
      </w:r>
      <w:r>
        <w:rPr>
          <w:rFonts w:hint="eastAsia" w:cs="Times New Roman"/>
          <w:color w:val="auto"/>
          <w:kern w:val="2"/>
          <w:sz w:val="24"/>
          <w:szCs w:val="24"/>
          <w:highlight w:val="none"/>
          <w:lang w:eastAsia="zh-CN"/>
        </w:rPr>
        <w:t>触发录波应支持告警、人工及联网触发等方式；触发录波采样率不应低于12.8kHz，告警信号持续存在的情况下录波时间不小于60s，录波记录文件不少于256条，循环记录。</w:t>
      </w:r>
      <w:r>
        <w:rPr>
          <w:rFonts w:hint="eastAsia" w:cs="Times New Roman"/>
          <w:color w:val="auto"/>
          <w:kern w:val="2"/>
          <w:sz w:val="24"/>
          <w:szCs w:val="24"/>
          <w:highlight w:val="none"/>
          <w:lang w:val="en-US" w:eastAsia="zh-CN"/>
        </w:rPr>
        <w:t>(c)</w:t>
      </w:r>
      <w:r>
        <w:rPr>
          <w:rFonts w:hint="eastAsia" w:cs="Times New Roman"/>
          <w:color w:val="auto"/>
          <w:kern w:val="2"/>
          <w:sz w:val="24"/>
          <w:szCs w:val="24"/>
          <w:highlight w:val="none"/>
          <w:lang w:eastAsia="zh-CN"/>
        </w:rPr>
        <w:t>触发录波应支持提供与录波数据对应的动作报告，包括触发事件及时间，触发时刻各间隔告警量幅值及频率等内容；</w:t>
      </w:r>
      <w:r>
        <w:rPr>
          <w:rFonts w:hint="eastAsia" w:cs="Times New Roman"/>
          <w:color w:val="auto"/>
          <w:kern w:val="2"/>
          <w:sz w:val="24"/>
          <w:szCs w:val="24"/>
          <w:highlight w:val="none"/>
          <w:lang w:val="en-US" w:eastAsia="zh-CN"/>
        </w:rPr>
        <w:t>(d)</w:t>
      </w:r>
      <w:r>
        <w:rPr>
          <w:rFonts w:hint="eastAsia" w:cs="Times New Roman"/>
          <w:color w:val="auto"/>
          <w:kern w:val="2"/>
          <w:sz w:val="24"/>
          <w:szCs w:val="24"/>
          <w:highlight w:val="none"/>
          <w:lang w:eastAsia="zh-CN"/>
        </w:rPr>
        <w:t>连续录波应支持不少于72小时连续记录，宜每分钟形成一个录波文件；连续录波的采样频率应不低于6.4kHz，保存时间不少于3天。</w:t>
      </w:r>
    </w:p>
    <w:p w14:paraId="7C18C362">
      <w:pPr>
        <w:widowControl w:val="0"/>
        <w:numPr>
          <w:ilvl w:val="-1"/>
          <w:numId w:val="0"/>
        </w:numPr>
        <w:tabs>
          <w:tab w:val="left" w:pos="600"/>
        </w:tabs>
        <w:adjustRightInd w:val="0"/>
        <w:snapToGrid w:val="0"/>
        <w:spacing w:after="0" w:line="360" w:lineRule="auto"/>
        <w:ind w:left="0" w:firstLine="480" w:firstLineChars="200"/>
        <w:rPr>
          <w:rFonts w:hint="eastAsia" w:cs="Times New Roman"/>
          <w:color w:val="auto"/>
          <w:kern w:val="2"/>
          <w:sz w:val="24"/>
          <w:szCs w:val="24"/>
          <w:highlight w:val="none"/>
          <w:lang w:eastAsia="zh-CN"/>
        </w:rPr>
      </w:pPr>
      <w:r>
        <w:rPr>
          <w:rFonts w:hint="eastAsia" w:cs="Times New Roman"/>
          <w:color w:val="auto"/>
          <w:kern w:val="2"/>
          <w:sz w:val="24"/>
          <w:szCs w:val="24"/>
          <w:highlight w:val="none"/>
          <w:lang w:eastAsia="zh-CN"/>
        </w:rPr>
        <w:t>（</w:t>
      </w:r>
      <w:r>
        <w:rPr>
          <w:rFonts w:hint="eastAsia" w:cs="Times New Roman"/>
          <w:color w:val="auto"/>
          <w:kern w:val="2"/>
          <w:sz w:val="24"/>
          <w:szCs w:val="24"/>
          <w:highlight w:val="none"/>
          <w:lang w:val="en-US" w:eastAsia="zh-CN"/>
        </w:rPr>
        <w:t>5</w:t>
      </w:r>
      <w:r>
        <w:rPr>
          <w:rFonts w:hint="eastAsia" w:cs="Times New Roman"/>
          <w:color w:val="auto"/>
          <w:kern w:val="2"/>
          <w:sz w:val="24"/>
          <w:szCs w:val="24"/>
          <w:highlight w:val="none"/>
          <w:lang w:eastAsia="zh-CN"/>
        </w:rPr>
        <w:t>）低频振荡。（</w:t>
      </w:r>
      <w:r>
        <w:rPr>
          <w:rFonts w:hint="eastAsia" w:cs="Times New Roman"/>
          <w:color w:val="auto"/>
          <w:kern w:val="2"/>
          <w:sz w:val="24"/>
          <w:szCs w:val="24"/>
          <w:highlight w:val="none"/>
          <w:lang w:val="en-US" w:eastAsia="zh-CN"/>
        </w:rPr>
        <w:t>a</w:t>
      </w:r>
      <w:r>
        <w:rPr>
          <w:rFonts w:hint="eastAsia" w:cs="Times New Roman"/>
          <w:color w:val="auto"/>
          <w:kern w:val="2"/>
          <w:sz w:val="24"/>
          <w:szCs w:val="24"/>
          <w:highlight w:val="none"/>
          <w:lang w:eastAsia="zh-CN"/>
        </w:rPr>
        <w:t>）低频振荡频率监视范围：0.1Hz～2.5Hz；（</w:t>
      </w:r>
      <w:r>
        <w:rPr>
          <w:rFonts w:hint="eastAsia" w:cs="Times New Roman"/>
          <w:color w:val="auto"/>
          <w:kern w:val="2"/>
          <w:sz w:val="24"/>
          <w:szCs w:val="24"/>
          <w:highlight w:val="none"/>
          <w:lang w:val="en-US" w:eastAsia="zh-CN"/>
        </w:rPr>
        <w:t>b</w:t>
      </w:r>
      <w:r>
        <w:rPr>
          <w:rFonts w:hint="eastAsia" w:cs="Times New Roman"/>
          <w:color w:val="auto"/>
          <w:kern w:val="2"/>
          <w:sz w:val="24"/>
          <w:szCs w:val="24"/>
          <w:highlight w:val="none"/>
          <w:lang w:eastAsia="zh-CN"/>
        </w:rPr>
        <w:t>）低频振荡判据：功率振荡峰峰值超过预设门槛</w:t>
      </w:r>
      <w:r>
        <w:rPr>
          <w:rFonts w:hint="eastAsia" w:cs="Times New Roman"/>
          <w:i w:val="0"/>
          <w:color w:val="auto"/>
          <w:kern w:val="2"/>
          <w:sz w:val="24"/>
          <w:szCs w:val="24"/>
          <w:highlight w:val="none"/>
          <w:lang w:eastAsia="zh-CN"/>
        </w:rPr>
        <w:t>P</w:t>
      </w:r>
      <w:r>
        <w:rPr>
          <w:rFonts w:hint="eastAsia" w:cs="Times New Roman"/>
          <w:i w:val="0"/>
          <w:color w:val="auto"/>
          <w:kern w:val="2"/>
          <w:sz w:val="24"/>
          <w:szCs w:val="24"/>
          <w:highlight w:val="none"/>
          <w:vertAlign w:val="baseline"/>
          <w:lang w:eastAsia="zh-CN"/>
        </w:rPr>
        <w:t>LFO</w:t>
      </w:r>
      <w:r>
        <w:rPr>
          <w:rFonts w:hint="eastAsia" w:cs="Times New Roman"/>
          <w:color w:val="auto"/>
          <w:kern w:val="2"/>
          <w:sz w:val="24"/>
          <w:szCs w:val="24"/>
          <w:highlight w:val="none"/>
          <w:lang w:eastAsia="zh-CN"/>
        </w:rPr>
        <w:t>并持续</w:t>
      </w:r>
      <w:r>
        <w:rPr>
          <w:rFonts w:hint="eastAsia" w:cs="Times New Roman"/>
          <w:i w:val="0"/>
          <w:color w:val="auto"/>
          <w:kern w:val="2"/>
          <w:sz w:val="24"/>
          <w:szCs w:val="24"/>
          <w:highlight w:val="none"/>
          <w:lang w:eastAsia="zh-CN"/>
        </w:rPr>
        <w:t>X</w:t>
      </w:r>
      <w:r>
        <w:rPr>
          <w:rFonts w:hint="eastAsia" w:cs="Times New Roman"/>
          <w:color w:val="auto"/>
          <w:kern w:val="2"/>
          <w:sz w:val="24"/>
          <w:szCs w:val="24"/>
          <w:highlight w:val="none"/>
          <w:lang w:eastAsia="zh-CN"/>
        </w:rPr>
        <w:t>个周波，</w:t>
      </w:r>
      <w:r>
        <w:rPr>
          <w:rFonts w:hint="eastAsia" w:cs="Times New Roman"/>
          <w:i w:val="0"/>
          <w:color w:val="auto"/>
          <w:kern w:val="2"/>
          <w:sz w:val="24"/>
          <w:szCs w:val="24"/>
          <w:highlight w:val="none"/>
          <w:lang w:eastAsia="zh-CN"/>
        </w:rPr>
        <w:t>P</w:t>
      </w:r>
      <w:r>
        <w:rPr>
          <w:rFonts w:hint="eastAsia" w:cs="Times New Roman"/>
          <w:i w:val="0"/>
          <w:color w:val="auto"/>
          <w:kern w:val="2"/>
          <w:sz w:val="24"/>
          <w:szCs w:val="24"/>
          <w:highlight w:val="none"/>
          <w:vertAlign w:val="baseline"/>
          <w:lang w:eastAsia="zh-CN"/>
        </w:rPr>
        <w:t>LFO</w:t>
      </w:r>
      <w:r>
        <w:rPr>
          <w:rFonts w:hint="eastAsia" w:cs="Times New Roman"/>
          <w:color w:val="auto"/>
          <w:kern w:val="2"/>
          <w:sz w:val="24"/>
          <w:szCs w:val="24"/>
          <w:highlight w:val="none"/>
          <w:lang w:eastAsia="zh-CN"/>
        </w:rPr>
        <w:t>与</w:t>
      </w:r>
      <w:r>
        <w:rPr>
          <w:rFonts w:hint="eastAsia" w:cs="Times New Roman"/>
          <w:i w:val="0"/>
          <w:color w:val="auto"/>
          <w:kern w:val="2"/>
          <w:sz w:val="24"/>
          <w:szCs w:val="24"/>
          <w:highlight w:val="none"/>
          <w:lang w:eastAsia="zh-CN"/>
        </w:rPr>
        <w:t>X</w:t>
      </w:r>
      <w:r>
        <w:rPr>
          <w:rFonts w:hint="eastAsia" w:cs="Times New Roman"/>
          <w:color w:val="auto"/>
          <w:kern w:val="2"/>
          <w:sz w:val="24"/>
          <w:szCs w:val="24"/>
          <w:highlight w:val="none"/>
          <w:lang w:eastAsia="zh-CN"/>
        </w:rPr>
        <w:t>数值可整定。</w:t>
      </w:r>
    </w:p>
    <w:p w14:paraId="1B46636B">
      <w:pPr>
        <w:widowControl w:val="0"/>
        <w:numPr>
          <w:ilvl w:val="-1"/>
          <w:numId w:val="0"/>
        </w:numPr>
        <w:tabs>
          <w:tab w:val="left" w:pos="600"/>
        </w:tabs>
        <w:adjustRightInd w:val="0"/>
        <w:snapToGrid w:val="0"/>
        <w:spacing w:after="0" w:line="360" w:lineRule="auto"/>
        <w:ind w:left="0" w:firstLine="480" w:firstLineChars="200"/>
        <w:rPr>
          <w:rFonts w:hint="eastAsia" w:cs="Times New Roman"/>
          <w:color w:val="auto"/>
          <w:kern w:val="2"/>
          <w:sz w:val="24"/>
          <w:szCs w:val="24"/>
          <w:highlight w:val="none"/>
          <w:lang w:eastAsia="zh-CN"/>
        </w:rPr>
      </w:pPr>
      <w:r>
        <w:rPr>
          <w:rFonts w:hint="eastAsia" w:cs="Times New Roman"/>
          <w:color w:val="auto"/>
          <w:kern w:val="2"/>
          <w:sz w:val="24"/>
          <w:szCs w:val="24"/>
          <w:highlight w:val="none"/>
          <w:lang w:eastAsia="zh-CN"/>
        </w:rPr>
        <w:t>（</w:t>
      </w:r>
      <w:r>
        <w:rPr>
          <w:rFonts w:hint="eastAsia" w:cs="Times New Roman"/>
          <w:color w:val="auto"/>
          <w:kern w:val="2"/>
          <w:sz w:val="24"/>
          <w:szCs w:val="24"/>
          <w:highlight w:val="none"/>
          <w:lang w:val="en-US" w:eastAsia="zh-CN"/>
        </w:rPr>
        <w:t>6</w:t>
      </w:r>
      <w:r>
        <w:rPr>
          <w:rFonts w:hint="eastAsia" w:cs="Times New Roman"/>
          <w:color w:val="auto"/>
          <w:kern w:val="2"/>
          <w:sz w:val="24"/>
          <w:szCs w:val="24"/>
          <w:highlight w:val="none"/>
          <w:lang w:eastAsia="zh-CN"/>
        </w:rPr>
        <w:t>）次/超同步振荡。（</w:t>
      </w:r>
      <w:r>
        <w:rPr>
          <w:rFonts w:hint="eastAsia" w:cs="Times New Roman"/>
          <w:color w:val="auto"/>
          <w:kern w:val="2"/>
          <w:sz w:val="24"/>
          <w:szCs w:val="24"/>
          <w:highlight w:val="none"/>
          <w:lang w:val="en-US" w:eastAsia="zh-CN"/>
        </w:rPr>
        <w:t>a</w:t>
      </w:r>
      <w:r>
        <w:rPr>
          <w:rFonts w:hint="eastAsia" w:cs="Times New Roman"/>
          <w:color w:val="auto"/>
          <w:kern w:val="2"/>
          <w:sz w:val="24"/>
          <w:szCs w:val="24"/>
          <w:highlight w:val="none"/>
          <w:lang w:eastAsia="zh-CN"/>
        </w:rPr>
        <w:t>）次/超同步振荡监测采用瞬时功率或电流计算时，频率监视范围：2.5Hz～45Hz和55Hz～95Hz，频率测量误差不大于0.5Hz；（</w:t>
      </w:r>
      <w:r>
        <w:rPr>
          <w:rFonts w:hint="eastAsia" w:cs="Times New Roman"/>
          <w:color w:val="auto"/>
          <w:kern w:val="2"/>
          <w:sz w:val="24"/>
          <w:szCs w:val="24"/>
          <w:highlight w:val="none"/>
          <w:lang w:val="en-US" w:eastAsia="zh-CN"/>
        </w:rPr>
        <w:t>b</w:t>
      </w:r>
      <w:r>
        <w:rPr>
          <w:rFonts w:hint="eastAsia" w:cs="Times New Roman"/>
          <w:color w:val="auto"/>
          <w:kern w:val="2"/>
          <w:sz w:val="24"/>
          <w:szCs w:val="24"/>
          <w:highlight w:val="none"/>
          <w:lang w:eastAsia="zh-CN"/>
        </w:rPr>
        <w:t>）次/超同步振荡判据：宜采用次/超同步振荡的主导分量或者等效值作为越限的监测量。瞬时功率次/超同步振荡幅值超过预设门槛</w:t>
      </w:r>
      <w:r>
        <w:rPr>
          <w:rFonts w:hint="eastAsia" w:cs="Times New Roman"/>
          <w:i w:val="0"/>
          <w:color w:val="auto"/>
          <w:kern w:val="2"/>
          <w:sz w:val="24"/>
          <w:szCs w:val="24"/>
          <w:highlight w:val="none"/>
          <w:lang w:eastAsia="zh-CN"/>
        </w:rPr>
        <w:t>P</w:t>
      </w:r>
      <w:r>
        <w:rPr>
          <w:rFonts w:hint="eastAsia" w:cs="Times New Roman"/>
          <w:i w:val="0"/>
          <w:color w:val="auto"/>
          <w:kern w:val="2"/>
          <w:sz w:val="24"/>
          <w:szCs w:val="24"/>
          <w:highlight w:val="none"/>
          <w:vertAlign w:val="baseline"/>
          <w:lang w:eastAsia="zh-CN"/>
        </w:rPr>
        <w:t>sso</w:t>
      </w:r>
      <w:r>
        <w:rPr>
          <w:rFonts w:hint="eastAsia" w:cs="Times New Roman"/>
          <w:color w:val="auto"/>
          <w:kern w:val="2"/>
          <w:sz w:val="24"/>
          <w:szCs w:val="24"/>
          <w:highlight w:val="none"/>
          <w:lang w:eastAsia="zh-CN"/>
        </w:rPr>
        <w:t>并持续</w:t>
      </w:r>
      <w:r>
        <w:rPr>
          <w:rFonts w:hint="eastAsia" w:cs="Times New Roman"/>
          <w:i w:val="0"/>
          <w:color w:val="auto"/>
          <w:kern w:val="2"/>
          <w:sz w:val="24"/>
          <w:szCs w:val="24"/>
          <w:highlight w:val="none"/>
          <w:lang w:eastAsia="zh-CN"/>
        </w:rPr>
        <w:t>X</w:t>
      </w:r>
      <w:r>
        <w:rPr>
          <w:rFonts w:hint="eastAsia" w:cs="Times New Roman"/>
          <w:color w:val="auto"/>
          <w:kern w:val="2"/>
          <w:sz w:val="24"/>
          <w:szCs w:val="24"/>
          <w:highlight w:val="none"/>
          <w:lang w:eastAsia="zh-CN"/>
        </w:rPr>
        <w:t>秒，</w:t>
      </w:r>
      <w:r>
        <w:rPr>
          <w:rFonts w:hint="eastAsia" w:cs="Times New Roman"/>
          <w:i w:val="0"/>
          <w:color w:val="auto"/>
          <w:kern w:val="2"/>
          <w:sz w:val="24"/>
          <w:szCs w:val="24"/>
          <w:highlight w:val="none"/>
          <w:lang w:eastAsia="zh-CN"/>
        </w:rPr>
        <w:t>P</w:t>
      </w:r>
      <w:r>
        <w:rPr>
          <w:rFonts w:hint="eastAsia" w:cs="Times New Roman"/>
          <w:i w:val="0"/>
          <w:color w:val="auto"/>
          <w:kern w:val="2"/>
          <w:sz w:val="24"/>
          <w:szCs w:val="24"/>
          <w:highlight w:val="none"/>
          <w:vertAlign w:val="baseline"/>
          <w:lang w:eastAsia="zh-CN"/>
        </w:rPr>
        <w:t>sso</w:t>
      </w:r>
      <w:r>
        <w:rPr>
          <w:rFonts w:hint="eastAsia" w:cs="Times New Roman"/>
          <w:color w:val="auto"/>
          <w:kern w:val="2"/>
          <w:sz w:val="24"/>
          <w:szCs w:val="24"/>
          <w:highlight w:val="none"/>
          <w:lang w:eastAsia="zh-CN"/>
        </w:rPr>
        <w:t>与</w:t>
      </w:r>
      <w:r>
        <w:rPr>
          <w:rFonts w:hint="eastAsia" w:cs="Times New Roman"/>
          <w:i w:val="0"/>
          <w:color w:val="auto"/>
          <w:kern w:val="2"/>
          <w:sz w:val="24"/>
          <w:szCs w:val="24"/>
          <w:highlight w:val="none"/>
          <w:lang w:eastAsia="zh-CN"/>
        </w:rPr>
        <w:t>X</w:t>
      </w:r>
      <w:r>
        <w:rPr>
          <w:rFonts w:hint="eastAsia" w:cs="Times New Roman"/>
          <w:color w:val="auto"/>
          <w:kern w:val="2"/>
          <w:sz w:val="24"/>
          <w:szCs w:val="24"/>
          <w:highlight w:val="none"/>
          <w:lang w:eastAsia="zh-CN"/>
        </w:rPr>
        <w:t>数值可整定；电流次/超同步振荡分量超过预设门槛</w:t>
      </w:r>
      <w:r>
        <w:rPr>
          <w:rFonts w:hint="eastAsia" w:cs="Times New Roman"/>
          <w:i w:val="0"/>
          <w:color w:val="auto"/>
          <w:kern w:val="2"/>
          <w:sz w:val="24"/>
          <w:szCs w:val="24"/>
          <w:highlight w:val="none"/>
          <w:lang w:eastAsia="zh-CN"/>
        </w:rPr>
        <w:t>Isso</w:t>
      </w:r>
      <w:r>
        <w:rPr>
          <w:rFonts w:hint="eastAsia" w:cs="Times New Roman"/>
          <w:color w:val="auto"/>
          <w:kern w:val="2"/>
          <w:sz w:val="24"/>
          <w:szCs w:val="24"/>
          <w:highlight w:val="none"/>
          <w:lang w:eastAsia="zh-CN"/>
        </w:rPr>
        <w:t>并持续</w:t>
      </w:r>
      <w:r>
        <w:rPr>
          <w:rFonts w:hint="eastAsia" w:cs="Times New Roman"/>
          <w:i w:val="0"/>
          <w:color w:val="auto"/>
          <w:kern w:val="2"/>
          <w:sz w:val="24"/>
          <w:szCs w:val="24"/>
          <w:highlight w:val="none"/>
          <w:lang w:eastAsia="zh-CN"/>
        </w:rPr>
        <w:t>X</w:t>
      </w:r>
      <w:r>
        <w:rPr>
          <w:rFonts w:hint="eastAsia" w:cs="Times New Roman"/>
          <w:color w:val="auto"/>
          <w:kern w:val="2"/>
          <w:sz w:val="24"/>
          <w:szCs w:val="24"/>
          <w:highlight w:val="none"/>
          <w:lang w:eastAsia="zh-CN"/>
        </w:rPr>
        <w:t>秒，</w:t>
      </w:r>
      <w:r>
        <w:rPr>
          <w:rFonts w:hint="eastAsia" w:cs="Times New Roman"/>
          <w:i w:val="0"/>
          <w:color w:val="auto"/>
          <w:kern w:val="2"/>
          <w:sz w:val="24"/>
          <w:szCs w:val="24"/>
          <w:highlight w:val="none"/>
          <w:lang w:eastAsia="zh-CN"/>
        </w:rPr>
        <w:t>Isso</w:t>
      </w:r>
      <w:r>
        <w:rPr>
          <w:rFonts w:hint="eastAsia" w:cs="Times New Roman"/>
          <w:color w:val="auto"/>
          <w:kern w:val="2"/>
          <w:sz w:val="24"/>
          <w:szCs w:val="24"/>
          <w:highlight w:val="none"/>
          <w:lang w:eastAsia="zh-CN"/>
        </w:rPr>
        <w:t>和时间</w:t>
      </w:r>
      <w:r>
        <w:rPr>
          <w:rFonts w:hint="eastAsia" w:cs="Times New Roman"/>
          <w:i w:val="0"/>
          <w:color w:val="auto"/>
          <w:kern w:val="2"/>
          <w:sz w:val="24"/>
          <w:szCs w:val="24"/>
          <w:highlight w:val="none"/>
          <w:lang w:eastAsia="zh-CN"/>
        </w:rPr>
        <w:t>X</w:t>
      </w:r>
      <w:r>
        <w:rPr>
          <w:rFonts w:hint="eastAsia" w:cs="Times New Roman"/>
          <w:color w:val="auto"/>
          <w:kern w:val="2"/>
          <w:sz w:val="24"/>
          <w:szCs w:val="24"/>
          <w:highlight w:val="none"/>
          <w:lang w:eastAsia="zh-CN"/>
        </w:rPr>
        <w:t>均可整定。</w:t>
      </w:r>
    </w:p>
    <w:p w14:paraId="02988095">
      <w:pPr>
        <w:widowControl w:val="0"/>
        <w:numPr>
          <w:ilvl w:val="-1"/>
          <w:numId w:val="0"/>
        </w:numPr>
        <w:tabs>
          <w:tab w:val="left" w:pos="600"/>
        </w:tabs>
        <w:adjustRightInd w:val="0"/>
        <w:snapToGrid w:val="0"/>
        <w:spacing w:after="0" w:line="360" w:lineRule="auto"/>
        <w:ind w:left="0" w:firstLine="480" w:firstLineChars="200"/>
        <w:rPr>
          <w:rFonts w:hint="eastAsia" w:cs="Times New Roman"/>
          <w:color w:val="auto"/>
          <w:kern w:val="2"/>
          <w:sz w:val="24"/>
          <w:szCs w:val="24"/>
          <w:highlight w:val="none"/>
          <w:lang w:eastAsia="zh-CN"/>
        </w:rPr>
      </w:pPr>
      <w:r>
        <w:rPr>
          <w:rFonts w:hint="eastAsia" w:cs="Times New Roman"/>
          <w:color w:val="auto"/>
          <w:kern w:val="2"/>
          <w:sz w:val="24"/>
          <w:szCs w:val="24"/>
          <w:highlight w:val="none"/>
          <w:lang w:eastAsia="zh-CN"/>
        </w:rPr>
        <w:t>（</w:t>
      </w:r>
      <w:r>
        <w:rPr>
          <w:rFonts w:hint="eastAsia" w:cs="Times New Roman"/>
          <w:color w:val="auto"/>
          <w:kern w:val="2"/>
          <w:sz w:val="24"/>
          <w:szCs w:val="24"/>
          <w:highlight w:val="none"/>
          <w:lang w:val="en-US" w:eastAsia="zh-CN"/>
        </w:rPr>
        <w:t>7</w:t>
      </w:r>
      <w:r>
        <w:rPr>
          <w:rFonts w:hint="eastAsia" w:cs="Times New Roman"/>
          <w:color w:val="auto"/>
          <w:kern w:val="2"/>
          <w:sz w:val="24"/>
          <w:szCs w:val="24"/>
          <w:highlight w:val="none"/>
          <w:lang w:eastAsia="zh-CN"/>
        </w:rPr>
        <w:t>）100～300Hz宽频振荡。（</w:t>
      </w:r>
      <w:r>
        <w:rPr>
          <w:rFonts w:hint="eastAsia" w:cs="Times New Roman"/>
          <w:color w:val="auto"/>
          <w:kern w:val="2"/>
          <w:sz w:val="24"/>
          <w:szCs w:val="24"/>
          <w:highlight w:val="none"/>
          <w:lang w:val="en-US" w:eastAsia="zh-CN"/>
        </w:rPr>
        <w:t>a</w:t>
      </w:r>
      <w:r>
        <w:rPr>
          <w:rFonts w:hint="eastAsia" w:cs="Times New Roman"/>
          <w:color w:val="auto"/>
          <w:kern w:val="2"/>
          <w:sz w:val="24"/>
          <w:szCs w:val="24"/>
          <w:highlight w:val="none"/>
          <w:lang w:eastAsia="zh-CN"/>
        </w:rPr>
        <w:t>）宽频振荡监测范围宜为100～300Hz，频率测量误差要求不大于1Hz；（</w:t>
      </w:r>
      <w:r>
        <w:rPr>
          <w:rFonts w:hint="eastAsia" w:cs="Times New Roman"/>
          <w:color w:val="auto"/>
          <w:kern w:val="2"/>
          <w:sz w:val="24"/>
          <w:szCs w:val="24"/>
          <w:highlight w:val="none"/>
          <w:lang w:val="en-US" w:eastAsia="zh-CN"/>
        </w:rPr>
        <w:t>b</w:t>
      </w:r>
      <w:r>
        <w:rPr>
          <w:rFonts w:hint="eastAsia" w:cs="Times New Roman"/>
          <w:color w:val="auto"/>
          <w:kern w:val="2"/>
          <w:sz w:val="24"/>
          <w:szCs w:val="24"/>
          <w:highlight w:val="none"/>
          <w:lang w:eastAsia="zh-CN"/>
        </w:rPr>
        <w:t>）宽频振荡监测判据：宜采用宽频振荡的功率或电流作为告警判据，瞬时功率振荡幅值超过预设门槛</w:t>
      </w:r>
      <w:r>
        <w:rPr>
          <w:rFonts w:hint="eastAsia" w:cs="Times New Roman"/>
          <w:i w:val="0"/>
          <w:color w:val="auto"/>
          <w:kern w:val="2"/>
          <w:sz w:val="24"/>
          <w:szCs w:val="24"/>
          <w:highlight w:val="none"/>
          <w:lang w:eastAsia="zh-CN"/>
        </w:rPr>
        <w:t>P</w:t>
      </w:r>
      <w:r>
        <w:rPr>
          <w:rFonts w:hint="eastAsia" w:cs="Times New Roman"/>
          <w:i w:val="0"/>
          <w:color w:val="auto"/>
          <w:kern w:val="2"/>
          <w:sz w:val="24"/>
          <w:szCs w:val="24"/>
          <w:highlight w:val="none"/>
          <w:vertAlign w:val="baseline"/>
          <w:lang w:eastAsia="zh-CN"/>
        </w:rPr>
        <w:t>WFO</w:t>
      </w:r>
      <w:r>
        <w:rPr>
          <w:rFonts w:hint="eastAsia" w:cs="Times New Roman"/>
          <w:color w:val="auto"/>
          <w:kern w:val="2"/>
          <w:sz w:val="24"/>
          <w:szCs w:val="24"/>
          <w:highlight w:val="none"/>
          <w:lang w:eastAsia="zh-CN"/>
        </w:rPr>
        <w:t>并持续</w:t>
      </w:r>
      <w:r>
        <w:rPr>
          <w:rFonts w:hint="eastAsia" w:cs="Times New Roman"/>
          <w:i w:val="0"/>
          <w:color w:val="auto"/>
          <w:kern w:val="2"/>
          <w:sz w:val="24"/>
          <w:szCs w:val="24"/>
          <w:highlight w:val="none"/>
          <w:lang w:eastAsia="zh-CN"/>
        </w:rPr>
        <w:t>X</w:t>
      </w:r>
      <w:r>
        <w:rPr>
          <w:rFonts w:hint="eastAsia" w:cs="Times New Roman"/>
          <w:color w:val="auto"/>
          <w:kern w:val="2"/>
          <w:sz w:val="24"/>
          <w:szCs w:val="24"/>
          <w:highlight w:val="none"/>
          <w:lang w:eastAsia="zh-CN"/>
        </w:rPr>
        <w:t>秒，</w:t>
      </w:r>
      <w:r>
        <w:rPr>
          <w:rFonts w:hint="eastAsia" w:cs="Times New Roman"/>
          <w:i w:val="0"/>
          <w:color w:val="auto"/>
          <w:kern w:val="2"/>
          <w:sz w:val="24"/>
          <w:szCs w:val="24"/>
          <w:highlight w:val="none"/>
          <w:lang w:eastAsia="zh-CN"/>
        </w:rPr>
        <w:t>P</w:t>
      </w:r>
      <w:r>
        <w:rPr>
          <w:rFonts w:hint="eastAsia" w:cs="Times New Roman"/>
          <w:i w:val="0"/>
          <w:color w:val="auto"/>
          <w:kern w:val="2"/>
          <w:sz w:val="24"/>
          <w:szCs w:val="24"/>
          <w:highlight w:val="none"/>
          <w:vertAlign w:val="baseline"/>
          <w:lang w:eastAsia="zh-CN"/>
        </w:rPr>
        <w:t>WFO</w:t>
      </w:r>
      <w:r>
        <w:rPr>
          <w:rFonts w:hint="eastAsia" w:cs="Times New Roman"/>
          <w:color w:val="auto"/>
          <w:kern w:val="2"/>
          <w:sz w:val="24"/>
          <w:szCs w:val="24"/>
          <w:highlight w:val="none"/>
          <w:lang w:eastAsia="zh-CN"/>
        </w:rPr>
        <w:t>与</w:t>
      </w:r>
      <w:r>
        <w:rPr>
          <w:rFonts w:hint="eastAsia" w:cs="Times New Roman"/>
          <w:i w:val="0"/>
          <w:color w:val="auto"/>
          <w:kern w:val="2"/>
          <w:sz w:val="24"/>
          <w:szCs w:val="24"/>
          <w:highlight w:val="none"/>
          <w:lang w:eastAsia="zh-CN"/>
        </w:rPr>
        <w:t>X</w:t>
      </w:r>
      <w:r>
        <w:rPr>
          <w:rFonts w:hint="eastAsia" w:cs="Times New Roman"/>
          <w:color w:val="auto"/>
          <w:kern w:val="2"/>
          <w:sz w:val="24"/>
          <w:szCs w:val="24"/>
          <w:highlight w:val="none"/>
          <w:lang w:eastAsia="zh-CN"/>
        </w:rPr>
        <w:t>数值可整定；电流宽频振荡分量超过预设门槛</w:t>
      </w:r>
      <w:r>
        <w:rPr>
          <w:rFonts w:hint="eastAsia" w:cs="Times New Roman"/>
          <w:i w:val="0"/>
          <w:color w:val="auto"/>
          <w:kern w:val="2"/>
          <w:sz w:val="24"/>
          <w:szCs w:val="24"/>
          <w:highlight w:val="none"/>
          <w:lang w:eastAsia="zh-CN"/>
        </w:rPr>
        <w:t>I</w:t>
      </w:r>
      <w:r>
        <w:rPr>
          <w:rFonts w:hint="eastAsia" w:cs="Times New Roman"/>
          <w:i w:val="0"/>
          <w:color w:val="auto"/>
          <w:kern w:val="2"/>
          <w:sz w:val="24"/>
          <w:szCs w:val="24"/>
          <w:highlight w:val="none"/>
          <w:vertAlign w:val="baseline"/>
          <w:lang w:eastAsia="zh-CN"/>
        </w:rPr>
        <w:t>WFO</w:t>
      </w:r>
      <w:r>
        <w:rPr>
          <w:rFonts w:hint="eastAsia" w:cs="Times New Roman"/>
          <w:color w:val="auto"/>
          <w:kern w:val="2"/>
          <w:sz w:val="24"/>
          <w:szCs w:val="24"/>
          <w:highlight w:val="none"/>
          <w:lang w:eastAsia="zh-CN"/>
        </w:rPr>
        <w:t>并持续</w:t>
      </w:r>
      <w:r>
        <w:rPr>
          <w:rFonts w:hint="eastAsia" w:cs="Times New Roman"/>
          <w:i w:val="0"/>
          <w:color w:val="auto"/>
          <w:kern w:val="2"/>
          <w:sz w:val="24"/>
          <w:szCs w:val="24"/>
          <w:highlight w:val="none"/>
          <w:lang w:eastAsia="zh-CN"/>
        </w:rPr>
        <w:t>X</w:t>
      </w:r>
      <w:r>
        <w:rPr>
          <w:rFonts w:hint="eastAsia" w:cs="Times New Roman"/>
          <w:color w:val="auto"/>
          <w:kern w:val="2"/>
          <w:sz w:val="24"/>
          <w:szCs w:val="24"/>
          <w:highlight w:val="none"/>
          <w:lang w:eastAsia="zh-CN"/>
        </w:rPr>
        <w:t>秒，</w:t>
      </w:r>
      <w:r>
        <w:rPr>
          <w:rFonts w:hint="eastAsia" w:cs="Times New Roman"/>
          <w:i w:val="0"/>
          <w:color w:val="auto"/>
          <w:kern w:val="2"/>
          <w:sz w:val="24"/>
          <w:szCs w:val="24"/>
          <w:highlight w:val="none"/>
          <w:lang w:eastAsia="zh-CN"/>
        </w:rPr>
        <w:t>I</w:t>
      </w:r>
      <w:r>
        <w:rPr>
          <w:rFonts w:hint="eastAsia" w:cs="Times New Roman"/>
          <w:i w:val="0"/>
          <w:color w:val="auto"/>
          <w:kern w:val="2"/>
          <w:sz w:val="24"/>
          <w:szCs w:val="24"/>
          <w:highlight w:val="none"/>
          <w:vertAlign w:val="baseline"/>
          <w:lang w:eastAsia="zh-CN"/>
        </w:rPr>
        <w:t>WFO</w:t>
      </w:r>
      <w:r>
        <w:rPr>
          <w:rFonts w:hint="eastAsia" w:cs="Times New Roman"/>
          <w:color w:val="auto"/>
          <w:kern w:val="2"/>
          <w:sz w:val="24"/>
          <w:szCs w:val="24"/>
          <w:highlight w:val="none"/>
          <w:lang w:eastAsia="zh-CN"/>
        </w:rPr>
        <w:t>和时间</w:t>
      </w:r>
      <w:r>
        <w:rPr>
          <w:rFonts w:hint="eastAsia" w:cs="Times New Roman"/>
          <w:i w:val="0"/>
          <w:color w:val="auto"/>
          <w:kern w:val="2"/>
          <w:sz w:val="24"/>
          <w:szCs w:val="24"/>
          <w:highlight w:val="none"/>
          <w:lang w:eastAsia="zh-CN"/>
        </w:rPr>
        <w:t>X</w:t>
      </w:r>
      <w:r>
        <w:rPr>
          <w:rFonts w:hint="eastAsia" w:cs="Times New Roman"/>
          <w:color w:val="auto"/>
          <w:kern w:val="2"/>
          <w:sz w:val="24"/>
          <w:szCs w:val="24"/>
          <w:highlight w:val="none"/>
          <w:lang w:eastAsia="zh-CN"/>
        </w:rPr>
        <w:t>均可整定。</w:t>
      </w:r>
    </w:p>
    <w:p w14:paraId="6E7F467D">
      <w:pPr>
        <w:widowControl w:val="0"/>
        <w:numPr>
          <w:ilvl w:val="-1"/>
          <w:numId w:val="0"/>
        </w:numPr>
        <w:tabs>
          <w:tab w:val="left" w:pos="600"/>
        </w:tabs>
        <w:adjustRightInd w:val="0"/>
        <w:snapToGrid w:val="0"/>
        <w:spacing w:after="0" w:line="360" w:lineRule="auto"/>
        <w:ind w:left="0" w:firstLine="480" w:firstLineChars="200"/>
        <w:rPr>
          <w:rFonts w:hint="eastAsia" w:cs="Times New Roman"/>
          <w:color w:val="auto"/>
          <w:kern w:val="2"/>
          <w:sz w:val="24"/>
          <w:szCs w:val="24"/>
          <w:highlight w:val="none"/>
          <w:lang w:eastAsia="zh-CN"/>
        </w:rPr>
      </w:pPr>
      <w:r>
        <w:rPr>
          <w:rFonts w:hint="eastAsia" w:cs="Times New Roman"/>
          <w:color w:val="auto"/>
          <w:kern w:val="2"/>
          <w:sz w:val="24"/>
          <w:szCs w:val="24"/>
          <w:highlight w:val="none"/>
          <w:lang w:eastAsia="zh-CN"/>
        </w:rPr>
        <w:t>（</w:t>
      </w:r>
      <w:r>
        <w:rPr>
          <w:rFonts w:hint="eastAsia" w:cs="Times New Roman"/>
          <w:color w:val="auto"/>
          <w:kern w:val="2"/>
          <w:sz w:val="24"/>
          <w:szCs w:val="24"/>
          <w:highlight w:val="none"/>
          <w:lang w:val="en-US" w:eastAsia="zh-CN"/>
        </w:rPr>
        <w:t>8</w:t>
      </w:r>
      <w:r>
        <w:rPr>
          <w:rFonts w:hint="eastAsia" w:cs="Times New Roman"/>
          <w:color w:val="auto"/>
          <w:kern w:val="2"/>
          <w:sz w:val="24"/>
          <w:szCs w:val="24"/>
          <w:highlight w:val="none"/>
          <w:lang w:eastAsia="zh-CN"/>
        </w:rPr>
        <w:t>）通信性能。（</w:t>
      </w:r>
      <w:r>
        <w:rPr>
          <w:rFonts w:hint="eastAsia" w:cs="Times New Roman"/>
          <w:color w:val="auto"/>
          <w:kern w:val="2"/>
          <w:sz w:val="24"/>
          <w:szCs w:val="24"/>
          <w:highlight w:val="none"/>
          <w:lang w:val="en-US" w:eastAsia="zh-CN"/>
        </w:rPr>
        <w:t>a</w:t>
      </w:r>
      <w:r>
        <w:rPr>
          <w:rFonts w:hint="eastAsia" w:cs="Times New Roman"/>
          <w:color w:val="auto"/>
          <w:kern w:val="2"/>
          <w:sz w:val="24"/>
          <w:szCs w:val="24"/>
          <w:highlight w:val="none"/>
          <w:lang w:eastAsia="zh-CN"/>
        </w:rPr>
        <w:t>）动态数据的实时传输应遵循Q/GDW 10131的要求；（</w:t>
      </w:r>
      <w:r>
        <w:rPr>
          <w:rFonts w:hint="eastAsia" w:cs="Times New Roman"/>
          <w:color w:val="auto"/>
          <w:kern w:val="2"/>
          <w:sz w:val="24"/>
          <w:szCs w:val="24"/>
          <w:highlight w:val="none"/>
          <w:lang w:val="en-US" w:eastAsia="zh-CN"/>
        </w:rPr>
        <w:t>b</w:t>
      </w:r>
      <w:r>
        <w:rPr>
          <w:rFonts w:hint="eastAsia" w:cs="Times New Roman"/>
          <w:color w:val="auto"/>
          <w:kern w:val="2"/>
          <w:sz w:val="24"/>
          <w:szCs w:val="24"/>
          <w:highlight w:val="none"/>
          <w:lang w:eastAsia="zh-CN"/>
        </w:rPr>
        <w:t>）装置基波、谐波和间谐波等宽频测量数据向宽频测量处理单元的实时传输速率应不低于1次/秒；（</w:t>
      </w:r>
      <w:r>
        <w:rPr>
          <w:rFonts w:hint="eastAsia" w:cs="Times New Roman"/>
          <w:color w:val="auto"/>
          <w:kern w:val="2"/>
          <w:sz w:val="24"/>
          <w:szCs w:val="24"/>
          <w:highlight w:val="none"/>
          <w:lang w:val="en-US" w:eastAsia="zh-CN"/>
        </w:rPr>
        <w:t>c</w:t>
      </w:r>
      <w:r>
        <w:rPr>
          <w:rFonts w:hint="eastAsia" w:cs="Times New Roman"/>
          <w:color w:val="auto"/>
          <w:kern w:val="2"/>
          <w:sz w:val="24"/>
          <w:szCs w:val="24"/>
          <w:highlight w:val="none"/>
          <w:lang w:eastAsia="zh-CN"/>
        </w:rPr>
        <w:t>）执行主站的召唤历史数据命令时，不应影响实时帧传送速率。</w:t>
      </w:r>
    </w:p>
    <w:p w14:paraId="60E4F5C6">
      <w:pPr>
        <w:widowControl w:val="0"/>
        <w:tabs>
          <w:tab w:val="left" w:pos="600"/>
        </w:tabs>
        <w:adjustRightInd w:val="0"/>
        <w:snapToGrid w:val="0"/>
        <w:spacing w:after="0" w:line="360" w:lineRule="auto"/>
        <w:ind w:firstLine="480" w:firstLineChars="200"/>
        <w:rPr>
          <w:rFonts w:hint="eastAsia" w:cs="Times New Roman"/>
          <w:color w:val="auto"/>
          <w:kern w:val="2"/>
          <w:sz w:val="24"/>
          <w:szCs w:val="24"/>
          <w:highlight w:val="none"/>
          <w:lang w:eastAsia="zh-CN"/>
        </w:rPr>
      </w:pPr>
      <w:r>
        <w:rPr>
          <w:rFonts w:hint="eastAsia" w:cs="Times New Roman"/>
          <w:color w:val="auto"/>
          <w:kern w:val="2"/>
          <w:sz w:val="24"/>
          <w:szCs w:val="24"/>
          <w:highlight w:val="none"/>
          <w:lang w:eastAsia="zh-CN"/>
        </w:rPr>
        <w:t>（</w:t>
      </w:r>
      <w:r>
        <w:rPr>
          <w:rFonts w:hint="eastAsia" w:cs="Times New Roman"/>
          <w:color w:val="auto"/>
          <w:kern w:val="2"/>
          <w:sz w:val="24"/>
          <w:szCs w:val="24"/>
          <w:highlight w:val="none"/>
          <w:lang w:val="en-US" w:eastAsia="zh-CN"/>
        </w:rPr>
        <w:t>9</w:t>
      </w:r>
      <w:r>
        <w:rPr>
          <w:rFonts w:hint="eastAsia" w:cs="Times New Roman"/>
          <w:color w:val="auto"/>
          <w:kern w:val="2"/>
          <w:sz w:val="24"/>
          <w:szCs w:val="24"/>
          <w:highlight w:val="none"/>
          <w:lang w:eastAsia="zh-CN"/>
        </w:rPr>
        <w:t>）数据及文件记录。应具备定时或者召唤的方式向宽频测量处理单元传输录波文件。</w:t>
      </w:r>
    </w:p>
    <w:p w14:paraId="1AE5956D">
      <w:pPr>
        <w:widowControl w:val="0"/>
        <w:numPr>
          <w:ilvl w:val="-1"/>
          <w:numId w:val="0"/>
        </w:numPr>
        <w:tabs>
          <w:tab w:val="left" w:pos="600"/>
        </w:tabs>
        <w:adjustRightInd w:val="0"/>
        <w:snapToGrid w:val="0"/>
        <w:spacing w:after="0" w:line="360" w:lineRule="auto"/>
        <w:ind w:left="0" w:firstLine="480" w:firstLineChars="200"/>
        <w:rPr>
          <w:rFonts w:hint="eastAsia" w:cs="Times New Roman"/>
          <w:color w:val="auto"/>
          <w:kern w:val="2"/>
          <w:sz w:val="24"/>
          <w:szCs w:val="24"/>
          <w:highlight w:val="none"/>
          <w:lang w:eastAsia="zh-CN"/>
        </w:rPr>
      </w:pPr>
      <w:r>
        <w:rPr>
          <w:rFonts w:hint="eastAsia" w:cs="Times New Roman"/>
          <w:color w:val="auto"/>
          <w:kern w:val="2"/>
          <w:sz w:val="24"/>
          <w:szCs w:val="24"/>
          <w:highlight w:val="none"/>
          <w:lang w:eastAsia="zh-CN"/>
        </w:rPr>
        <w:t>（</w:t>
      </w:r>
      <w:r>
        <w:rPr>
          <w:rFonts w:hint="eastAsia" w:cs="Times New Roman"/>
          <w:color w:val="auto"/>
          <w:kern w:val="2"/>
          <w:sz w:val="24"/>
          <w:szCs w:val="24"/>
          <w:highlight w:val="none"/>
          <w:lang w:val="en-US" w:eastAsia="zh-CN"/>
        </w:rPr>
        <w:t>10</w:t>
      </w:r>
      <w:r>
        <w:rPr>
          <w:rFonts w:hint="eastAsia" w:cs="Times New Roman"/>
          <w:color w:val="auto"/>
          <w:kern w:val="2"/>
          <w:sz w:val="24"/>
          <w:szCs w:val="24"/>
          <w:highlight w:val="none"/>
          <w:lang w:eastAsia="zh-CN"/>
        </w:rPr>
        <w:t>） 时间同步。对时误差不大于±1µs；</w:t>
      </w:r>
    </w:p>
    <w:p w14:paraId="28E75CFB">
      <w:pPr>
        <w:widowControl w:val="0"/>
        <w:tabs>
          <w:tab w:val="left" w:pos="600"/>
        </w:tabs>
        <w:adjustRightInd w:val="0"/>
        <w:snapToGrid w:val="0"/>
        <w:spacing w:after="0" w:line="360" w:lineRule="auto"/>
        <w:ind w:firstLine="480" w:firstLineChars="200"/>
        <w:rPr>
          <w:rFonts w:hint="eastAsia" w:cs="Times New Roman"/>
          <w:color w:val="auto"/>
          <w:kern w:val="2"/>
          <w:sz w:val="24"/>
          <w:szCs w:val="24"/>
          <w:highlight w:val="none"/>
          <w:lang w:val="en-US" w:eastAsia="zh-CN"/>
        </w:rPr>
      </w:pPr>
      <w:r>
        <w:rPr>
          <w:rFonts w:hint="eastAsia" w:cs="Times New Roman"/>
          <w:color w:val="auto"/>
          <w:kern w:val="2"/>
          <w:sz w:val="24"/>
          <w:szCs w:val="24"/>
          <w:highlight w:val="none"/>
          <w:lang w:eastAsia="zh-CN"/>
        </w:rPr>
        <w:t>4.2</w:t>
      </w:r>
      <w:r>
        <w:rPr>
          <w:rFonts w:hint="eastAsia" w:cs="Times New Roman"/>
          <w:color w:val="auto"/>
          <w:kern w:val="2"/>
          <w:sz w:val="24"/>
          <w:szCs w:val="24"/>
          <w:highlight w:val="none"/>
          <w:lang w:val="en-US" w:eastAsia="zh-CN"/>
        </w:rPr>
        <w:t>.4</w:t>
      </w:r>
      <w:r>
        <w:rPr>
          <w:rFonts w:hint="eastAsia" w:cs="Times New Roman"/>
          <w:color w:val="auto"/>
          <w:kern w:val="2"/>
          <w:sz w:val="24"/>
          <w:szCs w:val="24"/>
          <w:highlight w:val="none"/>
          <w:lang w:eastAsia="zh-CN"/>
        </w:rPr>
        <w:t xml:space="preserve"> 当同步时间信号丢失或异常时，装置守时精度为60min以内，相角测量误差的改变量不大于1°（即，时间改变量应不大于56µs）。</w:t>
      </w:r>
    </w:p>
    <w:p w14:paraId="7E2D5400">
      <w:pPr>
        <w:widowControl w:val="0"/>
        <w:tabs>
          <w:tab w:val="left" w:pos="600"/>
        </w:tabs>
        <w:adjustRightInd w:val="0"/>
        <w:snapToGrid w:val="0"/>
        <w:spacing w:after="0" w:line="360" w:lineRule="auto"/>
        <w:ind w:left="0" w:leftChars="0" w:firstLine="482" w:firstLineChars="200"/>
        <w:outlineLvl w:val="3"/>
        <w:rPr>
          <w:rFonts w:hint="eastAsia" w:cs="Times New Roman"/>
          <w:b/>
          <w:bCs/>
          <w:color w:val="auto"/>
          <w:kern w:val="2"/>
          <w:sz w:val="24"/>
          <w:szCs w:val="24"/>
          <w:highlight w:val="none"/>
          <w:lang w:val="en-US" w:eastAsia="zh-CN"/>
        </w:rPr>
      </w:pPr>
      <w:r>
        <w:rPr>
          <w:rFonts w:hint="eastAsia" w:cs="Times New Roman"/>
          <w:b/>
          <w:bCs/>
          <w:color w:val="auto"/>
          <w:kern w:val="2"/>
          <w:sz w:val="24"/>
          <w:szCs w:val="24"/>
          <w:highlight w:val="none"/>
          <w:lang w:val="en-US" w:eastAsia="zh-CN"/>
        </w:rPr>
        <w:t>4.3  宽频测量处理装置技术要求</w:t>
      </w:r>
    </w:p>
    <w:p w14:paraId="261237FB">
      <w:pPr>
        <w:widowControl w:val="0"/>
        <w:tabs>
          <w:tab w:val="left" w:pos="600"/>
        </w:tabs>
        <w:adjustRightInd w:val="0"/>
        <w:snapToGrid w:val="0"/>
        <w:spacing w:after="0" w:line="360" w:lineRule="auto"/>
        <w:ind w:firstLine="480" w:firstLineChars="200"/>
        <w:rPr>
          <w:rFonts w:hint="eastAsia" w:cs="Times New Roman"/>
          <w:color w:val="auto"/>
          <w:kern w:val="2"/>
          <w:sz w:val="24"/>
          <w:szCs w:val="24"/>
          <w:highlight w:val="none"/>
          <w:lang w:eastAsia="zh-CN"/>
        </w:rPr>
      </w:pPr>
      <w:r>
        <w:rPr>
          <w:rFonts w:hint="eastAsia" w:cs="Times New Roman"/>
          <w:color w:val="auto"/>
          <w:kern w:val="2"/>
          <w:sz w:val="24"/>
          <w:szCs w:val="24"/>
          <w:highlight w:val="none"/>
          <w:lang w:eastAsia="zh-CN"/>
        </w:rPr>
        <w:t>4</w:t>
      </w:r>
      <w:r>
        <w:rPr>
          <w:rFonts w:hint="eastAsia" w:cs="Times New Roman"/>
          <w:color w:val="auto"/>
          <w:kern w:val="2"/>
          <w:sz w:val="24"/>
          <w:szCs w:val="24"/>
          <w:highlight w:val="none"/>
          <w:lang w:val="en-US" w:eastAsia="zh-CN"/>
        </w:rPr>
        <w:t>.3.1</w:t>
      </w:r>
      <w:r>
        <w:rPr>
          <w:rFonts w:hint="eastAsia" w:cs="Times New Roman"/>
          <w:color w:val="auto"/>
          <w:kern w:val="2"/>
          <w:sz w:val="24"/>
          <w:szCs w:val="24"/>
          <w:highlight w:val="none"/>
          <w:lang w:eastAsia="zh-CN"/>
        </w:rPr>
        <w:t>接口要求</w:t>
      </w:r>
    </w:p>
    <w:p w14:paraId="7783B85E">
      <w:pPr>
        <w:widowControl w:val="0"/>
        <w:numPr>
          <w:ilvl w:val="-1"/>
          <w:numId w:val="0"/>
        </w:numPr>
        <w:tabs>
          <w:tab w:val="left" w:pos="600"/>
        </w:tabs>
        <w:adjustRightInd w:val="0"/>
        <w:snapToGrid w:val="0"/>
        <w:spacing w:after="0" w:line="360" w:lineRule="auto"/>
        <w:ind w:left="0" w:firstLine="480" w:firstLineChars="200"/>
        <w:rPr>
          <w:rFonts w:hint="eastAsia" w:cs="Times New Roman"/>
          <w:color w:val="auto"/>
          <w:kern w:val="2"/>
          <w:sz w:val="24"/>
          <w:szCs w:val="24"/>
          <w:highlight w:val="none"/>
          <w:lang w:eastAsia="zh-CN"/>
        </w:rPr>
      </w:pPr>
      <w:r>
        <w:rPr>
          <w:rFonts w:hint="eastAsia" w:cs="Times New Roman"/>
          <w:color w:val="auto"/>
          <w:kern w:val="2"/>
          <w:sz w:val="24"/>
          <w:szCs w:val="24"/>
          <w:highlight w:val="none"/>
          <w:lang w:eastAsia="zh-CN"/>
        </w:rPr>
        <w:t>（</w:t>
      </w:r>
      <w:r>
        <w:rPr>
          <w:rFonts w:hint="eastAsia" w:cs="Times New Roman"/>
          <w:color w:val="auto"/>
          <w:kern w:val="2"/>
          <w:sz w:val="24"/>
          <w:szCs w:val="24"/>
          <w:highlight w:val="none"/>
          <w:lang w:val="en-US" w:eastAsia="zh-CN"/>
        </w:rPr>
        <w:t>1</w:t>
      </w:r>
      <w:r>
        <w:rPr>
          <w:rFonts w:hint="eastAsia" w:cs="Times New Roman"/>
          <w:color w:val="auto"/>
          <w:kern w:val="2"/>
          <w:sz w:val="24"/>
          <w:szCs w:val="24"/>
          <w:highlight w:val="none"/>
          <w:lang w:eastAsia="zh-CN"/>
        </w:rPr>
        <w:t>）通信接口。装置的通信接口要求如下：（</w:t>
      </w:r>
      <w:r>
        <w:rPr>
          <w:rFonts w:hint="eastAsia" w:cs="Times New Roman"/>
          <w:color w:val="auto"/>
          <w:kern w:val="2"/>
          <w:sz w:val="24"/>
          <w:szCs w:val="24"/>
          <w:highlight w:val="none"/>
          <w:lang w:val="en-US" w:eastAsia="zh-CN"/>
        </w:rPr>
        <w:t>a</w:t>
      </w:r>
      <w:r>
        <w:rPr>
          <w:rFonts w:hint="eastAsia" w:cs="Times New Roman"/>
          <w:color w:val="auto"/>
          <w:kern w:val="2"/>
          <w:sz w:val="24"/>
          <w:szCs w:val="24"/>
          <w:highlight w:val="none"/>
          <w:lang w:eastAsia="zh-CN"/>
        </w:rPr>
        <w:t>）应采用RJ45电以太网接口或多模光纤以太网接口；（</w:t>
      </w:r>
      <w:r>
        <w:rPr>
          <w:rFonts w:hint="eastAsia" w:cs="Times New Roman"/>
          <w:color w:val="auto"/>
          <w:kern w:val="2"/>
          <w:sz w:val="24"/>
          <w:szCs w:val="24"/>
          <w:highlight w:val="none"/>
          <w:lang w:val="en-US" w:eastAsia="zh-CN"/>
        </w:rPr>
        <w:t>b</w:t>
      </w:r>
      <w:r>
        <w:rPr>
          <w:rFonts w:hint="eastAsia" w:cs="Times New Roman"/>
          <w:color w:val="auto"/>
          <w:kern w:val="2"/>
          <w:sz w:val="24"/>
          <w:szCs w:val="24"/>
          <w:highlight w:val="none"/>
          <w:lang w:eastAsia="zh-CN"/>
        </w:rPr>
        <w:t>）网络接口数据应不小于</w:t>
      </w:r>
      <w:r>
        <w:rPr>
          <w:rFonts w:hint="eastAsia" w:cs="Times New Roman"/>
          <w:color w:val="auto"/>
          <w:kern w:val="2"/>
          <w:sz w:val="24"/>
          <w:szCs w:val="24"/>
          <w:highlight w:val="none"/>
          <w:lang w:val="en-US" w:eastAsia="zh-CN"/>
        </w:rPr>
        <w:t>6</w:t>
      </w:r>
      <w:r>
        <w:rPr>
          <w:rFonts w:hint="eastAsia" w:cs="Times New Roman"/>
          <w:color w:val="auto"/>
          <w:kern w:val="2"/>
          <w:sz w:val="24"/>
          <w:szCs w:val="24"/>
          <w:highlight w:val="none"/>
          <w:lang w:eastAsia="zh-CN"/>
        </w:rPr>
        <w:t>个。</w:t>
      </w:r>
    </w:p>
    <w:p w14:paraId="6D87F856">
      <w:pPr>
        <w:widowControl w:val="0"/>
        <w:numPr>
          <w:ilvl w:val="-1"/>
          <w:numId w:val="0"/>
        </w:numPr>
        <w:tabs>
          <w:tab w:val="left" w:pos="600"/>
        </w:tabs>
        <w:adjustRightInd w:val="0"/>
        <w:snapToGrid w:val="0"/>
        <w:spacing w:after="0" w:line="360" w:lineRule="auto"/>
        <w:ind w:left="0" w:firstLine="480" w:firstLineChars="200"/>
        <w:rPr>
          <w:rFonts w:hint="eastAsia" w:cs="Times New Roman"/>
          <w:color w:val="auto"/>
          <w:kern w:val="2"/>
          <w:sz w:val="24"/>
          <w:szCs w:val="24"/>
          <w:highlight w:val="none"/>
          <w:lang w:eastAsia="zh-CN"/>
        </w:rPr>
      </w:pPr>
      <w:r>
        <w:rPr>
          <w:rFonts w:hint="eastAsia" w:cs="Times New Roman"/>
          <w:color w:val="auto"/>
          <w:kern w:val="2"/>
          <w:sz w:val="24"/>
          <w:szCs w:val="24"/>
          <w:highlight w:val="none"/>
          <w:lang w:eastAsia="zh-CN"/>
        </w:rPr>
        <w:t>（</w:t>
      </w:r>
      <w:r>
        <w:rPr>
          <w:rFonts w:hint="eastAsia" w:cs="Times New Roman"/>
          <w:color w:val="auto"/>
          <w:kern w:val="2"/>
          <w:sz w:val="24"/>
          <w:szCs w:val="24"/>
          <w:highlight w:val="none"/>
          <w:lang w:val="en-US" w:eastAsia="zh-CN"/>
        </w:rPr>
        <w:t>2</w:t>
      </w:r>
      <w:r>
        <w:rPr>
          <w:rFonts w:hint="eastAsia" w:cs="Times New Roman"/>
          <w:color w:val="auto"/>
          <w:kern w:val="2"/>
          <w:sz w:val="24"/>
          <w:szCs w:val="24"/>
          <w:highlight w:val="none"/>
          <w:lang w:eastAsia="zh-CN"/>
        </w:rPr>
        <w:t>） 对时接口。装置的对时接口要求如下：（</w:t>
      </w:r>
      <w:r>
        <w:rPr>
          <w:rFonts w:hint="eastAsia" w:cs="Times New Roman"/>
          <w:color w:val="auto"/>
          <w:kern w:val="2"/>
          <w:sz w:val="24"/>
          <w:szCs w:val="24"/>
          <w:highlight w:val="none"/>
          <w:lang w:val="en-US" w:eastAsia="zh-CN"/>
        </w:rPr>
        <w:t>a</w:t>
      </w:r>
      <w:r>
        <w:rPr>
          <w:rFonts w:hint="eastAsia" w:cs="Times New Roman"/>
          <w:color w:val="auto"/>
          <w:kern w:val="2"/>
          <w:sz w:val="24"/>
          <w:szCs w:val="24"/>
          <w:highlight w:val="none"/>
          <w:lang w:eastAsia="zh-CN"/>
        </w:rPr>
        <w:t>）宽频测量处理单元应具有IRIG-B对时输入接口，采用光纤B码时，光纤连接器宜采用多模、波长为850nm 的ST 光纤接口；（</w:t>
      </w:r>
      <w:r>
        <w:rPr>
          <w:rFonts w:hint="eastAsia" w:cs="Times New Roman"/>
          <w:color w:val="auto"/>
          <w:kern w:val="2"/>
          <w:sz w:val="24"/>
          <w:szCs w:val="24"/>
          <w:highlight w:val="none"/>
          <w:lang w:val="en-US" w:eastAsia="zh-CN"/>
        </w:rPr>
        <w:t>b</w:t>
      </w:r>
      <w:r>
        <w:rPr>
          <w:rFonts w:hint="eastAsia" w:cs="Times New Roman"/>
          <w:color w:val="auto"/>
          <w:kern w:val="2"/>
          <w:sz w:val="24"/>
          <w:szCs w:val="24"/>
          <w:highlight w:val="none"/>
          <w:lang w:eastAsia="zh-CN"/>
        </w:rPr>
        <w:t>）采用电B码时，应采用RS485电平接口。</w:t>
      </w:r>
    </w:p>
    <w:p w14:paraId="744CCE72">
      <w:pPr>
        <w:widowControl w:val="0"/>
        <w:tabs>
          <w:tab w:val="left" w:pos="600"/>
        </w:tabs>
        <w:adjustRightInd w:val="0"/>
        <w:snapToGrid w:val="0"/>
        <w:spacing w:after="0" w:line="360" w:lineRule="auto"/>
        <w:ind w:firstLine="480" w:firstLineChars="200"/>
        <w:rPr>
          <w:rFonts w:hint="eastAsia" w:cs="Times New Roman"/>
          <w:color w:val="auto"/>
          <w:kern w:val="2"/>
          <w:sz w:val="24"/>
          <w:szCs w:val="24"/>
          <w:highlight w:val="none"/>
          <w:lang w:eastAsia="zh-CN"/>
        </w:rPr>
      </w:pPr>
      <w:r>
        <w:rPr>
          <w:rFonts w:hint="eastAsia" w:cs="Times New Roman"/>
          <w:color w:val="auto"/>
          <w:kern w:val="2"/>
          <w:sz w:val="24"/>
          <w:szCs w:val="24"/>
          <w:highlight w:val="none"/>
          <w:lang w:eastAsia="zh-CN"/>
        </w:rPr>
        <w:t>（</w:t>
      </w:r>
      <w:r>
        <w:rPr>
          <w:rFonts w:hint="eastAsia" w:cs="Times New Roman"/>
          <w:color w:val="auto"/>
          <w:kern w:val="2"/>
          <w:sz w:val="24"/>
          <w:szCs w:val="24"/>
          <w:highlight w:val="none"/>
          <w:lang w:val="en-US" w:eastAsia="zh-CN"/>
        </w:rPr>
        <w:t>3</w:t>
      </w:r>
      <w:r>
        <w:rPr>
          <w:rFonts w:hint="eastAsia" w:cs="Times New Roman"/>
          <w:color w:val="auto"/>
          <w:kern w:val="2"/>
          <w:sz w:val="24"/>
          <w:szCs w:val="24"/>
          <w:highlight w:val="none"/>
          <w:lang w:eastAsia="zh-CN"/>
        </w:rPr>
        <w:t>） 硬接点输出要求。宽频测量处理单元应至少具备以下2路硬接点告警输出信号：（</w:t>
      </w:r>
      <w:r>
        <w:rPr>
          <w:rFonts w:hint="eastAsia" w:cs="Times New Roman"/>
          <w:color w:val="auto"/>
          <w:kern w:val="2"/>
          <w:sz w:val="24"/>
          <w:szCs w:val="24"/>
          <w:highlight w:val="none"/>
          <w:lang w:val="en-US" w:eastAsia="zh-CN"/>
        </w:rPr>
        <w:t>a</w:t>
      </w:r>
      <w:r>
        <w:rPr>
          <w:rFonts w:hint="eastAsia" w:cs="Times New Roman"/>
          <w:color w:val="auto"/>
          <w:kern w:val="2"/>
          <w:sz w:val="24"/>
          <w:szCs w:val="24"/>
          <w:highlight w:val="none"/>
          <w:lang w:eastAsia="zh-CN"/>
        </w:rPr>
        <w:t>）</w:t>
      </w:r>
    </w:p>
    <w:p w14:paraId="2F6F90BE">
      <w:pPr>
        <w:widowControl w:val="0"/>
        <w:numPr>
          <w:ilvl w:val="-1"/>
          <w:numId w:val="0"/>
        </w:numPr>
        <w:tabs>
          <w:tab w:val="left" w:pos="600"/>
        </w:tabs>
        <w:adjustRightInd w:val="0"/>
        <w:snapToGrid w:val="0"/>
        <w:spacing w:after="0" w:line="360" w:lineRule="auto"/>
        <w:ind w:left="0" w:firstLine="480" w:firstLineChars="200"/>
        <w:rPr>
          <w:rFonts w:hint="eastAsia" w:eastAsia="宋体" w:cs="Times New Roman"/>
          <w:color w:val="auto"/>
          <w:kern w:val="2"/>
          <w:sz w:val="24"/>
          <w:szCs w:val="24"/>
          <w:highlight w:val="none"/>
          <w:lang w:eastAsia="zh-CN"/>
        </w:rPr>
      </w:pPr>
      <w:r>
        <w:rPr>
          <w:rFonts w:hint="eastAsia" w:cs="Times New Roman"/>
          <w:color w:val="auto"/>
          <w:kern w:val="2"/>
          <w:sz w:val="24"/>
          <w:szCs w:val="24"/>
          <w:highlight w:val="none"/>
          <w:lang w:eastAsia="zh-CN"/>
        </w:rPr>
        <w:t>直流电源消失告警接点：直流电源消失时导通，应为常闭接点；（</w:t>
      </w:r>
      <w:r>
        <w:rPr>
          <w:rFonts w:hint="eastAsia" w:cs="Times New Roman"/>
          <w:color w:val="auto"/>
          <w:kern w:val="2"/>
          <w:sz w:val="24"/>
          <w:szCs w:val="24"/>
          <w:highlight w:val="none"/>
          <w:lang w:val="en-US" w:eastAsia="zh-CN"/>
        </w:rPr>
        <w:t>b</w:t>
      </w:r>
      <w:r>
        <w:rPr>
          <w:rFonts w:hint="eastAsia" w:cs="Times New Roman"/>
          <w:color w:val="auto"/>
          <w:kern w:val="2"/>
          <w:sz w:val="24"/>
          <w:szCs w:val="24"/>
          <w:highlight w:val="none"/>
          <w:lang w:eastAsia="zh-CN"/>
        </w:rPr>
        <w:t>）装置告警信号接点：宽频测量处理单元或对时信号异常时导通。</w:t>
      </w:r>
    </w:p>
    <w:p w14:paraId="35907CA0">
      <w:pPr>
        <w:widowControl w:val="0"/>
        <w:tabs>
          <w:tab w:val="left" w:pos="600"/>
        </w:tabs>
        <w:adjustRightInd w:val="0"/>
        <w:snapToGrid w:val="0"/>
        <w:spacing w:after="0" w:line="360" w:lineRule="auto"/>
        <w:ind w:firstLine="480" w:firstLineChars="200"/>
        <w:rPr>
          <w:rFonts w:hint="eastAsia" w:cs="Times New Roman"/>
          <w:color w:val="auto"/>
          <w:kern w:val="2"/>
          <w:sz w:val="24"/>
          <w:szCs w:val="24"/>
          <w:highlight w:val="none"/>
          <w:lang w:eastAsia="zh-CN"/>
        </w:rPr>
      </w:pPr>
      <w:r>
        <w:rPr>
          <w:rFonts w:hint="eastAsia" w:cs="Times New Roman"/>
          <w:color w:val="auto"/>
          <w:kern w:val="2"/>
          <w:sz w:val="24"/>
          <w:szCs w:val="24"/>
          <w:highlight w:val="none"/>
          <w:lang w:eastAsia="zh-CN"/>
        </w:rPr>
        <w:t>4</w:t>
      </w:r>
      <w:r>
        <w:rPr>
          <w:rFonts w:hint="eastAsia" w:cs="Times New Roman"/>
          <w:color w:val="auto"/>
          <w:kern w:val="2"/>
          <w:sz w:val="24"/>
          <w:szCs w:val="24"/>
          <w:highlight w:val="none"/>
          <w:lang w:val="en-US" w:eastAsia="zh-CN"/>
        </w:rPr>
        <w:t>.3.2</w:t>
      </w:r>
      <w:r>
        <w:rPr>
          <w:rFonts w:hint="eastAsia" w:cs="Times New Roman"/>
          <w:color w:val="auto"/>
          <w:kern w:val="2"/>
          <w:sz w:val="24"/>
          <w:szCs w:val="24"/>
          <w:highlight w:val="none"/>
          <w:lang w:eastAsia="zh-CN"/>
        </w:rPr>
        <w:t>功能要求</w:t>
      </w:r>
    </w:p>
    <w:p w14:paraId="09111294">
      <w:pPr>
        <w:widowControl w:val="0"/>
        <w:tabs>
          <w:tab w:val="left" w:pos="600"/>
        </w:tabs>
        <w:adjustRightInd w:val="0"/>
        <w:snapToGrid w:val="0"/>
        <w:spacing w:after="0" w:line="360" w:lineRule="auto"/>
        <w:ind w:firstLine="480" w:firstLineChars="200"/>
        <w:rPr>
          <w:rFonts w:hint="eastAsia" w:cs="Times New Roman"/>
          <w:color w:val="auto"/>
          <w:kern w:val="2"/>
          <w:sz w:val="24"/>
          <w:szCs w:val="24"/>
          <w:highlight w:val="none"/>
          <w:lang w:eastAsia="zh-CN"/>
        </w:rPr>
      </w:pPr>
      <w:r>
        <w:rPr>
          <w:rFonts w:hint="eastAsia" w:cs="Times New Roman"/>
          <w:color w:val="auto"/>
          <w:kern w:val="2"/>
          <w:sz w:val="24"/>
          <w:szCs w:val="24"/>
          <w:highlight w:val="none"/>
          <w:lang w:eastAsia="zh-CN"/>
        </w:rPr>
        <w:t>（</w:t>
      </w:r>
      <w:r>
        <w:rPr>
          <w:rFonts w:hint="eastAsia" w:cs="Times New Roman"/>
          <w:color w:val="auto"/>
          <w:kern w:val="2"/>
          <w:sz w:val="24"/>
          <w:szCs w:val="24"/>
          <w:highlight w:val="none"/>
          <w:lang w:val="en-US" w:eastAsia="zh-CN"/>
        </w:rPr>
        <w:t>1</w:t>
      </w:r>
      <w:r>
        <w:rPr>
          <w:rFonts w:hint="eastAsia" w:cs="Times New Roman"/>
          <w:color w:val="auto"/>
          <w:kern w:val="2"/>
          <w:sz w:val="24"/>
          <w:szCs w:val="24"/>
          <w:highlight w:val="none"/>
          <w:lang w:eastAsia="zh-CN"/>
        </w:rPr>
        <w:t>）基本要求。宽频测量处理单元宜采用双直流电源模块供电，两个电源应独立工作，任一电源中断不应造成装置故障或重启。</w:t>
      </w:r>
    </w:p>
    <w:p w14:paraId="651B66DE">
      <w:pPr>
        <w:widowControl w:val="0"/>
        <w:numPr>
          <w:ilvl w:val="-1"/>
          <w:numId w:val="0"/>
        </w:numPr>
        <w:tabs>
          <w:tab w:val="left" w:pos="600"/>
        </w:tabs>
        <w:adjustRightInd w:val="0"/>
        <w:snapToGrid w:val="0"/>
        <w:spacing w:after="0" w:line="360" w:lineRule="auto"/>
        <w:ind w:left="0" w:firstLine="480" w:firstLineChars="200"/>
        <w:rPr>
          <w:rFonts w:hint="eastAsia" w:cs="Times New Roman"/>
          <w:color w:val="auto"/>
          <w:kern w:val="2"/>
          <w:sz w:val="24"/>
          <w:szCs w:val="24"/>
          <w:highlight w:val="none"/>
          <w:lang w:eastAsia="zh-CN"/>
        </w:rPr>
      </w:pPr>
      <w:r>
        <w:rPr>
          <w:rFonts w:hint="eastAsia" w:cs="Times New Roman"/>
          <w:color w:val="auto"/>
          <w:kern w:val="2"/>
          <w:sz w:val="24"/>
          <w:szCs w:val="24"/>
          <w:highlight w:val="none"/>
          <w:lang w:eastAsia="zh-CN"/>
        </w:rPr>
        <w:t>（</w:t>
      </w:r>
      <w:r>
        <w:rPr>
          <w:rFonts w:hint="eastAsia" w:cs="Times New Roman"/>
          <w:color w:val="auto"/>
          <w:kern w:val="2"/>
          <w:sz w:val="24"/>
          <w:szCs w:val="24"/>
          <w:highlight w:val="none"/>
          <w:lang w:val="en-US" w:eastAsia="zh-CN"/>
        </w:rPr>
        <w:t>2</w:t>
      </w:r>
      <w:r>
        <w:rPr>
          <w:rFonts w:hint="eastAsia" w:cs="Times New Roman"/>
          <w:color w:val="auto"/>
          <w:kern w:val="2"/>
          <w:sz w:val="24"/>
          <w:szCs w:val="24"/>
          <w:highlight w:val="none"/>
          <w:lang w:eastAsia="zh-CN"/>
        </w:rPr>
        <w:t>）通信功能。宽频测量处理单元的通信功能要求如下：（</w:t>
      </w:r>
      <w:r>
        <w:rPr>
          <w:rFonts w:hint="eastAsia" w:cs="Times New Roman"/>
          <w:color w:val="auto"/>
          <w:kern w:val="2"/>
          <w:sz w:val="24"/>
          <w:szCs w:val="24"/>
          <w:highlight w:val="none"/>
          <w:lang w:val="en-US" w:eastAsia="zh-CN"/>
        </w:rPr>
        <w:t>a</w:t>
      </w:r>
      <w:r>
        <w:rPr>
          <w:rFonts w:hint="eastAsia" w:cs="Times New Roman"/>
          <w:color w:val="auto"/>
          <w:kern w:val="2"/>
          <w:sz w:val="24"/>
          <w:szCs w:val="24"/>
          <w:highlight w:val="none"/>
          <w:lang w:eastAsia="zh-CN"/>
        </w:rPr>
        <w:t>）应能实时接收、解析宽频测量装置传输的数据报文，包括动态数据传输报文、离线数据传输报文和文件；（</w:t>
      </w:r>
      <w:r>
        <w:rPr>
          <w:rFonts w:hint="eastAsia" w:cs="Times New Roman"/>
          <w:color w:val="auto"/>
          <w:kern w:val="2"/>
          <w:sz w:val="24"/>
          <w:szCs w:val="24"/>
          <w:highlight w:val="none"/>
          <w:lang w:val="en-US" w:eastAsia="zh-CN"/>
        </w:rPr>
        <w:t>b</w:t>
      </w:r>
      <w:r>
        <w:rPr>
          <w:rFonts w:hint="eastAsia" w:cs="Times New Roman"/>
          <w:color w:val="auto"/>
          <w:kern w:val="2"/>
          <w:sz w:val="24"/>
          <w:szCs w:val="24"/>
          <w:highlight w:val="none"/>
          <w:lang w:eastAsia="zh-CN"/>
        </w:rPr>
        <w:t>）应能向多个主站实时转发站内宽频测量数据；（</w:t>
      </w:r>
      <w:r>
        <w:rPr>
          <w:rFonts w:hint="eastAsia" w:cs="Times New Roman"/>
          <w:color w:val="auto"/>
          <w:kern w:val="2"/>
          <w:sz w:val="24"/>
          <w:szCs w:val="24"/>
          <w:highlight w:val="none"/>
          <w:lang w:val="en-US" w:eastAsia="zh-CN"/>
        </w:rPr>
        <w:t>c</w:t>
      </w:r>
      <w:r>
        <w:rPr>
          <w:rFonts w:hint="eastAsia" w:cs="Times New Roman"/>
          <w:color w:val="auto"/>
          <w:kern w:val="2"/>
          <w:sz w:val="24"/>
          <w:szCs w:val="24"/>
          <w:highlight w:val="none"/>
          <w:lang w:eastAsia="zh-CN"/>
        </w:rPr>
        <w:t>）应具有相量数据传输功能，相关要求遵循Q/GDW10131标准；（</w:t>
      </w:r>
      <w:r>
        <w:rPr>
          <w:rFonts w:hint="eastAsia" w:cs="Times New Roman"/>
          <w:color w:val="auto"/>
          <w:kern w:val="2"/>
          <w:sz w:val="24"/>
          <w:szCs w:val="24"/>
          <w:highlight w:val="none"/>
          <w:lang w:val="en-US" w:eastAsia="zh-CN"/>
        </w:rPr>
        <w:t>d</w:t>
      </w:r>
      <w:r>
        <w:rPr>
          <w:rFonts w:hint="eastAsia" w:cs="Times New Roman"/>
          <w:color w:val="auto"/>
          <w:kern w:val="2"/>
          <w:sz w:val="24"/>
          <w:szCs w:val="24"/>
          <w:highlight w:val="none"/>
          <w:lang w:eastAsia="zh-CN"/>
        </w:rPr>
        <w:t>）应具备主站对文件的召唤功能，包括故障录波文件、连续录波文件、动态数据记录文件。</w:t>
      </w:r>
    </w:p>
    <w:p w14:paraId="19E85ED4">
      <w:pPr>
        <w:widowControl w:val="0"/>
        <w:numPr>
          <w:ilvl w:val="-1"/>
          <w:numId w:val="0"/>
        </w:numPr>
        <w:tabs>
          <w:tab w:val="left" w:pos="600"/>
        </w:tabs>
        <w:adjustRightInd w:val="0"/>
        <w:snapToGrid w:val="0"/>
        <w:spacing w:after="0" w:line="360" w:lineRule="auto"/>
        <w:ind w:left="0" w:firstLine="480" w:firstLineChars="200"/>
        <w:rPr>
          <w:rFonts w:hint="eastAsia" w:cs="Times New Roman"/>
          <w:color w:val="auto"/>
          <w:kern w:val="2"/>
          <w:sz w:val="24"/>
          <w:szCs w:val="24"/>
          <w:highlight w:val="none"/>
          <w:lang w:eastAsia="zh-CN"/>
        </w:rPr>
      </w:pPr>
      <w:r>
        <w:rPr>
          <w:rFonts w:hint="eastAsia" w:cs="Times New Roman"/>
          <w:color w:val="auto"/>
          <w:kern w:val="2"/>
          <w:sz w:val="24"/>
          <w:szCs w:val="24"/>
          <w:highlight w:val="none"/>
          <w:lang w:eastAsia="zh-CN"/>
        </w:rPr>
        <w:t>（</w:t>
      </w:r>
      <w:r>
        <w:rPr>
          <w:rFonts w:hint="eastAsia" w:cs="Times New Roman"/>
          <w:color w:val="auto"/>
          <w:kern w:val="2"/>
          <w:sz w:val="24"/>
          <w:szCs w:val="24"/>
          <w:highlight w:val="none"/>
          <w:lang w:val="en-US" w:eastAsia="zh-CN"/>
        </w:rPr>
        <w:t>3</w:t>
      </w:r>
      <w:r>
        <w:rPr>
          <w:rFonts w:hint="eastAsia" w:cs="Times New Roman"/>
          <w:color w:val="auto"/>
          <w:kern w:val="2"/>
          <w:sz w:val="24"/>
          <w:szCs w:val="24"/>
          <w:highlight w:val="none"/>
          <w:lang w:eastAsia="zh-CN"/>
        </w:rPr>
        <w:t>） 数据存储功能。宽频测量处理单元的数据存储功能要求如下：（</w:t>
      </w:r>
      <w:r>
        <w:rPr>
          <w:rFonts w:hint="eastAsia" w:cs="Times New Roman"/>
          <w:color w:val="auto"/>
          <w:kern w:val="2"/>
          <w:sz w:val="24"/>
          <w:szCs w:val="24"/>
          <w:highlight w:val="none"/>
          <w:lang w:val="en-US" w:eastAsia="zh-CN"/>
        </w:rPr>
        <w:t>a</w:t>
      </w:r>
      <w:r>
        <w:rPr>
          <w:rFonts w:hint="eastAsia" w:cs="Times New Roman"/>
          <w:color w:val="auto"/>
          <w:kern w:val="2"/>
          <w:sz w:val="24"/>
          <w:szCs w:val="24"/>
          <w:highlight w:val="none"/>
          <w:lang w:eastAsia="zh-CN"/>
        </w:rPr>
        <w:t>）应支持动态数据的记录存储，其记录存储要求应遵循Q/GDW10131标准；（</w:t>
      </w:r>
      <w:r>
        <w:rPr>
          <w:rFonts w:hint="eastAsia" w:cs="Times New Roman"/>
          <w:color w:val="auto"/>
          <w:kern w:val="2"/>
          <w:sz w:val="24"/>
          <w:szCs w:val="24"/>
          <w:highlight w:val="none"/>
          <w:lang w:val="en-US" w:eastAsia="zh-CN"/>
        </w:rPr>
        <w:t>b</w:t>
      </w:r>
      <w:r>
        <w:rPr>
          <w:rFonts w:hint="eastAsia" w:cs="Times New Roman"/>
          <w:color w:val="auto"/>
          <w:kern w:val="2"/>
          <w:sz w:val="24"/>
          <w:szCs w:val="24"/>
          <w:highlight w:val="none"/>
          <w:lang w:eastAsia="zh-CN"/>
        </w:rPr>
        <w:t>）宜支持宽频测量数据统计分析文件存储；（</w:t>
      </w:r>
      <w:r>
        <w:rPr>
          <w:rFonts w:hint="eastAsia" w:cs="Times New Roman"/>
          <w:color w:val="auto"/>
          <w:kern w:val="2"/>
          <w:sz w:val="24"/>
          <w:szCs w:val="24"/>
          <w:highlight w:val="none"/>
          <w:lang w:val="en-US" w:eastAsia="zh-CN"/>
        </w:rPr>
        <w:t>c</w:t>
      </w:r>
      <w:r>
        <w:rPr>
          <w:rFonts w:hint="eastAsia" w:cs="Times New Roman"/>
          <w:color w:val="auto"/>
          <w:kern w:val="2"/>
          <w:sz w:val="24"/>
          <w:szCs w:val="24"/>
          <w:highlight w:val="none"/>
          <w:lang w:eastAsia="zh-CN"/>
        </w:rPr>
        <w:t>）宜支持宽频测量装置事件录波文件的召唤和存储；（</w:t>
      </w:r>
      <w:r>
        <w:rPr>
          <w:rFonts w:hint="eastAsia" w:cs="Times New Roman"/>
          <w:color w:val="auto"/>
          <w:kern w:val="2"/>
          <w:sz w:val="24"/>
          <w:szCs w:val="24"/>
          <w:highlight w:val="none"/>
          <w:lang w:val="en-US" w:eastAsia="zh-CN"/>
        </w:rPr>
        <w:t>d</w:t>
      </w:r>
      <w:r>
        <w:rPr>
          <w:rFonts w:hint="eastAsia" w:cs="Times New Roman"/>
          <w:color w:val="auto"/>
          <w:kern w:val="2"/>
          <w:sz w:val="24"/>
          <w:szCs w:val="24"/>
          <w:highlight w:val="none"/>
          <w:lang w:eastAsia="zh-CN"/>
        </w:rPr>
        <w:t>）可支持宽频测量处理单元其它文件的存储。</w:t>
      </w:r>
    </w:p>
    <w:p w14:paraId="129374E8">
      <w:pPr>
        <w:widowControl w:val="0"/>
        <w:numPr>
          <w:ilvl w:val="-1"/>
          <w:numId w:val="0"/>
        </w:numPr>
        <w:tabs>
          <w:tab w:val="left" w:pos="600"/>
        </w:tabs>
        <w:adjustRightInd w:val="0"/>
        <w:snapToGrid w:val="0"/>
        <w:spacing w:after="0" w:line="360" w:lineRule="auto"/>
        <w:ind w:left="0" w:firstLine="480" w:firstLineChars="200"/>
        <w:rPr>
          <w:rFonts w:hint="eastAsia" w:cs="Times New Roman"/>
          <w:color w:val="auto"/>
          <w:kern w:val="2"/>
          <w:sz w:val="24"/>
          <w:szCs w:val="24"/>
          <w:highlight w:val="none"/>
          <w:lang w:eastAsia="zh-CN"/>
        </w:rPr>
      </w:pPr>
      <w:r>
        <w:rPr>
          <w:rFonts w:hint="eastAsia" w:cs="Times New Roman"/>
          <w:color w:val="auto"/>
          <w:kern w:val="2"/>
          <w:sz w:val="24"/>
          <w:szCs w:val="24"/>
          <w:highlight w:val="none"/>
          <w:lang w:eastAsia="zh-CN"/>
        </w:rPr>
        <w:t>（</w:t>
      </w:r>
      <w:r>
        <w:rPr>
          <w:rFonts w:hint="eastAsia" w:cs="Times New Roman"/>
          <w:color w:val="auto"/>
          <w:kern w:val="2"/>
          <w:sz w:val="24"/>
          <w:szCs w:val="24"/>
          <w:highlight w:val="none"/>
          <w:lang w:val="en-US" w:eastAsia="zh-CN"/>
        </w:rPr>
        <w:t>4</w:t>
      </w:r>
      <w:r>
        <w:rPr>
          <w:rFonts w:hint="eastAsia" w:cs="Times New Roman"/>
          <w:color w:val="auto"/>
          <w:kern w:val="2"/>
          <w:sz w:val="24"/>
          <w:szCs w:val="24"/>
          <w:highlight w:val="none"/>
          <w:lang w:eastAsia="zh-CN"/>
        </w:rPr>
        <w:t>）数据预处理和分析功能。宽频测量处理单元数据预处理和分析功能要求如下：（</w:t>
      </w:r>
      <w:r>
        <w:rPr>
          <w:rFonts w:hint="eastAsia" w:cs="Times New Roman"/>
          <w:color w:val="auto"/>
          <w:kern w:val="2"/>
          <w:sz w:val="24"/>
          <w:szCs w:val="24"/>
          <w:highlight w:val="none"/>
          <w:lang w:val="en-US" w:eastAsia="zh-CN"/>
        </w:rPr>
        <w:t>a</w:t>
      </w:r>
      <w:r>
        <w:rPr>
          <w:rFonts w:hint="eastAsia" w:cs="Times New Roman"/>
          <w:color w:val="auto"/>
          <w:kern w:val="2"/>
          <w:sz w:val="24"/>
          <w:szCs w:val="24"/>
          <w:highlight w:val="none"/>
          <w:lang w:eastAsia="zh-CN"/>
        </w:rPr>
        <w:t>）应具有2500Hz以内单通道和多通道的谐波、间谐波分析功能，支持频谱分析；（</w:t>
      </w:r>
      <w:r>
        <w:rPr>
          <w:rFonts w:hint="eastAsia" w:cs="Times New Roman"/>
          <w:color w:val="auto"/>
          <w:kern w:val="2"/>
          <w:sz w:val="24"/>
          <w:szCs w:val="24"/>
          <w:highlight w:val="none"/>
          <w:lang w:val="en-US" w:eastAsia="zh-CN"/>
        </w:rPr>
        <w:t>b</w:t>
      </w:r>
      <w:r>
        <w:rPr>
          <w:rFonts w:hint="eastAsia" w:cs="Times New Roman"/>
          <w:color w:val="auto"/>
          <w:kern w:val="2"/>
          <w:sz w:val="24"/>
          <w:szCs w:val="24"/>
          <w:highlight w:val="none"/>
          <w:lang w:eastAsia="zh-CN"/>
        </w:rPr>
        <w:t>）应支持数据分析时间窗的选择功能；（</w:t>
      </w:r>
      <w:r>
        <w:rPr>
          <w:rFonts w:hint="eastAsia" w:cs="Times New Roman"/>
          <w:color w:val="auto"/>
          <w:kern w:val="2"/>
          <w:sz w:val="24"/>
          <w:szCs w:val="24"/>
          <w:highlight w:val="none"/>
          <w:lang w:val="en-US" w:eastAsia="zh-CN"/>
        </w:rPr>
        <w:t>c</w:t>
      </w:r>
      <w:r>
        <w:rPr>
          <w:rFonts w:hint="eastAsia" w:cs="Times New Roman"/>
          <w:color w:val="auto"/>
          <w:kern w:val="2"/>
          <w:sz w:val="24"/>
          <w:szCs w:val="24"/>
          <w:highlight w:val="none"/>
          <w:lang w:eastAsia="zh-CN"/>
        </w:rPr>
        <w:t>）应支持基波量的相量分析功能，包括基波幅值和相位。</w:t>
      </w:r>
    </w:p>
    <w:p w14:paraId="6F2B625B">
      <w:pPr>
        <w:widowControl w:val="0"/>
        <w:tabs>
          <w:tab w:val="left" w:pos="600"/>
        </w:tabs>
        <w:adjustRightInd w:val="0"/>
        <w:snapToGrid w:val="0"/>
        <w:spacing w:after="0" w:line="360" w:lineRule="auto"/>
        <w:ind w:firstLine="480" w:firstLineChars="200"/>
        <w:rPr>
          <w:rFonts w:hint="eastAsia" w:cs="Times New Roman"/>
          <w:color w:val="auto"/>
          <w:kern w:val="2"/>
          <w:sz w:val="24"/>
          <w:szCs w:val="24"/>
          <w:highlight w:val="none"/>
          <w:lang w:eastAsia="zh-CN"/>
        </w:rPr>
      </w:pPr>
      <w:r>
        <w:rPr>
          <w:rFonts w:hint="eastAsia" w:cs="Times New Roman"/>
          <w:color w:val="auto"/>
          <w:kern w:val="2"/>
          <w:sz w:val="24"/>
          <w:szCs w:val="24"/>
          <w:highlight w:val="none"/>
          <w:lang w:eastAsia="zh-CN"/>
        </w:rPr>
        <w:t>（</w:t>
      </w:r>
      <w:r>
        <w:rPr>
          <w:rFonts w:hint="eastAsia" w:cs="Times New Roman"/>
          <w:color w:val="auto"/>
          <w:kern w:val="2"/>
          <w:sz w:val="24"/>
          <w:szCs w:val="24"/>
          <w:highlight w:val="none"/>
          <w:lang w:val="en-US" w:eastAsia="zh-CN"/>
        </w:rPr>
        <w:t>5</w:t>
      </w:r>
      <w:r>
        <w:rPr>
          <w:rFonts w:hint="eastAsia" w:cs="Times New Roman"/>
          <w:color w:val="auto"/>
          <w:kern w:val="2"/>
          <w:sz w:val="24"/>
          <w:szCs w:val="24"/>
          <w:highlight w:val="none"/>
          <w:lang w:eastAsia="zh-CN"/>
        </w:rPr>
        <w:t>）时间同步。宽频测量处理单元应支持IRIG-B信号对时，对时信号可采用光纤多模ST接口或电RS485接口。</w:t>
      </w:r>
    </w:p>
    <w:p w14:paraId="2BF02BF3">
      <w:pPr>
        <w:widowControl w:val="0"/>
        <w:tabs>
          <w:tab w:val="left" w:pos="600"/>
        </w:tabs>
        <w:adjustRightInd w:val="0"/>
        <w:snapToGrid w:val="0"/>
        <w:spacing w:after="0" w:line="360" w:lineRule="auto"/>
        <w:ind w:firstLine="480" w:firstLineChars="200"/>
        <w:rPr>
          <w:rFonts w:hint="eastAsia" w:cs="Times New Roman"/>
          <w:color w:val="auto"/>
          <w:kern w:val="2"/>
          <w:sz w:val="24"/>
          <w:szCs w:val="24"/>
          <w:highlight w:val="none"/>
          <w:lang w:eastAsia="zh-CN"/>
        </w:rPr>
      </w:pPr>
      <w:r>
        <w:rPr>
          <w:rFonts w:hint="eastAsia" w:cs="Times New Roman"/>
          <w:color w:val="auto"/>
          <w:kern w:val="2"/>
          <w:sz w:val="24"/>
          <w:szCs w:val="24"/>
          <w:highlight w:val="none"/>
          <w:lang w:eastAsia="zh-CN"/>
        </w:rPr>
        <w:t>4</w:t>
      </w:r>
      <w:r>
        <w:rPr>
          <w:rFonts w:hint="eastAsia" w:cs="Times New Roman"/>
          <w:color w:val="auto"/>
          <w:kern w:val="2"/>
          <w:sz w:val="24"/>
          <w:szCs w:val="24"/>
          <w:highlight w:val="none"/>
          <w:lang w:val="en-US" w:eastAsia="zh-CN"/>
        </w:rPr>
        <w:t>.3.3</w:t>
      </w:r>
      <w:r>
        <w:rPr>
          <w:rFonts w:hint="eastAsia" w:cs="Times New Roman"/>
          <w:color w:val="auto"/>
          <w:kern w:val="2"/>
          <w:sz w:val="24"/>
          <w:szCs w:val="24"/>
          <w:highlight w:val="none"/>
          <w:lang w:eastAsia="zh-CN"/>
        </w:rPr>
        <w:t>性能要求</w:t>
      </w:r>
    </w:p>
    <w:p w14:paraId="025CF023">
      <w:pPr>
        <w:widowControl w:val="0"/>
        <w:tabs>
          <w:tab w:val="left" w:pos="600"/>
        </w:tabs>
        <w:adjustRightInd w:val="0"/>
        <w:snapToGrid w:val="0"/>
        <w:spacing w:after="0" w:line="360" w:lineRule="auto"/>
        <w:ind w:firstLine="480" w:firstLineChars="200"/>
        <w:rPr>
          <w:rFonts w:hint="eastAsia" w:cs="Times New Roman"/>
          <w:color w:val="auto"/>
          <w:kern w:val="2"/>
          <w:sz w:val="24"/>
          <w:szCs w:val="24"/>
          <w:highlight w:val="none"/>
          <w:lang w:eastAsia="zh-CN"/>
        </w:rPr>
      </w:pPr>
      <w:r>
        <w:rPr>
          <w:rFonts w:hint="eastAsia" w:cs="Times New Roman"/>
          <w:color w:val="auto"/>
          <w:kern w:val="2"/>
          <w:sz w:val="24"/>
          <w:szCs w:val="24"/>
          <w:highlight w:val="none"/>
          <w:lang w:eastAsia="zh-CN"/>
        </w:rPr>
        <w:t>（</w:t>
      </w:r>
      <w:r>
        <w:rPr>
          <w:rFonts w:hint="eastAsia" w:cs="Times New Roman"/>
          <w:color w:val="auto"/>
          <w:kern w:val="2"/>
          <w:sz w:val="24"/>
          <w:szCs w:val="24"/>
          <w:highlight w:val="none"/>
          <w:lang w:val="en-US" w:eastAsia="zh-CN"/>
        </w:rPr>
        <w:t>1</w:t>
      </w:r>
      <w:r>
        <w:rPr>
          <w:rFonts w:hint="eastAsia" w:cs="Times New Roman"/>
          <w:color w:val="auto"/>
          <w:kern w:val="2"/>
          <w:sz w:val="24"/>
          <w:szCs w:val="24"/>
          <w:highlight w:val="none"/>
          <w:lang w:eastAsia="zh-CN"/>
        </w:rPr>
        <w:t>）时间同步。宽频测量处理单元的对时精度应优于1</w:t>
      </w:r>
      <w:r>
        <w:rPr>
          <w:rFonts w:hint="eastAsia" w:cs="Times New Roman"/>
          <w:color w:val="auto"/>
          <w:kern w:val="2"/>
          <w:sz w:val="24"/>
          <w:szCs w:val="24"/>
          <w:highlight w:val="none"/>
          <w:lang w:val="en-US" w:eastAsia="zh-CN"/>
        </w:rPr>
        <w:t>u</w:t>
      </w:r>
      <w:r>
        <w:rPr>
          <w:rFonts w:hint="eastAsia" w:cs="Times New Roman"/>
          <w:color w:val="auto"/>
          <w:kern w:val="2"/>
          <w:sz w:val="24"/>
          <w:szCs w:val="24"/>
          <w:highlight w:val="none"/>
          <w:lang w:eastAsia="zh-CN"/>
        </w:rPr>
        <w:t>s。</w:t>
      </w:r>
    </w:p>
    <w:p w14:paraId="2D9F36CA">
      <w:pPr>
        <w:widowControl w:val="0"/>
        <w:numPr>
          <w:ilvl w:val="-1"/>
          <w:numId w:val="0"/>
        </w:numPr>
        <w:tabs>
          <w:tab w:val="left" w:pos="600"/>
        </w:tabs>
        <w:adjustRightInd w:val="0"/>
        <w:snapToGrid w:val="0"/>
        <w:spacing w:after="0" w:line="360" w:lineRule="auto"/>
        <w:ind w:left="0" w:firstLine="480" w:firstLineChars="200"/>
        <w:rPr>
          <w:rFonts w:hint="eastAsia" w:cs="Times New Roman"/>
          <w:color w:val="auto"/>
          <w:kern w:val="2"/>
          <w:sz w:val="24"/>
          <w:szCs w:val="24"/>
          <w:highlight w:val="none"/>
          <w:lang w:eastAsia="zh-CN"/>
        </w:rPr>
      </w:pPr>
      <w:r>
        <w:rPr>
          <w:rFonts w:hint="eastAsia" w:cs="Times New Roman"/>
          <w:color w:val="auto"/>
          <w:kern w:val="2"/>
          <w:sz w:val="24"/>
          <w:szCs w:val="24"/>
          <w:highlight w:val="none"/>
          <w:lang w:eastAsia="zh-CN"/>
        </w:rPr>
        <w:t>（</w:t>
      </w:r>
      <w:r>
        <w:rPr>
          <w:rFonts w:hint="eastAsia" w:cs="Times New Roman"/>
          <w:color w:val="auto"/>
          <w:kern w:val="2"/>
          <w:sz w:val="24"/>
          <w:szCs w:val="24"/>
          <w:highlight w:val="none"/>
          <w:lang w:val="en-US" w:eastAsia="zh-CN"/>
        </w:rPr>
        <w:t>2</w:t>
      </w:r>
      <w:r>
        <w:rPr>
          <w:rFonts w:hint="eastAsia" w:cs="Times New Roman"/>
          <w:color w:val="auto"/>
          <w:kern w:val="2"/>
          <w:sz w:val="24"/>
          <w:szCs w:val="24"/>
          <w:highlight w:val="none"/>
          <w:lang w:eastAsia="zh-CN"/>
        </w:rPr>
        <w:t>）实时通信。装置的实时通信要求如下：（</w:t>
      </w:r>
      <w:r>
        <w:rPr>
          <w:rFonts w:hint="eastAsia" w:cs="Times New Roman"/>
          <w:color w:val="auto"/>
          <w:kern w:val="2"/>
          <w:sz w:val="24"/>
          <w:szCs w:val="24"/>
          <w:highlight w:val="none"/>
          <w:lang w:val="en-US" w:eastAsia="zh-CN"/>
        </w:rPr>
        <w:t>a</w:t>
      </w:r>
      <w:r>
        <w:rPr>
          <w:rFonts w:hint="eastAsia" w:cs="Times New Roman"/>
          <w:color w:val="auto"/>
          <w:kern w:val="2"/>
          <w:sz w:val="24"/>
          <w:szCs w:val="24"/>
          <w:highlight w:val="none"/>
          <w:lang w:eastAsia="zh-CN"/>
        </w:rPr>
        <w:t>）宽频测量处理单元转发实时动态数据的延迟时间应不大于200ms；（</w:t>
      </w:r>
      <w:r>
        <w:rPr>
          <w:rFonts w:hint="eastAsia" w:cs="Times New Roman"/>
          <w:color w:val="auto"/>
          <w:kern w:val="2"/>
          <w:sz w:val="24"/>
          <w:szCs w:val="24"/>
          <w:highlight w:val="none"/>
          <w:lang w:val="en-US" w:eastAsia="zh-CN"/>
        </w:rPr>
        <w:t>b</w:t>
      </w:r>
      <w:r>
        <w:rPr>
          <w:rFonts w:hint="eastAsia" w:cs="Times New Roman"/>
          <w:color w:val="auto"/>
          <w:kern w:val="2"/>
          <w:sz w:val="24"/>
          <w:szCs w:val="24"/>
          <w:highlight w:val="none"/>
          <w:lang w:eastAsia="zh-CN"/>
        </w:rPr>
        <w:t>）宽频测量处理单元能接入的主站</w:t>
      </w:r>
      <w:r>
        <w:rPr>
          <w:rFonts w:hint="eastAsia" w:cs="Times New Roman"/>
          <w:color w:val="auto"/>
          <w:kern w:val="2"/>
          <w:sz w:val="24"/>
          <w:szCs w:val="24"/>
          <w:highlight w:val="none"/>
          <w:lang w:eastAsia="zh-CN"/>
        </w:rPr>
        <w:t>链路数</w:t>
      </w:r>
      <w:r>
        <w:rPr>
          <w:rFonts w:hint="eastAsia" w:cs="Times New Roman"/>
          <w:color w:val="auto"/>
          <w:kern w:val="2"/>
          <w:sz w:val="24"/>
          <w:szCs w:val="24"/>
          <w:highlight w:val="none"/>
          <w:lang w:eastAsia="zh-CN"/>
        </w:rPr>
        <w:t>应不少于8个；（</w:t>
      </w:r>
      <w:r>
        <w:rPr>
          <w:rFonts w:hint="eastAsia" w:cs="Times New Roman"/>
          <w:color w:val="auto"/>
          <w:kern w:val="2"/>
          <w:sz w:val="24"/>
          <w:szCs w:val="24"/>
          <w:highlight w:val="none"/>
          <w:lang w:val="en-US" w:eastAsia="zh-CN"/>
        </w:rPr>
        <w:t>c</w:t>
      </w:r>
      <w:r>
        <w:rPr>
          <w:rFonts w:hint="eastAsia" w:cs="Times New Roman"/>
          <w:color w:val="auto"/>
          <w:kern w:val="2"/>
          <w:sz w:val="24"/>
          <w:szCs w:val="24"/>
          <w:highlight w:val="none"/>
          <w:lang w:eastAsia="zh-CN"/>
        </w:rPr>
        <w:t>）</w:t>
      </w:r>
      <w:r>
        <w:rPr>
          <w:rFonts w:hint="eastAsia" w:cs="Times New Roman"/>
          <w:color w:val="auto"/>
          <w:kern w:val="2"/>
          <w:sz w:val="24"/>
          <w:szCs w:val="24"/>
          <w:highlight w:val="none"/>
          <w:lang w:eastAsia="zh-CN"/>
        </w:rPr>
        <w:t>宽频测量处理单元能接入的宽频测量装置台数应不少于8个，每台采集装置需采集不少于8个间隔的电气量（三相电压、三相电流）</w:t>
      </w:r>
      <w:r>
        <w:rPr>
          <w:rFonts w:hint="eastAsia" w:cs="Times New Roman"/>
          <w:color w:val="auto"/>
          <w:kern w:val="2"/>
          <w:sz w:val="24"/>
          <w:szCs w:val="24"/>
          <w:highlight w:val="none"/>
          <w:lang w:eastAsia="zh-CN"/>
        </w:rPr>
        <w:t>。</w:t>
      </w:r>
    </w:p>
    <w:p w14:paraId="13519D36">
      <w:pPr>
        <w:widowControl w:val="0"/>
        <w:numPr>
          <w:ilvl w:val="-1"/>
          <w:numId w:val="0"/>
        </w:numPr>
        <w:tabs>
          <w:tab w:val="left" w:pos="600"/>
        </w:tabs>
        <w:adjustRightInd w:val="0"/>
        <w:snapToGrid w:val="0"/>
        <w:spacing w:after="0" w:line="360" w:lineRule="auto"/>
        <w:ind w:left="0" w:firstLine="480" w:firstLineChars="200"/>
        <w:rPr>
          <w:rFonts w:hint="eastAsia" w:cs="Times New Roman"/>
          <w:color w:val="auto"/>
          <w:kern w:val="2"/>
          <w:sz w:val="24"/>
          <w:szCs w:val="24"/>
          <w:highlight w:val="none"/>
          <w:lang w:eastAsia="zh-CN"/>
        </w:rPr>
      </w:pPr>
      <w:r>
        <w:rPr>
          <w:rFonts w:hint="eastAsia" w:cs="Times New Roman"/>
          <w:color w:val="auto"/>
          <w:kern w:val="2"/>
          <w:sz w:val="24"/>
          <w:szCs w:val="24"/>
          <w:highlight w:val="none"/>
          <w:lang w:eastAsia="zh-CN"/>
        </w:rPr>
        <w:t>（</w:t>
      </w:r>
      <w:r>
        <w:rPr>
          <w:rFonts w:hint="eastAsia" w:cs="Times New Roman"/>
          <w:color w:val="auto"/>
          <w:kern w:val="2"/>
          <w:sz w:val="24"/>
          <w:szCs w:val="24"/>
          <w:highlight w:val="none"/>
          <w:lang w:val="en-US" w:eastAsia="zh-CN"/>
        </w:rPr>
        <w:t>3</w:t>
      </w:r>
      <w:r>
        <w:rPr>
          <w:rFonts w:hint="eastAsia" w:cs="Times New Roman"/>
          <w:color w:val="auto"/>
          <w:kern w:val="2"/>
          <w:sz w:val="24"/>
          <w:szCs w:val="24"/>
          <w:highlight w:val="none"/>
          <w:lang w:eastAsia="zh-CN"/>
        </w:rPr>
        <w:t>）数据记录与存储。装置的数据记录与存储要求如下：（</w:t>
      </w:r>
      <w:r>
        <w:rPr>
          <w:rFonts w:hint="eastAsia" w:cs="Times New Roman"/>
          <w:color w:val="auto"/>
          <w:kern w:val="2"/>
          <w:sz w:val="24"/>
          <w:szCs w:val="24"/>
          <w:highlight w:val="none"/>
          <w:lang w:val="en-US" w:eastAsia="zh-CN"/>
        </w:rPr>
        <w:t>a</w:t>
      </w:r>
      <w:r>
        <w:rPr>
          <w:rFonts w:hint="eastAsia" w:cs="Times New Roman"/>
          <w:color w:val="auto"/>
          <w:kern w:val="2"/>
          <w:sz w:val="24"/>
          <w:szCs w:val="24"/>
          <w:highlight w:val="none"/>
          <w:lang w:eastAsia="zh-CN"/>
        </w:rPr>
        <w:t>）基波相量动态数据记录要求应遵循Q/GDW10131标准；（</w:t>
      </w:r>
      <w:r>
        <w:rPr>
          <w:rFonts w:hint="eastAsia" w:cs="Times New Roman"/>
          <w:color w:val="auto"/>
          <w:kern w:val="2"/>
          <w:sz w:val="24"/>
          <w:szCs w:val="24"/>
          <w:highlight w:val="none"/>
          <w:lang w:val="en-US" w:eastAsia="zh-CN"/>
        </w:rPr>
        <w:t>b</w:t>
      </w:r>
      <w:r>
        <w:rPr>
          <w:rFonts w:hint="eastAsia" w:cs="Times New Roman"/>
          <w:color w:val="auto"/>
          <w:kern w:val="2"/>
          <w:sz w:val="24"/>
          <w:szCs w:val="24"/>
          <w:highlight w:val="none"/>
          <w:lang w:eastAsia="zh-CN"/>
        </w:rPr>
        <w:t>）应支持不少于1000条事件录波文件存储；（</w:t>
      </w:r>
      <w:r>
        <w:rPr>
          <w:rFonts w:hint="eastAsia" w:cs="Times New Roman"/>
          <w:color w:val="auto"/>
          <w:kern w:val="2"/>
          <w:sz w:val="24"/>
          <w:szCs w:val="24"/>
          <w:highlight w:val="none"/>
          <w:lang w:val="en-US" w:eastAsia="zh-CN"/>
        </w:rPr>
        <w:t>c</w:t>
      </w:r>
      <w:r>
        <w:rPr>
          <w:rFonts w:hint="eastAsia" w:cs="Times New Roman"/>
          <w:color w:val="auto"/>
          <w:kern w:val="2"/>
          <w:sz w:val="24"/>
          <w:szCs w:val="24"/>
          <w:highlight w:val="none"/>
          <w:lang w:eastAsia="zh-CN"/>
        </w:rPr>
        <w:t>）应支持录波文件、基波相量动态记录文件、预处理分析文件的展示和导出。</w:t>
      </w:r>
    </w:p>
    <w:p w14:paraId="5A701EED">
      <w:pPr>
        <w:widowControl w:val="0"/>
        <w:tabs>
          <w:tab w:val="left" w:pos="600"/>
        </w:tabs>
        <w:adjustRightInd w:val="0"/>
        <w:snapToGrid w:val="0"/>
        <w:spacing w:after="0" w:line="360" w:lineRule="auto"/>
        <w:ind w:firstLine="480" w:firstLineChars="200"/>
        <w:rPr>
          <w:rFonts w:hint="eastAsia" w:cs="Times New Roman"/>
          <w:color w:val="auto"/>
          <w:kern w:val="2"/>
          <w:sz w:val="24"/>
          <w:szCs w:val="24"/>
          <w:highlight w:val="none"/>
          <w:lang w:eastAsia="zh-CN"/>
        </w:rPr>
      </w:pPr>
      <w:r>
        <w:rPr>
          <w:rFonts w:hint="eastAsia" w:cs="Times New Roman"/>
          <w:color w:val="auto"/>
          <w:kern w:val="2"/>
          <w:sz w:val="24"/>
          <w:szCs w:val="24"/>
          <w:highlight w:val="none"/>
          <w:lang w:eastAsia="zh-CN"/>
        </w:rPr>
        <w:t>（</w:t>
      </w:r>
      <w:r>
        <w:rPr>
          <w:rFonts w:hint="eastAsia" w:cs="Times New Roman"/>
          <w:color w:val="auto"/>
          <w:kern w:val="2"/>
          <w:sz w:val="24"/>
          <w:szCs w:val="24"/>
          <w:highlight w:val="none"/>
          <w:lang w:val="en-US" w:eastAsia="zh-CN"/>
        </w:rPr>
        <w:t>4</w:t>
      </w:r>
      <w:r>
        <w:rPr>
          <w:rFonts w:hint="eastAsia" w:cs="Times New Roman"/>
          <w:color w:val="auto"/>
          <w:kern w:val="2"/>
          <w:sz w:val="24"/>
          <w:szCs w:val="24"/>
          <w:highlight w:val="none"/>
          <w:lang w:eastAsia="zh-CN"/>
        </w:rPr>
        <w:t>）运行条件。宽频测量处理单元运行环境条件要求应招标文件的环境要求。</w:t>
      </w:r>
    </w:p>
    <w:p w14:paraId="1146ABD4">
      <w:pPr>
        <w:widowControl w:val="0"/>
        <w:tabs>
          <w:tab w:val="left" w:pos="600"/>
        </w:tabs>
        <w:adjustRightInd w:val="0"/>
        <w:snapToGrid w:val="0"/>
        <w:spacing w:after="0" w:line="360" w:lineRule="auto"/>
        <w:ind w:firstLine="480" w:firstLineChars="200"/>
        <w:rPr>
          <w:rFonts w:hint="eastAsia" w:cs="Times New Roman"/>
          <w:color w:val="auto"/>
          <w:kern w:val="2"/>
          <w:sz w:val="24"/>
          <w:szCs w:val="24"/>
          <w:highlight w:val="none"/>
          <w:lang w:eastAsia="zh-CN"/>
        </w:rPr>
      </w:pPr>
      <w:r>
        <w:rPr>
          <w:rFonts w:hint="eastAsia" w:cs="Times New Roman"/>
          <w:color w:val="auto"/>
          <w:kern w:val="2"/>
          <w:sz w:val="24"/>
          <w:szCs w:val="24"/>
          <w:highlight w:val="none"/>
          <w:lang w:eastAsia="zh-CN"/>
        </w:rPr>
        <w:t>4</w:t>
      </w:r>
      <w:r>
        <w:rPr>
          <w:rFonts w:hint="eastAsia" w:cs="Times New Roman"/>
          <w:color w:val="auto"/>
          <w:kern w:val="2"/>
          <w:sz w:val="24"/>
          <w:szCs w:val="24"/>
          <w:highlight w:val="none"/>
          <w:lang w:val="en-US" w:eastAsia="zh-CN"/>
        </w:rPr>
        <w:t>.3.4</w:t>
      </w:r>
      <w:r>
        <w:rPr>
          <w:rFonts w:hint="eastAsia" w:cs="Times New Roman"/>
          <w:color w:val="auto"/>
          <w:kern w:val="2"/>
          <w:sz w:val="24"/>
          <w:szCs w:val="24"/>
          <w:highlight w:val="none"/>
          <w:lang w:eastAsia="zh-CN"/>
        </w:rPr>
        <w:t>业务安全</w:t>
      </w:r>
    </w:p>
    <w:p w14:paraId="2F474179">
      <w:pPr>
        <w:widowControl w:val="0"/>
        <w:tabs>
          <w:tab w:val="left" w:pos="600"/>
        </w:tabs>
        <w:adjustRightInd w:val="0"/>
        <w:snapToGrid w:val="0"/>
        <w:spacing w:after="0" w:line="360" w:lineRule="auto"/>
        <w:ind w:left="0" w:leftChars="0" w:firstLine="480" w:firstLineChars="200"/>
        <w:rPr>
          <w:rFonts w:hint="eastAsia" w:ascii="宋体" w:cs="Times New Roman"/>
          <w:color w:val="auto"/>
          <w:kern w:val="2"/>
          <w:sz w:val="24"/>
          <w:szCs w:val="24"/>
          <w:highlight w:val="none"/>
          <w:lang w:eastAsia="zh-CN"/>
        </w:rPr>
      </w:pPr>
      <w:r>
        <w:rPr>
          <w:rFonts w:hint="eastAsia" w:cs="Times New Roman"/>
          <w:color w:val="auto"/>
          <w:kern w:val="2"/>
          <w:sz w:val="24"/>
          <w:szCs w:val="24"/>
          <w:highlight w:val="none"/>
          <w:lang w:eastAsia="zh-CN"/>
        </w:rPr>
        <w:t>（</w:t>
      </w:r>
      <w:r>
        <w:rPr>
          <w:rFonts w:hint="eastAsia" w:cs="Times New Roman"/>
          <w:color w:val="auto"/>
          <w:kern w:val="2"/>
          <w:sz w:val="24"/>
          <w:szCs w:val="24"/>
          <w:highlight w:val="none"/>
          <w:lang w:val="en-US" w:eastAsia="zh-CN"/>
        </w:rPr>
        <w:t>1</w:t>
      </w:r>
      <w:r>
        <w:rPr>
          <w:rFonts w:hint="eastAsia" w:cs="Times New Roman"/>
          <w:color w:val="auto"/>
          <w:kern w:val="2"/>
          <w:sz w:val="24"/>
          <w:szCs w:val="24"/>
          <w:highlight w:val="none"/>
          <w:lang w:eastAsia="zh-CN"/>
        </w:rPr>
        <w:t>）人机安全。（</w:t>
      </w:r>
      <w:r>
        <w:rPr>
          <w:rFonts w:hint="eastAsia" w:cs="Times New Roman"/>
          <w:color w:val="auto"/>
          <w:kern w:val="2"/>
          <w:sz w:val="24"/>
          <w:szCs w:val="24"/>
          <w:highlight w:val="none"/>
          <w:lang w:val="en-US" w:eastAsia="zh-CN"/>
        </w:rPr>
        <w:t>1.1</w:t>
      </w:r>
      <w:r>
        <w:rPr>
          <w:rFonts w:hint="eastAsia" w:cs="Times New Roman"/>
          <w:color w:val="auto"/>
          <w:kern w:val="2"/>
          <w:sz w:val="24"/>
          <w:szCs w:val="24"/>
          <w:highlight w:val="none"/>
          <w:lang w:eastAsia="zh-CN"/>
        </w:rPr>
        <w:t>）</w:t>
      </w:r>
      <w:r>
        <w:rPr>
          <w:rFonts w:hint="eastAsia" w:ascii="宋体" w:cs="Times New Roman"/>
          <w:color w:val="auto"/>
          <w:kern w:val="2"/>
          <w:sz w:val="24"/>
          <w:szCs w:val="24"/>
          <w:highlight w:val="none"/>
          <w:lang w:eastAsia="zh-CN"/>
        </w:rPr>
        <w:t>身份认证：</w:t>
      </w:r>
      <w:r>
        <w:rPr>
          <w:rFonts w:hint="eastAsia" w:cs="Times New Roman"/>
          <w:color w:val="auto"/>
          <w:kern w:val="2"/>
          <w:sz w:val="24"/>
          <w:szCs w:val="24"/>
          <w:highlight w:val="none"/>
          <w:lang w:eastAsia="zh-CN"/>
        </w:rPr>
        <w:t>（</w:t>
      </w:r>
      <w:r>
        <w:rPr>
          <w:rFonts w:hint="eastAsia" w:cs="Times New Roman"/>
          <w:color w:val="auto"/>
          <w:kern w:val="2"/>
          <w:sz w:val="24"/>
          <w:szCs w:val="24"/>
          <w:highlight w:val="none"/>
          <w:lang w:val="en-US" w:eastAsia="zh-CN"/>
        </w:rPr>
        <w:t>a</w:t>
      </w:r>
      <w:r>
        <w:rPr>
          <w:rFonts w:hint="eastAsia" w:cs="Times New Roman"/>
          <w:color w:val="auto"/>
          <w:kern w:val="2"/>
          <w:sz w:val="24"/>
          <w:szCs w:val="24"/>
          <w:highlight w:val="none"/>
          <w:lang w:eastAsia="zh-CN"/>
        </w:rPr>
        <w:t>）</w:t>
      </w:r>
      <w:r>
        <w:rPr>
          <w:rFonts w:hint="eastAsia" w:ascii="宋体" w:cs="Times New Roman"/>
          <w:color w:val="auto"/>
          <w:kern w:val="2"/>
          <w:sz w:val="24"/>
          <w:szCs w:val="24"/>
          <w:highlight w:val="none"/>
          <w:lang w:eastAsia="zh-CN"/>
        </w:rPr>
        <w:t>应具备对登陆的用户进行身份认证功能；</w:t>
      </w:r>
      <w:r>
        <w:rPr>
          <w:rFonts w:hint="eastAsia" w:cs="Times New Roman"/>
          <w:color w:val="auto"/>
          <w:kern w:val="2"/>
          <w:sz w:val="24"/>
          <w:szCs w:val="24"/>
          <w:highlight w:val="none"/>
          <w:lang w:eastAsia="zh-CN"/>
        </w:rPr>
        <w:t>（</w:t>
      </w:r>
      <w:r>
        <w:rPr>
          <w:rFonts w:hint="eastAsia" w:cs="Times New Roman"/>
          <w:color w:val="auto"/>
          <w:kern w:val="2"/>
          <w:sz w:val="24"/>
          <w:szCs w:val="24"/>
          <w:highlight w:val="none"/>
          <w:lang w:val="en-US" w:eastAsia="zh-CN"/>
        </w:rPr>
        <w:t>b</w:t>
      </w:r>
      <w:r>
        <w:rPr>
          <w:rFonts w:hint="eastAsia" w:cs="Times New Roman"/>
          <w:color w:val="auto"/>
          <w:kern w:val="2"/>
          <w:sz w:val="24"/>
          <w:szCs w:val="24"/>
          <w:highlight w:val="none"/>
          <w:lang w:eastAsia="zh-CN"/>
        </w:rPr>
        <w:t>）</w:t>
      </w:r>
      <w:r>
        <w:rPr>
          <w:rFonts w:hint="eastAsia" w:ascii="宋体" w:cs="Times New Roman"/>
          <w:color w:val="auto"/>
          <w:kern w:val="2"/>
          <w:sz w:val="24"/>
          <w:szCs w:val="24"/>
          <w:highlight w:val="none"/>
          <w:lang w:eastAsia="zh-CN"/>
        </w:rPr>
        <w:t>应具有登陆失败处理能力，多次登陆失败后应采取必要的保护措施，防止暴力破解口令；密码重置时应进行二次验证。</w:t>
      </w:r>
      <w:r>
        <w:rPr>
          <w:rFonts w:hint="eastAsia" w:cs="Times New Roman"/>
          <w:color w:val="auto"/>
          <w:kern w:val="2"/>
          <w:sz w:val="24"/>
          <w:szCs w:val="24"/>
          <w:highlight w:val="none"/>
          <w:lang w:eastAsia="zh-CN"/>
        </w:rPr>
        <w:t>（</w:t>
      </w:r>
      <w:r>
        <w:rPr>
          <w:rFonts w:hint="eastAsia" w:cs="Times New Roman"/>
          <w:color w:val="auto"/>
          <w:kern w:val="2"/>
          <w:sz w:val="24"/>
          <w:szCs w:val="24"/>
          <w:highlight w:val="none"/>
          <w:lang w:val="en-US" w:eastAsia="zh-CN"/>
        </w:rPr>
        <w:t>c</w:t>
      </w:r>
      <w:r>
        <w:rPr>
          <w:rFonts w:hint="eastAsia" w:cs="Times New Roman"/>
          <w:color w:val="auto"/>
          <w:kern w:val="2"/>
          <w:sz w:val="24"/>
          <w:szCs w:val="24"/>
          <w:highlight w:val="none"/>
          <w:lang w:eastAsia="zh-CN"/>
        </w:rPr>
        <w:t>）</w:t>
      </w:r>
      <w:r>
        <w:rPr>
          <w:rFonts w:hint="eastAsia" w:ascii="宋体" w:cs="Times New Roman"/>
          <w:color w:val="auto"/>
          <w:kern w:val="2"/>
          <w:sz w:val="24"/>
          <w:szCs w:val="24"/>
          <w:highlight w:val="none"/>
          <w:lang w:eastAsia="zh-CN"/>
        </w:rPr>
        <w:t>登陆用户执行重要操作（如检修、修改定值等）应再次进行身份认证；</w:t>
      </w:r>
      <w:r>
        <w:rPr>
          <w:rFonts w:hint="eastAsia" w:cs="Times New Roman"/>
          <w:color w:val="auto"/>
          <w:kern w:val="2"/>
          <w:sz w:val="24"/>
          <w:szCs w:val="24"/>
          <w:highlight w:val="none"/>
          <w:lang w:eastAsia="zh-CN"/>
        </w:rPr>
        <w:t>（</w:t>
      </w:r>
      <w:r>
        <w:rPr>
          <w:rFonts w:hint="eastAsia" w:cs="Times New Roman"/>
          <w:color w:val="auto"/>
          <w:kern w:val="2"/>
          <w:sz w:val="24"/>
          <w:szCs w:val="24"/>
          <w:highlight w:val="none"/>
          <w:lang w:val="en-US" w:eastAsia="zh-CN"/>
        </w:rPr>
        <w:t>d</w:t>
      </w:r>
      <w:r>
        <w:rPr>
          <w:rFonts w:hint="eastAsia" w:cs="Times New Roman"/>
          <w:color w:val="auto"/>
          <w:kern w:val="2"/>
          <w:sz w:val="24"/>
          <w:szCs w:val="24"/>
          <w:highlight w:val="none"/>
          <w:lang w:eastAsia="zh-CN"/>
        </w:rPr>
        <w:t>）</w:t>
      </w:r>
      <w:r>
        <w:rPr>
          <w:rFonts w:hint="eastAsia" w:ascii="宋体" w:cs="Times New Roman"/>
          <w:color w:val="auto"/>
          <w:kern w:val="2"/>
          <w:sz w:val="24"/>
          <w:szCs w:val="24"/>
          <w:highlight w:val="none"/>
          <w:lang w:eastAsia="zh-CN"/>
        </w:rPr>
        <w:t>调试端口远程访问应具有身份认证功能。</w:t>
      </w:r>
      <w:r>
        <w:rPr>
          <w:rFonts w:hint="eastAsia" w:cs="Times New Roman"/>
          <w:color w:val="auto"/>
          <w:kern w:val="2"/>
          <w:sz w:val="24"/>
          <w:szCs w:val="24"/>
          <w:highlight w:val="none"/>
          <w:lang w:eastAsia="zh-CN"/>
        </w:rPr>
        <w:t>（</w:t>
      </w:r>
      <w:r>
        <w:rPr>
          <w:rFonts w:hint="eastAsia" w:cs="Times New Roman"/>
          <w:color w:val="auto"/>
          <w:kern w:val="2"/>
          <w:sz w:val="24"/>
          <w:szCs w:val="24"/>
          <w:highlight w:val="none"/>
          <w:lang w:val="en-US" w:eastAsia="zh-CN"/>
        </w:rPr>
        <w:t>1.2</w:t>
      </w:r>
      <w:r>
        <w:rPr>
          <w:rFonts w:hint="eastAsia" w:cs="Times New Roman"/>
          <w:color w:val="auto"/>
          <w:kern w:val="2"/>
          <w:sz w:val="24"/>
          <w:szCs w:val="24"/>
          <w:highlight w:val="none"/>
          <w:lang w:eastAsia="zh-CN"/>
        </w:rPr>
        <w:t>）</w:t>
      </w:r>
      <w:r>
        <w:rPr>
          <w:rFonts w:hint="eastAsia" w:ascii="宋体" w:cs="Times New Roman"/>
          <w:color w:val="auto"/>
          <w:kern w:val="2"/>
          <w:sz w:val="24"/>
          <w:szCs w:val="24"/>
          <w:highlight w:val="none"/>
          <w:lang w:eastAsia="zh-CN"/>
        </w:rPr>
        <w:t>有效性验证：应具备数据有效性检验功能，保证通过人机或通信端口输入的数据</w:t>
      </w:r>
      <w:r>
        <w:rPr>
          <w:rFonts w:hint="eastAsia" w:cs="Times New Roman"/>
          <w:color w:val="auto"/>
          <w:kern w:val="2"/>
          <w:sz w:val="24"/>
          <w:szCs w:val="24"/>
          <w:highlight w:val="none"/>
          <w:lang w:eastAsia="zh-CN"/>
        </w:rPr>
        <w:t>（</w:t>
      </w:r>
      <w:r>
        <w:rPr>
          <w:rFonts w:hint="eastAsia" w:cs="Times New Roman"/>
          <w:color w:val="auto"/>
          <w:kern w:val="2"/>
          <w:sz w:val="24"/>
          <w:szCs w:val="24"/>
          <w:highlight w:val="none"/>
          <w:lang w:val="en-US" w:eastAsia="zh-CN"/>
        </w:rPr>
        <w:t>1.3</w:t>
      </w:r>
      <w:r>
        <w:rPr>
          <w:rFonts w:hint="eastAsia" w:cs="Times New Roman"/>
          <w:color w:val="auto"/>
          <w:kern w:val="2"/>
          <w:sz w:val="24"/>
          <w:szCs w:val="24"/>
          <w:highlight w:val="none"/>
          <w:lang w:eastAsia="zh-CN"/>
        </w:rPr>
        <w:t>）</w:t>
      </w:r>
      <w:r>
        <w:rPr>
          <w:rFonts w:hint="eastAsia" w:ascii="宋体" w:cs="Times New Roman"/>
          <w:color w:val="auto"/>
          <w:kern w:val="2"/>
          <w:sz w:val="24"/>
          <w:szCs w:val="24"/>
          <w:highlight w:val="none"/>
          <w:lang w:eastAsia="zh-CN"/>
        </w:rPr>
        <w:t>格式或长度符合装置设定要求。</w:t>
      </w:r>
    </w:p>
    <w:p w14:paraId="4ED9A3AC">
      <w:pPr>
        <w:widowControl w:val="0"/>
        <w:numPr>
          <w:ilvl w:val="-1"/>
          <w:numId w:val="0"/>
        </w:numPr>
        <w:tabs>
          <w:tab w:val="left" w:pos="600"/>
        </w:tabs>
        <w:autoSpaceDE w:val="0"/>
        <w:autoSpaceDN w:val="0"/>
        <w:adjustRightInd w:val="0"/>
        <w:snapToGrid w:val="0"/>
        <w:spacing w:after="0" w:line="360" w:lineRule="auto"/>
        <w:ind w:left="0" w:firstLine="480" w:firstLineChars="200"/>
        <w:rPr>
          <w:rFonts w:hint="eastAsia" w:ascii="宋体" w:cs="Times New Roman"/>
          <w:color w:val="auto"/>
          <w:kern w:val="2"/>
          <w:sz w:val="24"/>
          <w:szCs w:val="24"/>
          <w:highlight w:val="none"/>
          <w:lang w:eastAsia="zh-CN"/>
        </w:rPr>
      </w:pPr>
      <w:r>
        <w:rPr>
          <w:rFonts w:hint="eastAsia" w:cs="Times New Roman"/>
          <w:color w:val="auto"/>
          <w:kern w:val="2"/>
          <w:sz w:val="24"/>
          <w:szCs w:val="24"/>
          <w:highlight w:val="none"/>
          <w:lang w:eastAsia="zh-CN"/>
        </w:rPr>
        <w:t>（</w:t>
      </w:r>
      <w:r>
        <w:rPr>
          <w:rFonts w:hint="eastAsia" w:cs="Times New Roman"/>
          <w:color w:val="auto"/>
          <w:kern w:val="2"/>
          <w:sz w:val="24"/>
          <w:szCs w:val="24"/>
          <w:highlight w:val="none"/>
          <w:lang w:val="en-US" w:eastAsia="zh-CN"/>
        </w:rPr>
        <w:t>2</w:t>
      </w:r>
      <w:r>
        <w:rPr>
          <w:rFonts w:hint="eastAsia" w:cs="Times New Roman"/>
          <w:color w:val="auto"/>
          <w:kern w:val="2"/>
          <w:sz w:val="24"/>
          <w:szCs w:val="24"/>
          <w:highlight w:val="none"/>
          <w:lang w:eastAsia="zh-CN"/>
        </w:rPr>
        <w:t>）通信安全。</w:t>
      </w:r>
      <w:r>
        <w:rPr>
          <w:rFonts w:hint="eastAsia" w:ascii="宋体" w:cs="Times New Roman"/>
          <w:color w:val="auto"/>
          <w:kern w:val="2"/>
          <w:sz w:val="24"/>
          <w:szCs w:val="24"/>
          <w:highlight w:val="none"/>
          <w:lang w:eastAsia="zh-CN"/>
        </w:rPr>
        <w:t>装置的通信安全要求如下：</w:t>
      </w:r>
      <w:r>
        <w:rPr>
          <w:rFonts w:hint="eastAsia" w:cs="Times New Roman"/>
          <w:color w:val="auto"/>
          <w:kern w:val="2"/>
          <w:sz w:val="24"/>
          <w:szCs w:val="24"/>
          <w:highlight w:val="none"/>
          <w:lang w:eastAsia="zh-CN"/>
        </w:rPr>
        <w:t>（</w:t>
      </w:r>
      <w:r>
        <w:rPr>
          <w:rFonts w:hint="eastAsia" w:cs="Times New Roman"/>
          <w:color w:val="auto"/>
          <w:kern w:val="2"/>
          <w:sz w:val="24"/>
          <w:szCs w:val="24"/>
          <w:highlight w:val="none"/>
          <w:lang w:val="en-US" w:eastAsia="zh-CN"/>
        </w:rPr>
        <w:t>a</w:t>
      </w:r>
      <w:r>
        <w:rPr>
          <w:rFonts w:hint="eastAsia" w:cs="Times New Roman"/>
          <w:color w:val="auto"/>
          <w:kern w:val="2"/>
          <w:sz w:val="24"/>
          <w:szCs w:val="24"/>
          <w:highlight w:val="none"/>
          <w:lang w:eastAsia="zh-CN"/>
        </w:rPr>
        <w:t>）</w:t>
      </w:r>
      <w:r>
        <w:rPr>
          <w:rFonts w:hint="eastAsia" w:ascii="宋体" w:cs="Times New Roman"/>
          <w:color w:val="auto"/>
          <w:kern w:val="2"/>
          <w:sz w:val="24"/>
          <w:szCs w:val="24"/>
          <w:highlight w:val="none"/>
          <w:lang w:eastAsia="zh-CN"/>
        </w:rPr>
        <w:t>应具备关键会话（参数修改、敏感信息传输等）重放攻击防护功能；</w:t>
      </w:r>
      <w:r>
        <w:rPr>
          <w:rFonts w:hint="eastAsia" w:cs="Times New Roman"/>
          <w:color w:val="auto"/>
          <w:kern w:val="2"/>
          <w:sz w:val="24"/>
          <w:szCs w:val="24"/>
          <w:highlight w:val="none"/>
          <w:lang w:eastAsia="zh-CN"/>
        </w:rPr>
        <w:t>（</w:t>
      </w:r>
      <w:r>
        <w:rPr>
          <w:rFonts w:hint="eastAsia" w:cs="Times New Roman"/>
          <w:color w:val="auto"/>
          <w:kern w:val="2"/>
          <w:sz w:val="24"/>
          <w:szCs w:val="24"/>
          <w:highlight w:val="none"/>
          <w:lang w:val="en-US" w:eastAsia="zh-CN"/>
        </w:rPr>
        <w:t>b</w:t>
      </w:r>
      <w:r>
        <w:rPr>
          <w:rFonts w:hint="eastAsia" w:cs="Times New Roman"/>
          <w:color w:val="auto"/>
          <w:kern w:val="2"/>
          <w:sz w:val="24"/>
          <w:szCs w:val="24"/>
          <w:highlight w:val="none"/>
          <w:lang w:eastAsia="zh-CN"/>
        </w:rPr>
        <w:t>）</w:t>
      </w:r>
      <w:r>
        <w:rPr>
          <w:rFonts w:hint="eastAsia" w:ascii="宋体" w:cs="Times New Roman"/>
          <w:color w:val="auto"/>
          <w:kern w:val="2"/>
          <w:sz w:val="24"/>
          <w:szCs w:val="24"/>
          <w:highlight w:val="none"/>
          <w:lang w:eastAsia="zh-CN"/>
        </w:rPr>
        <w:t>应具备通信协议健壮性要求。</w:t>
      </w:r>
    </w:p>
    <w:p w14:paraId="72FE4C0A">
      <w:pPr>
        <w:widowControl w:val="0"/>
        <w:numPr>
          <w:ilvl w:val="-1"/>
          <w:numId w:val="0"/>
        </w:numPr>
        <w:tabs>
          <w:tab w:val="left" w:pos="600"/>
        </w:tabs>
        <w:autoSpaceDE w:val="0"/>
        <w:autoSpaceDN w:val="0"/>
        <w:adjustRightInd w:val="0"/>
        <w:snapToGrid w:val="0"/>
        <w:spacing w:after="0" w:line="360" w:lineRule="auto"/>
        <w:ind w:left="0" w:leftChars="0" w:firstLine="480" w:firstLineChars="200"/>
        <w:jc w:val="left"/>
        <w:rPr>
          <w:rFonts w:hint="eastAsia" w:ascii="宋体" w:cs="Times New Roman"/>
          <w:color w:val="auto"/>
          <w:kern w:val="2"/>
          <w:sz w:val="24"/>
          <w:szCs w:val="24"/>
          <w:highlight w:val="none"/>
          <w:lang w:eastAsia="zh-CN"/>
        </w:rPr>
      </w:pPr>
      <w:r>
        <w:rPr>
          <w:rFonts w:hint="eastAsia" w:cs="Times New Roman"/>
          <w:color w:val="auto"/>
          <w:kern w:val="2"/>
          <w:sz w:val="24"/>
          <w:szCs w:val="24"/>
          <w:highlight w:val="none"/>
          <w:lang w:eastAsia="zh-CN"/>
        </w:rPr>
        <w:t>（</w:t>
      </w:r>
      <w:r>
        <w:rPr>
          <w:rFonts w:hint="eastAsia" w:cs="Times New Roman"/>
          <w:color w:val="auto"/>
          <w:kern w:val="2"/>
          <w:sz w:val="24"/>
          <w:szCs w:val="24"/>
          <w:highlight w:val="none"/>
          <w:lang w:val="en-US" w:eastAsia="zh-CN"/>
        </w:rPr>
        <w:t>3</w:t>
      </w:r>
      <w:r>
        <w:rPr>
          <w:rFonts w:hint="eastAsia" w:cs="Times New Roman"/>
          <w:color w:val="auto"/>
          <w:kern w:val="2"/>
          <w:sz w:val="24"/>
          <w:szCs w:val="24"/>
          <w:highlight w:val="none"/>
          <w:lang w:eastAsia="zh-CN"/>
        </w:rPr>
        <w:t>）功能安全。</w:t>
      </w:r>
      <w:r>
        <w:rPr>
          <w:rFonts w:hint="eastAsia" w:ascii="宋体" w:cs="Times New Roman"/>
          <w:color w:val="auto"/>
          <w:kern w:val="2"/>
          <w:sz w:val="24"/>
          <w:szCs w:val="24"/>
          <w:highlight w:val="none"/>
          <w:lang w:eastAsia="zh-CN"/>
        </w:rPr>
        <w:t>装置的功能安全要求如下：</w:t>
      </w:r>
      <w:r>
        <w:rPr>
          <w:rFonts w:hint="eastAsia" w:cs="Times New Roman"/>
          <w:color w:val="auto"/>
          <w:kern w:val="2"/>
          <w:sz w:val="24"/>
          <w:szCs w:val="24"/>
          <w:highlight w:val="none"/>
          <w:lang w:eastAsia="zh-CN"/>
        </w:rPr>
        <w:t>（</w:t>
      </w:r>
      <w:r>
        <w:rPr>
          <w:rFonts w:hint="eastAsia" w:cs="Times New Roman"/>
          <w:color w:val="auto"/>
          <w:kern w:val="2"/>
          <w:sz w:val="24"/>
          <w:szCs w:val="24"/>
          <w:highlight w:val="none"/>
          <w:lang w:val="en-US" w:eastAsia="zh-CN"/>
        </w:rPr>
        <w:t>a</w:t>
      </w:r>
      <w:r>
        <w:rPr>
          <w:rFonts w:hint="eastAsia" w:cs="Times New Roman"/>
          <w:color w:val="auto"/>
          <w:kern w:val="2"/>
          <w:sz w:val="24"/>
          <w:szCs w:val="24"/>
          <w:highlight w:val="none"/>
          <w:lang w:eastAsia="zh-CN"/>
        </w:rPr>
        <w:t>）</w:t>
      </w:r>
      <w:r>
        <w:rPr>
          <w:rFonts w:hint="eastAsia" w:ascii="宋体" w:cs="Times New Roman"/>
          <w:color w:val="auto"/>
          <w:kern w:val="2"/>
          <w:sz w:val="24"/>
          <w:szCs w:val="24"/>
          <w:highlight w:val="none"/>
          <w:lang w:eastAsia="zh-CN"/>
        </w:rPr>
        <w:t>应具备依据IP地址、网卡物理地址等属性对连接服务器的客户端进行身份限制功能；</w:t>
      </w:r>
      <w:r>
        <w:rPr>
          <w:rFonts w:hint="eastAsia" w:cs="Times New Roman"/>
          <w:color w:val="auto"/>
          <w:kern w:val="2"/>
          <w:sz w:val="24"/>
          <w:szCs w:val="24"/>
          <w:highlight w:val="none"/>
          <w:lang w:eastAsia="zh-CN"/>
        </w:rPr>
        <w:t>（</w:t>
      </w:r>
      <w:r>
        <w:rPr>
          <w:rFonts w:hint="eastAsia" w:cs="Times New Roman"/>
          <w:color w:val="auto"/>
          <w:kern w:val="2"/>
          <w:sz w:val="24"/>
          <w:szCs w:val="24"/>
          <w:highlight w:val="none"/>
          <w:lang w:val="en-US" w:eastAsia="zh-CN"/>
        </w:rPr>
        <w:t>b</w:t>
      </w:r>
      <w:r>
        <w:rPr>
          <w:rFonts w:hint="eastAsia" w:cs="Times New Roman"/>
          <w:color w:val="auto"/>
          <w:kern w:val="2"/>
          <w:sz w:val="24"/>
          <w:szCs w:val="24"/>
          <w:highlight w:val="none"/>
          <w:lang w:eastAsia="zh-CN"/>
        </w:rPr>
        <w:t>）</w:t>
      </w:r>
      <w:r>
        <w:rPr>
          <w:rFonts w:hint="eastAsia" w:ascii="宋体" w:cs="Times New Roman"/>
          <w:color w:val="auto"/>
          <w:kern w:val="2"/>
          <w:sz w:val="24"/>
          <w:szCs w:val="24"/>
          <w:highlight w:val="none"/>
          <w:lang w:eastAsia="zh-CN"/>
        </w:rPr>
        <w:t>应具备拒绝异常参数（如非法数据、类型错误数据、超长数据）输入功能，装置在异常参数输入时不应出现数据出错、装置死机等现象；</w:t>
      </w:r>
      <w:r>
        <w:rPr>
          <w:rFonts w:hint="eastAsia" w:cs="Times New Roman"/>
          <w:color w:val="auto"/>
          <w:kern w:val="2"/>
          <w:sz w:val="24"/>
          <w:szCs w:val="24"/>
          <w:highlight w:val="none"/>
          <w:lang w:eastAsia="zh-CN"/>
        </w:rPr>
        <w:t>（</w:t>
      </w:r>
      <w:r>
        <w:rPr>
          <w:rFonts w:hint="eastAsia" w:cs="Times New Roman"/>
          <w:color w:val="auto"/>
          <w:kern w:val="2"/>
          <w:sz w:val="24"/>
          <w:szCs w:val="24"/>
          <w:highlight w:val="none"/>
          <w:lang w:val="en-US" w:eastAsia="zh-CN"/>
        </w:rPr>
        <w:t>c</w:t>
      </w:r>
      <w:r>
        <w:rPr>
          <w:rFonts w:hint="eastAsia" w:cs="Times New Roman"/>
          <w:color w:val="auto"/>
          <w:kern w:val="2"/>
          <w:sz w:val="24"/>
          <w:szCs w:val="24"/>
          <w:highlight w:val="none"/>
          <w:lang w:eastAsia="zh-CN"/>
        </w:rPr>
        <w:t>）</w:t>
      </w:r>
      <w:r>
        <w:rPr>
          <w:rFonts w:hint="eastAsia" w:ascii="宋体" w:cs="Times New Roman"/>
          <w:color w:val="auto"/>
          <w:kern w:val="2"/>
          <w:sz w:val="24"/>
          <w:szCs w:val="24"/>
          <w:highlight w:val="none"/>
          <w:lang w:eastAsia="zh-CN"/>
        </w:rPr>
        <w:t>日志记录：应具备对用户行为等业务操作事件和重要安全事件进行记录的功能；日志记录应包括事件的日期和时间、事件类型、事件是否成功及其他相关的信息；应具备日志记录保护功能，避免受到非预期的删除、修改或覆盖等；日志记录的留存时间应符合装置的规定要求。</w:t>
      </w:r>
      <w:r>
        <w:rPr>
          <w:rFonts w:hint="eastAsia" w:cs="Times New Roman"/>
          <w:color w:val="auto"/>
          <w:kern w:val="2"/>
          <w:sz w:val="24"/>
          <w:szCs w:val="24"/>
          <w:highlight w:val="none"/>
          <w:lang w:eastAsia="zh-CN"/>
        </w:rPr>
        <w:t>（</w:t>
      </w:r>
      <w:r>
        <w:rPr>
          <w:rFonts w:hint="eastAsia" w:cs="Times New Roman"/>
          <w:color w:val="auto"/>
          <w:kern w:val="2"/>
          <w:sz w:val="24"/>
          <w:szCs w:val="24"/>
          <w:highlight w:val="none"/>
          <w:lang w:val="en-US" w:eastAsia="zh-CN"/>
        </w:rPr>
        <w:t>d</w:t>
      </w:r>
      <w:r>
        <w:rPr>
          <w:rFonts w:hint="eastAsia" w:cs="Times New Roman"/>
          <w:color w:val="auto"/>
          <w:kern w:val="2"/>
          <w:sz w:val="24"/>
          <w:szCs w:val="24"/>
          <w:highlight w:val="none"/>
          <w:lang w:eastAsia="zh-CN"/>
        </w:rPr>
        <w:t>）</w:t>
      </w:r>
      <w:r>
        <w:rPr>
          <w:rFonts w:hint="eastAsia" w:ascii="宋体" w:cs="Times New Roman"/>
          <w:color w:val="auto"/>
          <w:kern w:val="2"/>
          <w:sz w:val="24"/>
          <w:szCs w:val="24"/>
          <w:highlight w:val="none"/>
          <w:lang w:eastAsia="zh-CN"/>
        </w:rPr>
        <w:t>应具备抵御拒绝服务攻击功能，攻击时装置应运行正常，不误发报文，不死机、不重启等；</w:t>
      </w:r>
      <w:r>
        <w:rPr>
          <w:rFonts w:hint="eastAsia" w:cs="Times New Roman"/>
          <w:color w:val="auto"/>
          <w:kern w:val="2"/>
          <w:sz w:val="24"/>
          <w:szCs w:val="24"/>
          <w:highlight w:val="none"/>
          <w:lang w:eastAsia="zh-CN"/>
        </w:rPr>
        <w:t>（</w:t>
      </w:r>
      <w:r>
        <w:rPr>
          <w:rFonts w:hint="eastAsia" w:cs="Times New Roman"/>
          <w:color w:val="auto"/>
          <w:kern w:val="2"/>
          <w:sz w:val="24"/>
          <w:szCs w:val="24"/>
          <w:highlight w:val="none"/>
          <w:lang w:val="en-US" w:eastAsia="zh-CN"/>
        </w:rPr>
        <w:t>e</w:t>
      </w:r>
      <w:r>
        <w:rPr>
          <w:rFonts w:hint="eastAsia" w:cs="Times New Roman"/>
          <w:color w:val="auto"/>
          <w:kern w:val="2"/>
          <w:sz w:val="24"/>
          <w:szCs w:val="24"/>
          <w:highlight w:val="none"/>
          <w:lang w:eastAsia="zh-CN"/>
        </w:rPr>
        <w:t>）</w:t>
      </w:r>
      <w:r>
        <w:rPr>
          <w:rFonts w:hint="eastAsia" w:ascii="宋体" w:cs="Times New Roman"/>
          <w:color w:val="auto"/>
          <w:kern w:val="2"/>
          <w:sz w:val="24"/>
          <w:szCs w:val="24"/>
          <w:highlight w:val="none"/>
          <w:lang w:eastAsia="zh-CN"/>
        </w:rPr>
        <w:t>应具备容错和自动保护功能，当装置发生时故障自动保护当前所有状态，保证系统能够自动恢复。</w:t>
      </w:r>
    </w:p>
    <w:p w14:paraId="393BE540">
      <w:pPr>
        <w:widowControl w:val="0"/>
        <w:tabs>
          <w:tab w:val="left" w:pos="600"/>
        </w:tabs>
        <w:adjustRightInd w:val="0"/>
        <w:snapToGrid w:val="0"/>
        <w:spacing w:after="0" w:line="360" w:lineRule="auto"/>
        <w:ind w:firstLine="480" w:firstLineChars="200"/>
        <w:rPr>
          <w:rFonts w:hint="eastAsia" w:cs="Times New Roman"/>
          <w:color w:val="auto"/>
          <w:kern w:val="2"/>
          <w:sz w:val="24"/>
          <w:szCs w:val="24"/>
          <w:highlight w:val="none"/>
          <w:lang w:eastAsia="zh-CN"/>
        </w:rPr>
      </w:pPr>
      <w:r>
        <w:rPr>
          <w:rFonts w:hint="eastAsia" w:cs="Times New Roman"/>
          <w:color w:val="auto"/>
          <w:kern w:val="2"/>
          <w:sz w:val="24"/>
          <w:szCs w:val="24"/>
          <w:highlight w:val="none"/>
          <w:lang w:eastAsia="zh-CN"/>
        </w:rPr>
        <w:t>（</w:t>
      </w:r>
      <w:r>
        <w:rPr>
          <w:rFonts w:hint="eastAsia" w:cs="Times New Roman"/>
          <w:color w:val="auto"/>
          <w:kern w:val="2"/>
          <w:sz w:val="24"/>
          <w:szCs w:val="24"/>
          <w:highlight w:val="none"/>
          <w:lang w:val="en-US" w:eastAsia="zh-CN"/>
        </w:rPr>
        <w:t>4</w:t>
      </w:r>
      <w:r>
        <w:rPr>
          <w:rFonts w:hint="eastAsia" w:cs="Times New Roman"/>
          <w:color w:val="auto"/>
          <w:kern w:val="2"/>
          <w:sz w:val="24"/>
          <w:szCs w:val="24"/>
          <w:highlight w:val="none"/>
          <w:lang w:eastAsia="zh-CN"/>
        </w:rPr>
        <w:t>）存储安全。应配置存储空间余量控制策略，当存储空间接近极限时，装置应能采用必要的措施保护存储数据的安全，应不再记录新的内容或删除日期最远的记录。</w:t>
      </w:r>
    </w:p>
    <w:p w14:paraId="1DF118A3">
      <w:pPr>
        <w:widowControl w:val="0"/>
        <w:tabs>
          <w:tab w:val="left" w:pos="600"/>
        </w:tabs>
        <w:adjustRightInd w:val="0"/>
        <w:snapToGrid w:val="0"/>
        <w:spacing w:after="0" w:line="360" w:lineRule="auto"/>
        <w:ind w:firstLine="480" w:firstLineChars="200"/>
        <w:rPr>
          <w:rFonts w:hint="eastAsia" w:cs="Times New Roman"/>
          <w:color w:val="auto"/>
          <w:kern w:val="2"/>
          <w:sz w:val="24"/>
          <w:szCs w:val="24"/>
          <w:highlight w:val="none"/>
          <w:lang w:eastAsia="zh-CN"/>
        </w:rPr>
      </w:pPr>
      <w:r>
        <w:rPr>
          <w:rFonts w:hint="eastAsia" w:cs="Times New Roman"/>
          <w:color w:val="auto"/>
          <w:kern w:val="2"/>
          <w:sz w:val="24"/>
          <w:szCs w:val="24"/>
          <w:highlight w:val="none"/>
          <w:lang w:eastAsia="zh-CN"/>
        </w:rPr>
        <w:t>（</w:t>
      </w:r>
      <w:r>
        <w:rPr>
          <w:rFonts w:hint="eastAsia" w:cs="Times New Roman"/>
          <w:color w:val="auto"/>
          <w:kern w:val="2"/>
          <w:sz w:val="24"/>
          <w:szCs w:val="24"/>
          <w:highlight w:val="none"/>
          <w:lang w:val="en-US" w:eastAsia="zh-CN"/>
        </w:rPr>
        <w:t>5</w:t>
      </w:r>
      <w:r>
        <w:rPr>
          <w:rFonts w:hint="eastAsia" w:cs="Times New Roman"/>
          <w:color w:val="auto"/>
          <w:kern w:val="2"/>
          <w:sz w:val="24"/>
          <w:szCs w:val="24"/>
          <w:highlight w:val="none"/>
          <w:lang w:eastAsia="zh-CN"/>
        </w:rPr>
        <w:t>）进程安全。进程安全应无死锁，不存在内置后门漏洞。</w:t>
      </w:r>
    </w:p>
    <w:p w14:paraId="43482675">
      <w:pPr>
        <w:widowControl w:val="0"/>
        <w:tabs>
          <w:tab w:val="left" w:pos="600"/>
        </w:tabs>
        <w:adjustRightInd w:val="0"/>
        <w:snapToGrid w:val="0"/>
        <w:spacing w:after="0" w:line="360" w:lineRule="auto"/>
        <w:ind w:firstLine="480" w:firstLineChars="200"/>
        <w:rPr>
          <w:rFonts w:hint="eastAsia" w:cs="Times New Roman"/>
          <w:color w:val="auto"/>
          <w:kern w:val="2"/>
          <w:sz w:val="24"/>
          <w:szCs w:val="24"/>
          <w:highlight w:val="none"/>
          <w:lang w:eastAsia="zh-CN"/>
        </w:rPr>
      </w:pPr>
      <w:r>
        <w:rPr>
          <w:rFonts w:hint="eastAsia" w:cs="Times New Roman"/>
          <w:color w:val="auto"/>
          <w:kern w:val="2"/>
          <w:sz w:val="24"/>
          <w:szCs w:val="24"/>
          <w:highlight w:val="none"/>
          <w:lang w:eastAsia="zh-CN"/>
        </w:rPr>
        <w:t>（</w:t>
      </w:r>
      <w:r>
        <w:rPr>
          <w:rFonts w:hint="eastAsia" w:cs="Times New Roman"/>
          <w:color w:val="auto"/>
          <w:kern w:val="2"/>
          <w:sz w:val="24"/>
          <w:szCs w:val="24"/>
          <w:highlight w:val="none"/>
          <w:lang w:val="en-US" w:eastAsia="zh-CN"/>
        </w:rPr>
        <w:t>6</w:t>
      </w:r>
      <w:r>
        <w:rPr>
          <w:rFonts w:hint="eastAsia" w:cs="Times New Roman"/>
          <w:color w:val="auto"/>
          <w:kern w:val="2"/>
          <w:sz w:val="24"/>
          <w:szCs w:val="24"/>
          <w:highlight w:val="none"/>
          <w:lang w:eastAsia="zh-CN"/>
        </w:rPr>
        <w:t>） 运行环境安全。应禁止使用易遭受恶意攻击的高危端口作为服务端口，禁止开启与业务无关的服务端口。</w:t>
      </w:r>
    </w:p>
    <w:p w14:paraId="04A3C50F">
      <w:pPr>
        <w:widowControl w:val="0"/>
        <w:numPr>
          <w:ilvl w:val="-1"/>
          <w:numId w:val="0"/>
        </w:numPr>
        <w:tabs>
          <w:tab w:val="left" w:pos="600"/>
        </w:tabs>
        <w:autoSpaceDE w:val="0"/>
        <w:autoSpaceDN w:val="0"/>
        <w:adjustRightInd w:val="0"/>
        <w:snapToGrid w:val="0"/>
        <w:spacing w:after="0" w:line="360" w:lineRule="auto"/>
        <w:ind w:left="0" w:leftChars="0" w:firstLine="480" w:firstLineChars="200"/>
        <w:rPr>
          <w:rFonts w:hint="eastAsia" w:ascii="宋体" w:cs="Times New Roman"/>
          <w:color w:val="auto"/>
          <w:kern w:val="2"/>
          <w:sz w:val="24"/>
          <w:szCs w:val="24"/>
          <w:highlight w:val="none"/>
          <w:lang w:eastAsia="zh-CN"/>
        </w:rPr>
      </w:pPr>
      <w:r>
        <w:rPr>
          <w:rFonts w:hint="eastAsia" w:cs="Times New Roman"/>
          <w:color w:val="auto"/>
          <w:kern w:val="2"/>
          <w:sz w:val="24"/>
          <w:szCs w:val="24"/>
          <w:highlight w:val="none"/>
          <w:lang w:eastAsia="zh-CN"/>
        </w:rPr>
        <w:t>（</w:t>
      </w:r>
      <w:r>
        <w:rPr>
          <w:rFonts w:hint="eastAsia" w:cs="Times New Roman"/>
          <w:color w:val="auto"/>
          <w:kern w:val="2"/>
          <w:sz w:val="24"/>
          <w:szCs w:val="24"/>
          <w:highlight w:val="none"/>
          <w:lang w:val="en-US" w:eastAsia="zh-CN"/>
        </w:rPr>
        <w:t>7</w:t>
      </w:r>
      <w:r>
        <w:rPr>
          <w:rFonts w:hint="eastAsia" w:cs="Times New Roman"/>
          <w:color w:val="auto"/>
          <w:kern w:val="2"/>
          <w:sz w:val="24"/>
          <w:szCs w:val="24"/>
          <w:highlight w:val="none"/>
          <w:lang w:eastAsia="zh-CN"/>
        </w:rPr>
        <w:t>）代码安全。</w:t>
      </w:r>
      <w:r>
        <w:rPr>
          <w:rFonts w:hint="eastAsia" w:ascii="宋体" w:cs="Times New Roman"/>
          <w:color w:val="auto"/>
          <w:kern w:val="2"/>
          <w:sz w:val="24"/>
          <w:szCs w:val="24"/>
          <w:highlight w:val="none"/>
          <w:lang w:eastAsia="zh-CN"/>
        </w:rPr>
        <w:t>装置的代码安全要求如下：</w:t>
      </w:r>
      <w:r>
        <w:rPr>
          <w:rFonts w:hint="eastAsia" w:cs="Times New Roman"/>
          <w:color w:val="auto"/>
          <w:kern w:val="2"/>
          <w:sz w:val="24"/>
          <w:szCs w:val="24"/>
          <w:highlight w:val="none"/>
          <w:lang w:eastAsia="zh-CN"/>
        </w:rPr>
        <w:t>（</w:t>
      </w:r>
      <w:r>
        <w:rPr>
          <w:rFonts w:hint="eastAsia" w:cs="Times New Roman"/>
          <w:color w:val="auto"/>
          <w:kern w:val="2"/>
          <w:sz w:val="24"/>
          <w:szCs w:val="24"/>
          <w:highlight w:val="none"/>
          <w:lang w:val="en-US" w:eastAsia="zh-CN"/>
        </w:rPr>
        <w:t>a</w:t>
      </w:r>
      <w:r>
        <w:rPr>
          <w:rFonts w:hint="eastAsia" w:cs="Times New Roman"/>
          <w:color w:val="auto"/>
          <w:kern w:val="2"/>
          <w:sz w:val="24"/>
          <w:szCs w:val="24"/>
          <w:highlight w:val="none"/>
          <w:lang w:eastAsia="zh-CN"/>
        </w:rPr>
        <w:t>）</w:t>
      </w:r>
      <w:r>
        <w:rPr>
          <w:rFonts w:hint="eastAsia" w:ascii="宋体" w:cs="Times New Roman"/>
          <w:color w:val="auto"/>
          <w:kern w:val="2"/>
          <w:sz w:val="24"/>
          <w:szCs w:val="24"/>
          <w:highlight w:val="none"/>
          <w:lang w:eastAsia="zh-CN"/>
        </w:rPr>
        <w:t>装置源代码中不应存在特有的安全漏洞，包括缓冲区溢出、字符错误结束、整数溢出、内存泄漏、未释放资源、资源注入、系统信息泄露、命令注入、不安全的编辑优化等；</w:t>
      </w:r>
      <w:r>
        <w:rPr>
          <w:rFonts w:hint="eastAsia" w:cs="Times New Roman"/>
          <w:color w:val="auto"/>
          <w:kern w:val="2"/>
          <w:sz w:val="24"/>
          <w:szCs w:val="24"/>
          <w:highlight w:val="none"/>
          <w:lang w:eastAsia="zh-CN"/>
        </w:rPr>
        <w:t>（</w:t>
      </w:r>
      <w:r>
        <w:rPr>
          <w:rFonts w:hint="eastAsia" w:cs="Times New Roman"/>
          <w:color w:val="auto"/>
          <w:kern w:val="2"/>
          <w:sz w:val="24"/>
          <w:szCs w:val="24"/>
          <w:highlight w:val="none"/>
          <w:lang w:val="en-US" w:eastAsia="zh-CN"/>
        </w:rPr>
        <w:t>b</w:t>
      </w:r>
      <w:r>
        <w:rPr>
          <w:rFonts w:hint="eastAsia" w:cs="Times New Roman"/>
          <w:color w:val="auto"/>
          <w:kern w:val="2"/>
          <w:sz w:val="24"/>
          <w:szCs w:val="24"/>
          <w:highlight w:val="none"/>
          <w:lang w:eastAsia="zh-CN"/>
        </w:rPr>
        <w:t>）</w:t>
      </w:r>
      <w:r>
        <w:rPr>
          <w:rFonts w:hint="eastAsia" w:ascii="宋体" w:cs="Times New Roman"/>
          <w:color w:val="auto"/>
          <w:kern w:val="2"/>
          <w:sz w:val="24"/>
          <w:szCs w:val="24"/>
          <w:highlight w:val="none"/>
          <w:lang w:eastAsia="zh-CN"/>
        </w:rPr>
        <w:t>装置源代码中应不存在违背安全编码规则的内容，包括不包含特有的安全漏洞、不包含高风险漏洞。</w:t>
      </w:r>
    </w:p>
    <w:p w14:paraId="49A00F4C">
      <w:pPr>
        <w:widowControl w:val="0"/>
        <w:tabs>
          <w:tab w:val="left" w:pos="600"/>
        </w:tabs>
        <w:adjustRightInd w:val="0"/>
        <w:snapToGrid w:val="0"/>
        <w:spacing w:after="0" w:line="360" w:lineRule="auto"/>
        <w:ind w:left="0" w:leftChars="0" w:firstLine="482" w:firstLineChars="200"/>
        <w:outlineLvl w:val="3"/>
        <w:rPr>
          <w:rFonts w:hint="eastAsia" w:cs="Times New Roman"/>
          <w:b/>
          <w:bCs/>
          <w:color w:val="auto"/>
          <w:kern w:val="2"/>
          <w:sz w:val="24"/>
          <w:szCs w:val="24"/>
          <w:highlight w:val="none"/>
          <w:lang w:val="en-US" w:eastAsia="zh-CN"/>
        </w:rPr>
      </w:pPr>
      <w:r>
        <w:rPr>
          <w:rFonts w:hint="eastAsia" w:cs="Times New Roman"/>
          <w:b/>
          <w:bCs/>
          <w:color w:val="auto"/>
          <w:kern w:val="2"/>
          <w:sz w:val="24"/>
          <w:szCs w:val="24"/>
          <w:highlight w:val="none"/>
          <w:lang w:val="en-US" w:eastAsia="zh-CN"/>
        </w:rPr>
        <w:t>4.4  屏柜要求</w:t>
      </w:r>
    </w:p>
    <w:p w14:paraId="47F1173F">
      <w:pPr>
        <w:pStyle w:val="200"/>
        <w:spacing w:line="360" w:lineRule="auto"/>
        <w:ind w:firstLine="420" w:firstLineChars="175"/>
        <w:rPr>
          <w:rStyle w:val="142"/>
          <w:rFonts w:hint="eastAsia" w:ascii="宋体" w:hAnsi="宋体" w:eastAsia="宋体" w:cs="宋体"/>
          <w:b w:val="0"/>
          <w:bCs w:val="0"/>
          <w:color w:val="auto"/>
          <w:sz w:val="24"/>
          <w:szCs w:val="24"/>
          <w:highlight w:val="none"/>
        </w:rPr>
      </w:pPr>
      <w:r>
        <w:rPr>
          <w:rFonts w:hint="eastAsia" w:ascii="宋体" w:hAnsi="宋体" w:cs="宋体"/>
          <w:b w:val="0"/>
          <w:bCs w:val="0"/>
          <w:color w:val="auto"/>
          <w:kern w:val="2"/>
          <w:sz w:val="24"/>
          <w:szCs w:val="24"/>
          <w:highlight w:val="none"/>
          <w:lang w:val="en-US" w:eastAsia="zh-CN"/>
        </w:rPr>
        <w:t>4.4.</w:t>
      </w:r>
      <w:r>
        <w:rPr>
          <w:rStyle w:val="142"/>
          <w:rFonts w:hint="eastAsia" w:ascii="宋体" w:hAnsi="宋体" w:eastAsia="宋体" w:cs="宋体"/>
          <w:b w:val="0"/>
          <w:bCs w:val="0"/>
          <w:color w:val="auto"/>
          <w:sz w:val="24"/>
          <w:szCs w:val="24"/>
          <w:highlight w:val="none"/>
        </w:rPr>
        <w:t>1 屏柜技术要求</w:t>
      </w:r>
    </w:p>
    <w:p w14:paraId="347754B0">
      <w:pPr>
        <w:pStyle w:val="200"/>
        <w:spacing w:line="360" w:lineRule="auto"/>
        <w:ind w:firstLine="420" w:firstLineChars="175"/>
        <w:rPr>
          <w:rStyle w:val="142"/>
          <w:rFonts w:hint="eastAsia" w:ascii="宋体" w:hAnsi="宋体" w:eastAsia="宋体" w:cs="宋体"/>
          <w:b w:val="0"/>
          <w:bCs w:val="0"/>
          <w:color w:val="auto"/>
          <w:sz w:val="24"/>
          <w:szCs w:val="24"/>
          <w:highlight w:val="none"/>
        </w:rPr>
      </w:pPr>
      <w:r>
        <w:rPr>
          <w:rFonts w:hint="eastAsia" w:ascii="宋体" w:hAnsi="宋体" w:cs="宋体"/>
          <w:b w:val="0"/>
          <w:bCs w:val="0"/>
          <w:color w:val="auto"/>
          <w:kern w:val="2"/>
          <w:sz w:val="24"/>
          <w:szCs w:val="24"/>
          <w:highlight w:val="none"/>
          <w:lang w:val="en-US" w:eastAsia="zh-CN"/>
        </w:rPr>
        <w:t>4.4.</w:t>
      </w:r>
      <w:r>
        <w:rPr>
          <w:rStyle w:val="142"/>
          <w:rFonts w:hint="eastAsia" w:ascii="宋体" w:hAnsi="宋体" w:eastAsia="宋体" w:cs="宋体"/>
          <w:b w:val="0"/>
          <w:bCs w:val="0"/>
          <w:color w:val="auto"/>
          <w:sz w:val="24"/>
          <w:szCs w:val="24"/>
          <w:highlight w:val="none"/>
        </w:rPr>
        <w:t>1.1屏柜包括所有安装在上面的成套设备或单个组件，皆应保证有足够的结构强度以及在指定环境条件下满足规范对电气性能的要求，投标人应对内部接线的正确性全面负责，并对所供应设备的特性和功能全面负责。</w:t>
      </w:r>
    </w:p>
    <w:p w14:paraId="11A54C2A">
      <w:pPr>
        <w:pStyle w:val="200"/>
        <w:spacing w:line="360" w:lineRule="auto"/>
        <w:ind w:firstLine="420" w:firstLineChars="175"/>
        <w:rPr>
          <w:rStyle w:val="142"/>
          <w:rFonts w:hint="eastAsia" w:ascii="宋体" w:hAnsi="宋体" w:eastAsia="宋体" w:cs="宋体"/>
          <w:b w:val="0"/>
          <w:bCs w:val="0"/>
          <w:color w:val="auto"/>
          <w:sz w:val="24"/>
          <w:szCs w:val="24"/>
          <w:highlight w:val="none"/>
        </w:rPr>
      </w:pPr>
      <w:r>
        <w:rPr>
          <w:rFonts w:hint="eastAsia" w:ascii="宋体" w:hAnsi="宋体" w:cs="宋体"/>
          <w:b w:val="0"/>
          <w:bCs w:val="0"/>
          <w:color w:val="auto"/>
          <w:kern w:val="2"/>
          <w:sz w:val="24"/>
          <w:szCs w:val="24"/>
          <w:highlight w:val="none"/>
          <w:lang w:val="en-US" w:eastAsia="zh-CN"/>
        </w:rPr>
        <w:t>4.4.</w:t>
      </w:r>
      <w:r>
        <w:rPr>
          <w:rStyle w:val="142"/>
          <w:rFonts w:hint="eastAsia" w:ascii="宋体" w:hAnsi="宋体" w:eastAsia="宋体" w:cs="宋体"/>
          <w:b w:val="0"/>
          <w:bCs w:val="0"/>
          <w:color w:val="auto"/>
          <w:sz w:val="24"/>
          <w:szCs w:val="24"/>
          <w:highlight w:val="none"/>
        </w:rPr>
        <w:t xml:space="preserve">1.2  </w:t>
      </w:r>
      <w:r>
        <w:rPr>
          <w:rStyle w:val="142"/>
          <w:rFonts w:hint="eastAsia" w:ascii="宋体" w:hAnsi="宋体" w:cs="宋体"/>
          <w:b w:val="0"/>
          <w:bCs w:val="0"/>
          <w:color w:val="auto"/>
          <w:sz w:val="24"/>
          <w:szCs w:val="24"/>
          <w:highlight w:val="none"/>
          <w:lang w:eastAsia="zh-CN"/>
        </w:rPr>
        <w:t xml:space="preserve"> </w:t>
      </w:r>
      <w:r>
        <w:rPr>
          <w:rStyle w:val="142"/>
          <w:rFonts w:hint="eastAsia" w:ascii="宋体" w:hAnsi="宋体" w:eastAsia="宋体" w:cs="宋体"/>
          <w:b w:val="0"/>
          <w:bCs w:val="0"/>
          <w:color w:val="auto"/>
          <w:sz w:val="24"/>
          <w:szCs w:val="24"/>
          <w:highlight w:val="none"/>
        </w:rPr>
        <w:t>符合IP</w:t>
      </w:r>
      <w:r>
        <w:rPr>
          <w:rStyle w:val="142"/>
          <w:rFonts w:hint="eastAsia" w:ascii="宋体" w:hAnsi="宋体" w:cs="宋体"/>
          <w:b w:val="0"/>
          <w:bCs w:val="0"/>
          <w:color w:val="auto"/>
          <w:sz w:val="24"/>
          <w:szCs w:val="24"/>
          <w:highlight w:val="none"/>
          <w:lang w:eastAsia="zh-CN"/>
        </w:rPr>
        <w:t>4</w:t>
      </w:r>
      <w:r>
        <w:rPr>
          <w:rStyle w:val="142"/>
          <w:rFonts w:hint="eastAsia" w:ascii="宋体" w:hAnsi="宋体" w:cs="宋体"/>
          <w:b w:val="0"/>
          <w:bCs w:val="0"/>
          <w:color w:val="auto"/>
          <w:sz w:val="24"/>
          <w:szCs w:val="24"/>
          <w:highlight w:val="none"/>
          <w:lang w:val="en-US" w:eastAsia="zh-CN"/>
        </w:rPr>
        <w:t>2</w:t>
      </w:r>
      <w:r>
        <w:rPr>
          <w:rStyle w:val="142"/>
          <w:rFonts w:hint="eastAsia" w:ascii="宋体" w:hAnsi="宋体" w:eastAsia="宋体" w:cs="宋体"/>
          <w:b w:val="0"/>
          <w:bCs w:val="0"/>
          <w:color w:val="auto"/>
          <w:sz w:val="24"/>
          <w:szCs w:val="24"/>
          <w:highlight w:val="none"/>
        </w:rPr>
        <w:t>的要求。屏柜色标浅灰RAL 7035。柜外形尺寸800×600×2200mm（宽×深×高），外加60mm屏眉。</w:t>
      </w:r>
      <w:r>
        <w:rPr>
          <w:rFonts w:ascii="宋体"/>
          <w:color w:val="auto"/>
          <w:sz w:val="24"/>
          <w:szCs w:val="24"/>
          <w:highlight w:val="none"/>
        </w:rPr>
        <w:t>柜</w:t>
      </w:r>
      <w:r>
        <w:rPr>
          <w:rFonts w:ascii="宋体"/>
          <w:color w:val="auto"/>
          <w:sz w:val="24"/>
          <w:szCs w:val="24"/>
          <w:highlight w:val="none"/>
        </w:rPr>
        <w:t>板材</w:t>
      </w:r>
      <w:r>
        <w:rPr>
          <w:rFonts w:hint="eastAsia" w:ascii="宋体" w:hAnsi="宋体" w:eastAsia="宋体" w:cs="宋体"/>
          <w:bCs w:val="0"/>
          <w:snapToGrid/>
          <w:color w:val="auto"/>
          <w:sz w:val="24"/>
          <w:szCs w:val="24"/>
          <w:highlight w:val="none"/>
        </w:rPr>
        <w:t>为镀锌钢板，</w:t>
      </w:r>
      <w:r>
        <w:rPr>
          <w:rFonts w:ascii="宋体"/>
          <w:color w:val="auto"/>
          <w:sz w:val="24"/>
          <w:szCs w:val="24"/>
          <w:highlight w:val="none"/>
        </w:rPr>
        <w:t>厚度不小于2.</w:t>
      </w:r>
      <w:r>
        <w:rPr>
          <w:rFonts w:hint="eastAsia" w:ascii="宋体"/>
          <w:color w:val="auto"/>
          <w:sz w:val="24"/>
          <w:szCs w:val="24"/>
          <w:highlight w:val="none"/>
          <w:lang w:val="en-US" w:eastAsia="zh-CN"/>
        </w:rPr>
        <w:t>0</w:t>
      </w:r>
      <w:r>
        <w:rPr>
          <w:rFonts w:ascii="宋体"/>
          <w:color w:val="auto"/>
          <w:sz w:val="24"/>
          <w:szCs w:val="24"/>
          <w:highlight w:val="none"/>
        </w:rPr>
        <w:t>mm；</w:t>
      </w:r>
      <w:r>
        <w:rPr>
          <w:rFonts w:hint="eastAsia" w:ascii="宋体" w:hAnsi="宋体" w:eastAsia="宋体" w:cs="宋体"/>
          <w:bCs w:val="0"/>
          <w:snapToGrid/>
          <w:color w:val="auto"/>
          <w:sz w:val="24"/>
          <w:szCs w:val="24"/>
          <w:highlight w:val="none"/>
        </w:rPr>
        <w:t>门板材料为镀锌钢板，厚度不小于</w:t>
      </w:r>
      <w:r>
        <w:rPr>
          <w:rFonts w:hint="eastAsia" w:ascii="宋体" w:hAnsi="宋体" w:cs="宋体"/>
          <w:bCs w:val="0"/>
          <w:snapToGrid/>
          <w:color w:val="auto"/>
          <w:sz w:val="24"/>
          <w:szCs w:val="24"/>
          <w:highlight w:val="none"/>
          <w:lang w:val="en-US" w:eastAsia="zh-CN"/>
        </w:rPr>
        <w:t>1.</w:t>
      </w:r>
      <w:r>
        <w:rPr>
          <w:rFonts w:hint="eastAsia" w:ascii="宋体" w:hAnsi="Times New Roman" w:cs="Times New Roman"/>
          <w:bCs w:val="0"/>
          <w:snapToGrid/>
          <w:color w:val="auto"/>
          <w:sz w:val="24"/>
          <w:szCs w:val="24"/>
          <w:highlight w:val="none"/>
          <w:lang w:val="en-US" w:eastAsia="zh-CN"/>
        </w:rPr>
        <w:t>5</w:t>
      </w:r>
      <w:r>
        <w:rPr>
          <w:rFonts w:hint="eastAsia" w:ascii="宋体" w:hAnsi="Times New Roman" w:eastAsia="宋体" w:cs="Times New Roman"/>
          <w:bCs w:val="0"/>
          <w:snapToGrid/>
          <w:color w:val="auto"/>
          <w:sz w:val="24"/>
          <w:szCs w:val="24"/>
          <w:highlight w:val="none"/>
        </w:rPr>
        <w:t>mm</w:t>
      </w:r>
    </w:p>
    <w:p w14:paraId="6325F5D5">
      <w:pPr>
        <w:pStyle w:val="200"/>
        <w:spacing w:line="360" w:lineRule="auto"/>
        <w:ind w:firstLine="420" w:firstLineChars="175"/>
        <w:rPr>
          <w:rStyle w:val="142"/>
          <w:rFonts w:hint="eastAsia" w:ascii="宋体" w:hAnsi="宋体" w:eastAsia="宋体" w:cs="宋体"/>
          <w:b w:val="0"/>
          <w:bCs w:val="0"/>
          <w:color w:val="auto"/>
          <w:sz w:val="24"/>
          <w:szCs w:val="24"/>
          <w:highlight w:val="none"/>
        </w:rPr>
      </w:pPr>
      <w:r>
        <w:rPr>
          <w:rFonts w:hint="eastAsia" w:ascii="宋体" w:hAnsi="宋体" w:cs="宋体"/>
          <w:b w:val="0"/>
          <w:bCs w:val="0"/>
          <w:color w:val="auto"/>
          <w:kern w:val="2"/>
          <w:sz w:val="24"/>
          <w:szCs w:val="24"/>
          <w:highlight w:val="none"/>
          <w:lang w:val="en-US" w:eastAsia="zh-CN"/>
        </w:rPr>
        <w:t>4.4.</w:t>
      </w:r>
      <w:r>
        <w:rPr>
          <w:rStyle w:val="142"/>
          <w:rFonts w:hint="eastAsia" w:ascii="宋体" w:hAnsi="宋体" w:eastAsia="宋体" w:cs="宋体"/>
          <w:b w:val="0"/>
          <w:bCs w:val="0"/>
          <w:color w:val="auto"/>
          <w:sz w:val="24"/>
          <w:szCs w:val="24"/>
          <w:highlight w:val="none"/>
        </w:rPr>
        <w:t>1.3  为方便招标人使用和维护设备，应利用标准化元件和组件。</w:t>
      </w:r>
    </w:p>
    <w:p w14:paraId="313A7A34">
      <w:pPr>
        <w:pStyle w:val="200"/>
        <w:spacing w:line="360" w:lineRule="auto"/>
        <w:ind w:firstLine="420" w:firstLineChars="175"/>
        <w:rPr>
          <w:rStyle w:val="142"/>
          <w:rFonts w:hint="eastAsia" w:ascii="宋体" w:hAnsi="宋体" w:eastAsia="宋体" w:cs="宋体"/>
          <w:b w:val="0"/>
          <w:bCs w:val="0"/>
          <w:color w:val="auto"/>
          <w:sz w:val="24"/>
          <w:szCs w:val="24"/>
          <w:highlight w:val="none"/>
        </w:rPr>
      </w:pPr>
      <w:r>
        <w:rPr>
          <w:rFonts w:hint="eastAsia" w:ascii="宋体" w:hAnsi="宋体" w:cs="宋体"/>
          <w:b w:val="0"/>
          <w:bCs w:val="0"/>
          <w:color w:val="auto"/>
          <w:kern w:val="2"/>
          <w:sz w:val="24"/>
          <w:szCs w:val="24"/>
          <w:highlight w:val="none"/>
          <w:lang w:val="en-US" w:eastAsia="zh-CN"/>
        </w:rPr>
        <w:t>4.4.</w:t>
      </w:r>
      <w:r>
        <w:rPr>
          <w:rStyle w:val="142"/>
          <w:rFonts w:hint="eastAsia" w:ascii="宋体" w:hAnsi="宋体" w:eastAsia="宋体" w:cs="宋体"/>
          <w:b w:val="0"/>
          <w:bCs w:val="0"/>
          <w:color w:val="auto"/>
          <w:sz w:val="24"/>
          <w:szCs w:val="24"/>
          <w:highlight w:val="none"/>
        </w:rPr>
        <w:t>1.4  屏柜应前后有门，前门上应有玻璃窗，可监视内部的掉牌信号，门在开闭时，不应造成保护误动作，门轴在右侧（面对屏柜）。屏柜的门及通风口应能保证足够的流通气体，以满足屏柜的散热需要。后门为双开门，门的开摆角度至少105º，屏上的每把锁应配备2把钥匙。</w:t>
      </w:r>
    </w:p>
    <w:p w14:paraId="469AB79A">
      <w:pPr>
        <w:pStyle w:val="200"/>
        <w:spacing w:line="360" w:lineRule="auto"/>
        <w:ind w:firstLine="420" w:firstLineChars="175"/>
        <w:rPr>
          <w:rStyle w:val="142"/>
          <w:rFonts w:hint="eastAsia" w:ascii="宋体" w:hAnsi="宋体" w:eastAsia="宋体" w:cs="宋体"/>
          <w:b w:val="0"/>
          <w:bCs w:val="0"/>
          <w:color w:val="auto"/>
          <w:sz w:val="24"/>
          <w:szCs w:val="24"/>
          <w:highlight w:val="none"/>
        </w:rPr>
      </w:pPr>
      <w:r>
        <w:rPr>
          <w:rFonts w:hint="eastAsia" w:ascii="宋体" w:hAnsi="宋体" w:cs="宋体"/>
          <w:b w:val="0"/>
          <w:bCs w:val="0"/>
          <w:color w:val="auto"/>
          <w:kern w:val="2"/>
          <w:sz w:val="24"/>
          <w:szCs w:val="24"/>
          <w:highlight w:val="none"/>
          <w:lang w:val="en-US" w:eastAsia="zh-CN"/>
        </w:rPr>
        <w:t>4.4.</w:t>
      </w:r>
      <w:r>
        <w:rPr>
          <w:rStyle w:val="142"/>
          <w:rFonts w:hint="eastAsia" w:ascii="宋体" w:hAnsi="宋体" w:eastAsia="宋体" w:cs="宋体"/>
          <w:b w:val="0"/>
          <w:bCs w:val="0"/>
          <w:color w:val="auto"/>
          <w:sz w:val="24"/>
          <w:szCs w:val="24"/>
          <w:highlight w:val="none"/>
        </w:rPr>
        <w:t>1.5  整块柜应有足够强度。运输过程应有加固。并应提供屏柜说明书，保证在起吊、运输、存放和安装时的安全。屏柜底部应有安装孔。</w:t>
      </w:r>
    </w:p>
    <w:p w14:paraId="6FF3D272">
      <w:pPr>
        <w:pStyle w:val="200"/>
        <w:spacing w:line="360" w:lineRule="auto"/>
        <w:ind w:firstLine="420" w:firstLineChars="175"/>
        <w:rPr>
          <w:rStyle w:val="142"/>
          <w:rFonts w:hint="eastAsia" w:ascii="宋体" w:hAnsi="宋体" w:eastAsia="宋体" w:cs="宋体"/>
          <w:b w:val="0"/>
          <w:bCs w:val="0"/>
          <w:color w:val="auto"/>
          <w:sz w:val="24"/>
          <w:szCs w:val="24"/>
          <w:highlight w:val="none"/>
        </w:rPr>
      </w:pPr>
      <w:r>
        <w:rPr>
          <w:rFonts w:hint="eastAsia" w:ascii="宋体" w:hAnsi="宋体" w:cs="宋体"/>
          <w:b w:val="0"/>
          <w:bCs w:val="0"/>
          <w:color w:val="auto"/>
          <w:kern w:val="2"/>
          <w:sz w:val="24"/>
          <w:szCs w:val="24"/>
          <w:highlight w:val="none"/>
          <w:lang w:val="en-US" w:eastAsia="zh-CN"/>
        </w:rPr>
        <w:t>4.4.</w:t>
      </w:r>
      <w:r>
        <w:rPr>
          <w:rStyle w:val="142"/>
          <w:rFonts w:hint="eastAsia" w:ascii="宋体" w:hAnsi="宋体" w:eastAsia="宋体" w:cs="宋体"/>
          <w:b w:val="0"/>
          <w:bCs w:val="0"/>
          <w:color w:val="auto"/>
          <w:sz w:val="24"/>
          <w:szCs w:val="24"/>
          <w:highlight w:val="none"/>
        </w:rPr>
        <w:t>1.6  屏柜及其中设备应能适用于地震地区。</w:t>
      </w:r>
    </w:p>
    <w:p w14:paraId="6ABA6A0E">
      <w:pPr>
        <w:pStyle w:val="200"/>
        <w:spacing w:line="360" w:lineRule="auto"/>
        <w:ind w:firstLine="420" w:firstLineChars="175"/>
        <w:rPr>
          <w:rStyle w:val="142"/>
          <w:rFonts w:hint="eastAsia" w:ascii="宋体" w:hAnsi="宋体" w:eastAsia="宋体" w:cs="宋体"/>
          <w:b w:val="0"/>
          <w:bCs w:val="0"/>
          <w:color w:val="auto"/>
          <w:sz w:val="24"/>
          <w:szCs w:val="24"/>
          <w:highlight w:val="none"/>
        </w:rPr>
      </w:pPr>
      <w:r>
        <w:rPr>
          <w:rFonts w:hint="eastAsia" w:ascii="宋体" w:hAnsi="宋体" w:cs="宋体"/>
          <w:b w:val="0"/>
          <w:bCs w:val="0"/>
          <w:color w:val="auto"/>
          <w:kern w:val="2"/>
          <w:sz w:val="24"/>
          <w:szCs w:val="24"/>
          <w:highlight w:val="none"/>
          <w:lang w:val="en-US" w:eastAsia="zh-CN"/>
        </w:rPr>
        <w:t>4.4.</w:t>
      </w:r>
      <w:r>
        <w:rPr>
          <w:rStyle w:val="142"/>
          <w:rFonts w:hint="eastAsia" w:ascii="宋体" w:hAnsi="宋体" w:eastAsia="宋体" w:cs="宋体"/>
          <w:b w:val="0"/>
          <w:bCs w:val="0"/>
          <w:color w:val="auto"/>
          <w:sz w:val="24"/>
          <w:szCs w:val="24"/>
          <w:highlight w:val="none"/>
        </w:rPr>
        <w:t>1.7  所有柜上设备应采用嵌入式或半嵌入式安装和背后接线。</w:t>
      </w:r>
    </w:p>
    <w:p w14:paraId="0B263489">
      <w:pPr>
        <w:pStyle w:val="200"/>
        <w:spacing w:line="360" w:lineRule="auto"/>
        <w:ind w:firstLine="420" w:firstLineChars="175"/>
        <w:rPr>
          <w:rStyle w:val="142"/>
          <w:rFonts w:hint="eastAsia" w:ascii="宋体" w:hAnsi="宋体" w:eastAsia="宋体" w:cs="宋体"/>
          <w:b w:val="0"/>
          <w:bCs w:val="0"/>
          <w:color w:val="auto"/>
          <w:sz w:val="24"/>
          <w:szCs w:val="24"/>
          <w:highlight w:val="none"/>
        </w:rPr>
      </w:pPr>
      <w:r>
        <w:rPr>
          <w:rFonts w:hint="eastAsia" w:ascii="宋体" w:hAnsi="宋体" w:cs="宋体"/>
          <w:b w:val="0"/>
          <w:bCs w:val="0"/>
          <w:color w:val="auto"/>
          <w:kern w:val="2"/>
          <w:sz w:val="24"/>
          <w:szCs w:val="24"/>
          <w:highlight w:val="none"/>
          <w:lang w:val="en-US" w:eastAsia="zh-CN"/>
        </w:rPr>
        <w:t>4.4.</w:t>
      </w:r>
      <w:r>
        <w:rPr>
          <w:rStyle w:val="142"/>
          <w:rFonts w:hint="eastAsia" w:ascii="宋体" w:hAnsi="宋体" w:eastAsia="宋体" w:cs="宋体"/>
          <w:b w:val="0"/>
          <w:bCs w:val="0"/>
          <w:color w:val="auto"/>
          <w:sz w:val="24"/>
          <w:szCs w:val="24"/>
          <w:highlight w:val="none"/>
        </w:rPr>
        <w:t>1.8  电压和电流互感器的中性点均在就地端子箱直接接地。交流电压的输入回路应装设带辅助接点的自动空气开关。</w:t>
      </w:r>
    </w:p>
    <w:p w14:paraId="5D3A021A">
      <w:pPr>
        <w:pStyle w:val="200"/>
        <w:spacing w:line="360" w:lineRule="auto"/>
        <w:ind w:firstLine="420" w:firstLineChars="175"/>
        <w:rPr>
          <w:rStyle w:val="142"/>
          <w:rFonts w:hint="eastAsia" w:ascii="宋体" w:hAnsi="宋体" w:eastAsia="宋体" w:cs="宋体"/>
          <w:b w:val="0"/>
          <w:bCs w:val="0"/>
          <w:color w:val="auto"/>
          <w:sz w:val="24"/>
          <w:szCs w:val="24"/>
          <w:highlight w:val="none"/>
        </w:rPr>
      </w:pPr>
      <w:r>
        <w:rPr>
          <w:rFonts w:hint="eastAsia" w:ascii="宋体" w:hAnsi="宋体" w:cs="宋体"/>
          <w:b w:val="0"/>
          <w:bCs w:val="0"/>
          <w:color w:val="auto"/>
          <w:kern w:val="2"/>
          <w:sz w:val="24"/>
          <w:szCs w:val="24"/>
          <w:highlight w:val="none"/>
          <w:lang w:val="en-US" w:eastAsia="zh-CN"/>
        </w:rPr>
        <w:t>4.4.</w:t>
      </w:r>
      <w:r>
        <w:rPr>
          <w:rStyle w:val="142"/>
          <w:rFonts w:hint="eastAsia" w:ascii="宋体" w:hAnsi="宋体" w:eastAsia="宋体" w:cs="宋体"/>
          <w:b w:val="0"/>
          <w:bCs w:val="0"/>
          <w:color w:val="auto"/>
          <w:sz w:val="24"/>
          <w:szCs w:val="24"/>
          <w:highlight w:val="none"/>
        </w:rPr>
        <w:t>1.9  屏柜内设备的安排及端子排的布置，应保证各套装置的独立性，在一套装置检修时不影响其他任何一套装置系统的正常运行。对于那些必须按制造厂的规定才能进行更换的部件和标件，应有特殊的符号标出。</w:t>
      </w:r>
    </w:p>
    <w:p w14:paraId="6CFD6517">
      <w:pPr>
        <w:pStyle w:val="200"/>
        <w:spacing w:line="360" w:lineRule="auto"/>
        <w:ind w:firstLine="420" w:firstLineChars="175"/>
        <w:rPr>
          <w:rStyle w:val="142"/>
          <w:rFonts w:hint="eastAsia" w:ascii="宋体" w:hAnsi="宋体" w:eastAsia="宋体" w:cs="宋体"/>
          <w:b w:val="0"/>
          <w:bCs w:val="0"/>
          <w:color w:val="auto"/>
          <w:sz w:val="24"/>
          <w:szCs w:val="24"/>
          <w:highlight w:val="none"/>
        </w:rPr>
      </w:pPr>
      <w:r>
        <w:rPr>
          <w:rFonts w:hint="eastAsia" w:ascii="宋体" w:hAnsi="宋体" w:cs="宋体"/>
          <w:b w:val="0"/>
          <w:bCs w:val="0"/>
          <w:color w:val="auto"/>
          <w:kern w:val="2"/>
          <w:sz w:val="24"/>
          <w:szCs w:val="24"/>
          <w:highlight w:val="none"/>
          <w:lang w:val="en-US" w:eastAsia="zh-CN"/>
        </w:rPr>
        <w:t>4.4.</w:t>
      </w:r>
      <w:r>
        <w:rPr>
          <w:rStyle w:val="142"/>
          <w:rFonts w:hint="eastAsia" w:ascii="宋体" w:hAnsi="宋体" w:eastAsia="宋体" w:cs="宋体"/>
          <w:b w:val="0"/>
          <w:bCs w:val="0"/>
          <w:color w:val="auto"/>
          <w:sz w:val="24"/>
          <w:szCs w:val="24"/>
          <w:highlight w:val="none"/>
        </w:rPr>
        <w:t>1.10  屏柜由光滑的钢板制作，边角焊接，底部平整。</w:t>
      </w:r>
    </w:p>
    <w:p w14:paraId="03B5957F">
      <w:pPr>
        <w:pStyle w:val="200"/>
        <w:spacing w:line="360" w:lineRule="auto"/>
        <w:ind w:firstLine="420" w:firstLineChars="175"/>
        <w:rPr>
          <w:rStyle w:val="142"/>
          <w:rFonts w:hint="eastAsia" w:ascii="宋体" w:hAnsi="宋体" w:eastAsia="宋体" w:cs="宋体"/>
          <w:b w:val="0"/>
          <w:bCs w:val="0"/>
          <w:color w:val="auto"/>
          <w:sz w:val="24"/>
          <w:szCs w:val="24"/>
          <w:highlight w:val="none"/>
        </w:rPr>
      </w:pPr>
      <w:r>
        <w:rPr>
          <w:rFonts w:hint="eastAsia" w:ascii="宋体" w:hAnsi="宋体" w:cs="宋体"/>
          <w:b w:val="0"/>
          <w:bCs w:val="0"/>
          <w:color w:val="auto"/>
          <w:kern w:val="2"/>
          <w:sz w:val="24"/>
          <w:szCs w:val="24"/>
          <w:highlight w:val="none"/>
          <w:lang w:val="en-US" w:eastAsia="zh-CN"/>
        </w:rPr>
        <w:t>4.4.</w:t>
      </w:r>
      <w:r>
        <w:rPr>
          <w:rStyle w:val="142"/>
          <w:rFonts w:hint="eastAsia" w:ascii="宋体" w:hAnsi="宋体" w:eastAsia="宋体" w:cs="宋体"/>
          <w:b w:val="0"/>
          <w:bCs w:val="0"/>
          <w:color w:val="auto"/>
          <w:sz w:val="24"/>
          <w:szCs w:val="24"/>
          <w:highlight w:val="none"/>
        </w:rPr>
        <w:t>1.11  屏柜的屏面设计和屏上设备布置应合理，以便于接线和安装设备，并在前面和背板上有清晰标记。屏上的远景设备其屏上开孔应用盖板覆盖，内部接线预留。</w:t>
      </w:r>
    </w:p>
    <w:p w14:paraId="02119676">
      <w:pPr>
        <w:pStyle w:val="200"/>
        <w:spacing w:line="360" w:lineRule="auto"/>
        <w:ind w:firstLine="420" w:firstLineChars="175"/>
        <w:rPr>
          <w:rStyle w:val="142"/>
          <w:rFonts w:hint="eastAsia" w:ascii="宋体" w:hAnsi="宋体" w:eastAsia="宋体" w:cs="宋体"/>
          <w:b w:val="0"/>
          <w:bCs w:val="0"/>
          <w:color w:val="auto"/>
          <w:sz w:val="24"/>
          <w:szCs w:val="24"/>
          <w:highlight w:val="none"/>
        </w:rPr>
      </w:pPr>
      <w:r>
        <w:rPr>
          <w:rFonts w:hint="eastAsia" w:ascii="宋体" w:hAnsi="宋体" w:cs="宋体"/>
          <w:b w:val="0"/>
          <w:bCs w:val="0"/>
          <w:color w:val="auto"/>
          <w:kern w:val="2"/>
          <w:sz w:val="24"/>
          <w:szCs w:val="24"/>
          <w:highlight w:val="none"/>
          <w:lang w:val="en-US" w:eastAsia="zh-CN"/>
        </w:rPr>
        <w:t>4.4.</w:t>
      </w:r>
      <w:r>
        <w:rPr>
          <w:rStyle w:val="142"/>
          <w:rFonts w:hint="eastAsia" w:ascii="宋体" w:hAnsi="宋体" w:eastAsia="宋体" w:cs="宋体"/>
          <w:b w:val="0"/>
          <w:bCs w:val="0"/>
          <w:color w:val="auto"/>
          <w:sz w:val="24"/>
          <w:szCs w:val="24"/>
          <w:highlight w:val="none"/>
        </w:rPr>
        <w:t>1.12  屏柜内的相序排列应是当面对屏前，从左到右是A、B、C。</w:t>
      </w:r>
    </w:p>
    <w:p w14:paraId="2BE45696">
      <w:pPr>
        <w:pStyle w:val="200"/>
        <w:spacing w:line="360" w:lineRule="auto"/>
        <w:ind w:firstLine="420" w:firstLineChars="175"/>
        <w:rPr>
          <w:rStyle w:val="142"/>
          <w:rFonts w:hint="eastAsia" w:ascii="宋体" w:hAnsi="宋体" w:eastAsia="宋体" w:cs="宋体"/>
          <w:b w:val="0"/>
          <w:bCs w:val="0"/>
          <w:color w:val="auto"/>
          <w:sz w:val="24"/>
          <w:szCs w:val="24"/>
          <w:highlight w:val="none"/>
        </w:rPr>
      </w:pPr>
      <w:r>
        <w:rPr>
          <w:rFonts w:hint="eastAsia" w:ascii="宋体" w:hAnsi="宋体" w:cs="宋体"/>
          <w:b w:val="0"/>
          <w:bCs w:val="0"/>
          <w:color w:val="auto"/>
          <w:kern w:val="2"/>
          <w:sz w:val="24"/>
          <w:szCs w:val="24"/>
          <w:highlight w:val="none"/>
          <w:lang w:val="en-US" w:eastAsia="zh-CN"/>
        </w:rPr>
        <w:t>4.4.</w:t>
      </w:r>
      <w:r>
        <w:rPr>
          <w:rStyle w:val="142"/>
          <w:rFonts w:hint="eastAsia" w:ascii="宋体" w:hAnsi="宋体" w:eastAsia="宋体" w:cs="宋体"/>
          <w:b w:val="0"/>
          <w:bCs w:val="0"/>
          <w:color w:val="auto"/>
          <w:sz w:val="24"/>
          <w:szCs w:val="24"/>
          <w:highlight w:val="none"/>
        </w:rPr>
        <w:t>2  配线要求</w:t>
      </w:r>
    </w:p>
    <w:p w14:paraId="36811A4B">
      <w:pPr>
        <w:pStyle w:val="200"/>
        <w:spacing w:line="360" w:lineRule="auto"/>
        <w:ind w:firstLine="420" w:firstLineChars="175"/>
        <w:rPr>
          <w:rStyle w:val="142"/>
          <w:rFonts w:hint="eastAsia" w:ascii="宋体" w:hAnsi="宋体" w:eastAsia="宋体" w:cs="宋体"/>
          <w:b w:val="0"/>
          <w:bCs w:val="0"/>
          <w:color w:val="auto"/>
          <w:sz w:val="24"/>
          <w:szCs w:val="24"/>
          <w:highlight w:val="none"/>
        </w:rPr>
      </w:pPr>
      <w:r>
        <w:rPr>
          <w:rFonts w:hint="eastAsia" w:ascii="宋体" w:hAnsi="宋体" w:cs="宋体"/>
          <w:b w:val="0"/>
          <w:bCs w:val="0"/>
          <w:color w:val="auto"/>
          <w:kern w:val="2"/>
          <w:sz w:val="24"/>
          <w:szCs w:val="24"/>
          <w:highlight w:val="none"/>
          <w:lang w:val="en-US" w:eastAsia="zh-CN"/>
        </w:rPr>
        <w:t>4.4.</w:t>
      </w:r>
      <w:r>
        <w:rPr>
          <w:rStyle w:val="142"/>
          <w:rFonts w:hint="eastAsia" w:ascii="宋体" w:hAnsi="宋体" w:eastAsia="宋体" w:cs="宋体"/>
          <w:b w:val="0"/>
          <w:bCs w:val="0"/>
          <w:color w:val="auto"/>
          <w:sz w:val="24"/>
          <w:szCs w:val="24"/>
          <w:highlight w:val="none"/>
        </w:rPr>
        <w:t>2.1  配线应布线清晰、安装牢固，便于核查。</w:t>
      </w:r>
    </w:p>
    <w:p w14:paraId="0D5524E7">
      <w:pPr>
        <w:pStyle w:val="200"/>
        <w:spacing w:line="360" w:lineRule="auto"/>
        <w:ind w:firstLine="420" w:firstLineChars="175"/>
        <w:rPr>
          <w:rStyle w:val="142"/>
          <w:rFonts w:hint="eastAsia" w:ascii="宋体" w:hAnsi="宋体" w:eastAsia="宋体" w:cs="宋体"/>
          <w:b w:val="0"/>
          <w:bCs w:val="0"/>
          <w:color w:val="auto"/>
          <w:sz w:val="24"/>
          <w:szCs w:val="24"/>
          <w:highlight w:val="none"/>
        </w:rPr>
      </w:pPr>
      <w:r>
        <w:rPr>
          <w:rFonts w:hint="eastAsia" w:ascii="宋体" w:hAnsi="宋体" w:cs="宋体"/>
          <w:b w:val="0"/>
          <w:bCs w:val="0"/>
          <w:color w:val="auto"/>
          <w:kern w:val="2"/>
          <w:sz w:val="24"/>
          <w:szCs w:val="24"/>
          <w:highlight w:val="none"/>
          <w:lang w:val="en-US" w:eastAsia="zh-CN"/>
        </w:rPr>
        <w:t>4.4.</w:t>
      </w:r>
      <w:r>
        <w:rPr>
          <w:rStyle w:val="142"/>
          <w:rFonts w:hint="eastAsia" w:ascii="宋体" w:hAnsi="宋体" w:eastAsia="宋体" w:cs="宋体"/>
          <w:b w:val="0"/>
          <w:bCs w:val="0"/>
          <w:color w:val="auto"/>
          <w:sz w:val="24"/>
          <w:szCs w:val="24"/>
          <w:highlight w:val="none"/>
        </w:rPr>
        <w:t>2.</w:t>
      </w:r>
      <w:r>
        <w:rPr>
          <w:rStyle w:val="142"/>
          <w:rFonts w:hint="eastAsia" w:ascii="宋体" w:hAnsi="宋体" w:eastAsia="宋体" w:cs="宋体"/>
          <w:b w:val="0"/>
          <w:bCs w:val="0"/>
          <w:color w:val="auto"/>
          <w:sz w:val="24"/>
          <w:szCs w:val="24"/>
          <w:highlight w:val="none"/>
          <w:lang w:val="en-US" w:eastAsia="zh-CN"/>
        </w:rPr>
        <w:t>2</w:t>
      </w:r>
      <w:r>
        <w:rPr>
          <w:rStyle w:val="142"/>
          <w:rFonts w:hint="eastAsia" w:ascii="宋体" w:hAnsi="宋体" w:eastAsia="宋体" w:cs="宋体"/>
          <w:b w:val="0"/>
          <w:bCs w:val="0"/>
          <w:color w:val="auto"/>
          <w:sz w:val="24"/>
          <w:szCs w:val="24"/>
          <w:highlight w:val="none"/>
        </w:rPr>
        <w:t xml:space="preserve">  所有的回路应尽可能沿垂直和水平方向的最短距离布线，不允许采用斜方向布线。布线的走向不能影响试验和安装屏上设备。屏内布线应捆扎以免混乱。</w:t>
      </w:r>
    </w:p>
    <w:p w14:paraId="3BD97892">
      <w:pPr>
        <w:pStyle w:val="200"/>
        <w:spacing w:line="360" w:lineRule="auto"/>
        <w:ind w:firstLine="420" w:firstLineChars="175"/>
        <w:rPr>
          <w:rStyle w:val="142"/>
          <w:rFonts w:hint="eastAsia" w:ascii="宋体" w:hAnsi="宋体" w:eastAsia="宋体" w:cs="宋体"/>
          <w:b w:val="0"/>
          <w:bCs w:val="0"/>
          <w:color w:val="auto"/>
          <w:sz w:val="24"/>
          <w:szCs w:val="24"/>
          <w:highlight w:val="none"/>
        </w:rPr>
      </w:pPr>
      <w:r>
        <w:rPr>
          <w:rFonts w:hint="eastAsia" w:ascii="宋体" w:hAnsi="宋体" w:cs="宋体"/>
          <w:b w:val="0"/>
          <w:bCs w:val="0"/>
          <w:color w:val="auto"/>
          <w:kern w:val="2"/>
          <w:sz w:val="24"/>
          <w:szCs w:val="24"/>
          <w:highlight w:val="none"/>
          <w:lang w:val="en-US" w:eastAsia="zh-CN"/>
        </w:rPr>
        <w:t>4.4.</w:t>
      </w:r>
      <w:r>
        <w:rPr>
          <w:rStyle w:val="142"/>
          <w:rFonts w:hint="eastAsia" w:ascii="宋体" w:hAnsi="宋体" w:eastAsia="宋体" w:cs="宋体"/>
          <w:b w:val="0"/>
          <w:bCs w:val="0"/>
          <w:color w:val="auto"/>
          <w:sz w:val="24"/>
          <w:szCs w:val="24"/>
          <w:highlight w:val="none"/>
        </w:rPr>
        <w:t>2.</w:t>
      </w:r>
      <w:r>
        <w:rPr>
          <w:rStyle w:val="142"/>
          <w:rFonts w:hint="eastAsia" w:ascii="宋体" w:hAnsi="宋体" w:eastAsia="宋体" w:cs="宋体"/>
          <w:b w:val="0"/>
          <w:bCs w:val="0"/>
          <w:color w:val="auto"/>
          <w:sz w:val="24"/>
          <w:szCs w:val="24"/>
          <w:highlight w:val="none"/>
          <w:lang w:val="en-US" w:eastAsia="zh-CN"/>
        </w:rPr>
        <w:t>3</w:t>
      </w:r>
      <w:r>
        <w:rPr>
          <w:rStyle w:val="142"/>
          <w:rFonts w:hint="eastAsia" w:ascii="宋体" w:hAnsi="宋体" w:eastAsia="宋体" w:cs="宋体"/>
          <w:b w:val="0"/>
          <w:bCs w:val="0"/>
          <w:color w:val="auto"/>
          <w:sz w:val="24"/>
          <w:szCs w:val="24"/>
          <w:highlight w:val="none"/>
        </w:rPr>
        <w:t xml:space="preserve">  所有回路的布线应独立，在各自分开的电缆上应表明其工作电压和种类。</w:t>
      </w:r>
    </w:p>
    <w:p w14:paraId="370E2CCC">
      <w:pPr>
        <w:pStyle w:val="200"/>
        <w:spacing w:line="360" w:lineRule="auto"/>
        <w:ind w:firstLine="420" w:firstLineChars="175"/>
        <w:rPr>
          <w:rStyle w:val="142"/>
          <w:rFonts w:hint="eastAsia" w:ascii="宋体" w:hAnsi="宋体" w:eastAsia="宋体" w:cs="宋体"/>
          <w:b w:val="0"/>
          <w:bCs w:val="0"/>
          <w:color w:val="auto"/>
          <w:sz w:val="24"/>
          <w:szCs w:val="24"/>
          <w:highlight w:val="none"/>
        </w:rPr>
      </w:pPr>
      <w:r>
        <w:rPr>
          <w:rFonts w:hint="eastAsia" w:ascii="宋体" w:hAnsi="宋体" w:cs="宋体"/>
          <w:b w:val="0"/>
          <w:bCs w:val="0"/>
          <w:color w:val="auto"/>
          <w:kern w:val="2"/>
          <w:sz w:val="24"/>
          <w:szCs w:val="24"/>
          <w:highlight w:val="none"/>
          <w:lang w:val="en-US" w:eastAsia="zh-CN"/>
        </w:rPr>
        <w:t>4.4.</w:t>
      </w:r>
      <w:r>
        <w:rPr>
          <w:rStyle w:val="142"/>
          <w:rFonts w:hint="eastAsia" w:ascii="宋体" w:hAnsi="宋体" w:eastAsia="宋体" w:cs="宋体"/>
          <w:b w:val="0"/>
          <w:bCs w:val="0"/>
          <w:color w:val="auto"/>
          <w:sz w:val="24"/>
          <w:szCs w:val="24"/>
          <w:highlight w:val="none"/>
        </w:rPr>
        <w:t>2.4  按钮接通的配线方式只能用于告警和控制回路，配线的方案需经过招标人的认可。</w:t>
      </w:r>
    </w:p>
    <w:p w14:paraId="52DA8D59">
      <w:pPr>
        <w:pStyle w:val="200"/>
        <w:spacing w:line="360" w:lineRule="auto"/>
        <w:ind w:firstLine="420" w:firstLineChars="175"/>
        <w:rPr>
          <w:rStyle w:val="142"/>
          <w:rFonts w:hint="eastAsia" w:ascii="宋体" w:hAnsi="宋体" w:eastAsia="宋体" w:cs="宋体"/>
          <w:b w:val="0"/>
          <w:bCs w:val="0"/>
          <w:color w:val="auto"/>
          <w:sz w:val="24"/>
          <w:szCs w:val="24"/>
          <w:highlight w:val="none"/>
        </w:rPr>
      </w:pPr>
      <w:r>
        <w:rPr>
          <w:rFonts w:hint="eastAsia" w:ascii="宋体" w:hAnsi="宋体" w:cs="宋体"/>
          <w:b w:val="0"/>
          <w:bCs w:val="0"/>
          <w:color w:val="auto"/>
          <w:kern w:val="2"/>
          <w:sz w:val="24"/>
          <w:szCs w:val="24"/>
          <w:highlight w:val="none"/>
          <w:lang w:val="en-US" w:eastAsia="zh-CN"/>
        </w:rPr>
        <w:t>4.4.</w:t>
      </w:r>
      <w:r>
        <w:rPr>
          <w:rStyle w:val="142"/>
          <w:rFonts w:hint="eastAsia" w:ascii="宋体" w:hAnsi="宋体" w:eastAsia="宋体" w:cs="宋体"/>
          <w:b w:val="0"/>
          <w:bCs w:val="0"/>
          <w:color w:val="auto"/>
          <w:sz w:val="24"/>
          <w:szCs w:val="24"/>
          <w:highlight w:val="none"/>
        </w:rPr>
        <w:t>2.</w:t>
      </w:r>
      <w:r>
        <w:rPr>
          <w:rStyle w:val="142"/>
          <w:rFonts w:hint="eastAsia" w:ascii="宋体" w:hAnsi="宋体" w:eastAsia="宋体" w:cs="宋体"/>
          <w:b w:val="0"/>
          <w:bCs w:val="0"/>
          <w:color w:val="auto"/>
          <w:sz w:val="24"/>
          <w:szCs w:val="24"/>
          <w:highlight w:val="none"/>
          <w:lang w:val="en-US" w:eastAsia="zh-CN"/>
        </w:rPr>
        <w:t>5</w:t>
      </w:r>
      <w:r>
        <w:rPr>
          <w:rStyle w:val="142"/>
          <w:rFonts w:hint="eastAsia" w:ascii="宋体" w:hAnsi="宋体" w:eastAsia="宋体" w:cs="宋体"/>
          <w:b w:val="0"/>
          <w:bCs w:val="0"/>
          <w:color w:val="auto"/>
          <w:sz w:val="24"/>
          <w:szCs w:val="24"/>
          <w:highlight w:val="none"/>
        </w:rPr>
        <w:t xml:space="preserve">  配线的焊接绕接只能用于内部电子设备，应全部符合IEC 352标准。</w:t>
      </w:r>
    </w:p>
    <w:p w14:paraId="395F95FC">
      <w:pPr>
        <w:pStyle w:val="200"/>
        <w:spacing w:line="360" w:lineRule="auto"/>
        <w:ind w:firstLine="420" w:firstLineChars="175"/>
        <w:rPr>
          <w:rStyle w:val="142"/>
          <w:rFonts w:hint="eastAsia" w:ascii="宋体" w:hAnsi="宋体" w:eastAsia="宋体" w:cs="宋体"/>
          <w:b w:val="0"/>
          <w:bCs w:val="0"/>
          <w:color w:val="auto"/>
          <w:sz w:val="24"/>
          <w:szCs w:val="24"/>
          <w:highlight w:val="none"/>
        </w:rPr>
      </w:pPr>
      <w:r>
        <w:rPr>
          <w:rFonts w:hint="eastAsia" w:ascii="宋体" w:hAnsi="宋体" w:cs="宋体"/>
          <w:b w:val="0"/>
          <w:bCs w:val="0"/>
          <w:color w:val="auto"/>
          <w:kern w:val="2"/>
          <w:sz w:val="24"/>
          <w:szCs w:val="24"/>
          <w:highlight w:val="none"/>
          <w:lang w:val="en-US" w:eastAsia="zh-CN"/>
        </w:rPr>
        <w:t>4.4.</w:t>
      </w:r>
      <w:r>
        <w:rPr>
          <w:rStyle w:val="142"/>
          <w:rFonts w:hint="eastAsia" w:ascii="宋体" w:hAnsi="宋体" w:eastAsia="宋体" w:cs="宋体"/>
          <w:b w:val="0"/>
          <w:bCs w:val="0"/>
          <w:color w:val="auto"/>
          <w:sz w:val="24"/>
          <w:szCs w:val="24"/>
          <w:highlight w:val="none"/>
        </w:rPr>
        <w:t>4.</w:t>
      </w:r>
      <w:r>
        <w:rPr>
          <w:rStyle w:val="142"/>
          <w:rFonts w:hint="eastAsia" w:ascii="宋体" w:hAnsi="宋体" w:eastAsia="宋体" w:cs="宋体"/>
          <w:b w:val="0"/>
          <w:bCs w:val="0"/>
          <w:color w:val="auto"/>
          <w:sz w:val="24"/>
          <w:szCs w:val="24"/>
          <w:highlight w:val="none"/>
          <w:lang w:val="en-US" w:eastAsia="zh-CN"/>
        </w:rPr>
        <w:t>6</w:t>
      </w:r>
      <w:r>
        <w:rPr>
          <w:rStyle w:val="142"/>
          <w:rFonts w:hint="eastAsia" w:ascii="宋体" w:hAnsi="宋体" w:eastAsia="宋体" w:cs="宋体"/>
          <w:b w:val="0"/>
          <w:bCs w:val="0"/>
          <w:color w:val="auto"/>
          <w:sz w:val="24"/>
          <w:szCs w:val="24"/>
          <w:highlight w:val="none"/>
        </w:rPr>
        <w:t xml:space="preserve">  通信回路、变送器回路、调制解调器输出回路等应采用特定的屏蔽接线，其屏蔽层应接地。</w:t>
      </w:r>
    </w:p>
    <w:p w14:paraId="6BEA932B">
      <w:pPr>
        <w:pStyle w:val="200"/>
        <w:spacing w:line="360" w:lineRule="auto"/>
        <w:ind w:firstLine="420" w:firstLineChars="175"/>
        <w:rPr>
          <w:rStyle w:val="142"/>
          <w:rFonts w:hint="eastAsia" w:ascii="宋体" w:hAnsi="宋体" w:eastAsia="宋体" w:cs="宋体"/>
          <w:b w:val="0"/>
          <w:bCs w:val="0"/>
          <w:color w:val="auto"/>
          <w:sz w:val="24"/>
          <w:szCs w:val="24"/>
          <w:highlight w:val="none"/>
        </w:rPr>
      </w:pPr>
      <w:r>
        <w:rPr>
          <w:rFonts w:hint="eastAsia" w:ascii="宋体" w:hAnsi="宋体" w:cs="宋体"/>
          <w:b w:val="0"/>
          <w:bCs w:val="0"/>
          <w:color w:val="auto"/>
          <w:kern w:val="2"/>
          <w:sz w:val="24"/>
          <w:szCs w:val="24"/>
          <w:highlight w:val="none"/>
          <w:lang w:val="en-US" w:eastAsia="zh-CN"/>
        </w:rPr>
        <w:t>4.4.</w:t>
      </w:r>
      <w:r>
        <w:rPr>
          <w:rStyle w:val="142"/>
          <w:rFonts w:hint="eastAsia" w:ascii="宋体" w:hAnsi="宋体" w:eastAsia="宋体" w:cs="宋体"/>
          <w:b w:val="0"/>
          <w:bCs w:val="0"/>
          <w:color w:val="auto"/>
          <w:sz w:val="24"/>
          <w:szCs w:val="24"/>
          <w:highlight w:val="none"/>
        </w:rPr>
        <w:t>2.7  柜中内部接线应采用耐热、耐潮和阻（不延）燃的交联聚乙烯绝缘铜线，一般控制导线应不小于1.5平方毫米，CT、VT回路的控制导线不应小于4平方毫米。</w:t>
      </w:r>
    </w:p>
    <w:p w14:paraId="22FF62B7">
      <w:pPr>
        <w:pStyle w:val="200"/>
        <w:spacing w:line="360" w:lineRule="auto"/>
        <w:ind w:firstLine="420" w:firstLineChars="175"/>
        <w:rPr>
          <w:rStyle w:val="142"/>
          <w:rFonts w:hint="eastAsia" w:ascii="宋体" w:hAnsi="宋体" w:eastAsia="宋体" w:cs="宋体"/>
          <w:b w:val="0"/>
          <w:bCs w:val="0"/>
          <w:color w:val="auto"/>
          <w:sz w:val="24"/>
          <w:szCs w:val="24"/>
          <w:highlight w:val="none"/>
        </w:rPr>
      </w:pPr>
      <w:r>
        <w:rPr>
          <w:rFonts w:hint="eastAsia" w:ascii="宋体" w:hAnsi="宋体" w:cs="宋体"/>
          <w:b w:val="0"/>
          <w:bCs w:val="0"/>
          <w:color w:val="auto"/>
          <w:kern w:val="2"/>
          <w:sz w:val="24"/>
          <w:szCs w:val="24"/>
          <w:highlight w:val="none"/>
          <w:lang w:val="en-US" w:eastAsia="zh-CN"/>
        </w:rPr>
        <w:t>4.4.</w:t>
      </w:r>
      <w:r>
        <w:rPr>
          <w:rStyle w:val="142"/>
          <w:rFonts w:hint="eastAsia" w:ascii="宋体" w:hAnsi="宋体" w:eastAsia="宋体" w:cs="宋体"/>
          <w:b w:val="0"/>
          <w:bCs w:val="0"/>
          <w:color w:val="auto"/>
          <w:sz w:val="24"/>
          <w:szCs w:val="24"/>
          <w:highlight w:val="none"/>
        </w:rPr>
        <w:t>2.8  导线应无损伤，导线的端头应采用压紧型联接件。投标人应提供走线槽，以便于固定电缆及端子排的接线。</w:t>
      </w:r>
    </w:p>
    <w:p w14:paraId="735428F7">
      <w:pPr>
        <w:pStyle w:val="200"/>
        <w:spacing w:line="360" w:lineRule="auto"/>
        <w:ind w:firstLine="420" w:firstLineChars="175"/>
        <w:rPr>
          <w:rStyle w:val="142"/>
          <w:rFonts w:hint="eastAsia" w:ascii="宋体" w:hAnsi="宋体" w:eastAsia="宋体" w:cs="宋体"/>
          <w:b w:val="0"/>
          <w:bCs w:val="0"/>
          <w:color w:val="auto"/>
          <w:sz w:val="24"/>
          <w:szCs w:val="24"/>
          <w:highlight w:val="none"/>
        </w:rPr>
      </w:pPr>
      <w:r>
        <w:rPr>
          <w:rFonts w:hint="eastAsia" w:ascii="宋体" w:hAnsi="宋体" w:cs="宋体"/>
          <w:b w:val="0"/>
          <w:bCs w:val="0"/>
          <w:color w:val="auto"/>
          <w:kern w:val="2"/>
          <w:sz w:val="24"/>
          <w:szCs w:val="24"/>
          <w:highlight w:val="none"/>
          <w:lang w:val="en-US" w:eastAsia="zh-CN"/>
        </w:rPr>
        <w:t>4.4.</w:t>
      </w:r>
      <w:r>
        <w:rPr>
          <w:rStyle w:val="142"/>
          <w:rFonts w:hint="eastAsia" w:ascii="宋体" w:hAnsi="宋体" w:eastAsia="宋体" w:cs="宋体"/>
          <w:b w:val="0"/>
          <w:bCs w:val="0"/>
          <w:color w:val="auto"/>
          <w:sz w:val="24"/>
          <w:szCs w:val="24"/>
          <w:highlight w:val="none"/>
        </w:rPr>
        <w:t>2.9  对于运输的散部件，应预留配线连接至接线板，以便装配时将预留配线与设备连接。</w:t>
      </w:r>
    </w:p>
    <w:p w14:paraId="313CC46D">
      <w:pPr>
        <w:pStyle w:val="200"/>
        <w:spacing w:line="360" w:lineRule="auto"/>
        <w:ind w:firstLine="420" w:firstLineChars="175"/>
        <w:rPr>
          <w:rStyle w:val="142"/>
          <w:rFonts w:hint="eastAsia" w:ascii="宋体" w:hAnsi="宋体" w:eastAsia="宋体" w:cs="宋体"/>
          <w:b w:val="0"/>
          <w:bCs w:val="0"/>
          <w:color w:val="auto"/>
          <w:sz w:val="24"/>
          <w:szCs w:val="24"/>
          <w:highlight w:val="none"/>
        </w:rPr>
      </w:pPr>
      <w:r>
        <w:rPr>
          <w:rFonts w:hint="eastAsia" w:ascii="宋体" w:hAnsi="宋体" w:cs="宋体"/>
          <w:b w:val="0"/>
          <w:bCs w:val="0"/>
          <w:color w:val="auto"/>
          <w:kern w:val="2"/>
          <w:sz w:val="24"/>
          <w:szCs w:val="24"/>
          <w:highlight w:val="none"/>
          <w:lang w:val="en-US" w:eastAsia="zh-CN"/>
        </w:rPr>
        <w:t>4.4.</w:t>
      </w:r>
      <w:r>
        <w:rPr>
          <w:rStyle w:val="142"/>
          <w:rFonts w:hint="eastAsia" w:ascii="宋体" w:hAnsi="宋体" w:eastAsia="宋体" w:cs="宋体"/>
          <w:b w:val="0"/>
          <w:bCs w:val="0"/>
          <w:color w:val="auto"/>
          <w:sz w:val="24"/>
          <w:szCs w:val="24"/>
          <w:highlight w:val="none"/>
        </w:rPr>
        <w:t>3  控制开关</w:t>
      </w:r>
    </w:p>
    <w:p w14:paraId="0BEC4604">
      <w:pPr>
        <w:pStyle w:val="200"/>
        <w:spacing w:line="360" w:lineRule="auto"/>
        <w:ind w:firstLine="420" w:firstLineChars="175"/>
        <w:rPr>
          <w:rStyle w:val="142"/>
          <w:rFonts w:hint="eastAsia" w:ascii="宋体" w:hAnsi="宋体" w:eastAsia="宋体" w:cs="宋体"/>
          <w:b w:val="0"/>
          <w:bCs w:val="0"/>
          <w:color w:val="auto"/>
          <w:sz w:val="24"/>
          <w:szCs w:val="24"/>
          <w:highlight w:val="none"/>
        </w:rPr>
      </w:pPr>
      <w:r>
        <w:rPr>
          <w:rFonts w:hint="eastAsia" w:ascii="宋体" w:hAnsi="宋体" w:cs="宋体"/>
          <w:b w:val="0"/>
          <w:bCs w:val="0"/>
          <w:color w:val="auto"/>
          <w:kern w:val="2"/>
          <w:sz w:val="24"/>
          <w:szCs w:val="24"/>
          <w:highlight w:val="none"/>
          <w:lang w:val="en-US" w:eastAsia="zh-CN"/>
        </w:rPr>
        <w:t>4.4.</w:t>
      </w:r>
      <w:r>
        <w:rPr>
          <w:rStyle w:val="142"/>
          <w:rFonts w:hint="eastAsia" w:ascii="宋体" w:hAnsi="宋体" w:eastAsia="宋体" w:cs="宋体"/>
          <w:b w:val="0"/>
          <w:bCs w:val="0"/>
          <w:color w:val="auto"/>
          <w:sz w:val="24"/>
          <w:szCs w:val="24"/>
          <w:highlight w:val="none"/>
        </w:rPr>
        <w:t>3.1  控制开关为旋转式，手动柄在前方，机械接点在背面，每个控制开关应具有足够的接点数量以满足功能和控制系统的要求。</w:t>
      </w:r>
    </w:p>
    <w:p w14:paraId="38822DCC">
      <w:pPr>
        <w:pStyle w:val="200"/>
        <w:spacing w:line="360" w:lineRule="auto"/>
        <w:ind w:firstLine="420" w:firstLineChars="175"/>
        <w:rPr>
          <w:rStyle w:val="142"/>
          <w:rFonts w:hint="eastAsia" w:ascii="宋体" w:hAnsi="宋体" w:eastAsia="宋体" w:cs="宋体"/>
          <w:b w:val="0"/>
          <w:bCs w:val="0"/>
          <w:color w:val="auto"/>
          <w:sz w:val="24"/>
          <w:szCs w:val="24"/>
          <w:highlight w:val="none"/>
        </w:rPr>
      </w:pPr>
      <w:r>
        <w:rPr>
          <w:rFonts w:hint="eastAsia" w:ascii="宋体" w:hAnsi="宋体" w:cs="宋体"/>
          <w:b w:val="0"/>
          <w:bCs w:val="0"/>
          <w:color w:val="auto"/>
          <w:kern w:val="2"/>
          <w:sz w:val="24"/>
          <w:szCs w:val="24"/>
          <w:highlight w:val="none"/>
          <w:lang w:val="en-US" w:eastAsia="zh-CN"/>
        </w:rPr>
        <w:t>4.4.</w:t>
      </w:r>
      <w:r>
        <w:rPr>
          <w:rStyle w:val="142"/>
          <w:rFonts w:hint="eastAsia" w:ascii="宋体" w:hAnsi="宋体" w:eastAsia="宋体" w:cs="宋体"/>
          <w:b w:val="0"/>
          <w:bCs w:val="0"/>
          <w:color w:val="auto"/>
          <w:sz w:val="24"/>
          <w:szCs w:val="24"/>
          <w:highlight w:val="none"/>
        </w:rPr>
        <w:t>3.2  所有的控制开关应能适用于交流220V或直流110V，而且其操作容量应能满足至少10000次在额定电流下的操作次数，所有的控制开关在通流20A下不应产生30ºC的温升。在交流220V或直流110V控制回路中，其额定感应负载不能大于2A。</w:t>
      </w:r>
    </w:p>
    <w:p w14:paraId="59CFCC6D">
      <w:pPr>
        <w:pStyle w:val="200"/>
        <w:spacing w:line="360" w:lineRule="auto"/>
        <w:ind w:firstLine="420" w:firstLineChars="175"/>
        <w:rPr>
          <w:rStyle w:val="142"/>
          <w:rFonts w:hint="eastAsia" w:ascii="宋体" w:hAnsi="宋体" w:eastAsia="宋体" w:cs="宋体"/>
          <w:b w:val="0"/>
          <w:bCs w:val="0"/>
          <w:color w:val="auto"/>
          <w:sz w:val="24"/>
          <w:szCs w:val="24"/>
          <w:highlight w:val="none"/>
        </w:rPr>
      </w:pPr>
      <w:r>
        <w:rPr>
          <w:rFonts w:hint="eastAsia" w:ascii="宋体" w:hAnsi="宋体" w:cs="宋体"/>
          <w:b w:val="0"/>
          <w:bCs w:val="0"/>
          <w:color w:val="auto"/>
          <w:kern w:val="2"/>
          <w:sz w:val="24"/>
          <w:szCs w:val="24"/>
          <w:highlight w:val="none"/>
          <w:lang w:val="en-US" w:eastAsia="zh-CN"/>
        </w:rPr>
        <w:t>4.4.</w:t>
      </w:r>
      <w:r>
        <w:rPr>
          <w:rStyle w:val="142"/>
          <w:rFonts w:hint="eastAsia" w:ascii="宋体" w:hAnsi="宋体" w:eastAsia="宋体" w:cs="宋体"/>
          <w:b w:val="0"/>
          <w:bCs w:val="0"/>
          <w:color w:val="auto"/>
          <w:sz w:val="24"/>
          <w:szCs w:val="24"/>
          <w:highlight w:val="none"/>
        </w:rPr>
        <w:t>4  屏柜附件</w:t>
      </w:r>
    </w:p>
    <w:p w14:paraId="5FA78E72">
      <w:pPr>
        <w:pStyle w:val="200"/>
        <w:spacing w:line="360" w:lineRule="auto"/>
        <w:ind w:firstLine="420" w:firstLineChars="175"/>
        <w:rPr>
          <w:rStyle w:val="142"/>
          <w:rFonts w:hint="eastAsia" w:ascii="宋体" w:hAnsi="宋体" w:eastAsia="宋体" w:cs="宋体"/>
          <w:b w:val="0"/>
          <w:bCs w:val="0"/>
          <w:color w:val="auto"/>
          <w:sz w:val="24"/>
          <w:szCs w:val="24"/>
          <w:highlight w:val="none"/>
        </w:rPr>
      </w:pPr>
      <w:r>
        <w:rPr>
          <w:rFonts w:hint="eastAsia" w:ascii="宋体" w:hAnsi="宋体" w:cs="宋体"/>
          <w:b w:val="0"/>
          <w:bCs w:val="0"/>
          <w:color w:val="auto"/>
          <w:kern w:val="2"/>
          <w:sz w:val="24"/>
          <w:szCs w:val="24"/>
          <w:highlight w:val="none"/>
          <w:lang w:val="en-US" w:eastAsia="zh-CN"/>
        </w:rPr>
        <w:t>4.4.</w:t>
      </w:r>
      <w:r>
        <w:rPr>
          <w:rStyle w:val="142"/>
          <w:rFonts w:hint="eastAsia" w:ascii="宋体" w:hAnsi="宋体" w:eastAsia="宋体" w:cs="宋体"/>
          <w:b w:val="0"/>
          <w:bCs w:val="0"/>
          <w:color w:val="auto"/>
          <w:sz w:val="24"/>
          <w:szCs w:val="24"/>
          <w:highlight w:val="none"/>
        </w:rPr>
        <w:t>4.1  端子排</w:t>
      </w:r>
    </w:p>
    <w:p w14:paraId="753B8715">
      <w:pPr>
        <w:pStyle w:val="200"/>
        <w:spacing w:line="360" w:lineRule="auto"/>
        <w:ind w:firstLine="420" w:firstLineChars="175"/>
        <w:rPr>
          <w:rStyle w:val="142"/>
          <w:rFonts w:hint="eastAsia" w:ascii="宋体" w:hAnsi="宋体" w:eastAsia="宋体" w:cs="宋体"/>
          <w:b w:val="0"/>
          <w:bCs w:val="0"/>
          <w:color w:val="auto"/>
          <w:sz w:val="24"/>
          <w:szCs w:val="24"/>
          <w:highlight w:val="none"/>
        </w:rPr>
      </w:pPr>
      <w:r>
        <w:rPr>
          <w:rStyle w:val="142"/>
          <w:rFonts w:hint="eastAsia" w:ascii="宋体" w:hAnsi="宋体" w:eastAsia="宋体" w:cs="宋体"/>
          <w:b w:val="0"/>
          <w:bCs w:val="0"/>
          <w:color w:val="auto"/>
          <w:sz w:val="24"/>
          <w:szCs w:val="24"/>
          <w:highlight w:val="none"/>
          <w:lang w:eastAsia="zh-CN"/>
        </w:rPr>
        <w:t>（</w:t>
      </w:r>
      <w:r>
        <w:rPr>
          <w:rStyle w:val="142"/>
          <w:rFonts w:hint="eastAsia" w:ascii="宋体" w:hAnsi="宋体" w:eastAsia="宋体" w:cs="宋体"/>
          <w:b w:val="0"/>
          <w:bCs w:val="0"/>
          <w:color w:val="auto"/>
          <w:sz w:val="24"/>
          <w:szCs w:val="24"/>
          <w:highlight w:val="none"/>
          <w:lang w:val="en-US" w:eastAsia="zh-CN"/>
        </w:rPr>
        <w:t>1</w:t>
      </w:r>
      <w:r>
        <w:rPr>
          <w:rStyle w:val="142"/>
          <w:rFonts w:hint="eastAsia" w:ascii="宋体" w:hAnsi="宋体" w:eastAsia="宋体" w:cs="宋体"/>
          <w:b w:val="0"/>
          <w:bCs w:val="0"/>
          <w:color w:val="auto"/>
          <w:sz w:val="24"/>
          <w:szCs w:val="24"/>
          <w:highlight w:val="none"/>
          <w:lang w:eastAsia="zh-CN"/>
        </w:rPr>
        <w:t>）</w:t>
      </w:r>
      <w:r>
        <w:rPr>
          <w:rStyle w:val="142"/>
          <w:rFonts w:hint="eastAsia" w:ascii="宋体" w:hAnsi="宋体" w:eastAsia="宋体" w:cs="宋体"/>
          <w:b w:val="0"/>
          <w:bCs w:val="0"/>
          <w:color w:val="auto"/>
          <w:sz w:val="24"/>
          <w:szCs w:val="24"/>
          <w:highlight w:val="none"/>
        </w:rPr>
        <w:t>端子排的设置应方便进出线，并便于观察和维护。交流电流、交流电压、直流回路的输入端子应分种类独立设置，并有保护措施。</w:t>
      </w:r>
    </w:p>
    <w:p w14:paraId="37B8C710">
      <w:pPr>
        <w:pStyle w:val="200"/>
        <w:spacing w:line="360" w:lineRule="auto"/>
        <w:ind w:firstLine="420" w:firstLineChars="175"/>
        <w:rPr>
          <w:rStyle w:val="142"/>
          <w:rFonts w:hint="eastAsia" w:ascii="宋体" w:hAnsi="宋体" w:eastAsia="宋体" w:cs="宋体"/>
          <w:b w:val="0"/>
          <w:bCs w:val="0"/>
          <w:color w:val="auto"/>
          <w:sz w:val="24"/>
          <w:szCs w:val="24"/>
          <w:highlight w:val="none"/>
        </w:rPr>
      </w:pPr>
      <w:r>
        <w:rPr>
          <w:rStyle w:val="142"/>
          <w:rFonts w:hint="eastAsia" w:ascii="宋体" w:hAnsi="宋体" w:eastAsia="宋体" w:cs="宋体"/>
          <w:b w:val="0"/>
          <w:bCs w:val="0"/>
          <w:color w:val="auto"/>
          <w:sz w:val="24"/>
          <w:szCs w:val="24"/>
          <w:highlight w:val="none"/>
          <w:lang w:eastAsia="zh-CN"/>
        </w:rPr>
        <w:t>（</w:t>
      </w:r>
      <w:r>
        <w:rPr>
          <w:rStyle w:val="142"/>
          <w:rFonts w:hint="eastAsia" w:ascii="宋体" w:hAnsi="宋体" w:eastAsia="宋体" w:cs="宋体"/>
          <w:b w:val="0"/>
          <w:bCs w:val="0"/>
          <w:color w:val="auto"/>
          <w:sz w:val="24"/>
          <w:szCs w:val="24"/>
          <w:highlight w:val="none"/>
          <w:lang w:val="en-US" w:eastAsia="zh-CN"/>
        </w:rPr>
        <w:t>2</w:t>
      </w:r>
      <w:r>
        <w:rPr>
          <w:rStyle w:val="142"/>
          <w:rFonts w:hint="eastAsia" w:ascii="宋体" w:hAnsi="宋体" w:eastAsia="宋体" w:cs="宋体"/>
          <w:b w:val="0"/>
          <w:bCs w:val="0"/>
          <w:color w:val="auto"/>
          <w:sz w:val="24"/>
          <w:szCs w:val="24"/>
          <w:highlight w:val="none"/>
          <w:lang w:eastAsia="zh-CN"/>
        </w:rPr>
        <w:t>）</w:t>
      </w:r>
      <w:r>
        <w:rPr>
          <w:rStyle w:val="142"/>
          <w:rFonts w:hint="eastAsia" w:ascii="宋体" w:hAnsi="宋体" w:eastAsia="宋体" w:cs="宋体"/>
          <w:b w:val="0"/>
          <w:bCs w:val="0"/>
          <w:color w:val="auto"/>
          <w:sz w:val="24"/>
          <w:szCs w:val="24"/>
          <w:highlight w:val="none"/>
        </w:rPr>
        <w:t>端子排与设备之间应有绝缘材料将之分开。交流回路采用电流试验型端子，其余采用可断开型端子。采用Phoenix凤凰端子。</w:t>
      </w:r>
    </w:p>
    <w:p w14:paraId="6487FAF4">
      <w:pPr>
        <w:pStyle w:val="200"/>
        <w:spacing w:line="360" w:lineRule="auto"/>
        <w:ind w:firstLine="420" w:firstLineChars="175"/>
        <w:rPr>
          <w:rStyle w:val="142"/>
          <w:rFonts w:hint="eastAsia" w:ascii="宋体" w:hAnsi="宋体" w:eastAsia="宋体" w:cs="宋体"/>
          <w:b w:val="0"/>
          <w:bCs w:val="0"/>
          <w:color w:val="auto"/>
          <w:sz w:val="24"/>
          <w:szCs w:val="24"/>
          <w:highlight w:val="none"/>
        </w:rPr>
      </w:pPr>
      <w:r>
        <w:rPr>
          <w:rStyle w:val="142"/>
          <w:rFonts w:hint="eastAsia" w:ascii="宋体" w:hAnsi="宋体" w:eastAsia="宋体" w:cs="宋体"/>
          <w:b w:val="0"/>
          <w:bCs w:val="0"/>
          <w:color w:val="auto"/>
          <w:sz w:val="24"/>
          <w:szCs w:val="24"/>
          <w:highlight w:val="none"/>
          <w:lang w:eastAsia="zh-CN"/>
        </w:rPr>
        <w:t>（</w:t>
      </w:r>
      <w:r>
        <w:rPr>
          <w:rStyle w:val="142"/>
          <w:rFonts w:hint="eastAsia" w:ascii="宋体" w:hAnsi="宋体" w:eastAsia="宋体" w:cs="宋体"/>
          <w:b w:val="0"/>
          <w:bCs w:val="0"/>
          <w:color w:val="auto"/>
          <w:sz w:val="24"/>
          <w:szCs w:val="24"/>
          <w:highlight w:val="none"/>
          <w:lang w:val="en-US" w:eastAsia="zh-CN"/>
        </w:rPr>
        <w:t>3</w:t>
      </w:r>
      <w:r>
        <w:rPr>
          <w:rStyle w:val="142"/>
          <w:rFonts w:hint="eastAsia" w:ascii="宋体" w:hAnsi="宋体" w:eastAsia="宋体" w:cs="宋体"/>
          <w:b w:val="0"/>
          <w:bCs w:val="0"/>
          <w:color w:val="auto"/>
          <w:sz w:val="24"/>
          <w:szCs w:val="24"/>
          <w:highlight w:val="none"/>
          <w:lang w:eastAsia="zh-CN"/>
        </w:rPr>
        <w:t>）</w:t>
      </w:r>
      <w:r>
        <w:rPr>
          <w:rStyle w:val="142"/>
          <w:rFonts w:hint="eastAsia" w:ascii="宋体" w:hAnsi="宋体" w:eastAsia="宋体" w:cs="宋体"/>
          <w:b w:val="0"/>
          <w:bCs w:val="0"/>
          <w:color w:val="auto"/>
          <w:sz w:val="24"/>
          <w:szCs w:val="24"/>
          <w:highlight w:val="none"/>
        </w:rPr>
        <w:t>端子排前应保留足够空间，便于电缆连接。</w:t>
      </w:r>
    </w:p>
    <w:p w14:paraId="652D1093">
      <w:pPr>
        <w:pStyle w:val="200"/>
        <w:spacing w:line="360" w:lineRule="auto"/>
        <w:ind w:firstLine="420" w:firstLineChars="175"/>
        <w:rPr>
          <w:rStyle w:val="142"/>
          <w:rFonts w:hint="eastAsia" w:ascii="宋体" w:hAnsi="宋体" w:eastAsia="宋体" w:cs="宋体"/>
          <w:b w:val="0"/>
          <w:bCs w:val="0"/>
          <w:color w:val="auto"/>
          <w:sz w:val="24"/>
          <w:szCs w:val="24"/>
          <w:highlight w:val="none"/>
        </w:rPr>
      </w:pPr>
      <w:r>
        <w:rPr>
          <w:rStyle w:val="142"/>
          <w:rFonts w:hint="eastAsia" w:ascii="宋体" w:hAnsi="宋体" w:eastAsia="宋体" w:cs="宋体"/>
          <w:b w:val="0"/>
          <w:bCs w:val="0"/>
          <w:color w:val="auto"/>
          <w:sz w:val="24"/>
          <w:szCs w:val="24"/>
          <w:highlight w:val="none"/>
          <w:lang w:eastAsia="zh-CN"/>
        </w:rPr>
        <w:t>（</w:t>
      </w:r>
      <w:r>
        <w:rPr>
          <w:rStyle w:val="142"/>
          <w:rFonts w:hint="eastAsia" w:ascii="宋体" w:hAnsi="宋体" w:eastAsia="宋体" w:cs="宋体"/>
          <w:b w:val="0"/>
          <w:bCs w:val="0"/>
          <w:color w:val="auto"/>
          <w:sz w:val="24"/>
          <w:szCs w:val="24"/>
          <w:highlight w:val="none"/>
          <w:lang w:val="en-US" w:eastAsia="zh-CN"/>
        </w:rPr>
        <w:t>4</w:t>
      </w:r>
      <w:r>
        <w:rPr>
          <w:rStyle w:val="142"/>
          <w:rFonts w:hint="eastAsia" w:ascii="宋体" w:hAnsi="宋体" w:eastAsia="宋体" w:cs="宋体"/>
          <w:b w:val="0"/>
          <w:bCs w:val="0"/>
          <w:color w:val="auto"/>
          <w:sz w:val="24"/>
          <w:szCs w:val="24"/>
          <w:highlight w:val="none"/>
          <w:lang w:eastAsia="zh-CN"/>
        </w:rPr>
        <w:t>）</w:t>
      </w:r>
      <w:r>
        <w:rPr>
          <w:rStyle w:val="142"/>
          <w:rFonts w:hint="eastAsia" w:ascii="宋体" w:hAnsi="宋体" w:eastAsia="宋体" w:cs="宋体"/>
          <w:b w:val="0"/>
          <w:bCs w:val="0"/>
          <w:color w:val="auto"/>
          <w:sz w:val="24"/>
          <w:szCs w:val="24"/>
          <w:highlight w:val="none"/>
        </w:rPr>
        <w:t>外部接入的一根电缆中所有导线应接于靠近的端子上。</w:t>
      </w:r>
    </w:p>
    <w:p w14:paraId="0DD01B6D">
      <w:pPr>
        <w:pStyle w:val="200"/>
        <w:spacing w:line="360" w:lineRule="auto"/>
        <w:ind w:firstLine="420" w:firstLineChars="175"/>
        <w:rPr>
          <w:rStyle w:val="142"/>
          <w:rFonts w:hint="eastAsia" w:ascii="宋体" w:hAnsi="宋体" w:eastAsia="宋体" w:cs="宋体"/>
          <w:b w:val="0"/>
          <w:bCs w:val="0"/>
          <w:color w:val="auto"/>
          <w:sz w:val="24"/>
          <w:szCs w:val="24"/>
          <w:highlight w:val="none"/>
        </w:rPr>
      </w:pPr>
      <w:r>
        <w:rPr>
          <w:rStyle w:val="142"/>
          <w:rFonts w:hint="eastAsia" w:ascii="宋体" w:hAnsi="宋体" w:eastAsia="宋体" w:cs="宋体"/>
          <w:b w:val="0"/>
          <w:bCs w:val="0"/>
          <w:color w:val="auto"/>
          <w:sz w:val="24"/>
          <w:szCs w:val="24"/>
          <w:highlight w:val="none"/>
          <w:lang w:eastAsia="zh-CN"/>
        </w:rPr>
        <w:t>（</w:t>
      </w:r>
      <w:r>
        <w:rPr>
          <w:rStyle w:val="142"/>
          <w:rFonts w:hint="eastAsia" w:ascii="宋体" w:hAnsi="宋体" w:eastAsia="宋体" w:cs="宋体"/>
          <w:b w:val="0"/>
          <w:bCs w:val="0"/>
          <w:color w:val="auto"/>
          <w:sz w:val="24"/>
          <w:szCs w:val="24"/>
          <w:highlight w:val="none"/>
          <w:lang w:val="en-US" w:eastAsia="zh-CN"/>
        </w:rPr>
        <w:t>5</w:t>
      </w:r>
      <w:r>
        <w:rPr>
          <w:rStyle w:val="142"/>
          <w:rFonts w:hint="eastAsia" w:ascii="宋体" w:hAnsi="宋体" w:eastAsia="宋体" w:cs="宋体"/>
          <w:b w:val="0"/>
          <w:bCs w:val="0"/>
          <w:color w:val="auto"/>
          <w:sz w:val="24"/>
          <w:szCs w:val="24"/>
          <w:highlight w:val="none"/>
          <w:lang w:eastAsia="zh-CN"/>
        </w:rPr>
        <w:t>）</w:t>
      </w:r>
      <w:r>
        <w:rPr>
          <w:rStyle w:val="142"/>
          <w:rFonts w:hint="eastAsia" w:ascii="宋体" w:hAnsi="宋体" w:eastAsia="宋体" w:cs="宋体"/>
          <w:b w:val="0"/>
          <w:bCs w:val="0"/>
          <w:color w:val="auto"/>
          <w:sz w:val="24"/>
          <w:szCs w:val="24"/>
          <w:highlight w:val="none"/>
        </w:rPr>
        <w:t>每个端子上只能接一根导线。直流电源的正负极也不能接在相邻的端子上。直流正负电源应留有连接型备用端子。</w:t>
      </w:r>
    </w:p>
    <w:p w14:paraId="505B3527">
      <w:pPr>
        <w:pStyle w:val="200"/>
        <w:spacing w:line="360" w:lineRule="auto"/>
        <w:ind w:firstLine="420" w:firstLineChars="175"/>
        <w:rPr>
          <w:rStyle w:val="142"/>
          <w:rFonts w:hint="eastAsia" w:ascii="宋体" w:hAnsi="宋体" w:eastAsia="宋体" w:cs="宋体"/>
          <w:b w:val="0"/>
          <w:bCs w:val="0"/>
          <w:color w:val="auto"/>
          <w:sz w:val="24"/>
          <w:szCs w:val="24"/>
          <w:highlight w:val="none"/>
        </w:rPr>
      </w:pPr>
      <w:r>
        <w:rPr>
          <w:rStyle w:val="142"/>
          <w:rFonts w:hint="eastAsia" w:ascii="宋体" w:hAnsi="宋体" w:eastAsia="宋体" w:cs="宋体"/>
          <w:b w:val="0"/>
          <w:bCs w:val="0"/>
          <w:color w:val="auto"/>
          <w:sz w:val="24"/>
          <w:szCs w:val="24"/>
          <w:highlight w:val="none"/>
          <w:lang w:eastAsia="zh-CN"/>
        </w:rPr>
        <w:t>（</w:t>
      </w:r>
      <w:r>
        <w:rPr>
          <w:rStyle w:val="142"/>
          <w:rFonts w:hint="eastAsia" w:ascii="宋体" w:hAnsi="宋体" w:eastAsia="宋体" w:cs="宋体"/>
          <w:b w:val="0"/>
          <w:bCs w:val="0"/>
          <w:color w:val="auto"/>
          <w:sz w:val="24"/>
          <w:szCs w:val="24"/>
          <w:highlight w:val="none"/>
          <w:lang w:val="en-US" w:eastAsia="zh-CN"/>
        </w:rPr>
        <w:t>6</w:t>
      </w:r>
      <w:r>
        <w:rPr>
          <w:rStyle w:val="142"/>
          <w:rFonts w:hint="eastAsia" w:ascii="宋体" w:hAnsi="宋体" w:eastAsia="宋体" w:cs="宋体"/>
          <w:b w:val="0"/>
          <w:bCs w:val="0"/>
          <w:color w:val="auto"/>
          <w:sz w:val="24"/>
          <w:szCs w:val="24"/>
          <w:highlight w:val="none"/>
          <w:lang w:eastAsia="zh-CN"/>
        </w:rPr>
        <w:t>）</w:t>
      </w:r>
      <w:r>
        <w:rPr>
          <w:rStyle w:val="142"/>
          <w:rFonts w:hint="eastAsia" w:ascii="宋体" w:hAnsi="宋体" w:eastAsia="宋体" w:cs="宋体"/>
          <w:b w:val="0"/>
          <w:bCs w:val="0"/>
          <w:color w:val="auto"/>
          <w:sz w:val="24"/>
          <w:szCs w:val="24"/>
          <w:highlight w:val="none"/>
        </w:rPr>
        <w:t>所有端子要求参照浙电会纪字【2016】201号文件，采用额定值为1000V，10A，压接型端子。装置电源端子采用UK6N，其余端子采用凤凰刀闸型端子。电流端子应允许用户接4平方毫米电缆导线。</w:t>
      </w:r>
    </w:p>
    <w:p w14:paraId="34A1BC8F">
      <w:pPr>
        <w:pStyle w:val="200"/>
        <w:spacing w:line="360" w:lineRule="auto"/>
        <w:ind w:firstLine="420" w:firstLineChars="175"/>
        <w:rPr>
          <w:rStyle w:val="142"/>
          <w:rFonts w:hint="eastAsia" w:ascii="宋体" w:hAnsi="宋体" w:eastAsia="宋体" w:cs="宋体"/>
          <w:b w:val="0"/>
          <w:bCs w:val="0"/>
          <w:color w:val="auto"/>
          <w:sz w:val="24"/>
          <w:szCs w:val="24"/>
          <w:highlight w:val="none"/>
        </w:rPr>
      </w:pPr>
      <w:r>
        <w:rPr>
          <w:rStyle w:val="142"/>
          <w:rFonts w:hint="eastAsia" w:ascii="宋体" w:hAnsi="宋体" w:eastAsia="宋体" w:cs="宋体"/>
          <w:b w:val="0"/>
          <w:bCs w:val="0"/>
          <w:color w:val="auto"/>
          <w:sz w:val="24"/>
          <w:szCs w:val="24"/>
          <w:highlight w:val="none"/>
          <w:lang w:eastAsia="zh-CN"/>
        </w:rPr>
        <w:t>（</w:t>
      </w:r>
      <w:r>
        <w:rPr>
          <w:rStyle w:val="142"/>
          <w:rFonts w:hint="eastAsia" w:ascii="宋体" w:hAnsi="宋体" w:eastAsia="宋体" w:cs="宋体"/>
          <w:b w:val="0"/>
          <w:bCs w:val="0"/>
          <w:color w:val="auto"/>
          <w:sz w:val="24"/>
          <w:szCs w:val="24"/>
          <w:highlight w:val="none"/>
          <w:lang w:val="en-US" w:eastAsia="zh-CN"/>
        </w:rPr>
        <w:t>7</w:t>
      </w:r>
      <w:r>
        <w:rPr>
          <w:rStyle w:val="142"/>
          <w:rFonts w:hint="eastAsia" w:ascii="宋体" w:hAnsi="宋体" w:eastAsia="宋体" w:cs="宋体"/>
          <w:b w:val="0"/>
          <w:bCs w:val="0"/>
          <w:color w:val="auto"/>
          <w:sz w:val="24"/>
          <w:szCs w:val="24"/>
          <w:highlight w:val="none"/>
          <w:lang w:eastAsia="zh-CN"/>
        </w:rPr>
        <w:t>）</w:t>
      </w:r>
      <w:r>
        <w:rPr>
          <w:rStyle w:val="142"/>
          <w:rFonts w:hint="eastAsia" w:ascii="宋体" w:hAnsi="宋体" w:eastAsia="宋体" w:cs="宋体"/>
          <w:b w:val="0"/>
          <w:bCs w:val="0"/>
          <w:color w:val="auto"/>
          <w:sz w:val="24"/>
          <w:szCs w:val="24"/>
          <w:highlight w:val="none"/>
        </w:rPr>
        <w:t>端子排应至少有10%备用端子，且可在必要时增加。</w:t>
      </w:r>
    </w:p>
    <w:p w14:paraId="68E12BFE">
      <w:pPr>
        <w:pStyle w:val="200"/>
        <w:spacing w:line="360" w:lineRule="auto"/>
        <w:ind w:firstLine="420" w:firstLineChars="175"/>
        <w:rPr>
          <w:rStyle w:val="142"/>
          <w:rFonts w:hint="eastAsia" w:ascii="宋体" w:hAnsi="宋体" w:eastAsia="宋体" w:cs="宋体"/>
          <w:b w:val="0"/>
          <w:bCs w:val="0"/>
          <w:color w:val="auto"/>
          <w:sz w:val="24"/>
          <w:szCs w:val="24"/>
          <w:highlight w:val="none"/>
        </w:rPr>
      </w:pPr>
      <w:r>
        <w:rPr>
          <w:rStyle w:val="142"/>
          <w:rFonts w:hint="eastAsia" w:ascii="宋体" w:hAnsi="宋体" w:eastAsia="宋体" w:cs="宋体"/>
          <w:b w:val="0"/>
          <w:bCs w:val="0"/>
          <w:color w:val="auto"/>
          <w:sz w:val="24"/>
          <w:szCs w:val="24"/>
          <w:highlight w:val="none"/>
          <w:lang w:eastAsia="zh-CN"/>
        </w:rPr>
        <w:t>（</w:t>
      </w:r>
      <w:r>
        <w:rPr>
          <w:rStyle w:val="142"/>
          <w:rFonts w:hint="eastAsia" w:ascii="宋体" w:hAnsi="宋体" w:eastAsia="宋体" w:cs="宋体"/>
          <w:b w:val="0"/>
          <w:bCs w:val="0"/>
          <w:color w:val="auto"/>
          <w:sz w:val="24"/>
          <w:szCs w:val="24"/>
          <w:highlight w:val="none"/>
          <w:lang w:val="en-US" w:eastAsia="zh-CN"/>
        </w:rPr>
        <w:t>8</w:t>
      </w:r>
      <w:r>
        <w:rPr>
          <w:rStyle w:val="142"/>
          <w:rFonts w:hint="eastAsia" w:ascii="宋体" w:hAnsi="宋体" w:eastAsia="宋体" w:cs="宋体"/>
          <w:b w:val="0"/>
          <w:bCs w:val="0"/>
          <w:color w:val="auto"/>
          <w:sz w:val="24"/>
          <w:szCs w:val="24"/>
          <w:highlight w:val="none"/>
          <w:lang w:eastAsia="zh-CN"/>
        </w:rPr>
        <w:t>）</w:t>
      </w:r>
      <w:r>
        <w:rPr>
          <w:rStyle w:val="142"/>
          <w:rFonts w:hint="eastAsia" w:ascii="宋体" w:hAnsi="宋体" w:eastAsia="宋体" w:cs="宋体"/>
          <w:b w:val="0"/>
          <w:bCs w:val="0"/>
          <w:color w:val="auto"/>
          <w:sz w:val="24"/>
          <w:szCs w:val="24"/>
          <w:highlight w:val="none"/>
        </w:rPr>
        <w:t>端子排应保证足够的绝缘水平，端子排应该分段。</w:t>
      </w:r>
    </w:p>
    <w:p w14:paraId="50840C8A">
      <w:pPr>
        <w:pStyle w:val="200"/>
        <w:spacing w:line="360" w:lineRule="auto"/>
        <w:ind w:firstLine="420" w:firstLineChars="175"/>
        <w:rPr>
          <w:rStyle w:val="142"/>
          <w:rFonts w:hint="eastAsia" w:ascii="宋体" w:hAnsi="宋体" w:eastAsia="宋体" w:cs="宋体"/>
          <w:b w:val="0"/>
          <w:bCs w:val="0"/>
          <w:color w:val="auto"/>
          <w:sz w:val="24"/>
          <w:szCs w:val="24"/>
          <w:highlight w:val="none"/>
        </w:rPr>
      </w:pPr>
      <w:r>
        <w:rPr>
          <w:rStyle w:val="142"/>
          <w:rFonts w:hint="eastAsia" w:ascii="宋体" w:hAnsi="宋体" w:eastAsia="宋体" w:cs="宋体"/>
          <w:b w:val="0"/>
          <w:bCs w:val="0"/>
          <w:color w:val="auto"/>
          <w:sz w:val="24"/>
          <w:szCs w:val="24"/>
          <w:highlight w:val="none"/>
          <w:lang w:eastAsia="zh-CN"/>
        </w:rPr>
        <w:t>（</w:t>
      </w:r>
      <w:r>
        <w:rPr>
          <w:rStyle w:val="142"/>
          <w:rFonts w:hint="eastAsia" w:ascii="宋体" w:hAnsi="宋体" w:eastAsia="宋体" w:cs="宋体"/>
          <w:b w:val="0"/>
          <w:bCs w:val="0"/>
          <w:color w:val="auto"/>
          <w:sz w:val="24"/>
          <w:szCs w:val="24"/>
          <w:highlight w:val="none"/>
          <w:lang w:val="en-US" w:eastAsia="zh-CN"/>
        </w:rPr>
        <w:t>9</w:t>
      </w:r>
      <w:r>
        <w:rPr>
          <w:rStyle w:val="142"/>
          <w:rFonts w:hint="eastAsia" w:ascii="宋体" w:hAnsi="宋体" w:eastAsia="宋体" w:cs="宋体"/>
          <w:b w:val="0"/>
          <w:bCs w:val="0"/>
          <w:color w:val="auto"/>
          <w:sz w:val="24"/>
          <w:szCs w:val="24"/>
          <w:highlight w:val="none"/>
          <w:lang w:eastAsia="zh-CN"/>
        </w:rPr>
        <w:t>）</w:t>
      </w:r>
      <w:r>
        <w:rPr>
          <w:rStyle w:val="142"/>
          <w:rFonts w:hint="eastAsia" w:ascii="宋体" w:hAnsi="宋体" w:eastAsia="宋体" w:cs="宋体"/>
          <w:b w:val="0"/>
          <w:bCs w:val="0"/>
          <w:color w:val="auto"/>
          <w:sz w:val="24"/>
          <w:szCs w:val="24"/>
          <w:highlight w:val="none"/>
        </w:rPr>
        <w:t>端子采用螺丝在两侧固定，金属部分不能在端子暴露出端子背部。</w:t>
      </w:r>
    </w:p>
    <w:p w14:paraId="1F34982A">
      <w:pPr>
        <w:pStyle w:val="200"/>
        <w:spacing w:line="360" w:lineRule="auto"/>
        <w:ind w:firstLine="420" w:firstLineChars="175"/>
        <w:rPr>
          <w:rStyle w:val="142"/>
          <w:rFonts w:hint="eastAsia" w:ascii="宋体" w:hAnsi="宋体" w:eastAsia="宋体" w:cs="宋体"/>
          <w:b w:val="0"/>
          <w:bCs w:val="0"/>
          <w:color w:val="auto"/>
          <w:sz w:val="24"/>
          <w:szCs w:val="24"/>
          <w:highlight w:val="none"/>
        </w:rPr>
      </w:pPr>
      <w:r>
        <w:rPr>
          <w:rStyle w:val="142"/>
          <w:rFonts w:hint="eastAsia" w:ascii="宋体" w:hAnsi="宋体" w:eastAsia="宋体" w:cs="宋体"/>
          <w:b w:val="0"/>
          <w:bCs w:val="0"/>
          <w:color w:val="auto"/>
          <w:sz w:val="24"/>
          <w:szCs w:val="24"/>
          <w:highlight w:val="none"/>
          <w:lang w:eastAsia="zh-CN"/>
        </w:rPr>
        <w:t>（</w:t>
      </w:r>
      <w:r>
        <w:rPr>
          <w:rStyle w:val="142"/>
          <w:rFonts w:hint="eastAsia" w:ascii="宋体" w:hAnsi="宋体" w:eastAsia="宋体" w:cs="宋体"/>
          <w:b w:val="0"/>
          <w:bCs w:val="0"/>
          <w:color w:val="auto"/>
          <w:sz w:val="24"/>
          <w:szCs w:val="24"/>
          <w:highlight w:val="none"/>
          <w:lang w:val="en-US" w:eastAsia="zh-CN"/>
        </w:rPr>
        <w:t>10</w:t>
      </w:r>
      <w:r>
        <w:rPr>
          <w:rStyle w:val="142"/>
          <w:rFonts w:hint="eastAsia" w:ascii="宋体" w:hAnsi="宋体" w:eastAsia="宋体" w:cs="宋体"/>
          <w:b w:val="0"/>
          <w:bCs w:val="0"/>
          <w:color w:val="auto"/>
          <w:sz w:val="24"/>
          <w:szCs w:val="24"/>
          <w:highlight w:val="none"/>
          <w:lang w:eastAsia="zh-CN"/>
        </w:rPr>
        <w:t>）</w:t>
      </w:r>
      <w:r>
        <w:rPr>
          <w:rStyle w:val="142"/>
          <w:rFonts w:hint="eastAsia" w:ascii="宋体" w:hAnsi="宋体" w:eastAsia="宋体" w:cs="宋体"/>
          <w:b w:val="0"/>
          <w:bCs w:val="0"/>
          <w:color w:val="auto"/>
          <w:sz w:val="24"/>
          <w:szCs w:val="24"/>
          <w:highlight w:val="none"/>
        </w:rPr>
        <w:t>每个端子的编号与接线应符合招标人要求，并与原理图和接线图相对应。</w:t>
      </w:r>
    </w:p>
    <w:p w14:paraId="5F2F14E8">
      <w:pPr>
        <w:pStyle w:val="200"/>
        <w:spacing w:line="360" w:lineRule="auto"/>
        <w:ind w:firstLine="420" w:firstLineChars="175"/>
        <w:rPr>
          <w:rStyle w:val="142"/>
          <w:rFonts w:hint="eastAsia" w:ascii="宋体" w:hAnsi="宋体" w:eastAsia="宋体" w:cs="宋体"/>
          <w:b w:val="0"/>
          <w:bCs w:val="0"/>
          <w:color w:val="auto"/>
          <w:sz w:val="24"/>
          <w:szCs w:val="24"/>
          <w:highlight w:val="none"/>
        </w:rPr>
      </w:pPr>
      <w:r>
        <w:rPr>
          <w:rFonts w:hint="eastAsia" w:ascii="宋体" w:hAnsi="宋体" w:cs="宋体"/>
          <w:b w:val="0"/>
          <w:bCs w:val="0"/>
          <w:color w:val="auto"/>
          <w:kern w:val="2"/>
          <w:sz w:val="24"/>
          <w:szCs w:val="24"/>
          <w:highlight w:val="none"/>
          <w:lang w:val="en-US" w:eastAsia="zh-CN"/>
        </w:rPr>
        <w:t>4.4.</w:t>
      </w:r>
      <w:r>
        <w:rPr>
          <w:rStyle w:val="142"/>
          <w:rFonts w:hint="eastAsia" w:ascii="宋体" w:hAnsi="宋体" w:eastAsia="宋体" w:cs="宋体"/>
          <w:b w:val="0"/>
          <w:bCs w:val="0"/>
          <w:color w:val="auto"/>
          <w:sz w:val="24"/>
          <w:szCs w:val="24"/>
          <w:highlight w:val="none"/>
        </w:rPr>
        <w:t>4.2  标签框</w:t>
      </w:r>
    </w:p>
    <w:p w14:paraId="7C2D51AC">
      <w:pPr>
        <w:pStyle w:val="200"/>
        <w:spacing w:line="360" w:lineRule="auto"/>
        <w:ind w:firstLine="420" w:firstLineChars="175"/>
        <w:rPr>
          <w:rStyle w:val="142"/>
          <w:rFonts w:hint="eastAsia" w:ascii="宋体" w:hAnsi="宋体" w:eastAsia="宋体" w:cs="宋体"/>
          <w:b w:val="0"/>
          <w:bCs w:val="0"/>
          <w:color w:val="auto"/>
          <w:sz w:val="24"/>
          <w:szCs w:val="24"/>
          <w:highlight w:val="none"/>
        </w:rPr>
      </w:pPr>
      <w:r>
        <w:rPr>
          <w:rStyle w:val="142"/>
          <w:rFonts w:hint="eastAsia" w:ascii="宋体" w:hAnsi="宋体" w:eastAsia="宋体" w:cs="宋体"/>
          <w:b w:val="0"/>
          <w:bCs w:val="0"/>
          <w:color w:val="auto"/>
          <w:sz w:val="24"/>
          <w:szCs w:val="24"/>
          <w:highlight w:val="none"/>
        </w:rPr>
        <w:t>每块屏及其上的装置（包括继电器、控制开关、控制回路的熔丝、开关及其他独立设备）都应有标签框，以便于清楚的识别，外壳可移动的设备，在设备本体上也要有同样的识别标记。</w:t>
      </w:r>
    </w:p>
    <w:p w14:paraId="25557D5F">
      <w:pPr>
        <w:pStyle w:val="200"/>
        <w:spacing w:line="360" w:lineRule="auto"/>
        <w:ind w:firstLine="420" w:firstLineChars="175"/>
        <w:rPr>
          <w:rStyle w:val="142"/>
          <w:rFonts w:hint="eastAsia" w:ascii="宋体" w:hAnsi="宋体" w:eastAsia="宋体" w:cs="宋体"/>
          <w:b w:val="0"/>
          <w:bCs w:val="0"/>
          <w:color w:val="auto"/>
          <w:sz w:val="24"/>
          <w:szCs w:val="24"/>
          <w:highlight w:val="none"/>
        </w:rPr>
      </w:pPr>
      <w:r>
        <w:rPr>
          <w:rFonts w:hint="eastAsia" w:ascii="宋体" w:hAnsi="宋体" w:cs="宋体"/>
          <w:b w:val="0"/>
          <w:bCs w:val="0"/>
          <w:color w:val="auto"/>
          <w:kern w:val="2"/>
          <w:sz w:val="24"/>
          <w:szCs w:val="24"/>
          <w:highlight w:val="none"/>
          <w:lang w:val="en-US" w:eastAsia="zh-CN"/>
        </w:rPr>
        <w:t>4.4.</w:t>
      </w:r>
      <w:r>
        <w:rPr>
          <w:rStyle w:val="142"/>
          <w:rFonts w:hint="eastAsia" w:ascii="宋体" w:hAnsi="宋体" w:eastAsia="宋体" w:cs="宋体"/>
          <w:b w:val="0"/>
          <w:bCs w:val="0"/>
          <w:color w:val="auto"/>
          <w:sz w:val="24"/>
          <w:szCs w:val="24"/>
          <w:highlight w:val="none"/>
        </w:rPr>
        <w:t>4.3  接地母线</w:t>
      </w:r>
    </w:p>
    <w:p w14:paraId="281143F0">
      <w:pPr>
        <w:pStyle w:val="200"/>
        <w:spacing w:line="360" w:lineRule="auto"/>
        <w:ind w:firstLine="420" w:firstLineChars="175"/>
        <w:rPr>
          <w:rStyle w:val="142"/>
          <w:rFonts w:hint="eastAsia" w:ascii="宋体" w:hAnsi="宋体" w:eastAsia="宋体" w:cs="宋体"/>
          <w:b w:val="0"/>
          <w:bCs w:val="0"/>
          <w:color w:val="auto"/>
          <w:sz w:val="24"/>
          <w:szCs w:val="24"/>
          <w:highlight w:val="none"/>
        </w:rPr>
      </w:pPr>
      <w:r>
        <w:rPr>
          <w:rStyle w:val="142"/>
          <w:rFonts w:hint="eastAsia" w:ascii="宋体" w:hAnsi="宋体" w:eastAsia="宋体" w:cs="宋体"/>
          <w:b w:val="0"/>
          <w:bCs w:val="0"/>
          <w:color w:val="auto"/>
          <w:sz w:val="24"/>
          <w:szCs w:val="24"/>
          <w:highlight w:val="none"/>
        </w:rPr>
        <w:t>每块柜应装有2根截面不小于100mm</w:t>
      </w:r>
      <w:r>
        <w:rPr>
          <w:rStyle w:val="142"/>
          <w:rFonts w:hint="eastAsia" w:ascii="宋体" w:hAnsi="宋体" w:eastAsia="宋体" w:cs="宋体"/>
          <w:b w:val="0"/>
          <w:bCs w:val="0"/>
          <w:color w:val="auto"/>
          <w:sz w:val="24"/>
          <w:szCs w:val="24"/>
          <w:highlight w:val="none"/>
          <w:vertAlign w:val="superscript"/>
        </w:rPr>
        <w:t>2</w:t>
      </w:r>
      <w:r>
        <w:rPr>
          <w:rStyle w:val="142"/>
          <w:rFonts w:hint="eastAsia" w:ascii="宋体" w:hAnsi="宋体" w:eastAsia="宋体" w:cs="宋体"/>
          <w:b w:val="0"/>
          <w:bCs w:val="0"/>
          <w:color w:val="auto"/>
          <w:sz w:val="24"/>
          <w:szCs w:val="24"/>
          <w:highlight w:val="none"/>
        </w:rPr>
        <w:t>的铜接地母线。一根接地母线不安装绝缘子，与屏柜直接相连接，用于一次接地，装置的外壳接地接于此母排。另一根安装绝缘子，通过绝缘子固定在屏柜上，用于外部二次电缆的屏蔽层接地，接地母线应配齐相应的螺栓、螺帽。</w:t>
      </w:r>
    </w:p>
    <w:p w14:paraId="56864908">
      <w:pPr>
        <w:pStyle w:val="200"/>
        <w:spacing w:line="360" w:lineRule="auto"/>
        <w:ind w:firstLine="420" w:firstLineChars="175"/>
        <w:rPr>
          <w:rStyle w:val="142"/>
          <w:rFonts w:hint="eastAsia" w:ascii="宋体" w:hAnsi="宋体" w:eastAsia="宋体" w:cs="宋体"/>
          <w:b w:val="0"/>
          <w:bCs w:val="0"/>
          <w:color w:val="auto"/>
          <w:sz w:val="24"/>
          <w:szCs w:val="24"/>
          <w:highlight w:val="none"/>
        </w:rPr>
      </w:pPr>
      <w:r>
        <w:rPr>
          <w:rFonts w:hint="eastAsia" w:ascii="宋体" w:hAnsi="宋体" w:cs="宋体"/>
          <w:b w:val="0"/>
          <w:bCs w:val="0"/>
          <w:color w:val="auto"/>
          <w:kern w:val="2"/>
          <w:sz w:val="24"/>
          <w:szCs w:val="24"/>
          <w:highlight w:val="none"/>
          <w:lang w:val="en-US" w:eastAsia="zh-CN"/>
        </w:rPr>
        <w:t>4.4.</w:t>
      </w:r>
      <w:r>
        <w:rPr>
          <w:rStyle w:val="142"/>
          <w:rFonts w:hint="eastAsia" w:ascii="宋体" w:hAnsi="宋体" w:eastAsia="宋体" w:cs="宋体"/>
          <w:b w:val="0"/>
          <w:bCs w:val="0"/>
          <w:color w:val="auto"/>
          <w:sz w:val="24"/>
          <w:szCs w:val="24"/>
          <w:highlight w:val="none"/>
        </w:rPr>
        <w:t>4.4  屏内照明</w:t>
      </w:r>
    </w:p>
    <w:p w14:paraId="485EA018">
      <w:pPr>
        <w:widowControl w:val="0"/>
        <w:tabs>
          <w:tab w:val="left" w:pos="600"/>
        </w:tabs>
        <w:adjustRightInd w:val="0"/>
        <w:spacing w:after="0" w:line="360" w:lineRule="auto"/>
        <w:ind w:firstLine="420" w:firstLineChars="175"/>
        <w:jc w:val="both"/>
        <w:rPr>
          <w:rFonts w:hint="eastAsia" w:cs="宋体"/>
          <w:b w:val="0"/>
          <w:bCs w:val="0"/>
          <w:color w:val="auto"/>
          <w:kern w:val="2"/>
          <w:sz w:val="24"/>
          <w:szCs w:val="24"/>
          <w:highlight w:val="none"/>
          <w:lang w:val="en-US" w:eastAsia="zh-CN"/>
        </w:rPr>
      </w:pPr>
      <w:r>
        <w:rPr>
          <w:rStyle w:val="142"/>
          <w:rFonts w:hint="eastAsia" w:ascii="宋体" w:hAnsi="宋体" w:eastAsia="宋体" w:cs="宋体"/>
          <w:b w:val="0"/>
          <w:bCs w:val="0"/>
          <w:color w:val="auto"/>
          <w:sz w:val="24"/>
          <w:szCs w:val="24"/>
          <w:highlight w:val="none"/>
        </w:rPr>
        <w:t>每面屏的顶部安装有用于屏内照明灯的控制开关，控制开关为15A、交流220V，安装在屏内方便操作的位置上。屏内照明灯为220V、50Hz，安装在屏内方便接线和通道的位置上。</w:t>
      </w:r>
    </w:p>
    <w:p w14:paraId="5CC7C3CB">
      <w:pPr>
        <w:widowControl w:val="0"/>
        <w:tabs>
          <w:tab w:val="left" w:pos="600"/>
        </w:tabs>
        <w:adjustRightInd w:val="0"/>
        <w:snapToGrid w:val="0"/>
        <w:spacing w:after="0" w:line="360" w:lineRule="auto"/>
        <w:ind w:left="0" w:leftChars="0" w:firstLine="482" w:firstLineChars="200"/>
        <w:outlineLvl w:val="3"/>
        <w:rPr>
          <w:rFonts w:hint="eastAsia" w:cs="Times New Roman"/>
          <w:b/>
          <w:bCs/>
          <w:color w:val="auto"/>
          <w:kern w:val="2"/>
          <w:sz w:val="24"/>
          <w:szCs w:val="24"/>
          <w:highlight w:val="none"/>
          <w:lang w:val="en-US" w:eastAsia="zh-CN"/>
        </w:rPr>
      </w:pPr>
      <w:r>
        <w:rPr>
          <w:rFonts w:hint="eastAsia" w:cs="Times New Roman"/>
          <w:b/>
          <w:bCs/>
          <w:color w:val="auto"/>
          <w:kern w:val="2"/>
          <w:sz w:val="24"/>
          <w:szCs w:val="24"/>
          <w:highlight w:val="none"/>
          <w:lang w:val="en-US" w:eastAsia="zh-CN"/>
        </w:rPr>
        <w:t>4.5  测量范围</w:t>
      </w:r>
    </w:p>
    <w:p w14:paraId="00599816">
      <w:pPr>
        <w:widowControl w:val="0"/>
        <w:tabs>
          <w:tab w:val="left" w:pos="600"/>
        </w:tabs>
        <w:adjustRightInd w:val="0"/>
        <w:spacing w:after="0" w:line="360" w:lineRule="auto"/>
        <w:ind w:firstLine="480" w:firstLineChars="200"/>
        <w:jc w:val="both"/>
        <w:rPr>
          <w:rFonts w:hint="default" w:ascii="宋体" w:cs="Times New Roman"/>
          <w:color w:val="auto"/>
          <w:kern w:val="2"/>
          <w:sz w:val="24"/>
          <w:szCs w:val="24"/>
          <w:highlight w:val="none"/>
          <w:lang w:val="en-US" w:eastAsia="zh-CN"/>
        </w:rPr>
      </w:pPr>
      <w:r>
        <w:rPr>
          <w:rFonts w:hint="eastAsia" w:cs="Times New Roman"/>
          <w:color w:val="auto"/>
          <w:kern w:val="2"/>
          <w:sz w:val="24"/>
          <w:szCs w:val="24"/>
          <w:highlight w:val="none"/>
          <w:lang w:val="en-US" w:eastAsia="zh-CN"/>
        </w:rPr>
        <w:t>750kV</w:t>
      </w:r>
      <w:r>
        <w:rPr>
          <w:rFonts w:hint="eastAsia" w:ascii="宋体" w:cs="Times New Roman"/>
          <w:color w:val="auto"/>
          <w:kern w:val="2"/>
          <w:sz w:val="24"/>
          <w:szCs w:val="24"/>
          <w:highlight w:val="none"/>
          <w:lang w:eastAsia="zh-CN"/>
        </w:rPr>
        <w:t>宽频测量采集屏主要采集状态量包括</w:t>
      </w:r>
      <w:r>
        <w:rPr>
          <w:rFonts w:hint="eastAsia" w:cs="Times New Roman"/>
          <w:color w:val="auto"/>
          <w:kern w:val="2"/>
          <w:sz w:val="24"/>
          <w:szCs w:val="24"/>
          <w:highlight w:val="none"/>
          <w:lang w:val="en-US" w:eastAsia="zh-CN"/>
        </w:rPr>
        <w:t>但不限于</w:t>
      </w:r>
      <w:r>
        <w:rPr>
          <w:rFonts w:hint="eastAsia" w:ascii="宋体" w:cs="Times New Roman"/>
          <w:color w:val="auto"/>
          <w:kern w:val="2"/>
          <w:sz w:val="24"/>
          <w:szCs w:val="24"/>
          <w:highlight w:val="none"/>
          <w:lang w:eastAsia="zh-CN"/>
        </w:rPr>
        <w:t>：</w:t>
      </w:r>
      <w:r>
        <w:rPr>
          <w:rFonts w:hint="eastAsia" w:cs="Times New Roman"/>
          <w:color w:val="auto"/>
          <w:kern w:val="2"/>
          <w:sz w:val="24"/>
          <w:szCs w:val="24"/>
          <w:highlight w:val="none"/>
          <w:lang w:val="en-US" w:eastAsia="zh-CN"/>
        </w:rPr>
        <w:t>75</w:t>
      </w:r>
      <w:r>
        <w:rPr>
          <w:rFonts w:hint="eastAsia" w:ascii="宋体" w:cs="Times New Roman"/>
          <w:color w:val="auto"/>
          <w:kern w:val="2"/>
          <w:sz w:val="24"/>
          <w:szCs w:val="24"/>
          <w:highlight w:val="none"/>
          <w:lang w:eastAsia="zh-CN"/>
        </w:rPr>
        <w:t>0kV母线电压</w:t>
      </w:r>
      <w:r>
        <w:rPr>
          <w:rFonts w:hint="eastAsia" w:cs="Times New Roman"/>
          <w:color w:val="auto"/>
          <w:kern w:val="2"/>
          <w:sz w:val="24"/>
          <w:szCs w:val="24"/>
          <w:highlight w:val="none"/>
          <w:lang w:eastAsia="zh-CN"/>
        </w:rPr>
        <w:t>、</w:t>
      </w:r>
      <w:r>
        <w:rPr>
          <w:rFonts w:hint="eastAsia" w:cs="Times New Roman"/>
          <w:color w:val="auto"/>
          <w:kern w:val="2"/>
          <w:sz w:val="24"/>
          <w:szCs w:val="24"/>
          <w:highlight w:val="none"/>
          <w:lang w:val="en-US" w:eastAsia="zh-CN"/>
        </w:rPr>
        <w:t>75</w:t>
      </w:r>
      <w:r>
        <w:rPr>
          <w:rFonts w:hint="eastAsia" w:ascii="宋体" w:cs="Times New Roman"/>
          <w:color w:val="auto"/>
          <w:kern w:val="2"/>
          <w:sz w:val="24"/>
          <w:szCs w:val="24"/>
          <w:highlight w:val="none"/>
          <w:lang w:eastAsia="zh-CN"/>
        </w:rPr>
        <w:t>0kV交流出线三相电压、三相电流</w:t>
      </w:r>
      <w:r>
        <w:rPr>
          <w:rFonts w:hint="eastAsia" w:cs="Times New Roman"/>
          <w:color w:val="auto"/>
          <w:kern w:val="2"/>
          <w:sz w:val="24"/>
          <w:szCs w:val="24"/>
          <w:highlight w:val="none"/>
          <w:lang w:eastAsia="zh-CN"/>
        </w:rPr>
        <w:t>、</w:t>
      </w:r>
      <w:r>
        <w:rPr>
          <w:rFonts w:hint="eastAsia" w:ascii="宋体" w:cs="Times New Roman"/>
          <w:color w:val="auto"/>
          <w:kern w:val="2"/>
          <w:sz w:val="24"/>
          <w:szCs w:val="24"/>
          <w:highlight w:val="none"/>
          <w:lang w:eastAsia="zh-CN"/>
        </w:rPr>
        <w:t>发变组高压侧三相电压、三相电流</w:t>
      </w:r>
      <w:r>
        <w:rPr>
          <w:rFonts w:hint="eastAsia" w:cs="Times New Roman"/>
          <w:color w:val="auto"/>
          <w:kern w:val="2"/>
          <w:sz w:val="24"/>
          <w:szCs w:val="24"/>
          <w:highlight w:val="none"/>
          <w:lang w:val="en-US" w:eastAsia="zh-CN"/>
        </w:rPr>
        <w:t>。</w:t>
      </w:r>
    </w:p>
    <w:p w14:paraId="5C34C1AF">
      <w:pPr>
        <w:widowControl w:val="0"/>
        <w:tabs>
          <w:tab w:val="left" w:pos="600"/>
        </w:tabs>
        <w:adjustRightInd w:val="0"/>
        <w:spacing w:after="0" w:line="360" w:lineRule="auto"/>
        <w:ind w:firstLine="480" w:firstLineChars="200"/>
        <w:jc w:val="both"/>
        <w:rPr>
          <w:rFonts w:hint="default" w:cs="Times New Roman"/>
          <w:color w:val="auto"/>
          <w:kern w:val="2"/>
          <w:sz w:val="24"/>
          <w:szCs w:val="24"/>
          <w:highlight w:val="none"/>
          <w:lang w:eastAsia="zh-CN"/>
        </w:rPr>
      </w:pPr>
      <w:r>
        <w:rPr>
          <w:rFonts w:hint="eastAsia" w:ascii="宋体" w:cs="Times New Roman"/>
          <w:color w:val="auto"/>
          <w:kern w:val="2"/>
          <w:sz w:val="24"/>
          <w:szCs w:val="24"/>
          <w:highlight w:val="none"/>
          <w:lang w:eastAsia="zh-CN"/>
        </w:rPr>
        <w:t>机组侧宽频测量屏主要采集状态量包括：机端电压、机端电流</w:t>
      </w:r>
      <w:r>
        <w:rPr>
          <w:rFonts w:hint="eastAsia" w:cs="Times New Roman"/>
          <w:color w:val="auto"/>
          <w:kern w:val="2"/>
          <w:sz w:val="24"/>
          <w:szCs w:val="24"/>
          <w:highlight w:val="none"/>
          <w:lang w:eastAsia="zh-CN"/>
        </w:rPr>
        <w:t>、</w:t>
      </w:r>
      <w:r>
        <w:rPr>
          <w:rFonts w:hint="eastAsia" w:ascii="宋体" w:cs="Times New Roman"/>
          <w:color w:val="auto"/>
          <w:kern w:val="2"/>
          <w:sz w:val="24"/>
          <w:szCs w:val="24"/>
          <w:highlight w:val="none"/>
          <w:lang w:eastAsia="zh-CN"/>
        </w:rPr>
        <w:t>发电机键相脉冲</w:t>
      </w:r>
      <w:r>
        <w:rPr>
          <w:rFonts w:hint="eastAsia" w:cs="Times New Roman"/>
          <w:color w:val="auto"/>
          <w:kern w:val="2"/>
          <w:sz w:val="24"/>
          <w:szCs w:val="24"/>
          <w:highlight w:val="none"/>
          <w:lang w:eastAsia="zh-CN"/>
        </w:rPr>
        <w:t>、</w:t>
      </w:r>
      <w:r>
        <w:rPr>
          <w:rFonts w:hint="eastAsia" w:ascii="宋体" w:cs="Times New Roman"/>
          <w:color w:val="auto"/>
          <w:kern w:val="2"/>
          <w:sz w:val="24"/>
          <w:szCs w:val="24"/>
          <w:highlight w:val="none"/>
          <w:lang w:eastAsia="zh-CN"/>
        </w:rPr>
        <w:t>励磁调节器输出电流、输出电压、机组总阀位指令、阀门开度、调频功率、PSS输出信号、AVR电压参考值</w:t>
      </w:r>
      <w:r>
        <w:rPr>
          <w:rFonts w:hint="eastAsia" w:cs="Times New Roman"/>
          <w:color w:val="auto"/>
          <w:kern w:val="2"/>
          <w:sz w:val="24"/>
          <w:szCs w:val="24"/>
          <w:highlight w:val="none"/>
          <w:lang w:eastAsia="zh-CN"/>
        </w:rPr>
        <w:t>、</w:t>
      </w:r>
      <w:r>
        <w:rPr>
          <w:rFonts w:hint="eastAsia" w:ascii="宋体" w:cs="Times New Roman"/>
          <w:color w:val="auto"/>
          <w:kern w:val="2"/>
          <w:sz w:val="24"/>
          <w:szCs w:val="24"/>
          <w:highlight w:val="none"/>
          <w:lang w:eastAsia="zh-CN"/>
        </w:rPr>
        <w:t>AVR 投入/退出、AVR 自动/手动、PSS 投入/退出、低励限制动作、过励限制动作信号、V/Hz限制动作、定子电流过负荷限制动作、一次调频投入/退出信号、一次调频动作/复归信号</w:t>
      </w:r>
      <w:r>
        <w:rPr>
          <w:rFonts w:hint="eastAsia" w:cs="Times New Roman"/>
          <w:color w:val="auto"/>
          <w:kern w:val="2"/>
          <w:sz w:val="24"/>
          <w:szCs w:val="24"/>
          <w:highlight w:val="none"/>
          <w:lang w:eastAsia="zh-CN"/>
        </w:rPr>
        <w:t>等。</w:t>
      </w:r>
      <w:r>
        <w:rPr>
          <w:rFonts w:hint="eastAsia" w:cs="Times New Roman"/>
          <w:color w:val="auto"/>
          <w:kern w:val="2"/>
          <w:sz w:val="24"/>
          <w:szCs w:val="24"/>
          <w:highlight w:val="none"/>
          <w:lang w:val="en-US" w:eastAsia="zh-CN"/>
        </w:rPr>
        <w:t>并应具有通过监测发电机大轴位置的鉴相信号或转速信号（直流~20mA）及机端电压想量来测量发电机内电势和发电机功角的功能。</w:t>
      </w:r>
    </w:p>
    <w:p w14:paraId="2DD65CED">
      <w:pPr>
        <w:widowControl w:val="0"/>
        <w:tabs>
          <w:tab w:val="left" w:pos="600"/>
        </w:tabs>
        <w:adjustRightInd w:val="0"/>
        <w:spacing w:after="0" w:line="360" w:lineRule="auto"/>
        <w:ind w:firstLine="482" w:firstLineChars="200"/>
        <w:jc w:val="both"/>
        <w:rPr>
          <w:rFonts w:hint="default"/>
          <w:b/>
          <w:bCs/>
          <w:color w:val="auto"/>
          <w:sz w:val="24"/>
          <w:szCs w:val="24"/>
          <w:highlight w:val="none"/>
          <w:lang w:val="en-US" w:eastAsia="zh-CN"/>
        </w:rPr>
      </w:pPr>
      <w:r>
        <w:rPr>
          <w:rFonts w:hint="eastAsia" w:cs="Times New Roman"/>
          <w:b/>
          <w:bCs/>
          <w:color w:val="auto"/>
          <w:kern w:val="2"/>
          <w:sz w:val="24"/>
          <w:szCs w:val="24"/>
          <w:highlight w:val="none"/>
          <w:lang w:eastAsia="zh-CN"/>
        </w:rPr>
        <w:t>上送调度端的信号应满足《</w:t>
      </w:r>
      <w:r>
        <w:rPr>
          <w:rFonts w:hint="eastAsia" w:cs="Times New Roman"/>
          <w:b/>
          <w:bCs/>
          <w:color w:val="auto"/>
          <w:kern w:val="2"/>
          <w:sz w:val="24"/>
          <w:szCs w:val="24"/>
          <w:highlight w:val="none"/>
          <w:lang w:val="en-US" w:eastAsia="zh-CN"/>
        </w:rPr>
        <w:t>Q/GDW 12214--2022 电力系统宽频测量装置技术规范</w:t>
      </w:r>
      <w:r>
        <w:rPr>
          <w:rFonts w:hint="eastAsia" w:cs="Times New Roman"/>
          <w:b/>
          <w:bCs/>
          <w:color w:val="auto"/>
          <w:kern w:val="2"/>
          <w:sz w:val="24"/>
          <w:szCs w:val="24"/>
          <w:highlight w:val="none"/>
          <w:lang w:eastAsia="zh-CN"/>
        </w:rPr>
        <w:t>》附录</w:t>
      </w:r>
      <w:r>
        <w:rPr>
          <w:rFonts w:hint="eastAsia" w:cs="Times New Roman"/>
          <w:b/>
          <w:bCs/>
          <w:color w:val="auto"/>
          <w:kern w:val="2"/>
          <w:sz w:val="24"/>
          <w:szCs w:val="24"/>
          <w:highlight w:val="none"/>
          <w:lang w:val="en-US" w:eastAsia="zh-CN"/>
        </w:rPr>
        <w:t xml:space="preserve">A的要求。 </w:t>
      </w:r>
    </w:p>
    <w:p w14:paraId="7DFFDE5E">
      <w:pPr>
        <w:widowControl w:val="0"/>
        <w:tabs>
          <w:tab w:val="left" w:pos="600"/>
        </w:tabs>
        <w:adjustRightInd w:val="0"/>
        <w:snapToGrid w:val="0"/>
        <w:spacing w:after="0" w:line="360" w:lineRule="auto"/>
        <w:ind w:firstLine="482" w:firstLineChars="200"/>
        <w:outlineLvl w:val="3"/>
        <w:rPr>
          <w:rFonts w:hint="eastAsia" w:cs="Times New Roman"/>
          <w:b/>
          <w:bCs/>
          <w:color w:val="auto"/>
          <w:kern w:val="2"/>
          <w:sz w:val="24"/>
          <w:szCs w:val="24"/>
          <w:highlight w:val="none"/>
          <w:lang w:eastAsia="zh-CN"/>
        </w:rPr>
      </w:pPr>
      <w:r>
        <w:rPr>
          <w:rFonts w:hint="eastAsia" w:cs="Times New Roman"/>
          <w:b/>
          <w:bCs/>
          <w:color w:val="auto"/>
          <w:kern w:val="2"/>
          <w:sz w:val="24"/>
          <w:szCs w:val="24"/>
          <w:highlight w:val="none"/>
          <w:lang w:eastAsia="zh-CN"/>
        </w:rPr>
        <w:t>4.</w:t>
      </w:r>
      <w:r>
        <w:rPr>
          <w:rFonts w:hint="eastAsia" w:cs="Times New Roman"/>
          <w:b/>
          <w:bCs/>
          <w:color w:val="auto"/>
          <w:kern w:val="2"/>
          <w:sz w:val="24"/>
          <w:szCs w:val="24"/>
          <w:highlight w:val="none"/>
          <w:lang w:val="en-US" w:eastAsia="zh-CN"/>
        </w:rPr>
        <w:t>6</w:t>
      </w:r>
      <w:r>
        <w:rPr>
          <w:rFonts w:hint="eastAsia" w:cs="Times New Roman"/>
          <w:b/>
          <w:bCs/>
          <w:color w:val="auto"/>
          <w:kern w:val="2"/>
          <w:sz w:val="24"/>
          <w:szCs w:val="24"/>
          <w:highlight w:val="none"/>
          <w:lang w:eastAsia="zh-CN"/>
        </w:rPr>
        <w:t xml:space="preserve"> </w:t>
      </w:r>
      <w:r>
        <w:rPr>
          <w:rFonts w:hint="eastAsia" w:cs="Times New Roman"/>
          <w:b/>
          <w:bCs/>
          <w:color w:val="auto"/>
          <w:kern w:val="2"/>
          <w:sz w:val="24"/>
          <w:szCs w:val="24"/>
          <w:highlight w:val="none"/>
          <w:lang w:val="en-US" w:eastAsia="zh-CN"/>
        </w:rPr>
        <w:t xml:space="preserve"> </w:t>
      </w:r>
      <w:r>
        <w:rPr>
          <w:rFonts w:hint="eastAsia" w:cs="Times New Roman"/>
          <w:b/>
          <w:bCs/>
          <w:color w:val="auto"/>
          <w:kern w:val="2"/>
          <w:sz w:val="24"/>
          <w:szCs w:val="24"/>
          <w:highlight w:val="none"/>
          <w:lang w:eastAsia="zh-CN"/>
        </w:rPr>
        <w:t>铭牌、标示要求</w:t>
      </w:r>
    </w:p>
    <w:p w14:paraId="4D64AA85">
      <w:pPr>
        <w:widowControl w:val="0"/>
        <w:tabs>
          <w:tab w:val="left" w:pos="600"/>
        </w:tabs>
        <w:adjustRightInd w:val="0"/>
        <w:snapToGrid w:val="0"/>
        <w:spacing w:after="0" w:line="360" w:lineRule="auto"/>
        <w:ind w:firstLine="480" w:firstLineChars="200"/>
        <w:rPr>
          <w:rFonts w:cs="Times New Roman"/>
          <w:color w:val="auto"/>
          <w:kern w:val="2"/>
          <w:sz w:val="24"/>
          <w:szCs w:val="24"/>
          <w:highlight w:val="none"/>
          <w:lang w:eastAsia="zh-CN"/>
        </w:rPr>
      </w:pPr>
      <w:r>
        <w:rPr>
          <w:rFonts w:hint="eastAsia" w:cs="Times New Roman"/>
          <w:color w:val="auto"/>
          <w:kern w:val="2"/>
          <w:sz w:val="24"/>
          <w:szCs w:val="24"/>
          <w:highlight w:val="none"/>
          <w:lang w:eastAsia="zh-CN"/>
        </w:rPr>
        <w:t>保护装置应备有铭牌，其安装在显而易见的位置（具体由双方确定），并由防气候和防腐材料制作，字样、符号应清晰耐久，铭牌应符合相关国标和IEC 的规范，并提供有关设备的全部必要资料，但至少必须包括（不限于）下列：制造厂的名称、设备型号、设备名称、主要技术参数、出厂检验编码、出厂日期、工程识别号和重量等。</w:t>
      </w:r>
    </w:p>
    <w:p w14:paraId="0E659B89">
      <w:pPr>
        <w:widowControl w:val="0"/>
        <w:tabs>
          <w:tab w:val="left" w:pos="600"/>
        </w:tabs>
        <w:adjustRightInd w:val="0"/>
        <w:snapToGrid w:val="0"/>
        <w:spacing w:after="0" w:line="360" w:lineRule="auto"/>
        <w:ind w:firstLine="482" w:firstLineChars="200"/>
        <w:outlineLvl w:val="3"/>
        <w:rPr>
          <w:rFonts w:hint="eastAsia" w:cs="宋体"/>
          <w:b/>
          <w:bCs/>
          <w:color w:val="auto"/>
          <w:kern w:val="2"/>
          <w:sz w:val="24"/>
          <w:szCs w:val="24"/>
          <w:highlight w:val="none"/>
          <w:lang w:eastAsia="zh-CN"/>
        </w:rPr>
      </w:pPr>
      <w:r>
        <w:rPr>
          <w:rFonts w:hint="eastAsia" w:cs="宋体"/>
          <w:b/>
          <w:bCs/>
          <w:color w:val="auto"/>
          <w:kern w:val="2"/>
          <w:sz w:val="24"/>
          <w:szCs w:val="24"/>
          <w:highlight w:val="none"/>
          <w:lang w:eastAsia="zh-CN"/>
        </w:rPr>
        <w:t>4.</w:t>
      </w:r>
      <w:r>
        <w:rPr>
          <w:rFonts w:hint="eastAsia" w:cs="宋体"/>
          <w:b/>
          <w:bCs/>
          <w:color w:val="auto"/>
          <w:kern w:val="2"/>
          <w:sz w:val="24"/>
          <w:szCs w:val="24"/>
          <w:highlight w:val="none"/>
          <w:lang w:val="en-US" w:eastAsia="zh-CN"/>
        </w:rPr>
        <w:t xml:space="preserve">7 </w:t>
      </w:r>
      <w:r>
        <w:rPr>
          <w:rFonts w:hint="eastAsia" w:cs="宋体"/>
          <w:b/>
          <w:bCs/>
          <w:color w:val="auto"/>
          <w:kern w:val="2"/>
          <w:sz w:val="24"/>
          <w:szCs w:val="24"/>
          <w:highlight w:val="none"/>
          <w:lang w:eastAsia="zh-CN"/>
        </w:rPr>
        <w:t xml:space="preserve"> 标准和规范</w:t>
      </w:r>
    </w:p>
    <w:p w14:paraId="1AE105B8">
      <w:pPr>
        <w:widowControl w:val="0"/>
        <w:tabs>
          <w:tab w:val="left" w:pos="600"/>
        </w:tabs>
        <w:adjustRightInd w:val="0"/>
        <w:snapToGrid w:val="0"/>
        <w:spacing w:after="0" w:line="360" w:lineRule="auto"/>
        <w:ind w:firstLine="480" w:firstLineChars="200"/>
        <w:rPr>
          <w:rFonts w:cs="Times New Roman"/>
          <w:color w:val="auto"/>
          <w:kern w:val="2"/>
          <w:sz w:val="24"/>
          <w:szCs w:val="24"/>
          <w:highlight w:val="none"/>
          <w:lang w:eastAsia="zh-CN"/>
        </w:rPr>
      </w:pPr>
      <w:r>
        <w:rPr>
          <w:rFonts w:hint="eastAsia" w:cs="Times New Roman"/>
          <w:color w:val="auto"/>
          <w:kern w:val="2"/>
          <w:sz w:val="24"/>
          <w:szCs w:val="24"/>
          <w:highlight w:val="none"/>
          <w:lang w:eastAsia="zh-CN"/>
        </w:rPr>
        <w:t>4.</w:t>
      </w:r>
      <w:r>
        <w:rPr>
          <w:rFonts w:hint="eastAsia" w:cs="Times New Roman"/>
          <w:color w:val="auto"/>
          <w:kern w:val="2"/>
          <w:sz w:val="24"/>
          <w:szCs w:val="24"/>
          <w:highlight w:val="none"/>
          <w:lang w:val="en-US" w:eastAsia="zh-CN"/>
        </w:rPr>
        <w:t>7</w:t>
      </w:r>
      <w:r>
        <w:rPr>
          <w:rFonts w:hint="eastAsia" w:cs="Times New Roman"/>
          <w:color w:val="auto"/>
          <w:kern w:val="2"/>
          <w:sz w:val="24"/>
          <w:szCs w:val="24"/>
          <w:highlight w:val="none"/>
          <w:lang w:eastAsia="zh-CN"/>
        </w:rPr>
        <w:t>.1 所有设备、元器件遵守最新的国家标准(GB)和国际电工委员会(IEC)标准以及国际单位制(SI)标准。</w:t>
      </w:r>
    </w:p>
    <w:p w14:paraId="352127CD">
      <w:pPr>
        <w:widowControl w:val="0"/>
        <w:tabs>
          <w:tab w:val="left" w:pos="600"/>
        </w:tabs>
        <w:adjustRightInd w:val="0"/>
        <w:snapToGrid w:val="0"/>
        <w:spacing w:after="0" w:line="360" w:lineRule="auto"/>
        <w:ind w:firstLine="0" w:firstLineChars="200"/>
        <w:rPr>
          <w:rFonts w:hint="eastAsia" w:ascii="宋体" w:hAnsi="宋体" w:eastAsia="宋体" w:cs="宋体"/>
          <w:snapToGrid w:val="0"/>
          <w:color w:val="auto"/>
          <w:w w:val="0"/>
          <w:sz w:val="24"/>
          <w:szCs w:val="24"/>
          <w:highlight w:val="none"/>
          <w:lang w:eastAsia="zh-CN"/>
        </w:rPr>
      </w:pPr>
      <w:r>
        <w:rPr>
          <w:rFonts w:hint="eastAsia" w:cs="宋体"/>
          <w:snapToGrid w:val="0"/>
          <w:color w:val="auto"/>
          <w:w w:val="0"/>
          <w:sz w:val="24"/>
          <w:szCs w:val="24"/>
          <w:highlight w:val="none"/>
          <w:lang w:eastAsia="zh-CN"/>
        </w:rPr>
        <w:t>4</w:t>
      </w:r>
      <w:r>
        <w:rPr>
          <w:rFonts w:hint="eastAsia" w:ascii="宋体" w:hAnsi="宋体" w:eastAsia="宋体" w:cs="宋体"/>
          <w:snapToGrid w:val="0"/>
          <w:color w:val="auto"/>
          <w:w w:val="0"/>
          <w:sz w:val="24"/>
          <w:szCs w:val="24"/>
          <w:highlight w:val="none"/>
          <w:lang w:eastAsia="zh-CN"/>
        </w:rPr>
        <w:t>.</w:t>
      </w:r>
      <w:r>
        <w:rPr>
          <w:rFonts w:hint="eastAsia" w:cs="宋体"/>
          <w:snapToGrid w:val="0"/>
          <w:color w:val="auto"/>
          <w:w w:val="0"/>
          <w:sz w:val="24"/>
          <w:szCs w:val="24"/>
          <w:highlight w:val="none"/>
          <w:lang w:val="en-US" w:eastAsia="zh-CN"/>
        </w:rPr>
        <w:t>7.2</w:t>
      </w:r>
      <w:r>
        <w:rPr>
          <w:rFonts w:hint="eastAsia" w:ascii="宋体" w:hAnsi="宋体" w:eastAsia="宋体" w:cs="宋体"/>
          <w:snapToGrid w:val="0"/>
          <w:color w:val="auto"/>
          <w:w w:val="0"/>
          <w:sz w:val="24"/>
          <w:szCs w:val="24"/>
          <w:highlight w:val="none"/>
          <w:lang w:eastAsia="zh-CN"/>
        </w:rPr>
        <w:t xml:space="preserve"> 合同设备包括投标人向其他厂商购买的所有附件和设备。所有设备和附件都应符合相应的标准、规范或法规的最新版本的要求，除非另有特别外，投标期内有效的任何修正和补充都应包括在内。</w:t>
      </w:r>
    </w:p>
    <w:p w14:paraId="64F96602">
      <w:pPr>
        <w:widowControl w:val="0"/>
        <w:tabs>
          <w:tab w:val="left" w:pos="600"/>
        </w:tabs>
        <w:adjustRightInd w:val="0"/>
        <w:snapToGrid w:val="0"/>
        <w:spacing w:after="0" w:line="360" w:lineRule="auto"/>
        <w:ind w:firstLine="0" w:firstLineChars="200"/>
        <w:rPr>
          <w:rFonts w:hint="eastAsia" w:ascii="宋体" w:hAnsi="宋体" w:eastAsia="宋体" w:cs="宋体"/>
          <w:snapToGrid w:val="0"/>
          <w:color w:val="auto"/>
          <w:w w:val="0"/>
          <w:sz w:val="24"/>
          <w:szCs w:val="24"/>
          <w:highlight w:val="none"/>
          <w:lang w:eastAsia="zh-CN"/>
        </w:rPr>
      </w:pPr>
      <w:r>
        <w:rPr>
          <w:rFonts w:hint="eastAsia" w:cs="宋体"/>
          <w:snapToGrid w:val="0"/>
          <w:color w:val="auto"/>
          <w:w w:val="0"/>
          <w:sz w:val="24"/>
          <w:szCs w:val="24"/>
          <w:highlight w:val="none"/>
          <w:lang w:eastAsia="zh-CN"/>
        </w:rPr>
        <w:t>4</w:t>
      </w:r>
      <w:r>
        <w:rPr>
          <w:rFonts w:hint="eastAsia" w:ascii="宋体" w:hAnsi="宋体" w:eastAsia="宋体" w:cs="宋体"/>
          <w:snapToGrid w:val="0"/>
          <w:color w:val="auto"/>
          <w:w w:val="0"/>
          <w:sz w:val="24"/>
          <w:szCs w:val="24"/>
          <w:highlight w:val="none"/>
          <w:lang w:eastAsia="zh-CN"/>
        </w:rPr>
        <w:t>.</w:t>
      </w:r>
      <w:r>
        <w:rPr>
          <w:rFonts w:hint="eastAsia" w:cs="宋体"/>
          <w:snapToGrid w:val="0"/>
          <w:color w:val="auto"/>
          <w:w w:val="0"/>
          <w:sz w:val="24"/>
          <w:szCs w:val="24"/>
          <w:highlight w:val="none"/>
          <w:lang w:val="en-US" w:eastAsia="zh-CN"/>
        </w:rPr>
        <w:t>7.3</w:t>
      </w:r>
      <w:r>
        <w:rPr>
          <w:rFonts w:hint="eastAsia" w:ascii="宋体" w:hAnsi="宋体" w:eastAsia="宋体" w:cs="宋体"/>
          <w:snapToGrid w:val="0"/>
          <w:color w:val="auto"/>
          <w:w w:val="0"/>
          <w:sz w:val="24"/>
          <w:szCs w:val="24"/>
          <w:highlight w:val="none"/>
          <w:lang w:eastAsia="zh-CN"/>
        </w:rPr>
        <w:t xml:space="preserve"> 除非合同另有规定，均须遵守最新的国家标准(GB)和国际电工委员会(IEC)标准以及国际单位制(SI)标准。如采用合资或合作产品，还应遵守合作方国家标准，当上述标准不一致时按高标准执行。</w:t>
      </w:r>
    </w:p>
    <w:p w14:paraId="31386E43">
      <w:pPr>
        <w:widowControl w:val="0"/>
        <w:tabs>
          <w:tab w:val="left" w:pos="600"/>
        </w:tabs>
        <w:adjustRightInd w:val="0"/>
        <w:snapToGrid w:val="0"/>
        <w:spacing w:after="0" w:line="360" w:lineRule="auto"/>
        <w:ind w:firstLine="0" w:firstLineChars="200"/>
        <w:rPr>
          <w:rFonts w:hint="eastAsia" w:ascii="宋体" w:hAnsi="宋体" w:eastAsia="宋体" w:cs="宋体"/>
          <w:snapToGrid w:val="0"/>
          <w:color w:val="auto"/>
          <w:w w:val="0"/>
          <w:sz w:val="24"/>
          <w:szCs w:val="24"/>
          <w:highlight w:val="none"/>
          <w:lang w:eastAsia="zh-CN"/>
        </w:rPr>
      </w:pPr>
      <w:r>
        <w:rPr>
          <w:rFonts w:hint="eastAsia" w:cs="宋体"/>
          <w:snapToGrid w:val="0"/>
          <w:color w:val="auto"/>
          <w:w w:val="0"/>
          <w:sz w:val="24"/>
          <w:szCs w:val="24"/>
          <w:highlight w:val="none"/>
          <w:lang w:eastAsia="zh-CN"/>
        </w:rPr>
        <w:t>4</w:t>
      </w:r>
      <w:r>
        <w:rPr>
          <w:rFonts w:hint="eastAsia" w:cs="宋体"/>
          <w:snapToGrid w:val="0"/>
          <w:color w:val="auto"/>
          <w:w w:val="0"/>
          <w:sz w:val="24"/>
          <w:szCs w:val="24"/>
          <w:highlight w:val="none"/>
          <w:lang w:val="en-US" w:eastAsia="zh-CN"/>
        </w:rPr>
        <w:t>.7.4</w:t>
      </w:r>
      <w:r>
        <w:rPr>
          <w:rFonts w:hint="eastAsia" w:ascii="宋体" w:hAnsi="宋体" w:eastAsia="宋体" w:cs="宋体"/>
          <w:snapToGrid w:val="0"/>
          <w:color w:val="auto"/>
          <w:w w:val="0"/>
          <w:sz w:val="24"/>
          <w:szCs w:val="24"/>
          <w:highlight w:val="none"/>
          <w:lang w:eastAsia="zh-CN"/>
        </w:rPr>
        <w:t xml:space="preserve"> 投标人提供的设备和配套件要符合以下标准但不局限于以下标准：</w:t>
      </w:r>
    </w:p>
    <w:p w14:paraId="43845DB8">
      <w:pPr>
        <w:adjustRightInd w:val="0"/>
        <w:snapToGrid w:val="0"/>
        <w:spacing w:after="200" w:line="360" w:lineRule="auto"/>
        <w:ind w:firstLine="420" w:firstLineChars="200"/>
        <w:rPr>
          <w:rFonts w:cs="宋体"/>
          <w:color w:val="auto"/>
          <w:szCs w:val="21"/>
          <w:highlight w:val="none"/>
          <w:lang w:eastAsia="zh-CN"/>
        </w:rPr>
      </w:pPr>
      <w:r>
        <w:rPr>
          <w:rFonts w:hint="eastAsia" w:cs="宋体"/>
          <w:color w:val="auto"/>
          <w:szCs w:val="21"/>
          <w:highlight w:val="none"/>
          <w:lang w:eastAsia="zh-CN"/>
        </w:rPr>
        <w:t xml:space="preserve"> </w:t>
      </w:r>
    </w:p>
    <w:tbl>
      <w:tblPr>
        <w:tblStyle w:val="42"/>
        <w:tblW w:w="4889"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2088"/>
        <w:gridCol w:w="6606"/>
      </w:tblGrid>
      <w:tr w14:paraId="4BA0936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tblHeader/>
          <w:jc w:val="center"/>
        </w:trPr>
        <w:tc>
          <w:tcPr>
            <w:tcW w:w="1201" w:type="pct"/>
            <w:noWrap w:val="0"/>
            <w:vAlign w:val="center"/>
          </w:tcPr>
          <w:p w14:paraId="7DAFEF12">
            <w:pPr>
              <w:topLinePunct/>
              <w:snapToGrid w:val="0"/>
              <w:spacing w:before="48" w:beforeLines="20" w:after="48" w:afterLines="20"/>
              <w:ind w:firstLine="420" w:firstLineChars="200"/>
              <w:jc w:val="center"/>
              <w:rPr>
                <w:snapToGrid w:val="0"/>
                <w:color w:val="auto"/>
                <w:sz w:val="21"/>
                <w:szCs w:val="21"/>
                <w:highlight w:val="none"/>
              </w:rPr>
            </w:pPr>
            <w:r>
              <w:rPr>
                <w:rFonts w:hAnsi="宋体"/>
                <w:snapToGrid w:val="0"/>
                <w:color w:val="auto"/>
                <w:sz w:val="21"/>
                <w:szCs w:val="21"/>
                <w:highlight w:val="none"/>
              </w:rPr>
              <w:t>标</w:t>
            </w:r>
            <w:r>
              <w:rPr>
                <w:rFonts w:hint="eastAsia" w:hAnsi="宋体"/>
                <w:snapToGrid w:val="0"/>
                <w:color w:val="auto"/>
                <w:sz w:val="21"/>
                <w:szCs w:val="21"/>
                <w:highlight w:val="none"/>
              </w:rPr>
              <w:t xml:space="preserve">  </w:t>
            </w:r>
            <w:r>
              <w:rPr>
                <w:rFonts w:hAnsi="宋体"/>
                <w:snapToGrid w:val="0"/>
                <w:color w:val="auto"/>
                <w:sz w:val="21"/>
                <w:szCs w:val="21"/>
                <w:highlight w:val="none"/>
              </w:rPr>
              <w:t>准</w:t>
            </w:r>
            <w:r>
              <w:rPr>
                <w:rFonts w:hint="eastAsia" w:hAnsi="宋体"/>
                <w:snapToGrid w:val="0"/>
                <w:color w:val="auto"/>
                <w:sz w:val="21"/>
                <w:szCs w:val="21"/>
                <w:highlight w:val="none"/>
              </w:rPr>
              <w:t xml:space="preserve">  </w:t>
            </w:r>
            <w:r>
              <w:rPr>
                <w:rFonts w:hAnsi="宋体"/>
                <w:snapToGrid w:val="0"/>
                <w:color w:val="auto"/>
                <w:sz w:val="21"/>
                <w:szCs w:val="21"/>
                <w:highlight w:val="none"/>
              </w:rPr>
              <w:t>号</w:t>
            </w:r>
          </w:p>
        </w:tc>
        <w:tc>
          <w:tcPr>
            <w:tcW w:w="3799" w:type="pct"/>
            <w:noWrap w:val="0"/>
            <w:vAlign w:val="center"/>
          </w:tcPr>
          <w:p w14:paraId="57FD234C">
            <w:pPr>
              <w:topLinePunct/>
              <w:snapToGrid w:val="0"/>
              <w:spacing w:before="48" w:beforeLines="20" w:after="48" w:afterLines="20"/>
              <w:ind w:firstLine="420" w:firstLineChars="200"/>
              <w:jc w:val="center"/>
              <w:rPr>
                <w:snapToGrid w:val="0"/>
                <w:color w:val="auto"/>
                <w:sz w:val="21"/>
                <w:szCs w:val="21"/>
                <w:highlight w:val="none"/>
              </w:rPr>
            </w:pPr>
            <w:r>
              <w:rPr>
                <w:rFonts w:hAnsi="宋体"/>
                <w:snapToGrid w:val="0"/>
                <w:color w:val="auto"/>
                <w:sz w:val="21"/>
                <w:szCs w:val="21"/>
                <w:highlight w:val="none"/>
              </w:rPr>
              <w:t>标</w:t>
            </w:r>
            <w:r>
              <w:rPr>
                <w:rFonts w:hint="eastAsia" w:hAnsi="宋体"/>
                <w:snapToGrid w:val="0"/>
                <w:color w:val="auto"/>
                <w:sz w:val="21"/>
                <w:szCs w:val="21"/>
                <w:highlight w:val="none"/>
              </w:rPr>
              <w:t xml:space="preserve">  </w:t>
            </w:r>
            <w:r>
              <w:rPr>
                <w:rFonts w:hAnsi="宋体"/>
                <w:snapToGrid w:val="0"/>
                <w:color w:val="auto"/>
                <w:sz w:val="21"/>
                <w:szCs w:val="21"/>
                <w:highlight w:val="none"/>
              </w:rPr>
              <w:t>准</w:t>
            </w:r>
            <w:r>
              <w:rPr>
                <w:rFonts w:hint="eastAsia" w:hAnsi="宋体"/>
                <w:snapToGrid w:val="0"/>
                <w:color w:val="auto"/>
                <w:sz w:val="21"/>
                <w:szCs w:val="21"/>
                <w:highlight w:val="none"/>
              </w:rPr>
              <w:t xml:space="preserve">  </w:t>
            </w:r>
            <w:r>
              <w:rPr>
                <w:rFonts w:hAnsi="宋体"/>
                <w:snapToGrid w:val="0"/>
                <w:color w:val="auto"/>
                <w:sz w:val="21"/>
                <w:szCs w:val="21"/>
                <w:highlight w:val="none"/>
              </w:rPr>
              <w:t>名</w:t>
            </w:r>
            <w:r>
              <w:rPr>
                <w:rFonts w:hint="eastAsia" w:hAnsi="宋体"/>
                <w:snapToGrid w:val="0"/>
                <w:color w:val="auto"/>
                <w:sz w:val="21"/>
                <w:szCs w:val="21"/>
                <w:highlight w:val="none"/>
              </w:rPr>
              <w:t xml:space="preserve">  </w:t>
            </w:r>
            <w:r>
              <w:rPr>
                <w:rFonts w:hAnsi="宋体"/>
                <w:snapToGrid w:val="0"/>
                <w:color w:val="auto"/>
                <w:sz w:val="21"/>
                <w:szCs w:val="21"/>
                <w:highlight w:val="none"/>
              </w:rPr>
              <w:t>称</w:t>
            </w:r>
          </w:p>
        </w:tc>
      </w:tr>
      <w:tr w14:paraId="0723F03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201" w:type="pct"/>
            <w:noWrap w:val="0"/>
            <w:vAlign w:val="center"/>
          </w:tcPr>
          <w:p w14:paraId="775860A6">
            <w:pPr>
              <w:pStyle w:val="198"/>
              <w:spacing w:before="36" w:beforeLines="15" w:after="36" w:afterLines="15"/>
              <w:ind w:left="84" w:right="84" w:firstLine="420" w:firstLineChars="200"/>
              <w:rPr>
                <w:color w:val="auto"/>
                <w:sz w:val="21"/>
                <w:szCs w:val="21"/>
                <w:highlight w:val="none"/>
              </w:rPr>
            </w:pPr>
            <w:r>
              <w:rPr>
                <w:color w:val="auto"/>
                <w:sz w:val="21"/>
                <w:szCs w:val="21"/>
                <w:highlight w:val="none"/>
              </w:rPr>
              <w:t>GB/T 191</w:t>
            </w:r>
          </w:p>
        </w:tc>
        <w:tc>
          <w:tcPr>
            <w:tcW w:w="3799" w:type="pct"/>
            <w:noWrap w:val="0"/>
            <w:vAlign w:val="center"/>
          </w:tcPr>
          <w:p w14:paraId="5A7BF559">
            <w:pPr>
              <w:pStyle w:val="198"/>
              <w:spacing w:before="36" w:beforeLines="15" w:after="36" w:afterLines="15"/>
              <w:ind w:left="84" w:right="84" w:firstLine="420" w:firstLineChars="200"/>
              <w:jc w:val="left"/>
              <w:rPr>
                <w:color w:val="auto"/>
                <w:sz w:val="21"/>
                <w:szCs w:val="21"/>
                <w:highlight w:val="none"/>
              </w:rPr>
            </w:pPr>
            <w:r>
              <w:rPr>
                <w:color w:val="auto"/>
                <w:sz w:val="21"/>
                <w:szCs w:val="21"/>
                <w:highlight w:val="none"/>
              </w:rPr>
              <w:t>包装储运图示标志</w:t>
            </w:r>
          </w:p>
        </w:tc>
      </w:tr>
      <w:tr w14:paraId="38E3B3B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201" w:type="pct"/>
            <w:noWrap w:val="0"/>
            <w:vAlign w:val="center"/>
          </w:tcPr>
          <w:p w14:paraId="1988BBBF">
            <w:pPr>
              <w:pStyle w:val="198"/>
              <w:spacing w:before="36" w:beforeLines="15" w:after="36" w:afterLines="15"/>
              <w:ind w:left="84" w:right="84" w:firstLine="420" w:firstLineChars="200"/>
              <w:rPr>
                <w:color w:val="auto"/>
                <w:sz w:val="21"/>
                <w:szCs w:val="21"/>
                <w:highlight w:val="none"/>
              </w:rPr>
            </w:pPr>
            <w:r>
              <w:rPr>
                <w:color w:val="auto"/>
                <w:sz w:val="21"/>
                <w:szCs w:val="21"/>
                <w:highlight w:val="none"/>
              </w:rPr>
              <w:t>GB/T 2423</w:t>
            </w:r>
          </w:p>
        </w:tc>
        <w:tc>
          <w:tcPr>
            <w:tcW w:w="3799" w:type="pct"/>
            <w:noWrap w:val="0"/>
            <w:vAlign w:val="center"/>
          </w:tcPr>
          <w:p w14:paraId="1F35BDE4">
            <w:pPr>
              <w:pStyle w:val="198"/>
              <w:spacing w:before="36" w:beforeLines="15" w:after="36" w:afterLines="15"/>
              <w:ind w:left="84" w:right="84" w:firstLine="420" w:firstLineChars="200"/>
              <w:jc w:val="left"/>
              <w:rPr>
                <w:color w:val="auto"/>
                <w:sz w:val="21"/>
                <w:szCs w:val="21"/>
                <w:highlight w:val="none"/>
              </w:rPr>
            </w:pPr>
            <w:r>
              <w:rPr>
                <w:color w:val="auto"/>
                <w:sz w:val="21"/>
                <w:szCs w:val="21"/>
                <w:highlight w:val="none"/>
              </w:rPr>
              <w:t>电工电子产品环境试验</w:t>
            </w:r>
          </w:p>
        </w:tc>
      </w:tr>
      <w:tr w14:paraId="659F6A5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201" w:type="pct"/>
            <w:noWrap w:val="0"/>
            <w:vAlign w:val="center"/>
          </w:tcPr>
          <w:p w14:paraId="44709849">
            <w:pPr>
              <w:pStyle w:val="198"/>
              <w:spacing w:before="36" w:beforeLines="15" w:after="36" w:afterLines="15"/>
              <w:ind w:left="84" w:right="84" w:firstLine="420" w:firstLineChars="200"/>
              <w:rPr>
                <w:color w:val="auto"/>
                <w:sz w:val="21"/>
                <w:szCs w:val="21"/>
                <w:highlight w:val="none"/>
              </w:rPr>
            </w:pPr>
            <w:r>
              <w:rPr>
                <w:color w:val="auto"/>
                <w:sz w:val="21"/>
                <w:szCs w:val="21"/>
                <w:highlight w:val="none"/>
              </w:rPr>
              <w:t>GB 1208</w:t>
            </w:r>
          </w:p>
        </w:tc>
        <w:tc>
          <w:tcPr>
            <w:tcW w:w="3799" w:type="pct"/>
            <w:noWrap w:val="0"/>
            <w:vAlign w:val="center"/>
          </w:tcPr>
          <w:p w14:paraId="534A74B0">
            <w:pPr>
              <w:pStyle w:val="198"/>
              <w:spacing w:before="36" w:beforeLines="15" w:after="36" w:afterLines="15"/>
              <w:ind w:left="84" w:right="84" w:firstLine="420" w:firstLineChars="200"/>
              <w:jc w:val="left"/>
              <w:rPr>
                <w:color w:val="auto"/>
                <w:sz w:val="21"/>
                <w:szCs w:val="21"/>
                <w:highlight w:val="none"/>
              </w:rPr>
            </w:pPr>
            <w:r>
              <w:rPr>
                <w:color w:val="auto"/>
                <w:sz w:val="21"/>
                <w:szCs w:val="21"/>
                <w:highlight w:val="none"/>
              </w:rPr>
              <w:t>电流互感器</w:t>
            </w:r>
          </w:p>
        </w:tc>
      </w:tr>
      <w:tr w14:paraId="68F2DD5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201" w:type="pct"/>
            <w:noWrap w:val="0"/>
            <w:vAlign w:val="center"/>
          </w:tcPr>
          <w:p w14:paraId="1C6F425C">
            <w:pPr>
              <w:pStyle w:val="198"/>
              <w:spacing w:before="36" w:beforeLines="15" w:after="36" w:afterLines="15"/>
              <w:ind w:left="84" w:right="84" w:firstLine="420" w:firstLineChars="200"/>
              <w:rPr>
                <w:color w:val="auto"/>
                <w:sz w:val="21"/>
                <w:szCs w:val="21"/>
                <w:highlight w:val="none"/>
              </w:rPr>
            </w:pPr>
            <w:r>
              <w:rPr>
                <w:color w:val="auto"/>
                <w:sz w:val="21"/>
                <w:szCs w:val="21"/>
                <w:highlight w:val="none"/>
              </w:rPr>
              <w:t>GB/T 3047.1</w:t>
            </w:r>
          </w:p>
        </w:tc>
        <w:tc>
          <w:tcPr>
            <w:tcW w:w="3799" w:type="pct"/>
            <w:noWrap w:val="0"/>
            <w:vAlign w:val="center"/>
          </w:tcPr>
          <w:p w14:paraId="78D898BB">
            <w:pPr>
              <w:pStyle w:val="198"/>
              <w:spacing w:before="36" w:beforeLines="15" w:after="36" w:afterLines="15"/>
              <w:ind w:left="84" w:right="84" w:firstLine="420" w:firstLineChars="200"/>
              <w:jc w:val="left"/>
              <w:rPr>
                <w:color w:val="auto"/>
                <w:sz w:val="21"/>
                <w:szCs w:val="21"/>
                <w:highlight w:val="none"/>
              </w:rPr>
            </w:pPr>
            <w:r>
              <w:rPr>
                <w:color w:val="auto"/>
                <w:sz w:val="21"/>
                <w:szCs w:val="21"/>
                <w:highlight w:val="none"/>
              </w:rPr>
              <w:t>高度进制为20mm的面板、架和柜的基本尺寸系列</w:t>
            </w:r>
          </w:p>
        </w:tc>
      </w:tr>
      <w:tr w14:paraId="7D7BB5C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201" w:type="pct"/>
            <w:noWrap w:val="0"/>
            <w:vAlign w:val="center"/>
          </w:tcPr>
          <w:p w14:paraId="4D5C0678">
            <w:pPr>
              <w:pStyle w:val="198"/>
              <w:spacing w:before="36" w:beforeLines="15" w:after="36" w:afterLines="15"/>
              <w:ind w:left="84" w:right="84" w:firstLine="420" w:firstLineChars="200"/>
              <w:rPr>
                <w:color w:val="auto"/>
                <w:sz w:val="21"/>
                <w:szCs w:val="21"/>
                <w:highlight w:val="none"/>
              </w:rPr>
            </w:pPr>
            <w:r>
              <w:rPr>
                <w:color w:val="auto"/>
                <w:sz w:val="21"/>
                <w:szCs w:val="21"/>
                <w:highlight w:val="none"/>
              </w:rPr>
              <w:t>GB 2900.1</w:t>
            </w:r>
          </w:p>
        </w:tc>
        <w:tc>
          <w:tcPr>
            <w:tcW w:w="3799" w:type="pct"/>
            <w:noWrap w:val="0"/>
            <w:vAlign w:val="center"/>
          </w:tcPr>
          <w:p w14:paraId="66093BD9">
            <w:pPr>
              <w:pStyle w:val="198"/>
              <w:spacing w:before="36" w:beforeLines="15" w:after="36" w:afterLines="15"/>
              <w:ind w:left="84" w:right="84" w:firstLine="420" w:firstLineChars="200"/>
              <w:jc w:val="left"/>
              <w:rPr>
                <w:color w:val="auto"/>
                <w:sz w:val="21"/>
                <w:szCs w:val="21"/>
                <w:highlight w:val="none"/>
              </w:rPr>
            </w:pPr>
            <w:r>
              <w:rPr>
                <w:color w:val="auto"/>
                <w:sz w:val="21"/>
                <w:szCs w:val="21"/>
                <w:highlight w:val="none"/>
              </w:rPr>
              <w:t>电工术语  基本术语</w:t>
            </w:r>
          </w:p>
        </w:tc>
      </w:tr>
      <w:tr w14:paraId="48C4125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201" w:type="pct"/>
            <w:noWrap w:val="0"/>
            <w:vAlign w:val="center"/>
          </w:tcPr>
          <w:p w14:paraId="69BDBEA1">
            <w:pPr>
              <w:pStyle w:val="198"/>
              <w:spacing w:before="36" w:beforeLines="15" w:after="36" w:afterLines="15"/>
              <w:ind w:left="84" w:right="84" w:firstLine="420" w:firstLineChars="200"/>
              <w:rPr>
                <w:color w:val="auto"/>
                <w:sz w:val="21"/>
                <w:szCs w:val="21"/>
                <w:highlight w:val="none"/>
              </w:rPr>
            </w:pPr>
            <w:r>
              <w:rPr>
                <w:color w:val="auto"/>
                <w:sz w:val="21"/>
                <w:szCs w:val="21"/>
                <w:highlight w:val="none"/>
              </w:rPr>
              <w:t>GB/T 6593</w:t>
            </w:r>
          </w:p>
        </w:tc>
        <w:tc>
          <w:tcPr>
            <w:tcW w:w="3799" w:type="pct"/>
            <w:noWrap w:val="0"/>
            <w:vAlign w:val="center"/>
          </w:tcPr>
          <w:p w14:paraId="27F2A9DA">
            <w:pPr>
              <w:pStyle w:val="198"/>
              <w:spacing w:before="36" w:beforeLines="15" w:after="36" w:afterLines="15"/>
              <w:ind w:left="84" w:right="84" w:firstLine="420" w:firstLineChars="200"/>
              <w:jc w:val="left"/>
              <w:rPr>
                <w:color w:val="auto"/>
                <w:sz w:val="21"/>
                <w:szCs w:val="21"/>
                <w:highlight w:val="none"/>
              </w:rPr>
            </w:pPr>
            <w:r>
              <w:rPr>
                <w:color w:val="auto"/>
                <w:sz w:val="21"/>
                <w:szCs w:val="21"/>
                <w:highlight w:val="none"/>
              </w:rPr>
              <w:t>电子测量仪器质量检</w:t>
            </w:r>
            <w:r>
              <w:rPr>
                <w:rFonts w:hint="eastAsia"/>
                <w:color w:val="auto"/>
                <w:sz w:val="21"/>
                <w:szCs w:val="21"/>
                <w:highlight w:val="none"/>
              </w:rPr>
              <w:t>验</w:t>
            </w:r>
            <w:r>
              <w:rPr>
                <w:color w:val="auto"/>
                <w:sz w:val="21"/>
                <w:szCs w:val="21"/>
                <w:highlight w:val="none"/>
              </w:rPr>
              <w:t>规则</w:t>
            </w:r>
          </w:p>
        </w:tc>
      </w:tr>
      <w:tr w14:paraId="3E24BE4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201" w:type="pct"/>
            <w:noWrap w:val="0"/>
            <w:vAlign w:val="center"/>
          </w:tcPr>
          <w:p w14:paraId="7CDC3857">
            <w:pPr>
              <w:pStyle w:val="198"/>
              <w:spacing w:before="36" w:beforeLines="15" w:after="36" w:afterLines="15"/>
              <w:ind w:left="84" w:right="84" w:firstLine="420" w:firstLineChars="200"/>
              <w:rPr>
                <w:color w:val="auto"/>
                <w:sz w:val="21"/>
                <w:szCs w:val="21"/>
                <w:highlight w:val="none"/>
              </w:rPr>
            </w:pPr>
            <w:r>
              <w:rPr>
                <w:color w:val="auto"/>
                <w:sz w:val="21"/>
                <w:szCs w:val="21"/>
                <w:highlight w:val="none"/>
              </w:rPr>
              <w:t>GB/T 13730</w:t>
            </w:r>
          </w:p>
        </w:tc>
        <w:tc>
          <w:tcPr>
            <w:tcW w:w="3799" w:type="pct"/>
            <w:noWrap w:val="0"/>
            <w:vAlign w:val="center"/>
          </w:tcPr>
          <w:p w14:paraId="13F9F24F">
            <w:pPr>
              <w:pStyle w:val="198"/>
              <w:spacing w:before="36" w:beforeLines="15" w:after="36" w:afterLines="15"/>
              <w:ind w:left="84" w:right="84" w:firstLine="420" w:firstLineChars="200"/>
              <w:jc w:val="left"/>
              <w:rPr>
                <w:color w:val="auto"/>
                <w:sz w:val="21"/>
                <w:szCs w:val="21"/>
                <w:highlight w:val="none"/>
              </w:rPr>
            </w:pPr>
            <w:r>
              <w:rPr>
                <w:color w:val="auto"/>
                <w:sz w:val="21"/>
                <w:szCs w:val="21"/>
                <w:highlight w:val="none"/>
              </w:rPr>
              <w:t>地区电网调度自动化系统</w:t>
            </w:r>
          </w:p>
        </w:tc>
      </w:tr>
      <w:tr w14:paraId="1F1881E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201" w:type="pct"/>
            <w:noWrap w:val="0"/>
            <w:vAlign w:val="center"/>
          </w:tcPr>
          <w:p w14:paraId="1B47C91E">
            <w:pPr>
              <w:pStyle w:val="198"/>
              <w:spacing w:before="36" w:beforeLines="15" w:after="36" w:afterLines="15"/>
              <w:ind w:left="84" w:right="84" w:firstLine="420" w:firstLineChars="200"/>
              <w:rPr>
                <w:color w:val="auto"/>
                <w:sz w:val="21"/>
                <w:szCs w:val="21"/>
                <w:highlight w:val="none"/>
              </w:rPr>
            </w:pPr>
            <w:r>
              <w:rPr>
                <w:color w:val="auto"/>
                <w:sz w:val="21"/>
                <w:szCs w:val="21"/>
                <w:highlight w:val="none"/>
              </w:rPr>
              <w:t>GB/T 13729</w:t>
            </w:r>
          </w:p>
        </w:tc>
        <w:tc>
          <w:tcPr>
            <w:tcW w:w="3799" w:type="pct"/>
            <w:noWrap w:val="0"/>
            <w:vAlign w:val="center"/>
          </w:tcPr>
          <w:p w14:paraId="25A763FD">
            <w:pPr>
              <w:pStyle w:val="198"/>
              <w:spacing w:before="36" w:beforeLines="15" w:after="36" w:afterLines="15"/>
              <w:ind w:left="84" w:right="84" w:firstLine="420" w:firstLineChars="200"/>
              <w:jc w:val="left"/>
              <w:rPr>
                <w:color w:val="auto"/>
                <w:sz w:val="21"/>
                <w:szCs w:val="21"/>
                <w:highlight w:val="none"/>
              </w:rPr>
            </w:pPr>
            <w:r>
              <w:rPr>
                <w:color w:val="auto"/>
                <w:sz w:val="21"/>
                <w:szCs w:val="21"/>
                <w:highlight w:val="none"/>
              </w:rPr>
              <w:t>远动终端设备</w:t>
            </w:r>
          </w:p>
        </w:tc>
      </w:tr>
      <w:tr w14:paraId="71539BC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201" w:type="pct"/>
            <w:noWrap w:val="0"/>
            <w:vAlign w:val="center"/>
          </w:tcPr>
          <w:p w14:paraId="171142AB">
            <w:pPr>
              <w:pStyle w:val="198"/>
              <w:spacing w:before="36" w:beforeLines="15" w:after="36" w:afterLines="15"/>
              <w:ind w:left="84" w:right="84" w:firstLine="420" w:firstLineChars="200"/>
              <w:rPr>
                <w:color w:val="auto"/>
                <w:sz w:val="21"/>
                <w:szCs w:val="21"/>
                <w:highlight w:val="none"/>
              </w:rPr>
            </w:pPr>
            <w:r>
              <w:rPr>
                <w:color w:val="auto"/>
                <w:sz w:val="21"/>
                <w:szCs w:val="21"/>
                <w:highlight w:val="none"/>
              </w:rPr>
              <w:t>GB/T 3047.4</w:t>
            </w:r>
          </w:p>
        </w:tc>
        <w:tc>
          <w:tcPr>
            <w:tcW w:w="3799" w:type="pct"/>
            <w:noWrap w:val="0"/>
            <w:vAlign w:val="center"/>
          </w:tcPr>
          <w:p w14:paraId="7E156717">
            <w:pPr>
              <w:pStyle w:val="198"/>
              <w:spacing w:before="36" w:beforeLines="15" w:after="36" w:afterLines="15"/>
              <w:ind w:left="84" w:right="84" w:firstLine="420" w:firstLineChars="200"/>
              <w:jc w:val="left"/>
              <w:rPr>
                <w:color w:val="auto"/>
                <w:sz w:val="21"/>
                <w:szCs w:val="21"/>
                <w:highlight w:val="none"/>
              </w:rPr>
            </w:pPr>
            <w:r>
              <w:rPr>
                <w:color w:val="auto"/>
                <w:sz w:val="21"/>
                <w:szCs w:val="21"/>
                <w:highlight w:val="none"/>
              </w:rPr>
              <w:t>高度进制为44.45mm的插箱、插件的基本尺寸系列</w:t>
            </w:r>
          </w:p>
        </w:tc>
      </w:tr>
      <w:tr w14:paraId="232D648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201" w:type="pct"/>
            <w:noWrap w:val="0"/>
            <w:vAlign w:val="center"/>
          </w:tcPr>
          <w:p w14:paraId="073ECC08">
            <w:pPr>
              <w:pStyle w:val="198"/>
              <w:spacing w:before="36" w:beforeLines="15" w:after="36" w:afterLines="15"/>
              <w:ind w:left="84" w:right="84" w:firstLine="420" w:firstLineChars="200"/>
              <w:rPr>
                <w:color w:val="auto"/>
                <w:sz w:val="21"/>
                <w:szCs w:val="21"/>
                <w:highlight w:val="none"/>
              </w:rPr>
            </w:pPr>
            <w:r>
              <w:rPr>
                <w:color w:val="auto"/>
                <w:sz w:val="21"/>
                <w:szCs w:val="21"/>
                <w:highlight w:val="none"/>
              </w:rPr>
              <w:t>GB 4208</w:t>
            </w:r>
          </w:p>
        </w:tc>
        <w:tc>
          <w:tcPr>
            <w:tcW w:w="3799" w:type="pct"/>
            <w:noWrap w:val="0"/>
            <w:vAlign w:val="center"/>
          </w:tcPr>
          <w:p w14:paraId="4D8D9872">
            <w:pPr>
              <w:pStyle w:val="198"/>
              <w:spacing w:before="36" w:beforeLines="15" w:after="36" w:afterLines="15"/>
              <w:ind w:left="84" w:right="84" w:firstLine="420" w:firstLineChars="200"/>
              <w:jc w:val="left"/>
              <w:rPr>
                <w:color w:val="auto"/>
                <w:sz w:val="21"/>
                <w:szCs w:val="21"/>
                <w:highlight w:val="none"/>
              </w:rPr>
            </w:pPr>
            <w:r>
              <w:rPr>
                <w:color w:val="auto"/>
                <w:sz w:val="21"/>
                <w:szCs w:val="21"/>
                <w:highlight w:val="none"/>
              </w:rPr>
              <w:t>外壳防护等级（IP代码）</w:t>
            </w:r>
          </w:p>
        </w:tc>
      </w:tr>
      <w:tr w14:paraId="5D7B6A9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201" w:type="pct"/>
            <w:noWrap w:val="0"/>
            <w:vAlign w:val="center"/>
          </w:tcPr>
          <w:p w14:paraId="11828641">
            <w:pPr>
              <w:pStyle w:val="198"/>
              <w:spacing w:before="36" w:beforeLines="15" w:after="36" w:afterLines="15"/>
              <w:ind w:left="84" w:right="84" w:firstLine="420" w:firstLineChars="200"/>
              <w:rPr>
                <w:color w:val="auto"/>
                <w:sz w:val="21"/>
                <w:szCs w:val="21"/>
                <w:highlight w:val="none"/>
              </w:rPr>
            </w:pPr>
            <w:r>
              <w:rPr>
                <w:color w:val="auto"/>
                <w:sz w:val="21"/>
                <w:szCs w:val="21"/>
                <w:highlight w:val="none"/>
              </w:rPr>
              <w:t>GB/T 14285</w:t>
            </w:r>
          </w:p>
        </w:tc>
        <w:tc>
          <w:tcPr>
            <w:tcW w:w="3799" w:type="pct"/>
            <w:noWrap w:val="0"/>
            <w:vAlign w:val="center"/>
          </w:tcPr>
          <w:p w14:paraId="4B20E4BF">
            <w:pPr>
              <w:pStyle w:val="198"/>
              <w:spacing w:before="36" w:beforeLines="15" w:after="36" w:afterLines="15"/>
              <w:ind w:left="84" w:right="84" w:firstLine="420" w:firstLineChars="200"/>
              <w:jc w:val="left"/>
              <w:rPr>
                <w:color w:val="auto"/>
                <w:sz w:val="21"/>
                <w:szCs w:val="21"/>
                <w:highlight w:val="none"/>
              </w:rPr>
            </w:pPr>
            <w:r>
              <w:rPr>
                <w:color w:val="auto"/>
                <w:sz w:val="21"/>
                <w:szCs w:val="21"/>
                <w:highlight w:val="none"/>
              </w:rPr>
              <w:t>继电保护和安全自动装置技术规程</w:t>
            </w:r>
          </w:p>
        </w:tc>
      </w:tr>
      <w:tr w14:paraId="685A72F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201" w:type="pct"/>
            <w:noWrap w:val="0"/>
            <w:vAlign w:val="center"/>
          </w:tcPr>
          <w:p w14:paraId="159DE6C3">
            <w:pPr>
              <w:pStyle w:val="198"/>
              <w:spacing w:before="36" w:beforeLines="15" w:after="36" w:afterLines="15"/>
              <w:ind w:left="84" w:right="84" w:firstLine="420" w:firstLineChars="200"/>
              <w:rPr>
                <w:color w:val="auto"/>
                <w:sz w:val="21"/>
                <w:szCs w:val="21"/>
                <w:highlight w:val="none"/>
              </w:rPr>
            </w:pPr>
            <w:r>
              <w:rPr>
                <w:color w:val="auto"/>
                <w:sz w:val="21"/>
                <w:szCs w:val="21"/>
                <w:highlight w:val="none"/>
              </w:rPr>
              <w:t>GB/T 15153.1</w:t>
            </w:r>
          </w:p>
        </w:tc>
        <w:tc>
          <w:tcPr>
            <w:tcW w:w="3799" w:type="pct"/>
            <w:noWrap w:val="0"/>
            <w:vAlign w:val="center"/>
          </w:tcPr>
          <w:p w14:paraId="47A8BEEA">
            <w:pPr>
              <w:pStyle w:val="198"/>
              <w:spacing w:before="36" w:beforeLines="15" w:after="36" w:afterLines="15"/>
              <w:ind w:left="84" w:right="84" w:firstLine="396" w:firstLineChars="200"/>
              <w:jc w:val="left"/>
              <w:rPr>
                <w:color w:val="auto"/>
                <w:spacing w:val="-6"/>
                <w:sz w:val="21"/>
                <w:szCs w:val="21"/>
                <w:highlight w:val="none"/>
              </w:rPr>
            </w:pPr>
            <w:r>
              <w:rPr>
                <w:color w:val="auto"/>
                <w:spacing w:val="-6"/>
                <w:sz w:val="21"/>
                <w:szCs w:val="21"/>
                <w:highlight w:val="none"/>
              </w:rPr>
              <w:t>远动设备及系统  第2部分：工作条件  第1篇：电源和电磁兼容性（idt IEC 870-2-1：1995）</w:t>
            </w:r>
          </w:p>
        </w:tc>
      </w:tr>
      <w:tr w14:paraId="33F025D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201" w:type="pct"/>
            <w:noWrap w:val="0"/>
            <w:vAlign w:val="center"/>
          </w:tcPr>
          <w:p w14:paraId="731E0B54">
            <w:pPr>
              <w:pStyle w:val="198"/>
              <w:spacing w:before="36" w:beforeLines="15" w:after="36" w:afterLines="15"/>
              <w:ind w:left="84" w:right="84" w:firstLine="420" w:firstLineChars="200"/>
              <w:rPr>
                <w:color w:val="auto"/>
                <w:sz w:val="21"/>
                <w:szCs w:val="21"/>
                <w:highlight w:val="none"/>
              </w:rPr>
            </w:pPr>
            <w:r>
              <w:rPr>
                <w:color w:val="auto"/>
                <w:sz w:val="21"/>
                <w:szCs w:val="21"/>
                <w:highlight w:val="none"/>
              </w:rPr>
              <w:t>GB/T 15153.2</w:t>
            </w:r>
          </w:p>
        </w:tc>
        <w:tc>
          <w:tcPr>
            <w:tcW w:w="3799" w:type="pct"/>
            <w:noWrap w:val="0"/>
            <w:vAlign w:val="center"/>
          </w:tcPr>
          <w:p w14:paraId="195C6945">
            <w:pPr>
              <w:pStyle w:val="198"/>
              <w:spacing w:before="36" w:beforeLines="15" w:after="36" w:afterLines="15"/>
              <w:ind w:left="84" w:right="84" w:firstLine="420" w:firstLineChars="200"/>
              <w:jc w:val="left"/>
              <w:rPr>
                <w:color w:val="auto"/>
                <w:sz w:val="21"/>
                <w:szCs w:val="21"/>
                <w:highlight w:val="none"/>
              </w:rPr>
            </w:pPr>
            <w:r>
              <w:rPr>
                <w:color w:val="auto"/>
                <w:sz w:val="21"/>
                <w:szCs w:val="21"/>
                <w:highlight w:val="none"/>
              </w:rPr>
              <w:t>远动设备及系统  第2部分：工作条件  第2篇：环境条件（气候、机械和其</w:t>
            </w:r>
            <w:r>
              <w:rPr>
                <w:rFonts w:hint="eastAsia"/>
                <w:color w:val="auto"/>
                <w:sz w:val="21"/>
                <w:szCs w:val="21"/>
                <w:highlight w:val="none"/>
              </w:rPr>
              <w:t>他</w:t>
            </w:r>
            <w:r>
              <w:rPr>
                <w:color w:val="auto"/>
                <w:sz w:val="21"/>
                <w:szCs w:val="21"/>
                <w:highlight w:val="none"/>
              </w:rPr>
              <w:t>非电影响因素）（idt IEC 870-2-2：1996）</w:t>
            </w:r>
          </w:p>
        </w:tc>
      </w:tr>
      <w:tr w14:paraId="1CECF6E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201" w:type="pct"/>
            <w:noWrap w:val="0"/>
            <w:vAlign w:val="center"/>
          </w:tcPr>
          <w:p w14:paraId="1841F0D0">
            <w:pPr>
              <w:pStyle w:val="198"/>
              <w:spacing w:before="36" w:beforeLines="15" w:after="36" w:afterLines="15"/>
              <w:ind w:left="84" w:right="84" w:firstLine="420" w:firstLineChars="200"/>
              <w:rPr>
                <w:color w:val="auto"/>
                <w:sz w:val="21"/>
                <w:szCs w:val="21"/>
                <w:highlight w:val="none"/>
              </w:rPr>
            </w:pPr>
            <w:r>
              <w:rPr>
                <w:color w:val="auto"/>
                <w:sz w:val="21"/>
                <w:szCs w:val="21"/>
                <w:highlight w:val="none"/>
              </w:rPr>
              <w:t>GB/T 16836</w:t>
            </w:r>
          </w:p>
        </w:tc>
        <w:tc>
          <w:tcPr>
            <w:tcW w:w="3799" w:type="pct"/>
            <w:noWrap w:val="0"/>
            <w:vAlign w:val="center"/>
          </w:tcPr>
          <w:p w14:paraId="7D92F1A2">
            <w:pPr>
              <w:pStyle w:val="198"/>
              <w:spacing w:before="36" w:beforeLines="15" w:after="36" w:afterLines="15"/>
              <w:ind w:left="84" w:right="84" w:firstLine="420" w:firstLineChars="200"/>
              <w:jc w:val="left"/>
              <w:rPr>
                <w:color w:val="auto"/>
                <w:sz w:val="21"/>
                <w:szCs w:val="21"/>
                <w:highlight w:val="none"/>
              </w:rPr>
            </w:pPr>
            <w:r>
              <w:rPr>
                <w:color w:val="auto"/>
                <w:sz w:val="21"/>
                <w:szCs w:val="21"/>
                <w:highlight w:val="none"/>
              </w:rPr>
              <w:t>量度继电器和保护装置安全设计的一般要求</w:t>
            </w:r>
          </w:p>
        </w:tc>
      </w:tr>
      <w:tr w14:paraId="7028704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201" w:type="pct"/>
            <w:noWrap w:val="0"/>
            <w:vAlign w:val="center"/>
          </w:tcPr>
          <w:p w14:paraId="776955C7">
            <w:pPr>
              <w:pStyle w:val="198"/>
              <w:spacing w:before="36" w:beforeLines="15" w:after="36" w:afterLines="15"/>
              <w:ind w:left="84" w:right="84" w:firstLine="420" w:firstLineChars="200"/>
              <w:rPr>
                <w:color w:val="auto"/>
                <w:sz w:val="21"/>
                <w:szCs w:val="21"/>
                <w:highlight w:val="none"/>
              </w:rPr>
            </w:pPr>
            <w:r>
              <w:rPr>
                <w:color w:val="auto"/>
                <w:sz w:val="21"/>
                <w:szCs w:val="21"/>
                <w:highlight w:val="none"/>
              </w:rPr>
              <w:t>GB/T 17626.2</w:t>
            </w:r>
          </w:p>
        </w:tc>
        <w:tc>
          <w:tcPr>
            <w:tcW w:w="3799" w:type="pct"/>
            <w:noWrap w:val="0"/>
            <w:vAlign w:val="center"/>
          </w:tcPr>
          <w:p w14:paraId="263A8261">
            <w:pPr>
              <w:pStyle w:val="198"/>
              <w:spacing w:before="36" w:beforeLines="15" w:after="36" w:afterLines="15"/>
              <w:ind w:left="84" w:right="84" w:firstLine="420" w:firstLineChars="200"/>
              <w:jc w:val="left"/>
              <w:rPr>
                <w:color w:val="auto"/>
                <w:sz w:val="21"/>
                <w:szCs w:val="21"/>
                <w:highlight w:val="none"/>
              </w:rPr>
            </w:pPr>
            <w:r>
              <w:rPr>
                <w:color w:val="auto"/>
                <w:sz w:val="21"/>
                <w:szCs w:val="21"/>
                <w:highlight w:val="none"/>
              </w:rPr>
              <w:t>电磁兼容  试验和测量技术  静电放电抗扰度试验（idt IEC 61000-4-2：1995）</w:t>
            </w:r>
          </w:p>
        </w:tc>
      </w:tr>
      <w:tr w14:paraId="0A2B80B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201" w:type="pct"/>
            <w:noWrap w:val="0"/>
            <w:vAlign w:val="center"/>
          </w:tcPr>
          <w:p w14:paraId="64C26BC2">
            <w:pPr>
              <w:pStyle w:val="198"/>
              <w:spacing w:before="36" w:beforeLines="15" w:after="36" w:afterLines="15"/>
              <w:ind w:left="84" w:right="84" w:firstLine="420" w:firstLineChars="200"/>
              <w:rPr>
                <w:color w:val="auto"/>
                <w:sz w:val="21"/>
                <w:szCs w:val="21"/>
                <w:highlight w:val="none"/>
              </w:rPr>
            </w:pPr>
            <w:r>
              <w:rPr>
                <w:color w:val="auto"/>
                <w:sz w:val="21"/>
                <w:szCs w:val="21"/>
                <w:highlight w:val="none"/>
              </w:rPr>
              <w:t>GB/T 17626.3</w:t>
            </w:r>
          </w:p>
        </w:tc>
        <w:tc>
          <w:tcPr>
            <w:tcW w:w="3799" w:type="pct"/>
            <w:noWrap w:val="0"/>
            <w:vAlign w:val="center"/>
          </w:tcPr>
          <w:p w14:paraId="1B514BE7">
            <w:pPr>
              <w:pStyle w:val="198"/>
              <w:spacing w:before="36" w:beforeLines="15" w:after="36" w:afterLines="15"/>
              <w:ind w:left="84" w:right="84" w:firstLine="420" w:firstLineChars="200"/>
              <w:jc w:val="left"/>
              <w:rPr>
                <w:color w:val="auto"/>
                <w:sz w:val="21"/>
                <w:szCs w:val="21"/>
                <w:highlight w:val="none"/>
              </w:rPr>
            </w:pPr>
            <w:r>
              <w:rPr>
                <w:color w:val="auto"/>
                <w:sz w:val="21"/>
                <w:szCs w:val="21"/>
                <w:highlight w:val="none"/>
              </w:rPr>
              <w:t>电磁兼容  试验和测量技术  射频电磁场辐射抗扰度试验（idt IEC 61000-4-3：1995）</w:t>
            </w:r>
          </w:p>
        </w:tc>
      </w:tr>
      <w:tr w14:paraId="07F8D72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201" w:type="pct"/>
            <w:noWrap w:val="0"/>
            <w:vAlign w:val="center"/>
          </w:tcPr>
          <w:p w14:paraId="7583BA71">
            <w:pPr>
              <w:pStyle w:val="198"/>
              <w:spacing w:before="36" w:beforeLines="15" w:after="36" w:afterLines="15"/>
              <w:ind w:left="84" w:right="84" w:firstLine="420" w:firstLineChars="200"/>
              <w:rPr>
                <w:color w:val="auto"/>
                <w:sz w:val="21"/>
                <w:szCs w:val="21"/>
                <w:highlight w:val="none"/>
              </w:rPr>
            </w:pPr>
            <w:r>
              <w:rPr>
                <w:color w:val="auto"/>
                <w:sz w:val="21"/>
                <w:szCs w:val="21"/>
                <w:highlight w:val="none"/>
              </w:rPr>
              <w:t>GB/T 17626.4</w:t>
            </w:r>
          </w:p>
        </w:tc>
        <w:tc>
          <w:tcPr>
            <w:tcW w:w="3799" w:type="pct"/>
            <w:noWrap w:val="0"/>
            <w:vAlign w:val="center"/>
          </w:tcPr>
          <w:p w14:paraId="12516C46">
            <w:pPr>
              <w:pStyle w:val="198"/>
              <w:spacing w:before="36" w:beforeLines="15" w:after="36" w:afterLines="15"/>
              <w:ind w:left="84" w:right="84" w:firstLine="404" w:firstLineChars="200"/>
              <w:jc w:val="left"/>
              <w:rPr>
                <w:color w:val="auto"/>
                <w:spacing w:val="-4"/>
                <w:sz w:val="21"/>
                <w:szCs w:val="21"/>
                <w:highlight w:val="none"/>
              </w:rPr>
            </w:pPr>
            <w:r>
              <w:rPr>
                <w:color w:val="auto"/>
                <w:spacing w:val="-4"/>
                <w:sz w:val="21"/>
                <w:szCs w:val="21"/>
                <w:highlight w:val="none"/>
              </w:rPr>
              <w:t>电磁兼容  试验和测量技术  电快速瞬变脉冲群抗扰度试验（idt IEC 61000-4-4：1995）</w:t>
            </w:r>
          </w:p>
        </w:tc>
      </w:tr>
      <w:tr w14:paraId="17CAD50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201" w:type="pct"/>
            <w:noWrap w:val="0"/>
            <w:vAlign w:val="center"/>
          </w:tcPr>
          <w:p w14:paraId="5B4E2456">
            <w:pPr>
              <w:pStyle w:val="198"/>
              <w:spacing w:before="36" w:beforeLines="15" w:after="36" w:afterLines="15"/>
              <w:ind w:left="84" w:right="84" w:firstLine="420" w:firstLineChars="200"/>
              <w:rPr>
                <w:color w:val="auto"/>
                <w:sz w:val="21"/>
                <w:szCs w:val="21"/>
                <w:highlight w:val="none"/>
              </w:rPr>
            </w:pPr>
            <w:r>
              <w:rPr>
                <w:color w:val="auto"/>
                <w:sz w:val="21"/>
                <w:szCs w:val="21"/>
                <w:highlight w:val="none"/>
              </w:rPr>
              <w:t>GB/T 17626.5</w:t>
            </w:r>
          </w:p>
        </w:tc>
        <w:tc>
          <w:tcPr>
            <w:tcW w:w="3799" w:type="pct"/>
            <w:noWrap w:val="0"/>
            <w:vAlign w:val="center"/>
          </w:tcPr>
          <w:p w14:paraId="30B2C960">
            <w:pPr>
              <w:pStyle w:val="198"/>
              <w:spacing w:before="36" w:beforeLines="15" w:after="36" w:afterLines="15"/>
              <w:ind w:left="84" w:right="84" w:firstLine="420" w:firstLineChars="200"/>
              <w:jc w:val="left"/>
              <w:rPr>
                <w:color w:val="auto"/>
                <w:sz w:val="21"/>
                <w:szCs w:val="21"/>
                <w:highlight w:val="none"/>
              </w:rPr>
            </w:pPr>
            <w:r>
              <w:rPr>
                <w:color w:val="auto"/>
                <w:sz w:val="21"/>
                <w:szCs w:val="21"/>
                <w:highlight w:val="none"/>
              </w:rPr>
              <w:t>电磁兼容  试验和测量技术  浪涌（冲击）抗扰度试验（idt IEC 61000-4-5：1995）</w:t>
            </w:r>
          </w:p>
        </w:tc>
      </w:tr>
      <w:tr w14:paraId="07A73D5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201" w:type="pct"/>
            <w:noWrap w:val="0"/>
            <w:vAlign w:val="center"/>
          </w:tcPr>
          <w:p w14:paraId="188B4502">
            <w:pPr>
              <w:pStyle w:val="198"/>
              <w:spacing w:before="36" w:beforeLines="15" w:after="36" w:afterLines="15"/>
              <w:ind w:left="84" w:right="84" w:firstLine="420" w:firstLineChars="200"/>
              <w:rPr>
                <w:color w:val="auto"/>
                <w:sz w:val="21"/>
                <w:szCs w:val="21"/>
                <w:highlight w:val="none"/>
              </w:rPr>
            </w:pPr>
            <w:r>
              <w:rPr>
                <w:color w:val="auto"/>
                <w:sz w:val="21"/>
                <w:szCs w:val="21"/>
                <w:highlight w:val="none"/>
              </w:rPr>
              <w:t>GB/T 17626.6</w:t>
            </w:r>
          </w:p>
        </w:tc>
        <w:tc>
          <w:tcPr>
            <w:tcW w:w="3799" w:type="pct"/>
            <w:noWrap w:val="0"/>
            <w:vAlign w:val="center"/>
          </w:tcPr>
          <w:p w14:paraId="16AC0502">
            <w:pPr>
              <w:pStyle w:val="198"/>
              <w:spacing w:before="36" w:beforeLines="15" w:after="36" w:afterLines="15"/>
              <w:ind w:left="84" w:right="84" w:firstLine="404" w:firstLineChars="200"/>
              <w:jc w:val="left"/>
              <w:rPr>
                <w:color w:val="auto"/>
                <w:spacing w:val="-4"/>
                <w:sz w:val="21"/>
                <w:szCs w:val="21"/>
                <w:highlight w:val="none"/>
              </w:rPr>
            </w:pPr>
            <w:r>
              <w:rPr>
                <w:color w:val="auto"/>
                <w:spacing w:val="-4"/>
                <w:sz w:val="21"/>
                <w:szCs w:val="21"/>
                <w:highlight w:val="none"/>
              </w:rPr>
              <w:t>电磁兼容  试验和测量技术  射频场感应的传导骚扰抗扰度（idt IEC 61000-4-6：1996）</w:t>
            </w:r>
          </w:p>
        </w:tc>
      </w:tr>
      <w:tr w14:paraId="57DB91E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201" w:type="pct"/>
            <w:noWrap w:val="0"/>
            <w:vAlign w:val="center"/>
          </w:tcPr>
          <w:p w14:paraId="1D211D70">
            <w:pPr>
              <w:pStyle w:val="198"/>
              <w:spacing w:before="36" w:beforeLines="15" w:after="36" w:afterLines="15"/>
              <w:ind w:left="84" w:right="84" w:firstLine="420" w:firstLineChars="200"/>
              <w:rPr>
                <w:color w:val="auto"/>
                <w:sz w:val="21"/>
                <w:szCs w:val="21"/>
                <w:highlight w:val="none"/>
              </w:rPr>
            </w:pPr>
            <w:r>
              <w:rPr>
                <w:color w:val="auto"/>
                <w:sz w:val="21"/>
                <w:szCs w:val="21"/>
                <w:highlight w:val="none"/>
              </w:rPr>
              <w:t>GB/T 17626.12</w:t>
            </w:r>
          </w:p>
        </w:tc>
        <w:tc>
          <w:tcPr>
            <w:tcW w:w="3799" w:type="pct"/>
            <w:noWrap w:val="0"/>
            <w:vAlign w:val="center"/>
          </w:tcPr>
          <w:p w14:paraId="5B324A23">
            <w:pPr>
              <w:pStyle w:val="198"/>
              <w:spacing w:before="36" w:beforeLines="15" w:after="36" w:afterLines="15"/>
              <w:ind w:left="84" w:right="84" w:firstLine="420" w:firstLineChars="200"/>
              <w:jc w:val="left"/>
              <w:rPr>
                <w:color w:val="auto"/>
                <w:sz w:val="21"/>
                <w:szCs w:val="21"/>
                <w:highlight w:val="none"/>
              </w:rPr>
            </w:pPr>
            <w:r>
              <w:rPr>
                <w:color w:val="auto"/>
                <w:sz w:val="21"/>
                <w:szCs w:val="21"/>
                <w:highlight w:val="none"/>
              </w:rPr>
              <w:t>电磁兼容  试验和测量技术  振荡波抗扰度试验（idt IEC 61000-4-12：1996）</w:t>
            </w:r>
          </w:p>
        </w:tc>
      </w:tr>
      <w:tr w14:paraId="24A8A85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201" w:type="pct"/>
            <w:noWrap w:val="0"/>
            <w:vAlign w:val="center"/>
          </w:tcPr>
          <w:p w14:paraId="706A9E38">
            <w:pPr>
              <w:pStyle w:val="198"/>
              <w:spacing w:before="48" w:after="48"/>
              <w:ind w:left="84" w:right="84" w:firstLine="420" w:firstLineChars="200"/>
              <w:rPr>
                <w:color w:val="auto"/>
                <w:sz w:val="21"/>
                <w:szCs w:val="21"/>
                <w:highlight w:val="none"/>
              </w:rPr>
            </w:pPr>
            <w:r>
              <w:rPr>
                <w:color w:val="auto"/>
                <w:sz w:val="21"/>
                <w:szCs w:val="21"/>
                <w:highlight w:val="none"/>
              </w:rPr>
              <w:t>GB/T 18700.1</w:t>
            </w:r>
          </w:p>
        </w:tc>
        <w:tc>
          <w:tcPr>
            <w:tcW w:w="3799" w:type="pct"/>
            <w:noWrap w:val="0"/>
            <w:vAlign w:val="center"/>
          </w:tcPr>
          <w:p w14:paraId="29CF3B4F">
            <w:pPr>
              <w:pStyle w:val="198"/>
              <w:spacing w:before="48" w:after="48"/>
              <w:ind w:left="84" w:right="84" w:firstLine="420" w:firstLineChars="200"/>
              <w:jc w:val="left"/>
              <w:rPr>
                <w:color w:val="auto"/>
                <w:sz w:val="21"/>
                <w:szCs w:val="21"/>
                <w:highlight w:val="none"/>
              </w:rPr>
            </w:pPr>
            <w:r>
              <w:rPr>
                <w:rFonts w:hint="eastAsia"/>
                <w:color w:val="auto"/>
                <w:sz w:val="21"/>
                <w:szCs w:val="21"/>
                <w:highlight w:val="none"/>
              </w:rPr>
              <w:t>远动</w:t>
            </w:r>
            <w:r>
              <w:rPr>
                <w:color w:val="auto"/>
                <w:sz w:val="21"/>
                <w:szCs w:val="21"/>
                <w:highlight w:val="none"/>
              </w:rPr>
              <w:t>设备</w:t>
            </w:r>
            <w:r>
              <w:rPr>
                <w:rFonts w:hint="eastAsia"/>
                <w:color w:val="auto"/>
                <w:sz w:val="21"/>
                <w:szCs w:val="21"/>
                <w:highlight w:val="none"/>
              </w:rPr>
              <w:t>和</w:t>
            </w:r>
            <w:r>
              <w:rPr>
                <w:color w:val="auto"/>
                <w:sz w:val="21"/>
                <w:szCs w:val="21"/>
                <w:highlight w:val="none"/>
              </w:rPr>
              <w:t>系统 第6部分 与ISO标准和ITU-T建议兼容的远动协议 第503篇 TASE.2服务</w:t>
            </w:r>
            <w:r>
              <w:rPr>
                <w:rFonts w:hint="eastAsia"/>
                <w:color w:val="auto"/>
                <w:sz w:val="21"/>
                <w:szCs w:val="21"/>
                <w:highlight w:val="none"/>
              </w:rPr>
              <w:t>和</w:t>
            </w:r>
            <w:r>
              <w:rPr>
                <w:color w:val="auto"/>
                <w:sz w:val="21"/>
                <w:szCs w:val="21"/>
                <w:highlight w:val="none"/>
              </w:rPr>
              <w:t>协议 （idt IEC 60870-6-503 ）</w:t>
            </w:r>
          </w:p>
        </w:tc>
      </w:tr>
      <w:tr w14:paraId="04FBB4E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201" w:type="pct"/>
            <w:noWrap w:val="0"/>
            <w:vAlign w:val="center"/>
          </w:tcPr>
          <w:p w14:paraId="7146A04B">
            <w:pPr>
              <w:pStyle w:val="198"/>
              <w:spacing w:before="48" w:after="48"/>
              <w:ind w:left="84" w:right="84" w:firstLine="420" w:firstLineChars="200"/>
              <w:rPr>
                <w:color w:val="auto"/>
                <w:sz w:val="21"/>
                <w:szCs w:val="21"/>
                <w:highlight w:val="none"/>
              </w:rPr>
            </w:pPr>
            <w:r>
              <w:rPr>
                <w:color w:val="auto"/>
                <w:sz w:val="21"/>
                <w:szCs w:val="21"/>
                <w:highlight w:val="none"/>
              </w:rPr>
              <w:t>GB/T 18700.2</w:t>
            </w:r>
          </w:p>
        </w:tc>
        <w:tc>
          <w:tcPr>
            <w:tcW w:w="3799" w:type="pct"/>
            <w:noWrap w:val="0"/>
            <w:vAlign w:val="center"/>
          </w:tcPr>
          <w:p w14:paraId="72A687A8">
            <w:pPr>
              <w:pStyle w:val="198"/>
              <w:spacing w:before="48" w:after="48"/>
              <w:ind w:left="84" w:right="84" w:firstLine="420" w:firstLineChars="200"/>
              <w:jc w:val="left"/>
              <w:rPr>
                <w:color w:val="auto"/>
                <w:sz w:val="21"/>
                <w:szCs w:val="21"/>
                <w:highlight w:val="none"/>
              </w:rPr>
            </w:pPr>
            <w:r>
              <w:rPr>
                <w:rFonts w:hint="eastAsia"/>
                <w:color w:val="auto"/>
                <w:sz w:val="21"/>
                <w:szCs w:val="21"/>
                <w:highlight w:val="none"/>
              </w:rPr>
              <w:t>远动</w:t>
            </w:r>
            <w:r>
              <w:rPr>
                <w:color w:val="auto"/>
                <w:sz w:val="21"/>
                <w:szCs w:val="21"/>
                <w:highlight w:val="none"/>
              </w:rPr>
              <w:t>设备</w:t>
            </w:r>
            <w:r>
              <w:rPr>
                <w:rFonts w:hint="eastAsia"/>
                <w:color w:val="auto"/>
                <w:sz w:val="21"/>
                <w:szCs w:val="21"/>
                <w:highlight w:val="none"/>
              </w:rPr>
              <w:t>和</w:t>
            </w:r>
            <w:r>
              <w:rPr>
                <w:color w:val="auto"/>
                <w:sz w:val="21"/>
                <w:szCs w:val="21"/>
                <w:highlight w:val="none"/>
              </w:rPr>
              <w:t>系统 第6部分 与ISO标准和ITU-T建议兼容的远动协议 第802篇 TASE.2</w:t>
            </w:r>
            <w:r>
              <w:rPr>
                <w:rFonts w:hint="eastAsia"/>
                <w:color w:val="auto"/>
                <w:sz w:val="21"/>
                <w:szCs w:val="21"/>
                <w:highlight w:val="none"/>
              </w:rPr>
              <w:t>对象</w:t>
            </w:r>
            <w:r>
              <w:rPr>
                <w:color w:val="auto"/>
                <w:sz w:val="21"/>
                <w:szCs w:val="21"/>
                <w:highlight w:val="none"/>
              </w:rPr>
              <w:t>模型（idt IEC 60870-6-802）</w:t>
            </w:r>
          </w:p>
        </w:tc>
      </w:tr>
      <w:tr w14:paraId="0802BC2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201" w:type="pct"/>
            <w:noWrap w:val="0"/>
            <w:vAlign w:val="center"/>
          </w:tcPr>
          <w:p w14:paraId="740AD968">
            <w:pPr>
              <w:pStyle w:val="198"/>
              <w:spacing w:before="48" w:after="48"/>
              <w:ind w:left="84" w:right="84" w:firstLine="420" w:firstLineChars="200"/>
              <w:rPr>
                <w:color w:val="auto"/>
                <w:sz w:val="21"/>
                <w:szCs w:val="21"/>
                <w:highlight w:val="none"/>
              </w:rPr>
            </w:pPr>
            <w:r>
              <w:rPr>
                <w:color w:val="auto"/>
                <w:sz w:val="21"/>
                <w:szCs w:val="21"/>
                <w:highlight w:val="none"/>
              </w:rPr>
              <w:t>GB 50116</w:t>
            </w:r>
          </w:p>
        </w:tc>
        <w:tc>
          <w:tcPr>
            <w:tcW w:w="3799" w:type="pct"/>
            <w:noWrap w:val="0"/>
            <w:vAlign w:val="center"/>
          </w:tcPr>
          <w:p w14:paraId="115C8BC3">
            <w:pPr>
              <w:pStyle w:val="198"/>
              <w:spacing w:before="48" w:after="48"/>
              <w:ind w:left="84" w:right="84" w:firstLine="420" w:firstLineChars="200"/>
              <w:jc w:val="left"/>
              <w:rPr>
                <w:color w:val="auto"/>
                <w:sz w:val="21"/>
                <w:szCs w:val="21"/>
                <w:highlight w:val="none"/>
              </w:rPr>
            </w:pPr>
            <w:r>
              <w:rPr>
                <w:color w:val="auto"/>
                <w:sz w:val="21"/>
                <w:szCs w:val="21"/>
                <w:highlight w:val="none"/>
              </w:rPr>
              <w:t>火灾自动报警系统设计规范</w:t>
            </w:r>
          </w:p>
        </w:tc>
      </w:tr>
      <w:tr w14:paraId="224370D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201" w:type="pct"/>
            <w:tcBorders>
              <w:top w:val="single" w:color="auto" w:sz="4" w:space="0"/>
              <w:left w:val="single" w:color="auto" w:sz="8" w:space="0"/>
              <w:bottom w:val="single" w:color="auto" w:sz="4" w:space="0"/>
              <w:right w:val="single" w:color="auto" w:sz="4" w:space="0"/>
            </w:tcBorders>
            <w:noWrap w:val="0"/>
            <w:vAlign w:val="center"/>
          </w:tcPr>
          <w:p w14:paraId="7FD429B8">
            <w:pPr>
              <w:pStyle w:val="198"/>
              <w:spacing w:before="48" w:after="48"/>
              <w:ind w:left="84" w:right="84" w:firstLine="420" w:firstLineChars="200"/>
              <w:rPr>
                <w:color w:val="auto"/>
                <w:sz w:val="21"/>
                <w:szCs w:val="21"/>
                <w:highlight w:val="none"/>
              </w:rPr>
            </w:pPr>
            <w:r>
              <w:rPr>
                <w:color w:val="auto"/>
                <w:sz w:val="21"/>
                <w:szCs w:val="21"/>
                <w:highlight w:val="none"/>
              </w:rPr>
              <w:t>DL 476</w:t>
            </w:r>
          </w:p>
        </w:tc>
        <w:tc>
          <w:tcPr>
            <w:tcW w:w="3799" w:type="pct"/>
            <w:tcBorders>
              <w:top w:val="single" w:color="auto" w:sz="4" w:space="0"/>
              <w:left w:val="single" w:color="auto" w:sz="4" w:space="0"/>
              <w:bottom w:val="single" w:color="auto" w:sz="4" w:space="0"/>
              <w:right w:val="single" w:color="auto" w:sz="8" w:space="0"/>
            </w:tcBorders>
            <w:noWrap w:val="0"/>
            <w:vAlign w:val="center"/>
          </w:tcPr>
          <w:p w14:paraId="3A827521">
            <w:pPr>
              <w:pStyle w:val="198"/>
              <w:spacing w:before="48" w:after="48"/>
              <w:ind w:left="84" w:right="84" w:firstLine="420" w:firstLineChars="200"/>
              <w:jc w:val="left"/>
              <w:rPr>
                <w:color w:val="auto"/>
                <w:sz w:val="21"/>
                <w:szCs w:val="21"/>
                <w:highlight w:val="none"/>
              </w:rPr>
            </w:pPr>
            <w:r>
              <w:rPr>
                <w:color w:val="auto"/>
                <w:sz w:val="21"/>
                <w:szCs w:val="21"/>
                <w:highlight w:val="none"/>
              </w:rPr>
              <w:t>电力系统实时数据通信应用层协议</w:t>
            </w:r>
          </w:p>
        </w:tc>
      </w:tr>
      <w:tr w14:paraId="38CBCF6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201" w:type="pct"/>
            <w:tcBorders>
              <w:top w:val="single" w:color="auto" w:sz="4" w:space="0"/>
              <w:left w:val="single" w:color="auto" w:sz="8" w:space="0"/>
              <w:bottom w:val="single" w:color="auto" w:sz="4" w:space="0"/>
              <w:right w:val="single" w:color="auto" w:sz="4" w:space="0"/>
            </w:tcBorders>
            <w:noWrap w:val="0"/>
            <w:vAlign w:val="center"/>
          </w:tcPr>
          <w:p w14:paraId="15282BF3">
            <w:pPr>
              <w:pStyle w:val="198"/>
              <w:spacing w:before="48" w:after="48"/>
              <w:ind w:left="84" w:right="84" w:firstLine="420" w:firstLineChars="200"/>
              <w:rPr>
                <w:color w:val="auto"/>
                <w:sz w:val="21"/>
                <w:szCs w:val="21"/>
                <w:highlight w:val="none"/>
              </w:rPr>
            </w:pPr>
            <w:r>
              <w:rPr>
                <w:color w:val="auto"/>
                <w:sz w:val="21"/>
                <w:szCs w:val="21"/>
                <w:highlight w:val="none"/>
              </w:rPr>
              <w:t>DL</w:t>
            </w:r>
            <w:r>
              <w:rPr>
                <w:rFonts w:hint="eastAsia"/>
                <w:color w:val="auto"/>
                <w:sz w:val="21"/>
                <w:szCs w:val="21"/>
                <w:highlight w:val="none"/>
              </w:rPr>
              <w:t xml:space="preserve">/T </w:t>
            </w:r>
            <w:r>
              <w:rPr>
                <w:color w:val="auto"/>
                <w:sz w:val="21"/>
                <w:szCs w:val="21"/>
                <w:highlight w:val="none"/>
              </w:rPr>
              <w:t>630</w:t>
            </w:r>
          </w:p>
        </w:tc>
        <w:tc>
          <w:tcPr>
            <w:tcW w:w="3799" w:type="pct"/>
            <w:tcBorders>
              <w:top w:val="single" w:color="auto" w:sz="4" w:space="0"/>
              <w:left w:val="single" w:color="auto" w:sz="4" w:space="0"/>
              <w:bottom w:val="single" w:color="auto" w:sz="4" w:space="0"/>
              <w:right w:val="single" w:color="auto" w:sz="8" w:space="0"/>
            </w:tcBorders>
            <w:noWrap w:val="0"/>
            <w:vAlign w:val="center"/>
          </w:tcPr>
          <w:p w14:paraId="2F67D5AA">
            <w:pPr>
              <w:pStyle w:val="198"/>
              <w:spacing w:before="48" w:after="48"/>
              <w:ind w:left="84" w:right="84" w:firstLine="420" w:firstLineChars="200"/>
              <w:jc w:val="left"/>
              <w:rPr>
                <w:color w:val="auto"/>
                <w:sz w:val="21"/>
                <w:szCs w:val="21"/>
                <w:highlight w:val="none"/>
              </w:rPr>
            </w:pPr>
            <w:r>
              <w:rPr>
                <w:color w:val="auto"/>
                <w:sz w:val="21"/>
                <w:szCs w:val="21"/>
                <w:highlight w:val="none"/>
              </w:rPr>
              <w:t>交流采样远动终端技术条件</w:t>
            </w:r>
          </w:p>
        </w:tc>
      </w:tr>
      <w:tr w14:paraId="36D033D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201" w:type="pct"/>
            <w:tcBorders>
              <w:top w:val="single" w:color="auto" w:sz="4" w:space="0"/>
              <w:left w:val="single" w:color="auto" w:sz="8" w:space="0"/>
              <w:bottom w:val="single" w:color="auto" w:sz="4" w:space="0"/>
              <w:right w:val="single" w:color="auto" w:sz="4" w:space="0"/>
            </w:tcBorders>
            <w:noWrap w:val="0"/>
            <w:vAlign w:val="center"/>
          </w:tcPr>
          <w:p w14:paraId="582803F2">
            <w:pPr>
              <w:pStyle w:val="198"/>
              <w:spacing w:before="48" w:after="48"/>
              <w:ind w:left="84" w:right="84" w:firstLine="420" w:firstLineChars="200"/>
              <w:rPr>
                <w:color w:val="auto"/>
                <w:sz w:val="21"/>
                <w:szCs w:val="21"/>
                <w:highlight w:val="none"/>
              </w:rPr>
            </w:pPr>
            <w:r>
              <w:rPr>
                <w:color w:val="auto"/>
                <w:sz w:val="21"/>
                <w:szCs w:val="21"/>
                <w:highlight w:val="none"/>
              </w:rPr>
              <w:t>DL/T 634.5104</w:t>
            </w:r>
          </w:p>
        </w:tc>
        <w:tc>
          <w:tcPr>
            <w:tcW w:w="3799" w:type="pct"/>
            <w:tcBorders>
              <w:top w:val="single" w:color="auto" w:sz="4" w:space="0"/>
              <w:left w:val="single" w:color="auto" w:sz="4" w:space="0"/>
              <w:bottom w:val="single" w:color="auto" w:sz="4" w:space="0"/>
              <w:right w:val="single" w:color="auto" w:sz="8" w:space="0"/>
            </w:tcBorders>
            <w:noWrap w:val="0"/>
            <w:vAlign w:val="center"/>
          </w:tcPr>
          <w:p w14:paraId="3E1731AE">
            <w:pPr>
              <w:pStyle w:val="198"/>
              <w:spacing w:before="48" w:after="48"/>
              <w:ind w:left="84" w:right="84" w:firstLine="420" w:firstLineChars="200"/>
              <w:jc w:val="left"/>
              <w:rPr>
                <w:color w:val="auto"/>
                <w:sz w:val="21"/>
                <w:szCs w:val="21"/>
                <w:highlight w:val="none"/>
              </w:rPr>
            </w:pPr>
            <w:r>
              <w:rPr>
                <w:color w:val="auto"/>
                <w:sz w:val="21"/>
                <w:szCs w:val="21"/>
                <w:highlight w:val="none"/>
              </w:rPr>
              <w:t>远动设备及系统 第5</w:t>
            </w:r>
            <w:r>
              <w:rPr>
                <w:rFonts w:hint="eastAsia"/>
                <w:color w:val="auto"/>
                <w:sz w:val="21"/>
                <w:szCs w:val="21"/>
                <w:highlight w:val="none"/>
              </w:rPr>
              <w:t>-</w:t>
            </w:r>
            <w:r>
              <w:rPr>
                <w:color w:val="auto"/>
                <w:sz w:val="21"/>
                <w:szCs w:val="21"/>
                <w:highlight w:val="none"/>
              </w:rPr>
              <w:t>104部分：传输规约 采用标准传输</w:t>
            </w:r>
            <w:r>
              <w:rPr>
                <w:rFonts w:hint="eastAsia"/>
                <w:color w:val="auto"/>
                <w:sz w:val="21"/>
                <w:szCs w:val="21"/>
                <w:highlight w:val="none"/>
              </w:rPr>
              <w:t>协议</w:t>
            </w:r>
            <w:r>
              <w:rPr>
                <w:color w:val="auto"/>
                <w:sz w:val="21"/>
                <w:szCs w:val="21"/>
                <w:highlight w:val="none"/>
              </w:rPr>
              <w:t>集的IEC 60870-5-101网络访问（IEC 60870-5-104）</w:t>
            </w:r>
          </w:p>
        </w:tc>
      </w:tr>
      <w:tr w14:paraId="1964058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201" w:type="pct"/>
            <w:tcBorders>
              <w:top w:val="single" w:color="auto" w:sz="4" w:space="0"/>
              <w:left w:val="single" w:color="auto" w:sz="8" w:space="0"/>
              <w:bottom w:val="single" w:color="auto" w:sz="8" w:space="0"/>
              <w:right w:val="single" w:color="auto" w:sz="4" w:space="0"/>
            </w:tcBorders>
            <w:noWrap w:val="0"/>
            <w:vAlign w:val="center"/>
          </w:tcPr>
          <w:p w14:paraId="375A361C">
            <w:pPr>
              <w:pStyle w:val="198"/>
              <w:spacing w:before="48" w:after="48"/>
              <w:ind w:left="84" w:right="84" w:firstLine="420" w:firstLineChars="200"/>
              <w:rPr>
                <w:color w:val="auto"/>
                <w:sz w:val="21"/>
                <w:szCs w:val="21"/>
                <w:highlight w:val="none"/>
              </w:rPr>
            </w:pPr>
            <w:r>
              <w:rPr>
                <w:color w:val="auto"/>
                <w:sz w:val="21"/>
                <w:szCs w:val="21"/>
                <w:highlight w:val="none"/>
              </w:rPr>
              <w:t>DL/T 667</w:t>
            </w:r>
          </w:p>
        </w:tc>
        <w:tc>
          <w:tcPr>
            <w:tcW w:w="3799" w:type="pct"/>
            <w:tcBorders>
              <w:top w:val="single" w:color="auto" w:sz="4" w:space="0"/>
              <w:left w:val="single" w:color="auto" w:sz="4" w:space="0"/>
              <w:bottom w:val="single" w:color="auto" w:sz="8" w:space="0"/>
              <w:right w:val="single" w:color="auto" w:sz="8" w:space="0"/>
            </w:tcBorders>
            <w:noWrap w:val="0"/>
            <w:vAlign w:val="center"/>
          </w:tcPr>
          <w:p w14:paraId="3CF4C7D4">
            <w:pPr>
              <w:pStyle w:val="198"/>
              <w:spacing w:before="48" w:after="48"/>
              <w:ind w:left="84" w:right="84" w:firstLine="420" w:firstLineChars="200"/>
              <w:jc w:val="left"/>
              <w:rPr>
                <w:color w:val="auto"/>
                <w:sz w:val="21"/>
                <w:szCs w:val="21"/>
                <w:highlight w:val="none"/>
              </w:rPr>
            </w:pPr>
            <w:r>
              <w:rPr>
                <w:color w:val="auto"/>
                <w:sz w:val="21"/>
                <w:szCs w:val="21"/>
                <w:highlight w:val="none"/>
              </w:rPr>
              <w:t>远动设备及系统  第5部分：传输规约  第103篇：继电保护设备信息接口配套标准</w:t>
            </w:r>
          </w:p>
        </w:tc>
      </w:tr>
      <w:tr w14:paraId="679FE09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201" w:type="pct"/>
            <w:tcBorders>
              <w:top w:val="single" w:color="auto" w:sz="4" w:space="0"/>
              <w:left w:val="single" w:color="auto" w:sz="8" w:space="0"/>
              <w:bottom w:val="single" w:color="auto" w:sz="8" w:space="0"/>
              <w:right w:val="single" w:color="auto" w:sz="4" w:space="0"/>
            </w:tcBorders>
            <w:noWrap w:val="0"/>
            <w:vAlign w:val="center"/>
          </w:tcPr>
          <w:p w14:paraId="6BA6A99E">
            <w:pPr>
              <w:pStyle w:val="198"/>
              <w:spacing w:before="48" w:after="48"/>
              <w:ind w:left="84" w:right="84" w:firstLine="420" w:firstLineChars="200"/>
              <w:rPr>
                <w:color w:val="auto"/>
                <w:sz w:val="21"/>
                <w:szCs w:val="21"/>
                <w:highlight w:val="none"/>
              </w:rPr>
            </w:pPr>
            <w:r>
              <w:rPr>
                <w:color w:val="auto"/>
                <w:sz w:val="21"/>
                <w:szCs w:val="21"/>
                <w:highlight w:val="none"/>
              </w:rPr>
              <w:t>DL/T 720</w:t>
            </w:r>
          </w:p>
        </w:tc>
        <w:tc>
          <w:tcPr>
            <w:tcW w:w="3799" w:type="pct"/>
            <w:tcBorders>
              <w:top w:val="single" w:color="auto" w:sz="4" w:space="0"/>
              <w:left w:val="single" w:color="auto" w:sz="4" w:space="0"/>
              <w:bottom w:val="single" w:color="auto" w:sz="8" w:space="0"/>
              <w:right w:val="single" w:color="auto" w:sz="8" w:space="0"/>
            </w:tcBorders>
            <w:noWrap w:val="0"/>
            <w:vAlign w:val="center"/>
          </w:tcPr>
          <w:p w14:paraId="25DF2559">
            <w:pPr>
              <w:pStyle w:val="198"/>
              <w:spacing w:before="48" w:after="48"/>
              <w:ind w:left="84" w:right="84" w:firstLine="420" w:firstLineChars="200"/>
              <w:jc w:val="left"/>
              <w:rPr>
                <w:color w:val="auto"/>
                <w:sz w:val="21"/>
                <w:szCs w:val="21"/>
                <w:highlight w:val="none"/>
              </w:rPr>
            </w:pPr>
            <w:r>
              <w:rPr>
                <w:color w:val="auto"/>
                <w:sz w:val="21"/>
                <w:szCs w:val="21"/>
                <w:highlight w:val="none"/>
              </w:rPr>
              <w:t>电力系统继电</w:t>
            </w:r>
            <w:r>
              <w:rPr>
                <w:rFonts w:hint="eastAsia"/>
                <w:color w:val="auto"/>
                <w:sz w:val="21"/>
                <w:szCs w:val="21"/>
                <w:highlight w:val="none"/>
              </w:rPr>
              <w:t>保护</w:t>
            </w:r>
            <w:r>
              <w:rPr>
                <w:color w:val="auto"/>
                <w:sz w:val="21"/>
                <w:szCs w:val="21"/>
                <w:highlight w:val="none"/>
              </w:rPr>
              <w:t>柜、屏通用技术条件</w:t>
            </w:r>
          </w:p>
        </w:tc>
      </w:tr>
      <w:tr w14:paraId="6E6BD50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201" w:type="pct"/>
            <w:tcBorders>
              <w:top w:val="single" w:color="auto" w:sz="4" w:space="0"/>
              <w:left w:val="single" w:color="auto" w:sz="8" w:space="0"/>
              <w:bottom w:val="single" w:color="auto" w:sz="8" w:space="0"/>
              <w:right w:val="single" w:color="auto" w:sz="4" w:space="0"/>
            </w:tcBorders>
            <w:noWrap w:val="0"/>
            <w:vAlign w:val="center"/>
          </w:tcPr>
          <w:p w14:paraId="391A6CD9">
            <w:pPr>
              <w:pStyle w:val="198"/>
              <w:spacing w:before="48" w:after="48"/>
              <w:ind w:left="84" w:right="84" w:firstLine="420" w:firstLineChars="200"/>
              <w:rPr>
                <w:color w:val="auto"/>
                <w:sz w:val="21"/>
                <w:szCs w:val="21"/>
                <w:highlight w:val="none"/>
              </w:rPr>
            </w:pPr>
            <w:r>
              <w:rPr>
                <w:color w:val="auto"/>
                <w:sz w:val="21"/>
                <w:szCs w:val="21"/>
                <w:highlight w:val="none"/>
              </w:rPr>
              <w:t>DL/T 890.301</w:t>
            </w:r>
          </w:p>
        </w:tc>
        <w:tc>
          <w:tcPr>
            <w:tcW w:w="3799" w:type="pct"/>
            <w:tcBorders>
              <w:top w:val="single" w:color="auto" w:sz="4" w:space="0"/>
              <w:left w:val="single" w:color="auto" w:sz="4" w:space="0"/>
              <w:bottom w:val="single" w:color="auto" w:sz="8" w:space="0"/>
              <w:right w:val="single" w:color="auto" w:sz="8" w:space="0"/>
            </w:tcBorders>
            <w:noWrap w:val="0"/>
            <w:vAlign w:val="center"/>
          </w:tcPr>
          <w:p w14:paraId="7749830B">
            <w:pPr>
              <w:pStyle w:val="198"/>
              <w:spacing w:before="48" w:after="48"/>
              <w:ind w:left="84" w:right="84" w:firstLine="420" w:firstLineChars="200"/>
              <w:jc w:val="left"/>
              <w:rPr>
                <w:color w:val="auto"/>
                <w:sz w:val="21"/>
                <w:szCs w:val="21"/>
                <w:highlight w:val="none"/>
              </w:rPr>
            </w:pPr>
            <w:r>
              <w:rPr>
                <w:color w:val="auto"/>
                <w:sz w:val="21"/>
                <w:szCs w:val="21"/>
                <w:highlight w:val="none"/>
              </w:rPr>
              <w:t>能量管理系统应用程序接口（EMS-API）第301</w:t>
            </w:r>
            <w:r>
              <w:rPr>
                <w:rFonts w:hint="eastAsia"/>
                <w:color w:val="auto"/>
                <w:sz w:val="21"/>
                <w:szCs w:val="21"/>
                <w:highlight w:val="none"/>
              </w:rPr>
              <w:t>部分：</w:t>
            </w:r>
            <w:r>
              <w:rPr>
                <w:color w:val="auto"/>
                <w:sz w:val="21"/>
                <w:szCs w:val="21"/>
                <w:highlight w:val="none"/>
              </w:rPr>
              <w:t>公用信息模型（CIM）基础（IEC 61970-301）</w:t>
            </w:r>
          </w:p>
        </w:tc>
      </w:tr>
      <w:tr w14:paraId="6F9D64B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201" w:type="pct"/>
            <w:tcBorders>
              <w:top w:val="single" w:color="auto" w:sz="4" w:space="0"/>
              <w:left w:val="single" w:color="auto" w:sz="8" w:space="0"/>
              <w:bottom w:val="single" w:color="auto" w:sz="8" w:space="0"/>
              <w:right w:val="single" w:color="auto" w:sz="4" w:space="0"/>
            </w:tcBorders>
            <w:noWrap w:val="0"/>
            <w:vAlign w:val="center"/>
          </w:tcPr>
          <w:p w14:paraId="1592A0A5">
            <w:pPr>
              <w:pStyle w:val="198"/>
              <w:spacing w:before="48" w:after="48"/>
              <w:ind w:left="84" w:right="84" w:firstLine="420" w:firstLineChars="200"/>
              <w:rPr>
                <w:color w:val="auto"/>
                <w:sz w:val="21"/>
                <w:szCs w:val="21"/>
                <w:highlight w:val="none"/>
              </w:rPr>
            </w:pPr>
            <w:r>
              <w:rPr>
                <w:color w:val="auto"/>
                <w:sz w:val="21"/>
                <w:szCs w:val="21"/>
                <w:highlight w:val="none"/>
              </w:rPr>
              <w:t>DL/T 5003</w:t>
            </w:r>
          </w:p>
        </w:tc>
        <w:tc>
          <w:tcPr>
            <w:tcW w:w="3799" w:type="pct"/>
            <w:tcBorders>
              <w:top w:val="single" w:color="auto" w:sz="4" w:space="0"/>
              <w:left w:val="single" w:color="auto" w:sz="4" w:space="0"/>
              <w:bottom w:val="single" w:color="auto" w:sz="8" w:space="0"/>
              <w:right w:val="single" w:color="auto" w:sz="8" w:space="0"/>
            </w:tcBorders>
            <w:noWrap w:val="0"/>
            <w:vAlign w:val="center"/>
          </w:tcPr>
          <w:p w14:paraId="1D285D8B">
            <w:pPr>
              <w:pStyle w:val="198"/>
              <w:spacing w:before="48" w:after="48"/>
              <w:ind w:left="84" w:right="84" w:firstLine="420" w:firstLineChars="200"/>
              <w:jc w:val="left"/>
              <w:rPr>
                <w:color w:val="auto"/>
                <w:sz w:val="21"/>
                <w:szCs w:val="21"/>
                <w:highlight w:val="none"/>
              </w:rPr>
            </w:pPr>
            <w:r>
              <w:rPr>
                <w:color w:val="auto"/>
                <w:sz w:val="21"/>
                <w:szCs w:val="21"/>
                <w:highlight w:val="none"/>
              </w:rPr>
              <w:t>电力系统调度自动化设计技术规程</w:t>
            </w:r>
          </w:p>
        </w:tc>
      </w:tr>
      <w:tr w14:paraId="76CE092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201" w:type="pct"/>
            <w:tcBorders>
              <w:top w:val="single" w:color="auto" w:sz="4" w:space="0"/>
              <w:left w:val="single" w:color="auto" w:sz="8" w:space="0"/>
              <w:bottom w:val="single" w:color="auto" w:sz="8" w:space="0"/>
              <w:right w:val="single" w:color="auto" w:sz="4" w:space="0"/>
            </w:tcBorders>
            <w:noWrap w:val="0"/>
            <w:vAlign w:val="center"/>
          </w:tcPr>
          <w:p w14:paraId="4264ACA4">
            <w:pPr>
              <w:pStyle w:val="198"/>
              <w:spacing w:before="48" w:after="48"/>
              <w:ind w:left="84" w:right="84" w:firstLine="420" w:firstLineChars="200"/>
              <w:rPr>
                <w:color w:val="auto"/>
                <w:sz w:val="21"/>
                <w:szCs w:val="21"/>
                <w:highlight w:val="none"/>
              </w:rPr>
            </w:pPr>
            <w:r>
              <w:rPr>
                <w:color w:val="auto"/>
                <w:sz w:val="21"/>
                <w:szCs w:val="21"/>
                <w:highlight w:val="none"/>
              </w:rPr>
              <w:t>DL/T 5136</w:t>
            </w:r>
          </w:p>
        </w:tc>
        <w:tc>
          <w:tcPr>
            <w:tcW w:w="3799" w:type="pct"/>
            <w:tcBorders>
              <w:top w:val="single" w:color="auto" w:sz="4" w:space="0"/>
              <w:left w:val="single" w:color="auto" w:sz="4" w:space="0"/>
              <w:bottom w:val="single" w:color="auto" w:sz="8" w:space="0"/>
              <w:right w:val="single" w:color="auto" w:sz="8" w:space="0"/>
            </w:tcBorders>
            <w:noWrap w:val="0"/>
            <w:vAlign w:val="center"/>
          </w:tcPr>
          <w:p w14:paraId="661D3458">
            <w:pPr>
              <w:pStyle w:val="198"/>
              <w:spacing w:before="48" w:after="48"/>
              <w:ind w:left="84" w:right="84" w:firstLine="420" w:firstLineChars="200"/>
              <w:jc w:val="left"/>
              <w:rPr>
                <w:color w:val="auto"/>
                <w:sz w:val="21"/>
                <w:szCs w:val="21"/>
                <w:highlight w:val="none"/>
              </w:rPr>
            </w:pPr>
            <w:r>
              <w:rPr>
                <w:color w:val="auto"/>
                <w:sz w:val="21"/>
                <w:szCs w:val="21"/>
                <w:highlight w:val="none"/>
              </w:rPr>
              <w:t>火力发电厂、变电所二次接线设计技术规程</w:t>
            </w:r>
          </w:p>
        </w:tc>
      </w:tr>
      <w:tr w14:paraId="29ECDFE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201" w:type="pct"/>
            <w:tcBorders>
              <w:top w:val="single" w:color="auto" w:sz="4" w:space="0"/>
              <w:left w:val="single" w:color="auto" w:sz="8" w:space="0"/>
              <w:bottom w:val="single" w:color="auto" w:sz="8" w:space="0"/>
              <w:right w:val="single" w:color="auto" w:sz="4" w:space="0"/>
            </w:tcBorders>
            <w:noWrap w:val="0"/>
            <w:vAlign w:val="center"/>
          </w:tcPr>
          <w:p w14:paraId="4F480208">
            <w:pPr>
              <w:pStyle w:val="198"/>
              <w:spacing w:before="48" w:after="48"/>
              <w:ind w:left="84" w:right="84" w:firstLine="420" w:firstLineChars="200"/>
              <w:rPr>
                <w:color w:val="auto"/>
                <w:sz w:val="21"/>
                <w:szCs w:val="21"/>
                <w:highlight w:val="none"/>
              </w:rPr>
            </w:pPr>
            <w:r>
              <w:rPr>
                <w:color w:val="auto"/>
                <w:sz w:val="21"/>
                <w:szCs w:val="21"/>
                <w:highlight w:val="none"/>
              </w:rPr>
              <w:t>ANSI/IEEE C37.111</w:t>
            </w:r>
          </w:p>
        </w:tc>
        <w:tc>
          <w:tcPr>
            <w:tcW w:w="3799" w:type="pct"/>
            <w:tcBorders>
              <w:top w:val="single" w:color="auto" w:sz="4" w:space="0"/>
              <w:left w:val="single" w:color="auto" w:sz="4" w:space="0"/>
              <w:bottom w:val="single" w:color="auto" w:sz="8" w:space="0"/>
              <w:right w:val="single" w:color="auto" w:sz="8" w:space="0"/>
            </w:tcBorders>
            <w:noWrap w:val="0"/>
            <w:vAlign w:val="center"/>
          </w:tcPr>
          <w:p w14:paraId="5E9B477F">
            <w:pPr>
              <w:pStyle w:val="198"/>
              <w:spacing w:before="48" w:after="48"/>
              <w:ind w:left="84" w:right="84" w:firstLine="420" w:firstLineChars="200"/>
              <w:jc w:val="left"/>
              <w:rPr>
                <w:color w:val="auto"/>
                <w:sz w:val="21"/>
                <w:szCs w:val="21"/>
                <w:highlight w:val="none"/>
              </w:rPr>
            </w:pPr>
            <w:r>
              <w:rPr>
                <w:color w:val="auto"/>
                <w:sz w:val="21"/>
                <w:szCs w:val="21"/>
                <w:highlight w:val="none"/>
              </w:rPr>
              <w:t>电力系统暂态数据交换通用格式</w:t>
            </w:r>
          </w:p>
        </w:tc>
      </w:tr>
      <w:tr w14:paraId="24B2745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201" w:type="pct"/>
            <w:tcBorders>
              <w:top w:val="single" w:color="auto" w:sz="4" w:space="0"/>
              <w:left w:val="single" w:color="auto" w:sz="8" w:space="0"/>
              <w:bottom w:val="single" w:color="auto" w:sz="8" w:space="0"/>
              <w:right w:val="single" w:color="auto" w:sz="4" w:space="0"/>
            </w:tcBorders>
            <w:noWrap w:val="0"/>
            <w:vAlign w:val="center"/>
          </w:tcPr>
          <w:p w14:paraId="36E2CCBC">
            <w:pPr>
              <w:pStyle w:val="198"/>
              <w:spacing w:before="48" w:after="48"/>
              <w:ind w:left="84" w:right="84" w:firstLine="420" w:firstLineChars="200"/>
              <w:rPr>
                <w:rFonts w:hint="eastAsia"/>
                <w:color w:val="auto"/>
                <w:sz w:val="21"/>
                <w:szCs w:val="21"/>
                <w:highlight w:val="none"/>
              </w:rPr>
            </w:pPr>
            <w:r>
              <w:rPr>
                <w:color w:val="auto"/>
                <w:sz w:val="21"/>
                <w:szCs w:val="21"/>
                <w:highlight w:val="none"/>
              </w:rPr>
              <w:t xml:space="preserve">IEEE </w:t>
            </w:r>
            <w:r>
              <w:rPr>
                <w:rFonts w:hint="eastAsia"/>
                <w:color w:val="auto"/>
                <w:sz w:val="21"/>
                <w:szCs w:val="21"/>
                <w:highlight w:val="none"/>
              </w:rPr>
              <w:t>C37.118</w:t>
            </w:r>
          </w:p>
        </w:tc>
        <w:tc>
          <w:tcPr>
            <w:tcW w:w="3799" w:type="pct"/>
            <w:tcBorders>
              <w:top w:val="single" w:color="auto" w:sz="4" w:space="0"/>
              <w:left w:val="single" w:color="auto" w:sz="4" w:space="0"/>
              <w:bottom w:val="single" w:color="auto" w:sz="8" w:space="0"/>
              <w:right w:val="single" w:color="auto" w:sz="8" w:space="0"/>
            </w:tcBorders>
            <w:noWrap w:val="0"/>
            <w:vAlign w:val="center"/>
          </w:tcPr>
          <w:p w14:paraId="5DD4FC4B">
            <w:pPr>
              <w:pStyle w:val="198"/>
              <w:spacing w:before="48" w:after="48"/>
              <w:ind w:left="84" w:right="84" w:firstLine="420" w:firstLineChars="200"/>
              <w:jc w:val="left"/>
              <w:rPr>
                <w:color w:val="auto"/>
                <w:sz w:val="21"/>
                <w:szCs w:val="21"/>
                <w:highlight w:val="none"/>
              </w:rPr>
            </w:pPr>
            <w:r>
              <w:rPr>
                <w:color w:val="auto"/>
                <w:sz w:val="21"/>
                <w:szCs w:val="21"/>
                <w:highlight w:val="none"/>
              </w:rPr>
              <w:t>电力系统同步相量标准</w:t>
            </w:r>
          </w:p>
        </w:tc>
      </w:tr>
      <w:tr w14:paraId="5A1431C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201" w:type="pct"/>
            <w:tcBorders>
              <w:top w:val="single" w:color="auto" w:sz="4" w:space="0"/>
              <w:left w:val="single" w:color="auto" w:sz="8" w:space="0"/>
              <w:bottom w:val="single" w:color="auto" w:sz="4" w:space="0"/>
              <w:right w:val="single" w:color="auto" w:sz="4" w:space="0"/>
            </w:tcBorders>
            <w:noWrap w:val="0"/>
            <w:vAlign w:val="center"/>
          </w:tcPr>
          <w:p w14:paraId="7AE99259">
            <w:pPr>
              <w:pStyle w:val="198"/>
              <w:spacing w:before="48" w:after="48"/>
              <w:ind w:left="84" w:right="84" w:firstLine="420" w:firstLineChars="200"/>
              <w:rPr>
                <w:rFonts w:hint="eastAsia" w:eastAsia="宋体"/>
                <w:color w:val="auto"/>
                <w:sz w:val="21"/>
                <w:szCs w:val="21"/>
                <w:highlight w:val="none"/>
                <w:lang w:eastAsia="zh-CN"/>
              </w:rPr>
            </w:pPr>
            <w:r>
              <w:rPr>
                <w:color w:val="auto"/>
                <w:sz w:val="21"/>
                <w:szCs w:val="21"/>
                <w:highlight w:val="none"/>
              </w:rPr>
              <w:t>Q/GDW 1131-201</w:t>
            </w:r>
            <w:r>
              <w:rPr>
                <w:rFonts w:hint="eastAsia"/>
                <w:color w:val="auto"/>
                <w:sz w:val="21"/>
                <w:szCs w:val="21"/>
                <w:highlight w:val="none"/>
                <w:lang w:val="en-US" w:eastAsia="zh-CN"/>
              </w:rPr>
              <w:t>7</w:t>
            </w:r>
          </w:p>
        </w:tc>
        <w:tc>
          <w:tcPr>
            <w:tcW w:w="3799" w:type="pct"/>
            <w:tcBorders>
              <w:top w:val="single" w:color="auto" w:sz="4" w:space="0"/>
              <w:left w:val="single" w:color="auto" w:sz="4" w:space="0"/>
              <w:bottom w:val="single" w:color="auto" w:sz="4" w:space="0"/>
              <w:right w:val="single" w:color="auto" w:sz="8" w:space="0"/>
            </w:tcBorders>
            <w:noWrap w:val="0"/>
            <w:vAlign w:val="center"/>
          </w:tcPr>
          <w:p w14:paraId="33A2E881">
            <w:pPr>
              <w:pStyle w:val="198"/>
              <w:spacing w:before="48" w:after="48"/>
              <w:ind w:left="84" w:right="84" w:firstLine="420" w:firstLineChars="200"/>
              <w:jc w:val="left"/>
              <w:rPr>
                <w:color w:val="auto"/>
                <w:sz w:val="21"/>
                <w:szCs w:val="21"/>
                <w:highlight w:val="none"/>
              </w:rPr>
            </w:pPr>
            <w:r>
              <w:rPr>
                <w:color w:val="auto"/>
                <w:sz w:val="21"/>
                <w:szCs w:val="21"/>
                <w:highlight w:val="none"/>
              </w:rPr>
              <w:t>电力系统实时动态监测系统技术规范</w:t>
            </w:r>
          </w:p>
        </w:tc>
      </w:tr>
      <w:tr w14:paraId="54930FB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201" w:type="pct"/>
            <w:tcBorders>
              <w:top w:val="single" w:color="auto" w:sz="4" w:space="0"/>
              <w:left w:val="single" w:color="auto" w:sz="8" w:space="0"/>
              <w:bottom w:val="single" w:color="auto" w:sz="4" w:space="0"/>
              <w:right w:val="single" w:color="auto" w:sz="4" w:space="0"/>
            </w:tcBorders>
            <w:noWrap w:val="0"/>
            <w:vAlign w:val="center"/>
          </w:tcPr>
          <w:p w14:paraId="2EA8196B">
            <w:pPr>
              <w:pStyle w:val="198"/>
              <w:spacing w:before="48" w:after="48"/>
              <w:ind w:left="84" w:right="84" w:firstLine="420" w:firstLineChars="200"/>
              <w:rPr>
                <w:color w:val="auto"/>
                <w:sz w:val="21"/>
                <w:szCs w:val="21"/>
                <w:highlight w:val="none"/>
              </w:rPr>
            </w:pPr>
            <w:r>
              <w:rPr>
                <w:color w:val="auto"/>
                <w:sz w:val="21"/>
                <w:szCs w:val="21"/>
                <w:highlight w:val="none"/>
              </w:rPr>
              <w:t>DL/T 1402-2015</w:t>
            </w:r>
          </w:p>
        </w:tc>
        <w:tc>
          <w:tcPr>
            <w:tcW w:w="3799" w:type="pct"/>
            <w:tcBorders>
              <w:top w:val="single" w:color="auto" w:sz="4" w:space="0"/>
              <w:left w:val="single" w:color="auto" w:sz="4" w:space="0"/>
              <w:bottom w:val="single" w:color="auto" w:sz="4" w:space="0"/>
              <w:right w:val="single" w:color="auto" w:sz="8" w:space="0"/>
            </w:tcBorders>
            <w:noWrap w:val="0"/>
            <w:vAlign w:val="center"/>
          </w:tcPr>
          <w:p w14:paraId="39ABD10A">
            <w:pPr>
              <w:pStyle w:val="198"/>
              <w:spacing w:before="48" w:after="48"/>
              <w:ind w:left="84" w:right="84" w:firstLine="420" w:firstLineChars="200"/>
              <w:jc w:val="left"/>
              <w:rPr>
                <w:color w:val="auto"/>
                <w:sz w:val="21"/>
                <w:szCs w:val="21"/>
                <w:highlight w:val="none"/>
              </w:rPr>
            </w:pPr>
            <w:r>
              <w:rPr>
                <w:rFonts w:hint="eastAsia"/>
                <w:color w:val="auto"/>
                <w:sz w:val="21"/>
                <w:szCs w:val="21"/>
                <w:highlight w:val="none"/>
              </w:rPr>
              <w:t>厂站端同步相量应用技术规范</w:t>
            </w:r>
          </w:p>
        </w:tc>
      </w:tr>
      <w:tr w14:paraId="32D5B27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201" w:type="pct"/>
            <w:tcBorders>
              <w:top w:val="single" w:color="auto" w:sz="4" w:space="0"/>
              <w:left w:val="single" w:color="auto" w:sz="8" w:space="0"/>
              <w:bottom w:val="single" w:color="auto" w:sz="4" w:space="0"/>
              <w:right w:val="single" w:color="auto" w:sz="4" w:space="0"/>
            </w:tcBorders>
            <w:noWrap w:val="0"/>
            <w:vAlign w:val="center"/>
          </w:tcPr>
          <w:p w14:paraId="06A3F0EE">
            <w:pPr>
              <w:pStyle w:val="198"/>
              <w:spacing w:before="48" w:after="48"/>
              <w:ind w:left="84" w:right="84" w:firstLine="420" w:firstLineChars="200"/>
              <w:rPr>
                <w:rFonts w:hint="default" w:eastAsia="宋体"/>
                <w:color w:val="auto"/>
                <w:sz w:val="21"/>
                <w:szCs w:val="21"/>
                <w:highlight w:val="none"/>
                <w:lang w:val="en-US" w:eastAsia="zh-CN"/>
              </w:rPr>
            </w:pPr>
            <w:r>
              <w:rPr>
                <w:rFonts w:hint="default" w:cstheme="minorBidi"/>
                <w:b w:val="0"/>
                <w:bCs w:val="0"/>
                <w:color w:val="auto"/>
                <w:kern w:val="0"/>
                <w:sz w:val="21"/>
                <w:szCs w:val="21"/>
                <w:highlight w:val="none"/>
                <w:lang w:val="en-US" w:eastAsia="zh-CN"/>
              </w:rPr>
              <w:t xml:space="preserve">Q/GDW 12214--2022 </w:t>
            </w:r>
          </w:p>
        </w:tc>
        <w:tc>
          <w:tcPr>
            <w:tcW w:w="3799" w:type="pct"/>
            <w:tcBorders>
              <w:top w:val="single" w:color="auto" w:sz="4" w:space="0"/>
              <w:left w:val="single" w:color="auto" w:sz="4" w:space="0"/>
              <w:bottom w:val="single" w:color="auto" w:sz="4" w:space="0"/>
              <w:right w:val="single" w:color="auto" w:sz="8" w:space="0"/>
            </w:tcBorders>
            <w:noWrap w:val="0"/>
            <w:vAlign w:val="center"/>
          </w:tcPr>
          <w:p w14:paraId="3CF3A201">
            <w:pPr>
              <w:pStyle w:val="198"/>
              <w:spacing w:before="48" w:after="48"/>
              <w:ind w:left="84" w:right="84" w:firstLine="420" w:firstLineChars="200"/>
              <w:jc w:val="left"/>
              <w:rPr>
                <w:rFonts w:hint="eastAsia"/>
                <w:color w:val="auto"/>
                <w:sz w:val="21"/>
                <w:szCs w:val="21"/>
                <w:highlight w:val="none"/>
              </w:rPr>
            </w:pPr>
            <w:r>
              <w:rPr>
                <w:rFonts w:hint="default" w:cstheme="minorBidi"/>
                <w:b w:val="0"/>
                <w:bCs w:val="0"/>
                <w:color w:val="auto"/>
                <w:kern w:val="0"/>
                <w:sz w:val="21"/>
                <w:szCs w:val="21"/>
                <w:highlight w:val="none"/>
                <w:lang w:val="en-US" w:eastAsia="zh-CN"/>
              </w:rPr>
              <w:t>电力系统宽频测量装置技术规范</w:t>
            </w:r>
          </w:p>
        </w:tc>
      </w:tr>
      <w:tr w14:paraId="2D9372E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201" w:type="pct"/>
            <w:tcBorders>
              <w:top w:val="single" w:color="auto" w:sz="4" w:space="0"/>
              <w:left w:val="single" w:color="auto" w:sz="8" w:space="0"/>
              <w:bottom w:val="single" w:color="auto" w:sz="4" w:space="0"/>
              <w:right w:val="single" w:color="auto" w:sz="4" w:space="0"/>
            </w:tcBorders>
            <w:noWrap w:val="0"/>
            <w:vAlign w:val="center"/>
          </w:tcPr>
          <w:p w14:paraId="216D54F3">
            <w:pPr>
              <w:pStyle w:val="198"/>
              <w:spacing w:before="48" w:after="48"/>
              <w:ind w:left="0" w:leftChars="0" w:right="84" w:firstLine="0" w:firstLineChars="0"/>
              <w:jc w:val="both"/>
              <w:rPr>
                <w:rFonts w:hint="default" w:cstheme="minorBidi"/>
                <w:b w:val="0"/>
                <w:bCs w:val="0"/>
                <w:color w:val="auto"/>
                <w:kern w:val="0"/>
                <w:sz w:val="21"/>
                <w:szCs w:val="21"/>
                <w:highlight w:val="none"/>
                <w:lang w:val="en-US" w:eastAsia="zh-CN"/>
              </w:rPr>
            </w:pPr>
            <w:r>
              <w:rPr>
                <w:rFonts w:hint="default" w:ascii="宋体" w:hAnsi="宋体" w:eastAsia="宋体"/>
                <w:color w:val="auto"/>
                <w:sz w:val="21"/>
                <w:szCs w:val="21"/>
                <w:highlight w:val="none"/>
                <w:lang w:eastAsia="zh-CN"/>
              </w:rPr>
              <w:t>国家发展和改革委员会令20</w:t>
            </w:r>
            <w:r>
              <w:rPr>
                <w:rFonts w:hint="default" w:ascii="宋体" w:hAnsi="宋体" w:eastAsia="宋体"/>
                <w:color w:val="auto"/>
                <w:sz w:val="21"/>
                <w:szCs w:val="21"/>
                <w:highlight w:val="none"/>
                <w:lang w:val="en-US" w:eastAsia="zh-CN"/>
              </w:rPr>
              <w:t>2</w:t>
            </w:r>
            <w:r>
              <w:rPr>
                <w:rFonts w:hint="default" w:ascii="宋体" w:hAnsi="宋体" w:eastAsia="宋体"/>
                <w:color w:val="auto"/>
                <w:sz w:val="21"/>
                <w:szCs w:val="21"/>
                <w:highlight w:val="none"/>
                <w:lang w:eastAsia="zh-CN"/>
              </w:rPr>
              <w:t>4年第</w:t>
            </w:r>
            <w:r>
              <w:rPr>
                <w:rFonts w:hint="default" w:ascii="宋体" w:hAnsi="宋体" w:eastAsia="宋体"/>
                <w:color w:val="auto"/>
                <w:sz w:val="21"/>
                <w:szCs w:val="21"/>
                <w:highlight w:val="none"/>
                <w:lang w:val="en-US" w:eastAsia="zh-CN"/>
              </w:rPr>
              <w:t>27</w:t>
            </w:r>
            <w:r>
              <w:rPr>
                <w:rFonts w:hint="default" w:ascii="宋体" w:hAnsi="宋体" w:eastAsia="宋体"/>
                <w:color w:val="auto"/>
                <w:sz w:val="21"/>
                <w:szCs w:val="21"/>
                <w:highlight w:val="none"/>
                <w:lang w:eastAsia="zh-CN"/>
              </w:rPr>
              <w:t>号</w:t>
            </w:r>
          </w:p>
        </w:tc>
        <w:tc>
          <w:tcPr>
            <w:tcW w:w="3799" w:type="pct"/>
            <w:tcBorders>
              <w:top w:val="single" w:color="auto" w:sz="4" w:space="0"/>
              <w:left w:val="single" w:color="auto" w:sz="4" w:space="0"/>
              <w:bottom w:val="single" w:color="auto" w:sz="4" w:space="0"/>
              <w:right w:val="single" w:color="auto" w:sz="8" w:space="0"/>
            </w:tcBorders>
            <w:noWrap w:val="0"/>
            <w:vAlign w:val="center"/>
          </w:tcPr>
          <w:p w14:paraId="2CC57F43">
            <w:pPr>
              <w:spacing w:line="360" w:lineRule="auto"/>
              <w:ind w:firstLine="624"/>
              <w:rPr>
                <w:rFonts w:hint="default" w:ascii="宋体" w:eastAsia="宋体"/>
                <w:color w:val="auto"/>
                <w:sz w:val="21"/>
                <w:szCs w:val="21"/>
                <w:highlight w:val="none"/>
                <w:lang w:eastAsia="zh-CN"/>
              </w:rPr>
            </w:pPr>
            <w:r>
              <w:rPr>
                <w:rFonts w:hint="default" w:ascii="宋体"/>
                <w:color w:val="auto"/>
                <w:sz w:val="21"/>
                <w:szCs w:val="21"/>
                <w:highlight w:val="none"/>
                <w:lang w:eastAsia="zh-CN"/>
              </w:rPr>
              <w:t>电力监控系统安全防护规定</w:t>
            </w:r>
          </w:p>
          <w:p w14:paraId="104BC3A3">
            <w:pPr>
              <w:pStyle w:val="198"/>
              <w:spacing w:before="48" w:after="48"/>
              <w:ind w:left="84" w:right="84" w:firstLine="420" w:firstLineChars="200"/>
              <w:jc w:val="left"/>
              <w:rPr>
                <w:rFonts w:hint="default" w:cstheme="minorBidi"/>
                <w:b w:val="0"/>
                <w:bCs w:val="0"/>
                <w:color w:val="auto"/>
                <w:kern w:val="0"/>
                <w:sz w:val="21"/>
                <w:szCs w:val="21"/>
                <w:highlight w:val="none"/>
                <w:lang w:val="en-US" w:eastAsia="zh-CN"/>
              </w:rPr>
            </w:pPr>
          </w:p>
        </w:tc>
      </w:tr>
      <w:tr w14:paraId="5EB9F40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2088" w:type="dxa"/>
            <w:tcBorders>
              <w:top w:val="single" w:color="auto" w:sz="4" w:space="0"/>
              <w:left w:val="single" w:color="auto" w:sz="8" w:space="0"/>
              <w:bottom w:val="single" w:color="auto" w:sz="4" w:space="0"/>
              <w:right w:val="single" w:color="auto" w:sz="4" w:space="0"/>
            </w:tcBorders>
            <w:noWrap w:val="0"/>
            <w:vAlign w:val="center"/>
          </w:tcPr>
          <w:p w14:paraId="54BF3C5C">
            <w:pPr>
              <w:pStyle w:val="199"/>
              <w:widowControl w:val="0"/>
              <w:topLinePunct/>
              <w:snapToGrid w:val="0"/>
              <w:spacing w:before="60" w:after="60" w:line="360" w:lineRule="auto"/>
              <w:jc w:val="center"/>
              <w:rPr>
                <w:rFonts w:hint="default" w:ascii="宋体" w:hAnsi="宋体" w:eastAsia="宋体"/>
                <w:color w:val="auto"/>
                <w:sz w:val="21"/>
                <w:szCs w:val="21"/>
                <w:highlight w:val="none"/>
                <w:lang w:eastAsia="zh-CN"/>
              </w:rPr>
            </w:pPr>
            <w:r>
              <w:rPr>
                <w:rFonts w:hint="eastAsia" w:ascii="宋体"/>
                <w:color w:val="auto"/>
                <w:sz w:val="21"/>
                <w:szCs w:val="21"/>
                <w:highlight w:val="none"/>
                <w:lang w:val="en-US" w:eastAsia="zh-CN"/>
              </w:rPr>
              <w:t xml:space="preserve">西电调字【2023】50号 </w:t>
            </w:r>
          </w:p>
        </w:tc>
        <w:tc>
          <w:tcPr>
            <w:tcW w:w="6606" w:type="dxa"/>
            <w:tcBorders>
              <w:top w:val="single" w:color="auto" w:sz="4" w:space="0"/>
              <w:left w:val="single" w:color="auto" w:sz="4" w:space="0"/>
              <w:bottom w:val="single" w:color="auto" w:sz="4" w:space="0"/>
              <w:right w:val="single" w:color="auto" w:sz="8" w:space="0"/>
            </w:tcBorders>
            <w:noWrap w:val="0"/>
            <w:vAlign w:val="center"/>
          </w:tcPr>
          <w:p w14:paraId="14FC0426">
            <w:pPr>
              <w:pStyle w:val="199"/>
              <w:widowControl w:val="0"/>
              <w:topLinePunct/>
              <w:snapToGrid w:val="0"/>
              <w:spacing w:before="60" w:after="60" w:line="360" w:lineRule="auto"/>
              <w:ind w:left="42" w:leftChars="20" w:right="42" w:rightChars="20" w:firstLine="210" w:firstLineChars="100"/>
              <w:jc w:val="both"/>
              <w:rPr>
                <w:rFonts w:hint="default" w:cstheme="minorBidi"/>
                <w:b w:val="0"/>
                <w:bCs w:val="0"/>
                <w:color w:val="auto"/>
                <w:kern w:val="0"/>
                <w:sz w:val="21"/>
                <w:szCs w:val="21"/>
                <w:highlight w:val="none"/>
                <w:lang w:val="en-US" w:eastAsia="zh-CN"/>
              </w:rPr>
            </w:pPr>
            <w:r>
              <w:rPr>
                <w:rFonts w:hint="eastAsia" w:ascii="宋体"/>
                <w:color w:val="auto"/>
                <w:sz w:val="21"/>
                <w:szCs w:val="21"/>
                <w:highlight w:val="none"/>
                <w:lang w:val="en-US" w:eastAsia="zh-CN"/>
              </w:rPr>
              <w:t>国家电网有限公司西北分部调度控制中心关于印发《国网西北分部调度控制中心直调厂站自动化设备接入规范》的通知</w:t>
            </w:r>
          </w:p>
        </w:tc>
      </w:tr>
      <w:tr w14:paraId="190B57B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2088" w:type="dxa"/>
            <w:tcBorders>
              <w:top w:val="single" w:color="auto" w:sz="4" w:space="0"/>
              <w:left w:val="single" w:color="auto" w:sz="8" w:space="0"/>
              <w:bottom w:val="single" w:color="auto" w:sz="4" w:space="0"/>
              <w:right w:val="single" w:color="auto" w:sz="4" w:space="0"/>
            </w:tcBorders>
            <w:noWrap w:val="0"/>
            <w:vAlign w:val="center"/>
          </w:tcPr>
          <w:p w14:paraId="424EB505">
            <w:pPr>
              <w:pStyle w:val="199"/>
              <w:widowControl w:val="0"/>
              <w:topLinePunct/>
              <w:snapToGrid w:val="0"/>
              <w:spacing w:before="60" w:after="60" w:line="360" w:lineRule="auto"/>
              <w:jc w:val="center"/>
              <w:rPr>
                <w:rFonts w:hint="eastAsia" w:ascii="宋体"/>
                <w:color w:val="auto"/>
                <w:sz w:val="21"/>
                <w:szCs w:val="21"/>
                <w:highlight w:val="none"/>
                <w:lang w:val="en-US" w:eastAsia="zh-CN"/>
              </w:rPr>
            </w:pPr>
          </w:p>
        </w:tc>
        <w:tc>
          <w:tcPr>
            <w:tcW w:w="6606" w:type="dxa"/>
            <w:tcBorders>
              <w:top w:val="single" w:color="auto" w:sz="4" w:space="0"/>
              <w:left w:val="single" w:color="auto" w:sz="4" w:space="0"/>
              <w:bottom w:val="single" w:color="auto" w:sz="4" w:space="0"/>
              <w:right w:val="single" w:color="auto" w:sz="8" w:space="0"/>
            </w:tcBorders>
            <w:noWrap w:val="0"/>
            <w:vAlign w:val="center"/>
          </w:tcPr>
          <w:p w14:paraId="5CD9B7C0">
            <w:pPr>
              <w:pStyle w:val="199"/>
              <w:widowControl w:val="0"/>
              <w:topLinePunct/>
              <w:snapToGrid w:val="0"/>
              <w:spacing w:before="60" w:after="60" w:line="360" w:lineRule="auto"/>
              <w:ind w:left="42" w:leftChars="20" w:right="42" w:rightChars="20" w:firstLine="210" w:firstLineChars="100"/>
              <w:jc w:val="both"/>
              <w:rPr>
                <w:rFonts w:hint="eastAsia" w:ascii="宋体"/>
                <w:color w:val="auto"/>
                <w:sz w:val="21"/>
                <w:szCs w:val="21"/>
                <w:highlight w:val="none"/>
                <w:lang w:val="en-US" w:eastAsia="zh-CN"/>
              </w:rPr>
            </w:pPr>
            <w:r>
              <w:rPr>
                <w:rFonts w:hint="eastAsia" w:ascii="宋体"/>
                <w:color w:val="auto"/>
                <w:sz w:val="21"/>
                <w:szCs w:val="21"/>
                <w:highlight w:val="none"/>
                <w:lang w:val="en-US" w:eastAsia="zh-CN"/>
              </w:rPr>
              <w:t>国家电网有限公司西北分部调度控制中心关子印发《国网西北分部调度控制中心直调厂站自动化设备接入规范》的通知</w:t>
            </w:r>
          </w:p>
        </w:tc>
      </w:tr>
      <w:tr w14:paraId="3E19636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2088" w:type="dxa"/>
            <w:tcBorders>
              <w:top w:val="single" w:color="auto" w:sz="4" w:space="0"/>
              <w:left w:val="single" w:color="auto" w:sz="8" w:space="0"/>
              <w:bottom w:val="single" w:color="auto" w:sz="4" w:space="0"/>
              <w:right w:val="single" w:color="auto" w:sz="4" w:space="0"/>
            </w:tcBorders>
            <w:noWrap w:val="0"/>
            <w:vAlign w:val="center"/>
          </w:tcPr>
          <w:p w14:paraId="0C9A8DD5">
            <w:pPr>
              <w:pStyle w:val="199"/>
              <w:widowControl w:val="0"/>
              <w:topLinePunct/>
              <w:snapToGrid w:val="0"/>
              <w:spacing w:before="60" w:after="60" w:line="360" w:lineRule="auto"/>
              <w:jc w:val="center"/>
              <w:rPr>
                <w:rFonts w:hint="eastAsia" w:ascii="宋体"/>
                <w:color w:val="auto"/>
                <w:sz w:val="21"/>
                <w:szCs w:val="21"/>
                <w:highlight w:val="none"/>
                <w:lang w:val="en-US" w:eastAsia="zh-CN"/>
              </w:rPr>
            </w:pPr>
            <w:r>
              <w:rPr>
                <w:rFonts w:hint="eastAsia" w:ascii="宋体"/>
                <w:color w:val="auto"/>
                <w:sz w:val="21"/>
                <w:szCs w:val="21"/>
                <w:highlight w:val="none"/>
                <w:lang w:val="en-US" w:eastAsia="zh-CN"/>
              </w:rPr>
              <w:t>西电调字〔2023〕49号</w:t>
            </w:r>
          </w:p>
        </w:tc>
        <w:tc>
          <w:tcPr>
            <w:tcW w:w="6606" w:type="dxa"/>
            <w:tcBorders>
              <w:top w:val="single" w:color="auto" w:sz="4" w:space="0"/>
              <w:left w:val="single" w:color="auto" w:sz="4" w:space="0"/>
              <w:bottom w:val="single" w:color="auto" w:sz="4" w:space="0"/>
              <w:right w:val="single" w:color="auto" w:sz="8" w:space="0"/>
            </w:tcBorders>
            <w:noWrap w:val="0"/>
            <w:vAlign w:val="center"/>
          </w:tcPr>
          <w:p w14:paraId="4E860477">
            <w:pPr>
              <w:pStyle w:val="199"/>
              <w:widowControl w:val="0"/>
              <w:topLinePunct/>
              <w:snapToGrid w:val="0"/>
              <w:spacing w:before="60" w:after="60" w:line="360" w:lineRule="auto"/>
              <w:ind w:left="42" w:leftChars="20" w:right="42" w:rightChars="20" w:firstLine="210" w:firstLineChars="100"/>
              <w:jc w:val="both"/>
              <w:rPr>
                <w:rFonts w:hint="eastAsia" w:ascii="宋体"/>
                <w:color w:val="auto"/>
                <w:sz w:val="21"/>
                <w:szCs w:val="21"/>
                <w:highlight w:val="none"/>
                <w:lang w:val="en-US" w:eastAsia="zh-CN"/>
              </w:rPr>
            </w:pPr>
            <w:r>
              <w:rPr>
                <w:rFonts w:hint="eastAsia" w:ascii="宋体"/>
                <w:color w:val="auto"/>
                <w:sz w:val="21"/>
                <w:szCs w:val="21"/>
                <w:highlight w:val="none"/>
                <w:lang w:val="en-US" w:eastAsia="zh-CN"/>
              </w:rPr>
              <w:t>国家电网有限公司西北分部调度控制中心关于印发《西北电网新（改、扩）建工程自动化专业设计审查要点（试行）》的通知</w:t>
            </w:r>
          </w:p>
        </w:tc>
      </w:tr>
      <w:tr w14:paraId="4C2369C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2088" w:type="dxa"/>
            <w:tcBorders>
              <w:top w:val="single" w:color="auto" w:sz="4" w:space="0"/>
              <w:left w:val="single" w:color="auto" w:sz="8" w:space="0"/>
              <w:bottom w:val="single" w:color="auto" w:sz="8" w:space="0"/>
              <w:right w:val="single" w:color="auto" w:sz="4" w:space="0"/>
            </w:tcBorders>
            <w:noWrap w:val="0"/>
            <w:vAlign w:val="center"/>
          </w:tcPr>
          <w:p w14:paraId="339958D9">
            <w:pPr>
              <w:pStyle w:val="199"/>
              <w:widowControl w:val="0"/>
              <w:topLinePunct/>
              <w:snapToGrid w:val="0"/>
              <w:spacing w:before="60" w:after="60" w:line="360" w:lineRule="auto"/>
              <w:jc w:val="center"/>
              <w:rPr>
                <w:rFonts w:hint="eastAsia" w:ascii="宋体"/>
                <w:color w:val="auto"/>
                <w:sz w:val="21"/>
                <w:szCs w:val="21"/>
                <w:highlight w:val="none"/>
                <w:lang w:val="en-US" w:eastAsia="zh-CN"/>
              </w:rPr>
            </w:pPr>
            <w:r>
              <w:rPr>
                <w:rFonts w:hint="eastAsia" w:ascii="宋体"/>
                <w:color w:val="auto"/>
                <w:sz w:val="21"/>
                <w:szCs w:val="21"/>
                <w:highlight w:val="none"/>
                <w:lang w:val="en-US" w:eastAsia="zh-CN"/>
              </w:rPr>
              <w:t>西北调控〔2022〕156 号</w:t>
            </w:r>
          </w:p>
        </w:tc>
        <w:tc>
          <w:tcPr>
            <w:tcW w:w="6606" w:type="dxa"/>
            <w:tcBorders>
              <w:top w:val="single" w:color="auto" w:sz="4" w:space="0"/>
              <w:left w:val="single" w:color="auto" w:sz="4" w:space="0"/>
              <w:bottom w:val="single" w:color="auto" w:sz="8" w:space="0"/>
              <w:right w:val="single" w:color="auto" w:sz="8" w:space="0"/>
            </w:tcBorders>
            <w:noWrap w:val="0"/>
            <w:vAlign w:val="center"/>
          </w:tcPr>
          <w:p w14:paraId="17A3AB1C">
            <w:pPr>
              <w:pStyle w:val="199"/>
              <w:widowControl w:val="0"/>
              <w:topLinePunct/>
              <w:snapToGrid w:val="0"/>
              <w:spacing w:before="60" w:after="60" w:line="360" w:lineRule="auto"/>
              <w:ind w:left="42" w:leftChars="20" w:right="42" w:rightChars="20" w:firstLine="210" w:firstLineChars="100"/>
              <w:jc w:val="both"/>
              <w:rPr>
                <w:rFonts w:hint="eastAsia" w:ascii="宋体"/>
                <w:color w:val="auto"/>
                <w:sz w:val="21"/>
                <w:szCs w:val="21"/>
                <w:highlight w:val="none"/>
                <w:lang w:val="en-US" w:eastAsia="zh-CN"/>
              </w:rPr>
            </w:pPr>
            <w:r>
              <w:rPr>
                <w:rFonts w:hint="eastAsia" w:ascii="宋体"/>
                <w:color w:val="auto"/>
                <w:sz w:val="21"/>
                <w:szCs w:val="21"/>
                <w:highlight w:val="none"/>
                <w:lang w:val="en-US" w:eastAsia="zh-CN"/>
              </w:rPr>
              <w:t>《西北电网网源协调管理规定(2022 版)》</w:t>
            </w:r>
          </w:p>
        </w:tc>
      </w:tr>
    </w:tbl>
    <w:p w14:paraId="51CBF722">
      <w:pPr>
        <w:widowControl w:val="0"/>
        <w:tabs>
          <w:tab w:val="left" w:pos="600"/>
        </w:tabs>
        <w:adjustRightInd w:val="0"/>
        <w:snapToGrid w:val="0"/>
        <w:spacing w:after="0" w:line="360" w:lineRule="auto"/>
        <w:ind w:firstLine="0" w:firstLineChars="200"/>
        <w:rPr>
          <w:rFonts w:hint="eastAsia" w:ascii="宋体" w:hAnsi="宋体" w:eastAsia="宋体" w:cs="宋体"/>
          <w:snapToGrid w:val="0"/>
          <w:color w:val="auto"/>
          <w:w w:val="0"/>
          <w:sz w:val="24"/>
          <w:szCs w:val="24"/>
          <w:highlight w:val="none"/>
          <w:lang w:eastAsia="zh-CN"/>
        </w:rPr>
      </w:pPr>
      <w:r>
        <w:rPr>
          <w:rFonts w:hint="eastAsia" w:ascii="宋体" w:hAnsi="宋体" w:eastAsia="宋体" w:cs="宋体"/>
          <w:snapToGrid w:val="0"/>
          <w:color w:val="auto"/>
          <w:w w:val="0"/>
          <w:sz w:val="24"/>
          <w:szCs w:val="24"/>
          <w:highlight w:val="none"/>
          <w:lang w:eastAsia="zh-CN"/>
        </w:rPr>
        <w:t>这些法则和标准提出了最基本要求，如果根据投标人的意见并经用户接受，使用优于或更为经济的设计或材料,并能使投标人设备良好地、连续地在本规范所规定的条件下运行时，则这些标准也可以由投标人超越。</w:t>
      </w:r>
    </w:p>
    <w:p w14:paraId="79B01ACE">
      <w:pPr>
        <w:widowControl w:val="0"/>
        <w:tabs>
          <w:tab w:val="left" w:pos="600"/>
        </w:tabs>
        <w:adjustRightInd w:val="0"/>
        <w:snapToGrid w:val="0"/>
        <w:spacing w:after="0" w:line="360" w:lineRule="auto"/>
        <w:ind w:firstLine="0" w:firstLineChars="200"/>
        <w:rPr>
          <w:rFonts w:hint="eastAsia" w:ascii="宋体" w:hAnsi="宋体" w:eastAsia="宋体" w:cs="宋体"/>
          <w:snapToGrid w:val="0"/>
          <w:color w:val="auto"/>
          <w:w w:val="0"/>
          <w:sz w:val="24"/>
          <w:szCs w:val="24"/>
          <w:highlight w:val="none"/>
          <w:lang w:eastAsia="zh-CN"/>
        </w:rPr>
      </w:pPr>
      <w:r>
        <w:rPr>
          <w:rFonts w:hint="eastAsia" w:cs="宋体"/>
          <w:snapToGrid w:val="0"/>
          <w:color w:val="auto"/>
          <w:w w:val="0"/>
          <w:sz w:val="24"/>
          <w:szCs w:val="24"/>
          <w:highlight w:val="none"/>
          <w:lang w:eastAsia="zh-CN"/>
        </w:rPr>
        <w:t>4</w:t>
      </w:r>
      <w:r>
        <w:rPr>
          <w:rFonts w:hint="eastAsia" w:cs="宋体"/>
          <w:snapToGrid w:val="0"/>
          <w:color w:val="auto"/>
          <w:w w:val="0"/>
          <w:sz w:val="24"/>
          <w:szCs w:val="24"/>
          <w:highlight w:val="none"/>
          <w:lang w:val="en-US" w:eastAsia="zh-CN"/>
        </w:rPr>
        <w:t>.7.5</w:t>
      </w:r>
      <w:r>
        <w:rPr>
          <w:rFonts w:hint="eastAsia" w:ascii="宋体" w:hAnsi="宋体" w:eastAsia="宋体" w:cs="宋体"/>
          <w:snapToGrid w:val="0"/>
          <w:color w:val="auto"/>
          <w:w w:val="0"/>
          <w:sz w:val="24"/>
          <w:szCs w:val="24"/>
          <w:highlight w:val="none"/>
          <w:lang w:eastAsia="zh-CN"/>
        </w:rPr>
        <w:t xml:space="preserve"> 如果投标人选用本标书上规定以外的标准时，则需提交这种替换标准供审查和分析，仅在投标人已证明替换标准相当或优于标书规定的标准，并从招标人处获得书面认可后才能使用。提供审查的标准应为中文版本。</w:t>
      </w:r>
    </w:p>
    <w:p w14:paraId="58F7B201">
      <w:pPr>
        <w:widowControl w:val="0"/>
        <w:tabs>
          <w:tab w:val="left" w:pos="600"/>
        </w:tabs>
        <w:adjustRightInd w:val="0"/>
        <w:snapToGrid w:val="0"/>
        <w:spacing w:after="0" w:line="360" w:lineRule="auto"/>
        <w:ind w:firstLine="0" w:firstLineChars="200"/>
        <w:rPr>
          <w:rFonts w:hint="eastAsia" w:ascii="宋体" w:hAnsi="宋体" w:eastAsia="宋体" w:cs="宋体"/>
          <w:snapToGrid w:val="0"/>
          <w:color w:val="auto"/>
          <w:w w:val="0"/>
          <w:sz w:val="24"/>
          <w:szCs w:val="24"/>
          <w:highlight w:val="none"/>
          <w:lang w:eastAsia="zh-CN"/>
        </w:rPr>
      </w:pPr>
      <w:r>
        <w:rPr>
          <w:rFonts w:hint="eastAsia" w:cs="宋体"/>
          <w:snapToGrid w:val="0"/>
          <w:color w:val="auto"/>
          <w:w w:val="0"/>
          <w:sz w:val="24"/>
          <w:szCs w:val="24"/>
          <w:highlight w:val="none"/>
          <w:lang w:eastAsia="zh-CN"/>
        </w:rPr>
        <w:t>4</w:t>
      </w:r>
      <w:r>
        <w:rPr>
          <w:rFonts w:hint="eastAsia" w:cs="宋体"/>
          <w:snapToGrid w:val="0"/>
          <w:color w:val="auto"/>
          <w:w w:val="0"/>
          <w:sz w:val="24"/>
          <w:szCs w:val="24"/>
          <w:highlight w:val="none"/>
          <w:lang w:val="en-US" w:eastAsia="zh-CN"/>
        </w:rPr>
        <w:t>.7.6</w:t>
      </w:r>
      <w:r>
        <w:rPr>
          <w:rFonts w:hint="eastAsia" w:ascii="宋体" w:hAnsi="宋体" w:eastAsia="宋体" w:cs="宋体"/>
          <w:snapToGrid w:val="0"/>
          <w:color w:val="auto"/>
          <w:w w:val="0"/>
          <w:sz w:val="24"/>
          <w:szCs w:val="24"/>
          <w:highlight w:val="none"/>
          <w:lang w:eastAsia="zh-CN"/>
        </w:rPr>
        <w:t xml:space="preserve"> 当标准、规范之间出现矛盾时，投标人应将矛盾情况提交招标人，以便在开始生产前制定解决方案。</w:t>
      </w:r>
    </w:p>
    <w:p w14:paraId="00ECD4C7">
      <w:pPr>
        <w:widowControl w:val="0"/>
        <w:tabs>
          <w:tab w:val="left" w:pos="600"/>
        </w:tabs>
        <w:adjustRightInd w:val="0"/>
        <w:snapToGrid w:val="0"/>
        <w:spacing w:after="0" w:line="360" w:lineRule="auto"/>
        <w:ind w:firstLine="0" w:firstLineChars="200"/>
        <w:rPr>
          <w:rFonts w:hint="eastAsia" w:ascii="宋体" w:hAnsi="宋体" w:eastAsia="宋体" w:cs="宋体"/>
          <w:snapToGrid w:val="0"/>
          <w:color w:val="auto"/>
          <w:w w:val="0"/>
          <w:sz w:val="24"/>
          <w:szCs w:val="24"/>
          <w:highlight w:val="none"/>
          <w:lang w:eastAsia="zh-CN"/>
        </w:rPr>
      </w:pPr>
      <w:r>
        <w:rPr>
          <w:rFonts w:hint="eastAsia" w:cs="宋体"/>
          <w:snapToGrid w:val="0"/>
          <w:color w:val="auto"/>
          <w:w w:val="0"/>
          <w:sz w:val="24"/>
          <w:szCs w:val="24"/>
          <w:highlight w:val="none"/>
          <w:lang w:eastAsia="zh-CN"/>
        </w:rPr>
        <w:t>4</w:t>
      </w:r>
      <w:r>
        <w:rPr>
          <w:rFonts w:hint="eastAsia" w:cs="宋体"/>
          <w:snapToGrid w:val="0"/>
          <w:color w:val="auto"/>
          <w:w w:val="0"/>
          <w:sz w:val="24"/>
          <w:szCs w:val="24"/>
          <w:highlight w:val="none"/>
          <w:lang w:val="en-US" w:eastAsia="zh-CN"/>
        </w:rPr>
        <w:t>.7.7</w:t>
      </w:r>
      <w:r>
        <w:rPr>
          <w:rFonts w:hint="eastAsia" w:ascii="宋体" w:hAnsi="宋体" w:eastAsia="宋体" w:cs="宋体"/>
          <w:snapToGrid w:val="0"/>
          <w:color w:val="auto"/>
          <w:w w:val="0"/>
          <w:sz w:val="24"/>
          <w:szCs w:val="24"/>
          <w:highlight w:val="none"/>
          <w:lang w:eastAsia="zh-CN"/>
        </w:rPr>
        <w:t xml:space="preserve"> 所有螺栓、双头螺栓、螺纹、管螺纹、螺栓夹及螺母均应遵守国际标准化组织(ISO)和国际单位制(SI)的标准。</w:t>
      </w:r>
    </w:p>
    <w:p w14:paraId="2797A1E4">
      <w:pPr>
        <w:widowControl w:val="0"/>
        <w:tabs>
          <w:tab w:val="left" w:pos="600"/>
        </w:tabs>
        <w:adjustRightInd w:val="0"/>
        <w:snapToGrid w:val="0"/>
        <w:spacing w:after="0" w:line="360" w:lineRule="auto"/>
        <w:ind w:firstLine="0" w:firstLineChars="200"/>
        <w:rPr>
          <w:rFonts w:hint="eastAsia" w:ascii="宋体" w:hAnsi="宋体" w:eastAsia="宋体" w:cs="宋体"/>
          <w:snapToGrid w:val="0"/>
          <w:color w:val="auto"/>
          <w:w w:val="0"/>
          <w:sz w:val="24"/>
          <w:szCs w:val="24"/>
          <w:highlight w:val="none"/>
          <w:lang w:eastAsia="zh-CN"/>
        </w:rPr>
      </w:pPr>
      <w:r>
        <w:rPr>
          <w:rFonts w:hint="eastAsia" w:cs="宋体"/>
          <w:snapToGrid w:val="0"/>
          <w:color w:val="auto"/>
          <w:w w:val="0"/>
          <w:sz w:val="24"/>
          <w:szCs w:val="24"/>
          <w:highlight w:val="none"/>
          <w:lang w:eastAsia="zh-CN"/>
        </w:rPr>
        <w:t>4</w:t>
      </w:r>
      <w:r>
        <w:rPr>
          <w:rFonts w:hint="eastAsia" w:cs="宋体"/>
          <w:snapToGrid w:val="0"/>
          <w:color w:val="auto"/>
          <w:w w:val="0"/>
          <w:sz w:val="24"/>
          <w:szCs w:val="24"/>
          <w:highlight w:val="none"/>
          <w:lang w:val="en-US" w:eastAsia="zh-CN"/>
        </w:rPr>
        <w:t>.7.8</w:t>
      </w:r>
      <w:r>
        <w:rPr>
          <w:rFonts w:hint="eastAsia" w:ascii="宋体" w:hAnsi="宋体" w:eastAsia="宋体" w:cs="宋体"/>
          <w:snapToGrid w:val="0"/>
          <w:color w:val="auto"/>
          <w:w w:val="0"/>
          <w:sz w:val="24"/>
          <w:szCs w:val="24"/>
          <w:highlight w:val="none"/>
          <w:lang w:eastAsia="zh-CN"/>
        </w:rPr>
        <w:t xml:space="preserve"> 合同签订后3个月，按本规范2要求，投标人提出合同设备的设计、制造、装配、安装、调试、试运、验收、试验、运行和维护等标准清单给招标人，招标人确认。</w:t>
      </w:r>
    </w:p>
    <w:p w14:paraId="65657C30">
      <w:pPr>
        <w:widowControl w:val="0"/>
        <w:tabs>
          <w:tab w:val="left" w:pos="600"/>
        </w:tabs>
        <w:adjustRightInd w:val="0"/>
        <w:snapToGrid w:val="0"/>
        <w:spacing w:after="0" w:line="360" w:lineRule="auto"/>
        <w:ind w:firstLine="0" w:firstLineChars="200"/>
        <w:rPr>
          <w:rFonts w:hint="eastAsia" w:ascii="宋体" w:hAnsi="宋体" w:eastAsia="宋体" w:cs="宋体"/>
          <w:snapToGrid w:val="0"/>
          <w:color w:val="auto"/>
          <w:w w:val="0"/>
          <w:sz w:val="24"/>
          <w:szCs w:val="24"/>
          <w:highlight w:val="none"/>
          <w:lang w:eastAsia="zh-CN"/>
        </w:rPr>
      </w:pPr>
      <w:r>
        <w:rPr>
          <w:rFonts w:hint="eastAsia" w:cs="宋体"/>
          <w:snapToGrid w:val="0"/>
          <w:color w:val="auto"/>
          <w:w w:val="0"/>
          <w:sz w:val="24"/>
          <w:szCs w:val="24"/>
          <w:highlight w:val="none"/>
          <w:lang w:eastAsia="zh-CN"/>
        </w:rPr>
        <w:t>4</w:t>
      </w:r>
      <w:r>
        <w:rPr>
          <w:rFonts w:hint="eastAsia" w:cs="宋体"/>
          <w:snapToGrid w:val="0"/>
          <w:color w:val="auto"/>
          <w:w w:val="0"/>
          <w:sz w:val="24"/>
          <w:szCs w:val="24"/>
          <w:highlight w:val="none"/>
          <w:lang w:val="en-US" w:eastAsia="zh-CN"/>
        </w:rPr>
        <w:t>.7.9</w:t>
      </w:r>
      <w:r>
        <w:rPr>
          <w:rFonts w:hint="eastAsia" w:ascii="宋体" w:hAnsi="宋体" w:eastAsia="宋体" w:cs="宋体"/>
          <w:snapToGrid w:val="0"/>
          <w:color w:val="auto"/>
          <w:w w:val="0"/>
          <w:sz w:val="24"/>
          <w:szCs w:val="24"/>
          <w:highlight w:val="none"/>
          <w:lang w:eastAsia="zh-CN"/>
        </w:rPr>
        <w:t>投标人所供设备除满足以上及相关的标准外还应满足有关的安全、消防、环境保护等标准。</w:t>
      </w:r>
    </w:p>
    <w:p w14:paraId="58B5AA94">
      <w:pPr>
        <w:keepNext/>
        <w:keepLines/>
        <w:widowControl w:val="0"/>
        <w:tabs>
          <w:tab w:val="left" w:pos="480"/>
          <w:tab w:val="left" w:pos="525"/>
        </w:tabs>
        <w:adjustRightInd w:val="0"/>
        <w:snapToGrid w:val="0"/>
        <w:spacing w:before="0" w:after="0" w:line="360" w:lineRule="auto"/>
        <w:outlineLvl w:val="2"/>
        <w:rPr>
          <w:rFonts w:hint="eastAsia" w:ascii="宋体" w:hAnsi="宋体" w:eastAsia="宋体" w:cs="宋体"/>
          <w:b/>
          <w:bCs w:val="0"/>
          <w:color w:val="auto"/>
          <w:kern w:val="44"/>
          <w:sz w:val="28"/>
          <w:szCs w:val="28"/>
          <w:highlight w:val="none"/>
          <w:lang w:eastAsia="zh-CN"/>
        </w:rPr>
      </w:pPr>
      <w:r>
        <w:rPr>
          <w:rFonts w:hint="eastAsia" w:ascii="宋体" w:hAnsi="宋体" w:eastAsia="宋体" w:cs="宋体"/>
          <w:b/>
          <w:bCs w:val="0"/>
          <w:color w:val="auto"/>
          <w:kern w:val="44"/>
          <w:sz w:val="28"/>
          <w:szCs w:val="28"/>
          <w:highlight w:val="none"/>
          <w:lang w:val="en-US" w:eastAsia="zh-CN"/>
        </w:rPr>
        <w:t>5</w:t>
      </w:r>
      <w:r>
        <w:rPr>
          <w:rFonts w:hint="eastAsia" w:ascii="宋体" w:hAnsi="宋体" w:eastAsia="宋体" w:cs="宋体"/>
          <w:b/>
          <w:bCs w:val="0"/>
          <w:color w:val="auto"/>
          <w:kern w:val="44"/>
          <w:sz w:val="28"/>
          <w:szCs w:val="28"/>
          <w:highlight w:val="none"/>
          <w:lang w:eastAsia="zh-CN"/>
        </w:rPr>
        <w:t xml:space="preserve"> 数据表</w:t>
      </w:r>
    </w:p>
    <w:p w14:paraId="3B4AC82D">
      <w:pPr>
        <w:widowControl w:val="0"/>
        <w:tabs>
          <w:tab w:val="left" w:pos="600"/>
        </w:tabs>
        <w:adjustRightInd w:val="0"/>
        <w:snapToGrid w:val="0"/>
        <w:spacing w:after="0" w:line="360" w:lineRule="auto"/>
        <w:ind w:firstLine="480" w:firstLineChars="200"/>
        <w:rPr>
          <w:rFonts w:cs="Times New Roman"/>
          <w:color w:val="auto"/>
          <w:kern w:val="2"/>
          <w:sz w:val="24"/>
          <w:szCs w:val="24"/>
          <w:highlight w:val="none"/>
          <w:lang w:eastAsia="zh-CN"/>
        </w:rPr>
      </w:pPr>
      <w:r>
        <w:rPr>
          <w:rFonts w:hint="eastAsia" w:cs="Times New Roman"/>
          <w:color w:val="auto"/>
          <w:kern w:val="2"/>
          <w:sz w:val="24"/>
          <w:szCs w:val="24"/>
          <w:highlight w:val="none"/>
          <w:lang w:eastAsia="zh-CN"/>
        </w:rPr>
        <w:t>招标人应在招标书中提出要求值数据，投标人应在投标书中填写保证值数据，这些技术数据将作为合同文本技术规范的一部分，（投标人补充填写）。</w:t>
      </w:r>
    </w:p>
    <w:p w14:paraId="4CA00FFA">
      <w:pPr>
        <w:pStyle w:val="184"/>
        <w:rPr>
          <w:color w:val="auto"/>
          <w:highlight w:val="none"/>
        </w:rPr>
      </w:pPr>
      <w:r>
        <w:rPr>
          <w:rFonts w:hint="eastAsia"/>
          <w:color w:val="auto"/>
          <w:highlight w:val="none"/>
        </w:rPr>
        <w:t>性能保证值</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4"/>
        <w:gridCol w:w="3743"/>
        <w:gridCol w:w="992"/>
        <w:gridCol w:w="3482"/>
      </w:tblGrid>
      <w:tr w14:paraId="77C9E5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9" w:type="pct"/>
            <w:vAlign w:val="center"/>
          </w:tcPr>
          <w:p w14:paraId="235A66E4">
            <w:pPr>
              <w:widowControl w:val="0"/>
              <w:adjustRightInd w:val="0"/>
              <w:snapToGrid w:val="0"/>
              <w:spacing w:beforeLines="50" w:afterLines="50" w:line="276" w:lineRule="auto"/>
              <w:jc w:val="center"/>
              <w:rPr>
                <w:rFonts w:cs="Times New Roman"/>
                <w:color w:val="auto"/>
                <w:kern w:val="2"/>
                <w:szCs w:val="21"/>
                <w:highlight w:val="none"/>
                <w:lang w:eastAsia="zh-CN"/>
              </w:rPr>
            </w:pPr>
            <w:r>
              <w:rPr>
                <w:rFonts w:hint="eastAsia" w:cs="Times New Roman"/>
                <w:color w:val="auto"/>
                <w:kern w:val="2"/>
                <w:szCs w:val="21"/>
                <w:highlight w:val="none"/>
                <w:lang w:eastAsia="zh-CN"/>
              </w:rPr>
              <w:t>序号</w:t>
            </w:r>
          </w:p>
        </w:tc>
        <w:tc>
          <w:tcPr>
            <w:tcW w:w="2105" w:type="pct"/>
            <w:vAlign w:val="center"/>
          </w:tcPr>
          <w:p w14:paraId="580E2710">
            <w:pPr>
              <w:widowControl w:val="0"/>
              <w:adjustRightInd w:val="0"/>
              <w:snapToGrid w:val="0"/>
              <w:spacing w:beforeLines="50" w:afterLines="50" w:line="276" w:lineRule="auto"/>
              <w:jc w:val="center"/>
              <w:rPr>
                <w:rFonts w:cs="Times New Roman"/>
                <w:color w:val="auto"/>
                <w:kern w:val="2"/>
                <w:szCs w:val="21"/>
                <w:highlight w:val="none"/>
                <w:lang w:eastAsia="zh-CN"/>
              </w:rPr>
            </w:pPr>
            <w:r>
              <w:rPr>
                <w:rFonts w:hint="eastAsia" w:cs="Times New Roman"/>
                <w:color w:val="auto"/>
                <w:kern w:val="2"/>
                <w:szCs w:val="21"/>
                <w:highlight w:val="none"/>
                <w:lang w:eastAsia="zh-CN"/>
              </w:rPr>
              <w:t>项目</w:t>
            </w:r>
          </w:p>
        </w:tc>
        <w:tc>
          <w:tcPr>
            <w:tcW w:w="558" w:type="pct"/>
            <w:vAlign w:val="center"/>
          </w:tcPr>
          <w:p w14:paraId="33C04CF3">
            <w:pPr>
              <w:widowControl w:val="0"/>
              <w:adjustRightInd w:val="0"/>
              <w:snapToGrid w:val="0"/>
              <w:spacing w:beforeLines="50" w:afterLines="50" w:line="276" w:lineRule="auto"/>
              <w:jc w:val="center"/>
              <w:rPr>
                <w:rFonts w:cs="Times New Roman"/>
                <w:color w:val="auto"/>
                <w:kern w:val="2"/>
                <w:szCs w:val="21"/>
                <w:highlight w:val="none"/>
                <w:lang w:eastAsia="zh-CN"/>
              </w:rPr>
            </w:pPr>
            <w:r>
              <w:rPr>
                <w:rFonts w:hint="eastAsia" w:cs="Times New Roman"/>
                <w:color w:val="auto"/>
                <w:kern w:val="2"/>
                <w:szCs w:val="21"/>
                <w:highlight w:val="none"/>
                <w:lang w:eastAsia="zh-CN"/>
              </w:rPr>
              <w:t>单位</w:t>
            </w:r>
          </w:p>
        </w:tc>
        <w:tc>
          <w:tcPr>
            <w:tcW w:w="1958" w:type="pct"/>
            <w:vAlign w:val="center"/>
          </w:tcPr>
          <w:p w14:paraId="3683C967">
            <w:pPr>
              <w:widowControl w:val="0"/>
              <w:adjustRightInd w:val="0"/>
              <w:snapToGrid w:val="0"/>
              <w:spacing w:beforeLines="50" w:afterLines="50" w:line="276" w:lineRule="auto"/>
              <w:jc w:val="center"/>
              <w:rPr>
                <w:rFonts w:cs="Times New Roman"/>
                <w:color w:val="auto"/>
                <w:kern w:val="2"/>
                <w:szCs w:val="21"/>
                <w:highlight w:val="none"/>
                <w:lang w:eastAsia="zh-CN"/>
              </w:rPr>
            </w:pPr>
            <w:r>
              <w:rPr>
                <w:rFonts w:hint="eastAsia" w:cs="Times New Roman"/>
                <w:color w:val="auto"/>
                <w:kern w:val="2"/>
                <w:szCs w:val="21"/>
                <w:highlight w:val="none"/>
                <w:lang w:eastAsia="zh-CN"/>
              </w:rPr>
              <w:t>投标人提供值</w:t>
            </w:r>
          </w:p>
        </w:tc>
      </w:tr>
      <w:tr w14:paraId="2A8B85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9" w:type="pct"/>
            <w:vAlign w:val="center"/>
          </w:tcPr>
          <w:p w14:paraId="072B086A">
            <w:pPr>
              <w:widowControl w:val="0"/>
              <w:adjustRightInd w:val="0"/>
              <w:snapToGrid w:val="0"/>
              <w:spacing w:beforeLines="50" w:afterLines="50" w:line="276" w:lineRule="auto"/>
              <w:jc w:val="center"/>
              <w:rPr>
                <w:rFonts w:cs="Times New Roman"/>
                <w:color w:val="auto"/>
                <w:kern w:val="2"/>
                <w:szCs w:val="21"/>
                <w:highlight w:val="none"/>
                <w:lang w:eastAsia="zh-CN"/>
              </w:rPr>
            </w:pPr>
            <w:r>
              <w:rPr>
                <w:rFonts w:hint="eastAsia" w:cs="Times New Roman"/>
                <w:color w:val="auto"/>
                <w:kern w:val="2"/>
                <w:szCs w:val="21"/>
                <w:highlight w:val="none"/>
                <w:lang w:eastAsia="zh-CN"/>
              </w:rPr>
              <w:t>1</w:t>
            </w:r>
          </w:p>
        </w:tc>
        <w:tc>
          <w:tcPr>
            <w:tcW w:w="2105" w:type="pct"/>
            <w:vAlign w:val="center"/>
          </w:tcPr>
          <w:p w14:paraId="6B28CE03">
            <w:pPr>
              <w:widowControl w:val="0"/>
              <w:adjustRightInd w:val="0"/>
              <w:snapToGrid w:val="0"/>
              <w:spacing w:beforeLines="50" w:afterLines="50" w:line="276" w:lineRule="auto"/>
              <w:jc w:val="center"/>
              <w:rPr>
                <w:rFonts w:cs="Times New Roman"/>
                <w:color w:val="auto"/>
                <w:kern w:val="2"/>
                <w:szCs w:val="21"/>
                <w:highlight w:val="none"/>
                <w:lang w:eastAsia="zh-CN"/>
              </w:rPr>
            </w:pPr>
          </w:p>
        </w:tc>
        <w:tc>
          <w:tcPr>
            <w:tcW w:w="558" w:type="pct"/>
            <w:vAlign w:val="center"/>
          </w:tcPr>
          <w:p w14:paraId="0C7299BC">
            <w:pPr>
              <w:widowControl w:val="0"/>
              <w:adjustRightInd w:val="0"/>
              <w:snapToGrid w:val="0"/>
              <w:spacing w:beforeLines="50" w:afterLines="50" w:line="276" w:lineRule="auto"/>
              <w:jc w:val="center"/>
              <w:rPr>
                <w:rFonts w:cs="Times New Roman"/>
                <w:color w:val="auto"/>
                <w:kern w:val="2"/>
                <w:szCs w:val="21"/>
                <w:highlight w:val="none"/>
                <w:lang w:eastAsia="zh-CN"/>
              </w:rPr>
            </w:pPr>
          </w:p>
        </w:tc>
        <w:tc>
          <w:tcPr>
            <w:tcW w:w="1958" w:type="pct"/>
            <w:vAlign w:val="center"/>
          </w:tcPr>
          <w:p w14:paraId="07F60D36">
            <w:pPr>
              <w:widowControl w:val="0"/>
              <w:adjustRightInd w:val="0"/>
              <w:snapToGrid w:val="0"/>
              <w:spacing w:beforeLines="50" w:afterLines="50" w:line="276" w:lineRule="auto"/>
              <w:jc w:val="center"/>
              <w:rPr>
                <w:rFonts w:cs="Times New Roman"/>
                <w:color w:val="auto"/>
                <w:kern w:val="2"/>
                <w:szCs w:val="21"/>
                <w:highlight w:val="none"/>
                <w:lang w:eastAsia="zh-CN"/>
              </w:rPr>
            </w:pPr>
          </w:p>
        </w:tc>
      </w:tr>
      <w:tr w14:paraId="24FAE6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9" w:type="pct"/>
            <w:vAlign w:val="center"/>
          </w:tcPr>
          <w:p w14:paraId="5855EFA1">
            <w:pPr>
              <w:widowControl w:val="0"/>
              <w:adjustRightInd w:val="0"/>
              <w:snapToGrid w:val="0"/>
              <w:spacing w:beforeLines="50" w:afterLines="50" w:line="276" w:lineRule="auto"/>
              <w:jc w:val="center"/>
              <w:rPr>
                <w:rFonts w:cs="Times New Roman"/>
                <w:color w:val="auto"/>
                <w:kern w:val="2"/>
                <w:szCs w:val="21"/>
                <w:highlight w:val="none"/>
                <w:lang w:eastAsia="zh-CN"/>
              </w:rPr>
            </w:pPr>
            <w:r>
              <w:rPr>
                <w:rFonts w:hint="eastAsia" w:cs="Times New Roman"/>
                <w:color w:val="auto"/>
                <w:kern w:val="2"/>
                <w:szCs w:val="21"/>
                <w:highlight w:val="none"/>
                <w:lang w:eastAsia="zh-CN"/>
              </w:rPr>
              <w:t>2</w:t>
            </w:r>
          </w:p>
        </w:tc>
        <w:tc>
          <w:tcPr>
            <w:tcW w:w="2105" w:type="pct"/>
            <w:vAlign w:val="center"/>
          </w:tcPr>
          <w:p w14:paraId="02C0C35B">
            <w:pPr>
              <w:widowControl w:val="0"/>
              <w:adjustRightInd w:val="0"/>
              <w:snapToGrid w:val="0"/>
              <w:spacing w:beforeLines="50" w:afterLines="50" w:line="276" w:lineRule="auto"/>
              <w:jc w:val="center"/>
              <w:rPr>
                <w:rFonts w:cs="Times New Roman"/>
                <w:color w:val="auto"/>
                <w:kern w:val="2"/>
                <w:szCs w:val="21"/>
                <w:highlight w:val="none"/>
                <w:lang w:eastAsia="zh-CN"/>
              </w:rPr>
            </w:pPr>
          </w:p>
        </w:tc>
        <w:tc>
          <w:tcPr>
            <w:tcW w:w="558" w:type="pct"/>
            <w:vAlign w:val="center"/>
          </w:tcPr>
          <w:p w14:paraId="729A8FAD">
            <w:pPr>
              <w:widowControl w:val="0"/>
              <w:adjustRightInd w:val="0"/>
              <w:snapToGrid w:val="0"/>
              <w:spacing w:beforeLines="50" w:afterLines="50" w:line="276" w:lineRule="auto"/>
              <w:jc w:val="center"/>
              <w:rPr>
                <w:rFonts w:cs="Times New Roman"/>
                <w:color w:val="auto"/>
                <w:kern w:val="2"/>
                <w:szCs w:val="21"/>
                <w:highlight w:val="none"/>
                <w:lang w:eastAsia="zh-CN"/>
              </w:rPr>
            </w:pPr>
          </w:p>
        </w:tc>
        <w:tc>
          <w:tcPr>
            <w:tcW w:w="1958" w:type="pct"/>
            <w:vAlign w:val="center"/>
          </w:tcPr>
          <w:p w14:paraId="5E6F294C">
            <w:pPr>
              <w:widowControl w:val="0"/>
              <w:adjustRightInd w:val="0"/>
              <w:snapToGrid w:val="0"/>
              <w:spacing w:beforeLines="50" w:afterLines="50" w:line="276" w:lineRule="auto"/>
              <w:jc w:val="center"/>
              <w:rPr>
                <w:rFonts w:cs="Times New Roman"/>
                <w:color w:val="auto"/>
                <w:kern w:val="2"/>
                <w:szCs w:val="21"/>
                <w:highlight w:val="none"/>
                <w:lang w:eastAsia="zh-CN"/>
              </w:rPr>
            </w:pPr>
          </w:p>
        </w:tc>
      </w:tr>
      <w:tr w14:paraId="4369F1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9" w:type="pct"/>
            <w:vAlign w:val="center"/>
          </w:tcPr>
          <w:p w14:paraId="0761AD0C">
            <w:pPr>
              <w:widowControl w:val="0"/>
              <w:adjustRightInd w:val="0"/>
              <w:snapToGrid w:val="0"/>
              <w:spacing w:beforeLines="50" w:afterLines="50" w:line="276" w:lineRule="auto"/>
              <w:jc w:val="center"/>
              <w:rPr>
                <w:rFonts w:cs="Times New Roman"/>
                <w:color w:val="auto"/>
                <w:kern w:val="2"/>
                <w:szCs w:val="21"/>
                <w:highlight w:val="none"/>
                <w:lang w:eastAsia="zh-CN"/>
              </w:rPr>
            </w:pPr>
            <w:r>
              <w:rPr>
                <w:rFonts w:hint="eastAsia" w:cs="Times New Roman"/>
                <w:color w:val="auto"/>
                <w:kern w:val="2"/>
                <w:szCs w:val="21"/>
                <w:highlight w:val="none"/>
                <w:lang w:eastAsia="zh-CN"/>
              </w:rPr>
              <w:t>3</w:t>
            </w:r>
          </w:p>
        </w:tc>
        <w:tc>
          <w:tcPr>
            <w:tcW w:w="2105" w:type="pct"/>
            <w:vAlign w:val="center"/>
          </w:tcPr>
          <w:p w14:paraId="737A9430">
            <w:pPr>
              <w:widowControl w:val="0"/>
              <w:adjustRightInd w:val="0"/>
              <w:snapToGrid w:val="0"/>
              <w:spacing w:beforeLines="50" w:afterLines="50" w:line="276" w:lineRule="auto"/>
              <w:jc w:val="center"/>
              <w:rPr>
                <w:rFonts w:cs="Times New Roman"/>
                <w:color w:val="auto"/>
                <w:kern w:val="2"/>
                <w:szCs w:val="21"/>
                <w:highlight w:val="none"/>
                <w:lang w:eastAsia="zh-CN"/>
              </w:rPr>
            </w:pPr>
          </w:p>
        </w:tc>
        <w:tc>
          <w:tcPr>
            <w:tcW w:w="558" w:type="pct"/>
            <w:vAlign w:val="center"/>
          </w:tcPr>
          <w:p w14:paraId="5345C3AF">
            <w:pPr>
              <w:widowControl w:val="0"/>
              <w:adjustRightInd w:val="0"/>
              <w:snapToGrid w:val="0"/>
              <w:spacing w:beforeLines="50" w:afterLines="50" w:line="276" w:lineRule="auto"/>
              <w:jc w:val="center"/>
              <w:rPr>
                <w:rFonts w:cs="Times New Roman"/>
                <w:color w:val="auto"/>
                <w:kern w:val="2"/>
                <w:szCs w:val="21"/>
                <w:highlight w:val="none"/>
                <w:lang w:eastAsia="zh-CN"/>
              </w:rPr>
            </w:pPr>
          </w:p>
        </w:tc>
        <w:tc>
          <w:tcPr>
            <w:tcW w:w="1958" w:type="pct"/>
            <w:vAlign w:val="center"/>
          </w:tcPr>
          <w:p w14:paraId="05BD4AC4">
            <w:pPr>
              <w:widowControl w:val="0"/>
              <w:adjustRightInd w:val="0"/>
              <w:snapToGrid w:val="0"/>
              <w:spacing w:beforeLines="50" w:afterLines="50" w:line="276" w:lineRule="auto"/>
              <w:jc w:val="center"/>
              <w:rPr>
                <w:rFonts w:cs="Times New Roman"/>
                <w:color w:val="auto"/>
                <w:kern w:val="2"/>
                <w:szCs w:val="21"/>
                <w:highlight w:val="none"/>
                <w:lang w:eastAsia="zh-CN"/>
              </w:rPr>
            </w:pPr>
          </w:p>
        </w:tc>
      </w:tr>
      <w:tr w14:paraId="07AFFA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9" w:type="pct"/>
            <w:vAlign w:val="center"/>
          </w:tcPr>
          <w:p w14:paraId="0FC3720D">
            <w:pPr>
              <w:widowControl w:val="0"/>
              <w:adjustRightInd w:val="0"/>
              <w:snapToGrid w:val="0"/>
              <w:spacing w:beforeLines="50" w:afterLines="50" w:line="276" w:lineRule="auto"/>
              <w:jc w:val="center"/>
              <w:rPr>
                <w:rFonts w:cs="Times New Roman"/>
                <w:color w:val="auto"/>
                <w:kern w:val="2"/>
                <w:szCs w:val="21"/>
                <w:highlight w:val="none"/>
                <w:lang w:eastAsia="zh-CN"/>
              </w:rPr>
            </w:pPr>
            <w:r>
              <w:rPr>
                <w:rFonts w:hint="eastAsia" w:cs="Times New Roman"/>
                <w:color w:val="auto"/>
                <w:kern w:val="2"/>
                <w:szCs w:val="21"/>
                <w:highlight w:val="none"/>
                <w:lang w:eastAsia="zh-CN"/>
              </w:rPr>
              <w:t>4</w:t>
            </w:r>
          </w:p>
        </w:tc>
        <w:tc>
          <w:tcPr>
            <w:tcW w:w="2105" w:type="pct"/>
            <w:vAlign w:val="center"/>
          </w:tcPr>
          <w:p w14:paraId="6527B0AD">
            <w:pPr>
              <w:widowControl w:val="0"/>
              <w:adjustRightInd w:val="0"/>
              <w:snapToGrid w:val="0"/>
              <w:spacing w:beforeLines="50" w:afterLines="50" w:line="276" w:lineRule="auto"/>
              <w:jc w:val="center"/>
              <w:rPr>
                <w:rFonts w:cs="Times New Roman"/>
                <w:color w:val="auto"/>
                <w:kern w:val="2"/>
                <w:szCs w:val="21"/>
                <w:highlight w:val="none"/>
                <w:lang w:eastAsia="zh-CN"/>
              </w:rPr>
            </w:pPr>
          </w:p>
        </w:tc>
        <w:tc>
          <w:tcPr>
            <w:tcW w:w="558" w:type="pct"/>
            <w:vAlign w:val="center"/>
          </w:tcPr>
          <w:p w14:paraId="1630E31A">
            <w:pPr>
              <w:widowControl w:val="0"/>
              <w:adjustRightInd w:val="0"/>
              <w:snapToGrid w:val="0"/>
              <w:spacing w:beforeLines="50" w:afterLines="50" w:line="276" w:lineRule="auto"/>
              <w:jc w:val="center"/>
              <w:rPr>
                <w:rFonts w:cs="Times New Roman"/>
                <w:color w:val="auto"/>
                <w:kern w:val="2"/>
                <w:szCs w:val="21"/>
                <w:highlight w:val="none"/>
                <w:lang w:eastAsia="zh-CN"/>
              </w:rPr>
            </w:pPr>
          </w:p>
        </w:tc>
        <w:tc>
          <w:tcPr>
            <w:tcW w:w="1958" w:type="pct"/>
            <w:vAlign w:val="center"/>
          </w:tcPr>
          <w:p w14:paraId="76172E59">
            <w:pPr>
              <w:widowControl w:val="0"/>
              <w:adjustRightInd w:val="0"/>
              <w:snapToGrid w:val="0"/>
              <w:spacing w:beforeLines="50" w:afterLines="50" w:line="276" w:lineRule="auto"/>
              <w:jc w:val="center"/>
              <w:rPr>
                <w:rFonts w:cs="Times New Roman"/>
                <w:color w:val="auto"/>
                <w:kern w:val="2"/>
                <w:szCs w:val="21"/>
                <w:highlight w:val="none"/>
                <w:lang w:eastAsia="zh-CN"/>
              </w:rPr>
            </w:pPr>
          </w:p>
        </w:tc>
      </w:tr>
      <w:tr w14:paraId="5349D6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9" w:type="pct"/>
            <w:vAlign w:val="center"/>
          </w:tcPr>
          <w:p w14:paraId="4C8971C8">
            <w:pPr>
              <w:widowControl w:val="0"/>
              <w:adjustRightInd w:val="0"/>
              <w:snapToGrid w:val="0"/>
              <w:spacing w:beforeLines="50" w:afterLines="50" w:line="276" w:lineRule="auto"/>
              <w:jc w:val="center"/>
              <w:rPr>
                <w:rFonts w:cs="Times New Roman"/>
                <w:color w:val="auto"/>
                <w:kern w:val="2"/>
                <w:szCs w:val="21"/>
                <w:highlight w:val="none"/>
                <w:lang w:eastAsia="zh-CN"/>
              </w:rPr>
            </w:pPr>
            <w:r>
              <w:rPr>
                <w:rFonts w:hint="eastAsia" w:cs="Times New Roman"/>
                <w:color w:val="auto"/>
                <w:kern w:val="2"/>
                <w:szCs w:val="21"/>
                <w:highlight w:val="none"/>
                <w:lang w:eastAsia="zh-CN"/>
              </w:rPr>
              <w:t>5</w:t>
            </w:r>
          </w:p>
        </w:tc>
        <w:tc>
          <w:tcPr>
            <w:tcW w:w="2105" w:type="pct"/>
            <w:vAlign w:val="center"/>
          </w:tcPr>
          <w:p w14:paraId="600B1AC5">
            <w:pPr>
              <w:widowControl w:val="0"/>
              <w:adjustRightInd w:val="0"/>
              <w:snapToGrid w:val="0"/>
              <w:spacing w:beforeLines="50" w:afterLines="50" w:line="276" w:lineRule="auto"/>
              <w:jc w:val="center"/>
              <w:rPr>
                <w:rFonts w:cs="Times New Roman"/>
                <w:color w:val="auto"/>
                <w:kern w:val="2"/>
                <w:szCs w:val="21"/>
                <w:highlight w:val="none"/>
                <w:lang w:eastAsia="zh-CN"/>
              </w:rPr>
            </w:pPr>
          </w:p>
        </w:tc>
        <w:tc>
          <w:tcPr>
            <w:tcW w:w="558" w:type="pct"/>
            <w:vAlign w:val="center"/>
          </w:tcPr>
          <w:p w14:paraId="6B6A3976">
            <w:pPr>
              <w:widowControl w:val="0"/>
              <w:adjustRightInd w:val="0"/>
              <w:snapToGrid w:val="0"/>
              <w:spacing w:beforeLines="50" w:afterLines="50" w:line="276" w:lineRule="auto"/>
              <w:jc w:val="center"/>
              <w:rPr>
                <w:rFonts w:cs="Times New Roman"/>
                <w:color w:val="auto"/>
                <w:kern w:val="2"/>
                <w:szCs w:val="21"/>
                <w:highlight w:val="none"/>
                <w:lang w:eastAsia="zh-CN"/>
              </w:rPr>
            </w:pPr>
          </w:p>
        </w:tc>
        <w:tc>
          <w:tcPr>
            <w:tcW w:w="1958" w:type="pct"/>
            <w:vAlign w:val="center"/>
          </w:tcPr>
          <w:p w14:paraId="5696EDFE">
            <w:pPr>
              <w:widowControl w:val="0"/>
              <w:adjustRightInd w:val="0"/>
              <w:snapToGrid w:val="0"/>
              <w:spacing w:beforeLines="50" w:afterLines="50" w:line="276" w:lineRule="auto"/>
              <w:jc w:val="center"/>
              <w:rPr>
                <w:rFonts w:cs="Times New Roman"/>
                <w:color w:val="auto"/>
                <w:kern w:val="2"/>
                <w:szCs w:val="21"/>
                <w:highlight w:val="none"/>
                <w:lang w:eastAsia="zh-CN"/>
              </w:rPr>
            </w:pPr>
          </w:p>
        </w:tc>
      </w:tr>
      <w:tr w14:paraId="268185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9" w:type="pct"/>
            <w:vAlign w:val="center"/>
          </w:tcPr>
          <w:p w14:paraId="23FC6497">
            <w:pPr>
              <w:widowControl w:val="0"/>
              <w:adjustRightInd w:val="0"/>
              <w:snapToGrid w:val="0"/>
              <w:spacing w:beforeLines="50" w:afterLines="50" w:line="276" w:lineRule="auto"/>
              <w:jc w:val="center"/>
              <w:rPr>
                <w:rFonts w:cs="Times New Roman"/>
                <w:color w:val="auto"/>
                <w:kern w:val="2"/>
                <w:szCs w:val="21"/>
                <w:highlight w:val="none"/>
                <w:lang w:eastAsia="zh-CN"/>
              </w:rPr>
            </w:pPr>
            <w:r>
              <w:rPr>
                <w:rFonts w:hint="eastAsia" w:cs="Times New Roman"/>
                <w:color w:val="auto"/>
                <w:kern w:val="2"/>
                <w:szCs w:val="21"/>
                <w:highlight w:val="none"/>
                <w:lang w:eastAsia="zh-CN"/>
              </w:rPr>
              <w:t>6</w:t>
            </w:r>
          </w:p>
        </w:tc>
        <w:tc>
          <w:tcPr>
            <w:tcW w:w="2105" w:type="pct"/>
            <w:vAlign w:val="center"/>
          </w:tcPr>
          <w:p w14:paraId="6C943438">
            <w:pPr>
              <w:widowControl w:val="0"/>
              <w:adjustRightInd w:val="0"/>
              <w:snapToGrid w:val="0"/>
              <w:spacing w:beforeLines="50" w:afterLines="50" w:line="276" w:lineRule="auto"/>
              <w:jc w:val="center"/>
              <w:rPr>
                <w:rFonts w:cs="Times New Roman"/>
                <w:color w:val="auto"/>
                <w:kern w:val="2"/>
                <w:szCs w:val="21"/>
                <w:highlight w:val="none"/>
                <w:lang w:eastAsia="zh-CN"/>
              </w:rPr>
            </w:pPr>
          </w:p>
        </w:tc>
        <w:tc>
          <w:tcPr>
            <w:tcW w:w="558" w:type="pct"/>
            <w:vAlign w:val="center"/>
          </w:tcPr>
          <w:p w14:paraId="179E22EC">
            <w:pPr>
              <w:widowControl w:val="0"/>
              <w:adjustRightInd w:val="0"/>
              <w:snapToGrid w:val="0"/>
              <w:spacing w:beforeLines="50" w:afterLines="50" w:line="276" w:lineRule="auto"/>
              <w:jc w:val="center"/>
              <w:rPr>
                <w:rFonts w:cs="Times New Roman"/>
                <w:color w:val="auto"/>
                <w:kern w:val="2"/>
                <w:szCs w:val="21"/>
                <w:highlight w:val="none"/>
                <w:lang w:eastAsia="zh-CN"/>
              </w:rPr>
            </w:pPr>
          </w:p>
        </w:tc>
        <w:tc>
          <w:tcPr>
            <w:tcW w:w="1958" w:type="pct"/>
            <w:vAlign w:val="center"/>
          </w:tcPr>
          <w:p w14:paraId="6E99D507">
            <w:pPr>
              <w:widowControl w:val="0"/>
              <w:adjustRightInd w:val="0"/>
              <w:snapToGrid w:val="0"/>
              <w:spacing w:beforeLines="50" w:afterLines="50" w:line="276" w:lineRule="auto"/>
              <w:jc w:val="center"/>
              <w:rPr>
                <w:rFonts w:cs="Times New Roman"/>
                <w:color w:val="auto"/>
                <w:kern w:val="2"/>
                <w:szCs w:val="21"/>
                <w:highlight w:val="none"/>
                <w:lang w:eastAsia="zh-CN"/>
              </w:rPr>
            </w:pPr>
          </w:p>
        </w:tc>
      </w:tr>
      <w:tr w14:paraId="18420E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9" w:type="pct"/>
            <w:vAlign w:val="center"/>
          </w:tcPr>
          <w:p w14:paraId="76C5FC84">
            <w:pPr>
              <w:widowControl w:val="0"/>
              <w:adjustRightInd w:val="0"/>
              <w:snapToGrid w:val="0"/>
              <w:spacing w:beforeLines="50" w:afterLines="50" w:line="276" w:lineRule="auto"/>
              <w:jc w:val="center"/>
              <w:rPr>
                <w:rFonts w:cs="Times New Roman"/>
                <w:color w:val="auto"/>
                <w:kern w:val="2"/>
                <w:szCs w:val="21"/>
                <w:highlight w:val="none"/>
                <w:lang w:eastAsia="zh-CN"/>
              </w:rPr>
            </w:pPr>
            <w:r>
              <w:rPr>
                <w:rFonts w:hint="eastAsia" w:cs="Times New Roman"/>
                <w:color w:val="auto"/>
                <w:kern w:val="2"/>
                <w:szCs w:val="21"/>
                <w:highlight w:val="none"/>
                <w:lang w:eastAsia="zh-CN"/>
              </w:rPr>
              <w:t>7</w:t>
            </w:r>
          </w:p>
        </w:tc>
        <w:tc>
          <w:tcPr>
            <w:tcW w:w="2105" w:type="pct"/>
          </w:tcPr>
          <w:p w14:paraId="3DA16827">
            <w:pPr>
              <w:widowControl w:val="0"/>
              <w:adjustRightInd w:val="0"/>
              <w:snapToGrid w:val="0"/>
              <w:spacing w:beforeLines="50" w:afterLines="50" w:line="276" w:lineRule="auto"/>
              <w:jc w:val="center"/>
              <w:rPr>
                <w:rFonts w:cs="Times New Roman"/>
                <w:color w:val="auto"/>
                <w:kern w:val="2"/>
                <w:szCs w:val="21"/>
                <w:highlight w:val="none"/>
                <w:lang w:eastAsia="zh-CN"/>
              </w:rPr>
            </w:pPr>
            <w:r>
              <w:rPr>
                <w:rFonts w:hint="eastAsia" w:cs="Times New Roman"/>
                <w:color w:val="auto"/>
                <w:kern w:val="2"/>
                <w:szCs w:val="21"/>
                <w:highlight w:val="none"/>
                <w:lang w:eastAsia="zh-CN"/>
              </w:rPr>
              <w:t>...........</w:t>
            </w:r>
          </w:p>
        </w:tc>
        <w:tc>
          <w:tcPr>
            <w:tcW w:w="558" w:type="pct"/>
            <w:vAlign w:val="center"/>
          </w:tcPr>
          <w:p w14:paraId="5AD0B340">
            <w:pPr>
              <w:widowControl w:val="0"/>
              <w:adjustRightInd w:val="0"/>
              <w:snapToGrid w:val="0"/>
              <w:spacing w:beforeLines="50" w:afterLines="50" w:line="276" w:lineRule="auto"/>
              <w:jc w:val="center"/>
              <w:rPr>
                <w:rFonts w:cs="Times New Roman"/>
                <w:color w:val="auto"/>
                <w:kern w:val="2"/>
                <w:szCs w:val="21"/>
                <w:highlight w:val="none"/>
                <w:lang w:eastAsia="zh-CN"/>
              </w:rPr>
            </w:pPr>
          </w:p>
        </w:tc>
        <w:tc>
          <w:tcPr>
            <w:tcW w:w="1958" w:type="pct"/>
            <w:vAlign w:val="center"/>
          </w:tcPr>
          <w:p w14:paraId="626D8015">
            <w:pPr>
              <w:widowControl w:val="0"/>
              <w:adjustRightInd w:val="0"/>
              <w:snapToGrid w:val="0"/>
              <w:spacing w:beforeLines="50" w:afterLines="50" w:line="276" w:lineRule="auto"/>
              <w:jc w:val="center"/>
              <w:rPr>
                <w:rFonts w:cs="Times New Roman"/>
                <w:color w:val="auto"/>
                <w:kern w:val="2"/>
                <w:szCs w:val="21"/>
                <w:highlight w:val="none"/>
                <w:lang w:eastAsia="zh-CN"/>
              </w:rPr>
            </w:pPr>
          </w:p>
        </w:tc>
      </w:tr>
      <w:tr w14:paraId="7DF020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9" w:type="pct"/>
            <w:vAlign w:val="center"/>
          </w:tcPr>
          <w:p w14:paraId="1A6236CE">
            <w:pPr>
              <w:widowControl w:val="0"/>
              <w:adjustRightInd w:val="0"/>
              <w:snapToGrid w:val="0"/>
              <w:spacing w:beforeLines="50" w:afterLines="50" w:line="276" w:lineRule="auto"/>
              <w:jc w:val="center"/>
              <w:rPr>
                <w:rFonts w:cs="Times New Roman"/>
                <w:color w:val="auto"/>
                <w:kern w:val="2"/>
                <w:szCs w:val="21"/>
                <w:highlight w:val="none"/>
                <w:lang w:eastAsia="zh-CN"/>
              </w:rPr>
            </w:pPr>
            <w:r>
              <w:rPr>
                <w:rFonts w:hint="eastAsia" w:cs="Times New Roman"/>
                <w:color w:val="auto"/>
                <w:kern w:val="2"/>
                <w:szCs w:val="21"/>
                <w:highlight w:val="none"/>
                <w:lang w:eastAsia="zh-CN"/>
              </w:rPr>
              <w:t>8</w:t>
            </w:r>
          </w:p>
        </w:tc>
        <w:tc>
          <w:tcPr>
            <w:tcW w:w="2105" w:type="pct"/>
            <w:vAlign w:val="center"/>
          </w:tcPr>
          <w:p w14:paraId="155CEF9F">
            <w:pPr>
              <w:widowControl w:val="0"/>
              <w:adjustRightInd w:val="0"/>
              <w:snapToGrid w:val="0"/>
              <w:spacing w:beforeLines="50" w:afterLines="50" w:line="276" w:lineRule="auto"/>
              <w:jc w:val="center"/>
              <w:rPr>
                <w:rFonts w:cs="Times New Roman"/>
                <w:color w:val="auto"/>
                <w:kern w:val="2"/>
                <w:szCs w:val="21"/>
                <w:highlight w:val="none"/>
                <w:lang w:eastAsia="zh-CN"/>
              </w:rPr>
            </w:pPr>
            <w:r>
              <w:rPr>
                <w:rFonts w:hint="eastAsia" w:cs="Times New Roman"/>
                <w:color w:val="auto"/>
                <w:kern w:val="2"/>
                <w:szCs w:val="21"/>
                <w:highlight w:val="none"/>
                <w:lang w:eastAsia="zh-CN"/>
              </w:rPr>
              <w:t>...........</w:t>
            </w:r>
          </w:p>
        </w:tc>
        <w:tc>
          <w:tcPr>
            <w:tcW w:w="558" w:type="pct"/>
            <w:vAlign w:val="center"/>
          </w:tcPr>
          <w:p w14:paraId="78FE2865">
            <w:pPr>
              <w:widowControl w:val="0"/>
              <w:adjustRightInd w:val="0"/>
              <w:snapToGrid w:val="0"/>
              <w:spacing w:beforeLines="50" w:afterLines="50" w:line="276" w:lineRule="auto"/>
              <w:jc w:val="center"/>
              <w:rPr>
                <w:rFonts w:cs="Times New Roman"/>
                <w:color w:val="auto"/>
                <w:kern w:val="2"/>
                <w:szCs w:val="21"/>
                <w:highlight w:val="none"/>
                <w:lang w:eastAsia="zh-CN"/>
              </w:rPr>
            </w:pPr>
          </w:p>
        </w:tc>
        <w:tc>
          <w:tcPr>
            <w:tcW w:w="1958" w:type="pct"/>
            <w:vAlign w:val="center"/>
          </w:tcPr>
          <w:p w14:paraId="7B0CCC17">
            <w:pPr>
              <w:widowControl w:val="0"/>
              <w:adjustRightInd w:val="0"/>
              <w:snapToGrid w:val="0"/>
              <w:spacing w:beforeLines="50" w:afterLines="50" w:line="276" w:lineRule="auto"/>
              <w:jc w:val="center"/>
              <w:rPr>
                <w:rFonts w:cs="Times New Roman"/>
                <w:color w:val="auto"/>
                <w:kern w:val="2"/>
                <w:szCs w:val="21"/>
                <w:highlight w:val="none"/>
                <w:lang w:eastAsia="zh-CN"/>
              </w:rPr>
            </w:pPr>
          </w:p>
        </w:tc>
      </w:tr>
      <w:tr w14:paraId="4CCCC9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9" w:type="pct"/>
            <w:vAlign w:val="center"/>
          </w:tcPr>
          <w:p w14:paraId="036A77C0">
            <w:pPr>
              <w:widowControl w:val="0"/>
              <w:adjustRightInd w:val="0"/>
              <w:snapToGrid w:val="0"/>
              <w:spacing w:beforeLines="50" w:afterLines="50" w:line="276" w:lineRule="auto"/>
              <w:jc w:val="center"/>
              <w:rPr>
                <w:rFonts w:cs="Times New Roman"/>
                <w:color w:val="auto"/>
                <w:kern w:val="2"/>
                <w:szCs w:val="21"/>
                <w:highlight w:val="none"/>
                <w:lang w:eastAsia="zh-CN"/>
              </w:rPr>
            </w:pPr>
            <w:r>
              <w:rPr>
                <w:rFonts w:hint="eastAsia" w:cs="Times New Roman"/>
                <w:color w:val="auto"/>
                <w:kern w:val="2"/>
                <w:szCs w:val="21"/>
                <w:highlight w:val="none"/>
                <w:lang w:eastAsia="zh-CN"/>
              </w:rPr>
              <w:t>9</w:t>
            </w:r>
          </w:p>
        </w:tc>
        <w:tc>
          <w:tcPr>
            <w:tcW w:w="2105" w:type="pct"/>
            <w:vAlign w:val="center"/>
          </w:tcPr>
          <w:p w14:paraId="0B4A5BCE">
            <w:pPr>
              <w:widowControl w:val="0"/>
              <w:adjustRightInd w:val="0"/>
              <w:snapToGrid w:val="0"/>
              <w:spacing w:beforeLines="50" w:afterLines="50" w:line="276" w:lineRule="auto"/>
              <w:jc w:val="center"/>
              <w:rPr>
                <w:rFonts w:cs="Times New Roman"/>
                <w:color w:val="auto"/>
                <w:kern w:val="2"/>
                <w:szCs w:val="21"/>
                <w:highlight w:val="none"/>
                <w:lang w:eastAsia="zh-CN"/>
              </w:rPr>
            </w:pPr>
          </w:p>
        </w:tc>
        <w:tc>
          <w:tcPr>
            <w:tcW w:w="558" w:type="pct"/>
            <w:vAlign w:val="center"/>
          </w:tcPr>
          <w:p w14:paraId="70239B14">
            <w:pPr>
              <w:widowControl w:val="0"/>
              <w:adjustRightInd w:val="0"/>
              <w:snapToGrid w:val="0"/>
              <w:spacing w:beforeLines="50" w:afterLines="50" w:line="276" w:lineRule="auto"/>
              <w:jc w:val="center"/>
              <w:rPr>
                <w:rFonts w:cs="Times New Roman"/>
                <w:color w:val="auto"/>
                <w:kern w:val="2"/>
                <w:szCs w:val="21"/>
                <w:highlight w:val="none"/>
                <w:lang w:eastAsia="zh-CN"/>
              </w:rPr>
            </w:pPr>
          </w:p>
        </w:tc>
        <w:tc>
          <w:tcPr>
            <w:tcW w:w="1958" w:type="pct"/>
            <w:vAlign w:val="center"/>
          </w:tcPr>
          <w:p w14:paraId="7B4B4102">
            <w:pPr>
              <w:widowControl w:val="0"/>
              <w:adjustRightInd w:val="0"/>
              <w:snapToGrid w:val="0"/>
              <w:spacing w:beforeLines="50" w:afterLines="50" w:line="276" w:lineRule="auto"/>
              <w:jc w:val="center"/>
              <w:rPr>
                <w:rFonts w:cs="Times New Roman"/>
                <w:color w:val="auto"/>
                <w:kern w:val="2"/>
                <w:szCs w:val="21"/>
                <w:highlight w:val="none"/>
                <w:lang w:eastAsia="zh-CN"/>
              </w:rPr>
            </w:pPr>
          </w:p>
        </w:tc>
      </w:tr>
      <w:tr w14:paraId="6E7998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9" w:type="pct"/>
            <w:vAlign w:val="center"/>
          </w:tcPr>
          <w:p w14:paraId="3048D717">
            <w:pPr>
              <w:widowControl w:val="0"/>
              <w:adjustRightInd w:val="0"/>
              <w:snapToGrid w:val="0"/>
              <w:spacing w:beforeLines="50" w:afterLines="50" w:line="276" w:lineRule="auto"/>
              <w:jc w:val="center"/>
              <w:rPr>
                <w:rFonts w:cs="Times New Roman"/>
                <w:color w:val="auto"/>
                <w:kern w:val="2"/>
                <w:szCs w:val="21"/>
                <w:highlight w:val="none"/>
                <w:lang w:eastAsia="zh-CN"/>
              </w:rPr>
            </w:pPr>
            <w:r>
              <w:rPr>
                <w:rFonts w:hint="eastAsia" w:cs="Times New Roman"/>
                <w:color w:val="auto"/>
                <w:kern w:val="2"/>
                <w:szCs w:val="21"/>
                <w:highlight w:val="none"/>
                <w:lang w:eastAsia="zh-CN"/>
              </w:rPr>
              <w:t>10</w:t>
            </w:r>
          </w:p>
        </w:tc>
        <w:tc>
          <w:tcPr>
            <w:tcW w:w="2105" w:type="pct"/>
            <w:vAlign w:val="center"/>
          </w:tcPr>
          <w:p w14:paraId="4BCA4031">
            <w:pPr>
              <w:widowControl w:val="0"/>
              <w:adjustRightInd w:val="0"/>
              <w:snapToGrid w:val="0"/>
              <w:spacing w:beforeLines="50" w:afterLines="50" w:line="276" w:lineRule="auto"/>
              <w:jc w:val="center"/>
              <w:rPr>
                <w:rFonts w:cs="Times New Roman"/>
                <w:color w:val="auto"/>
                <w:kern w:val="2"/>
                <w:szCs w:val="21"/>
                <w:highlight w:val="none"/>
                <w:lang w:eastAsia="zh-CN"/>
              </w:rPr>
            </w:pPr>
          </w:p>
        </w:tc>
        <w:tc>
          <w:tcPr>
            <w:tcW w:w="558" w:type="pct"/>
            <w:vAlign w:val="center"/>
          </w:tcPr>
          <w:p w14:paraId="22B3F42A">
            <w:pPr>
              <w:widowControl w:val="0"/>
              <w:adjustRightInd w:val="0"/>
              <w:snapToGrid w:val="0"/>
              <w:spacing w:beforeLines="50" w:afterLines="50" w:line="276" w:lineRule="auto"/>
              <w:jc w:val="center"/>
              <w:rPr>
                <w:rFonts w:cs="Times New Roman"/>
                <w:color w:val="auto"/>
                <w:kern w:val="2"/>
                <w:szCs w:val="21"/>
                <w:highlight w:val="none"/>
                <w:lang w:eastAsia="zh-CN"/>
              </w:rPr>
            </w:pPr>
          </w:p>
        </w:tc>
        <w:tc>
          <w:tcPr>
            <w:tcW w:w="1958" w:type="pct"/>
            <w:vAlign w:val="center"/>
          </w:tcPr>
          <w:p w14:paraId="17E93DB5">
            <w:pPr>
              <w:widowControl w:val="0"/>
              <w:adjustRightInd w:val="0"/>
              <w:snapToGrid w:val="0"/>
              <w:spacing w:beforeLines="50" w:afterLines="50" w:line="276" w:lineRule="auto"/>
              <w:jc w:val="center"/>
              <w:rPr>
                <w:rFonts w:cs="Times New Roman"/>
                <w:color w:val="auto"/>
                <w:kern w:val="2"/>
                <w:szCs w:val="21"/>
                <w:highlight w:val="none"/>
                <w:lang w:eastAsia="zh-CN"/>
              </w:rPr>
            </w:pPr>
          </w:p>
        </w:tc>
      </w:tr>
    </w:tbl>
    <w:p w14:paraId="028A509C">
      <w:pPr>
        <w:rPr>
          <w:rFonts w:hint="eastAsia"/>
          <w:color w:val="auto"/>
          <w:highlight w:val="none"/>
          <w:lang w:eastAsia="zh-CN"/>
        </w:rPr>
      </w:pPr>
    </w:p>
    <w:p w14:paraId="1B6DFCFF">
      <w:pPr>
        <w:keepNext/>
        <w:keepLines/>
        <w:widowControl w:val="0"/>
        <w:tabs>
          <w:tab w:val="left" w:pos="480"/>
          <w:tab w:val="left" w:pos="525"/>
        </w:tabs>
        <w:adjustRightInd w:val="0"/>
        <w:snapToGrid w:val="0"/>
        <w:spacing w:before="0" w:after="0" w:line="360" w:lineRule="auto"/>
        <w:outlineLvl w:val="2"/>
        <w:rPr>
          <w:rFonts w:hint="eastAsia" w:ascii="宋体" w:hAnsi="宋体" w:eastAsia="宋体" w:cs="宋体"/>
          <w:b/>
          <w:bCs w:val="0"/>
          <w:color w:val="auto"/>
          <w:kern w:val="44"/>
          <w:sz w:val="28"/>
          <w:szCs w:val="28"/>
          <w:highlight w:val="none"/>
          <w:lang w:eastAsia="zh-CN"/>
        </w:rPr>
      </w:pPr>
      <w:bookmarkStart w:id="10" w:name="_Toc376852583"/>
      <w:bookmarkStart w:id="11" w:name="_Toc376848514"/>
      <w:r>
        <w:rPr>
          <w:rFonts w:hint="eastAsia" w:ascii="宋体" w:hAnsi="宋体" w:eastAsia="宋体" w:cs="宋体"/>
          <w:b/>
          <w:bCs w:val="0"/>
          <w:color w:val="auto"/>
          <w:kern w:val="44"/>
          <w:sz w:val="28"/>
          <w:szCs w:val="28"/>
          <w:highlight w:val="none"/>
          <w:lang w:val="en-US" w:eastAsia="zh-CN"/>
        </w:rPr>
        <w:t>6</w:t>
      </w:r>
      <w:r>
        <w:rPr>
          <w:rFonts w:hint="eastAsia" w:ascii="宋体" w:hAnsi="宋体" w:eastAsia="宋体" w:cs="宋体"/>
          <w:b/>
          <w:bCs w:val="0"/>
          <w:color w:val="auto"/>
          <w:kern w:val="44"/>
          <w:sz w:val="28"/>
          <w:szCs w:val="28"/>
          <w:highlight w:val="none"/>
          <w:lang w:eastAsia="zh-CN"/>
        </w:rPr>
        <w:t xml:space="preserve"> 清洁、油漆、包装</w:t>
      </w:r>
      <w:bookmarkEnd w:id="10"/>
      <w:bookmarkEnd w:id="11"/>
    </w:p>
    <w:p w14:paraId="6B65D413">
      <w:pPr>
        <w:widowControl w:val="0"/>
        <w:tabs>
          <w:tab w:val="left" w:pos="600"/>
        </w:tabs>
        <w:adjustRightInd w:val="0"/>
        <w:snapToGrid w:val="0"/>
        <w:spacing w:after="0" w:line="360" w:lineRule="auto"/>
        <w:ind w:firstLine="480" w:firstLineChars="200"/>
        <w:rPr>
          <w:rFonts w:cs="Times New Roman"/>
          <w:color w:val="auto"/>
          <w:kern w:val="2"/>
          <w:sz w:val="24"/>
          <w:szCs w:val="24"/>
          <w:highlight w:val="none"/>
          <w:lang w:eastAsia="zh-CN"/>
        </w:rPr>
      </w:pPr>
      <w:r>
        <w:rPr>
          <w:rFonts w:hint="eastAsia" w:cs="Times New Roman"/>
          <w:color w:val="auto"/>
          <w:kern w:val="2"/>
          <w:sz w:val="24"/>
          <w:szCs w:val="24"/>
          <w:highlight w:val="none"/>
          <w:lang w:val="en-US" w:eastAsia="zh-CN"/>
        </w:rPr>
        <w:t>6</w:t>
      </w:r>
      <w:r>
        <w:rPr>
          <w:rFonts w:hint="eastAsia" w:cs="Times New Roman"/>
          <w:color w:val="auto"/>
          <w:kern w:val="2"/>
          <w:sz w:val="24"/>
          <w:szCs w:val="24"/>
          <w:highlight w:val="none"/>
          <w:lang w:eastAsia="zh-CN"/>
        </w:rPr>
        <w:t>.1 在保护装置的装配过程中（制造厂出厂装配、用户现场安装），应按照清洁工艺认真检查、反复清洁，避免污染。</w:t>
      </w:r>
    </w:p>
    <w:p w14:paraId="7D06FC31">
      <w:pPr>
        <w:widowControl w:val="0"/>
        <w:tabs>
          <w:tab w:val="left" w:pos="600"/>
        </w:tabs>
        <w:adjustRightInd w:val="0"/>
        <w:snapToGrid w:val="0"/>
        <w:spacing w:after="0" w:line="360" w:lineRule="auto"/>
        <w:ind w:firstLine="480" w:firstLineChars="200"/>
        <w:rPr>
          <w:rFonts w:cs="Times New Roman"/>
          <w:color w:val="auto"/>
          <w:kern w:val="2"/>
          <w:sz w:val="24"/>
          <w:szCs w:val="24"/>
          <w:highlight w:val="none"/>
          <w:lang w:eastAsia="zh-CN"/>
        </w:rPr>
      </w:pPr>
      <w:r>
        <w:rPr>
          <w:rFonts w:hint="eastAsia" w:cs="Times New Roman"/>
          <w:color w:val="auto"/>
          <w:kern w:val="2"/>
          <w:sz w:val="24"/>
          <w:szCs w:val="24"/>
          <w:highlight w:val="none"/>
          <w:lang w:val="en-US" w:eastAsia="zh-CN"/>
        </w:rPr>
        <w:t>6</w:t>
      </w:r>
      <w:r>
        <w:rPr>
          <w:rFonts w:hint="eastAsia" w:cs="Times New Roman"/>
          <w:color w:val="auto"/>
          <w:kern w:val="2"/>
          <w:sz w:val="24"/>
          <w:szCs w:val="24"/>
          <w:highlight w:val="none"/>
          <w:lang w:eastAsia="zh-CN"/>
        </w:rPr>
        <w:t>.2 设备出厂前油漆颜色由招标人确认。对于需要衬胶的钢制设备或钢制组件其油漆须遵守现场衬胶设备油漆的有关规定。</w:t>
      </w:r>
    </w:p>
    <w:p w14:paraId="59E444B7">
      <w:pPr>
        <w:widowControl w:val="0"/>
        <w:tabs>
          <w:tab w:val="left" w:pos="600"/>
        </w:tabs>
        <w:adjustRightInd w:val="0"/>
        <w:snapToGrid w:val="0"/>
        <w:spacing w:after="0" w:line="360" w:lineRule="auto"/>
        <w:ind w:firstLine="480" w:firstLineChars="200"/>
        <w:rPr>
          <w:rFonts w:cs="Times New Roman"/>
          <w:color w:val="auto"/>
          <w:kern w:val="2"/>
          <w:sz w:val="24"/>
          <w:szCs w:val="24"/>
          <w:highlight w:val="none"/>
          <w:lang w:eastAsia="zh-CN"/>
        </w:rPr>
      </w:pPr>
      <w:r>
        <w:rPr>
          <w:rFonts w:hint="eastAsia" w:cs="Times New Roman"/>
          <w:color w:val="auto"/>
          <w:kern w:val="2"/>
          <w:sz w:val="24"/>
          <w:szCs w:val="24"/>
          <w:highlight w:val="none"/>
          <w:lang w:val="en-US" w:eastAsia="zh-CN"/>
        </w:rPr>
        <w:t>6</w:t>
      </w:r>
      <w:r>
        <w:rPr>
          <w:rFonts w:hint="eastAsia" w:cs="Times New Roman"/>
          <w:color w:val="auto"/>
          <w:kern w:val="2"/>
          <w:sz w:val="24"/>
          <w:szCs w:val="24"/>
          <w:highlight w:val="none"/>
          <w:lang w:eastAsia="zh-CN"/>
        </w:rPr>
        <w:t>.3 电气设备必须严格包装，以确保在运输保管期间不被损坏，并防止受潮和污染。</w:t>
      </w:r>
    </w:p>
    <w:p w14:paraId="1808F99D">
      <w:pPr>
        <w:widowControl w:val="0"/>
        <w:tabs>
          <w:tab w:val="left" w:pos="600"/>
        </w:tabs>
        <w:adjustRightInd w:val="0"/>
        <w:snapToGrid w:val="0"/>
        <w:spacing w:after="0" w:line="360" w:lineRule="auto"/>
        <w:ind w:firstLine="480" w:firstLineChars="200"/>
        <w:rPr>
          <w:rFonts w:cs="Times New Roman"/>
          <w:color w:val="auto"/>
          <w:kern w:val="2"/>
          <w:sz w:val="24"/>
          <w:szCs w:val="24"/>
          <w:highlight w:val="none"/>
          <w:lang w:eastAsia="zh-CN"/>
        </w:rPr>
      </w:pPr>
      <w:r>
        <w:rPr>
          <w:rFonts w:hint="eastAsia" w:cs="Times New Roman"/>
          <w:color w:val="auto"/>
          <w:kern w:val="2"/>
          <w:sz w:val="24"/>
          <w:szCs w:val="24"/>
          <w:highlight w:val="none"/>
          <w:lang w:val="en-US" w:eastAsia="zh-CN"/>
        </w:rPr>
        <w:t>6</w:t>
      </w:r>
      <w:r>
        <w:rPr>
          <w:rFonts w:hint="eastAsia" w:cs="Times New Roman"/>
          <w:color w:val="auto"/>
          <w:kern w:val="2"/>
          <w:sz w:val="24"/>
          <w:szCs w:val="24"/>
          <w:highlight w:val="none"/>
          <w:lang w:eastAsia="zh-CN"/>
        </w:rPr>
        <w:t>.4 所有外露部分有保护装置，防止在运输和储存期间损坏。</w:t>
      </w:r>
    </w:p>
    <w:p w14:paraId="0483A584">
      <w:pPr>
        <w:widowControl w:val="0"/>
        <w:tabs>
          <w:tab w:val="left" w:pos="600"/>
        </w:tabs>
        <w:adjustRightInd w:val="0"/>
        <w:snapToGrid w:val="0"/>
        <w:spacing w:after="0" w:line="360" w:lineRule="auto"/>
        <w:ind w:firstLine="480" w:firstLineChars="200"/>
        <w:rPr>
          <w:rFonts w:cs="Times New Roman"/>
          <w:color w:val="auto"/>
          <w:kern w:val="2"/>
          <w:sz w:val="24"/>
          <w:szCs w:val="24"/>
          <w:highlight w:val="none"/>
          <w:lang w:eastAsia="zh-CN"/>
        </w:rPr>
      </w:pPr>
      <w:r>
        <w:rPr>
          <w:rFonts w:hint="eastAsia" w:cs="Times New Roman"/>
          <w:color w:val="auto"/>
          <w:kern w:val="2"/>
          <w:sz w:val="24"/>
          <w:szCs w:val="24"/>
          <w:highlight w:val="none"/>
          <w:lang w:val="en-US" w:eastAsia="zh-CN"/>
        </w:rPr>
        <w:t>6</w:t>
      </w:r>
      <w:r>
        <w:rPr>
          <w:rFonts w:hint="eastAsia" w:cs="Times New Roman"/>
          <w:color w:val="auto"/>
          <w:kern w:val="2"/>
          <w:sz w:val="24"/>
          <w:szCs w:val="24"/>
          <w:highlight w:val="none"/>
          <w:lang w:eastAsia="zh-CN"/>
        </w:rPr>
        <w:t>.5 产品包装、运输、储存须符合标准GB/T 191-2000的规定及国家主管机关的规定，具有长途运输、多次搬运和装卸的坚固包装。包装须保证在运输、装卸过程中完好无损，并有减振、防冲击的措施。若包装无法防止运输、装卸过程中垂直、水平加速度引起的设备损坏，投标人要在设备的设计结构上予以解决。包装须按设备特点，按要求分别加上防潮、防霉、防锈、防腐蚀、防震的保护措施，以保证货物在没有任何损坏和腐蚀的情况下安全运抵合同设备安装现场。投标人应承担由于其包装或其防护措施不当而引起货物锈蚀、损坏和丢失等任何损失的责任或费用。产品包装前，投标人负责按部套进行检查清理，不留异物，并保证零部件齐全。</w:t>
      </w:r>
    </w:p>
    <w:p w14:paraId="22F9ADBD">
      <w:pPr>
        <w:keepNext/>
        <w:keepLines/>
        <w:widowControl w:val="0"/>
        <w:tabs>
          <w:tab w:val="left" w:pos="480"/>
          <w:tab w:val="left" w:pos="525"/>
        </w:tabs>
        <w:adjustRightInd w:val="0"/>
        <w:snapToGrid w:val="0"/>
        <w:spacing w:before="0" w:after="0" w:line="360" w:lineRule="auto"/>
        <w:outlineLvl w:val="2"/>
        <w:rPr>
          <w:rFonts w:hint="eastAsia" w:ascii="宋体" w:hAnsi="宋体" w:eastAsia="宋体" w:cs="宋体"/>
          <w:b/>
          <w:bCs w:val="0"/>
          <w:color w:val="auto"/>
          <w:kern w:val="44"/>
          <w:sz w:val="28"/>
          <w:szCs w:val="28"/>
          <w:highlight w:val="none"/>
          <w:lang w:eastAsia="zh-CN"/>
        </w:rPr>
      </w:pPr>
      <w:r>
        <w:rPr>
          <w:rFonts w:hint="eastAsia" w:ascii="宋体" w:hAnsi="宋体" w:eastAsia="宋体" w:cs="宋体"/>
          <w:b/>
          <w:bCs w:val="0"/>
          <w:color w:val="auto"/>
          <w:kern w:val="44"/>
          <w:sz w:val="28"/>
          <w:szCs w:val="28"/>
          <w:highlight w:val="none"/>
          <w:lang w:val="en-US" w:eastAsia="zh-CN"/>
        </w:rPr>
        <w:t>7</w:t>
      </w:r>
      <w:r>
        <w:rPr>
          <w:rFonts w:hint="eastAsia" w:ascii="宋体" w:hAnsi="宋体" w:eastAsia="宋体" w:cs="宋体"/>
          <w:b/>
          <w:bCs w:val="0"/>
          <w:color w:val="auto"/>
          <w:kern w:val="44"/>
          <w:sz w:val="28"/>
          <w:szCs w:val="28"/>
          <w:highlight w:val="none"/>
          <w:lang w:eastAsia="zh-CN"/>
        </w:rPr>
        <w:t xml:space="preserve"> 标记</w:t>
      </w:r>
    </w:p>
    <w:p w14:paraId="15157E10">
      <w:pPr>
        <w:widowControl w:val="0"/>
        <w:tabs>
          <w:tab w:val="left" w:pos="600"/>
        </w:tabs>
        <w:adjustRightInd w:val="0"/>
        <w:snapToGrid w:val="0"/>
        <w:spacing w:after="0" w:line="360" w:lineRule="auto"/>
        <w:ind w:firstLine="480" w:firstLineChars="200"/>
        <w:rPr>
          <w:rFonts w:asciiTheme="minorEastAsia" w:hAnsiTheme="minorEastAsia" w:eastAsiaTheme="minorEastAsia" w:cstheme="minorEastAsia"/>
          <w:color w:val="auto"/>
          <w:kern w:val="2"/>
          <w:sz w:val="24"/>
          <w:szCs w:val="24"/>
          <w:highlight w:val="none"/>
          <w:lang w:eastAsia="zh-CN"/>
        </w:rPr>
      </w:pPr>
      <w:r>
        <w:rPr>
          <w:rFonts w:hint="eastAsia" w:asciiTheme="minorEastAsia" w:hAnsiTheme="minorEastAsia" w:eastAsiaTheme="minorEastAsia" w:cstheme="minorEastAsia"/>
          <w:color w:val="auto"/>
          <w:kern w:val="2"/>
          <w:sz w:val="24"/>
          <w:szCs w:val="24"/>
          <w:highlight w:val="none"/>
          <w:lang w:eastAsia="zh-CN"/>
        </w:rPr>
        <w:t>投标人对包装箱内和捆内的各散装部件在装配图中的部件号、零件号须标记清楚。</w:t>
      </w:r>
    </w:p>
    <w:p w14:paraId="506A2590">
      <w:pPr>
        <w:widowControl w:val="0"/>
        <w:tabs>
          <w:tab w:val="left" w:pos="600"/>
        </w:tabs>
        <w:adjustRightInd w:val="0"/>
        <w:snapToGrid w:val="0"/>
        <w:spacing w:after="0" w:line="360" w:lineRule="auto"/>
        <w:ind w:firstLine="480" w:firstLineChars="200"/>
        <w:rPr>
          <w:rFonts w:asciiTheme="minorEastAsia" w:hAnsiTheme="minorEastAsia" w:eastAsiaTheme="minorEastAsia" w:cstheme="minorEastAsia"/>
          <w:color w:val="auto"/>
          <w:kern w:val="2"/>
          <w:sz w:val="24"/>
          <w:szCs w:val="24"/>
          <w:highlight w:val="none"/>
          <w:lang w:eastAsia="zh-CN"/>
        </w:rPr>
      </w:pPr>
      <w:r>
        <w:rPr>
          <w:rFonts w:hint="eastAsia" w:asciiTheme="minorEastAsia" w:hAnsiTheme="minorEastAsia" w:eastAsiaTheme="minorEastAsia" w:cstheme="minorEastAsia"/>
          <w:color w:val="auto"/>
          <w:kern w:val="2"/>
          <w:sz w:val="24"/>
          <w:szCs w:val="24"/>
          <w:highlight w:val="none"/>
          <w:lang w:eastAsia="zh-CN"/>
        </w:rPr>
        <w:t>投标人须在每件包装箱的两个侧面上，用不褪色的油漆以明显易见的中文字样印刷以下标记：</w:t>
      </w:r>
    </w:p>
    <w:p w14:paraId="5A9A0C3D">
      <w:pPr>
        <w:widowControl w:val="0"/>
        <w:tabs>
          <w:tab w:val="left" w:pos="600"/>
        </w:tabs>
        <w:adjustRightInd w:val="0"/>
        <w:snapToGrid w:val="0"/>
        <w:spacing w:after="0" w:line="360" w:lineRule="auto"/>
        <w:ind w:firstLine="480" w:firstLineChars="200"/>
        <w:rPr>
          <w:rFonts w:asciiTheme="minorEastAsia" w:hAnsiTheme="minorEastAsia" w:eastAsiaTheme="minorEastAsia" w:cstheme="minorEastAsia"/>
          <w:color w:val="auto"/>
          <w:kern w:val="2"/>
          <w:sz w:val="24"/>
          <w:szCs w:val="24"/>
          <w:highlight w:val="none"/>
          <w:lang w:eastAsia="zh-CN"/>
        </w:rPr>
      </w:pPr>
      <w:r>
        <w:rPr>
          <w:rFonts w:hint="eastAsia" w:asciiTheme="minorEastAsia" w:hAnsiTheme="minorEastAsia" w:eastAsiaTheme="minorEastAsia" w:cstheme="minorEastAsia"/>
          <w:color w:val="auto"/>
          <w:kern w:val="2"/>
          <w:sz w:val="24"/>
          <w:szCs w:val="24"/>
          <w:highlight w:val="none"/>
          <w:lang w:eastAsia="zh-CN"/>
        </w:rPr>
        <w:sym w:font="Wingdings" w:char="F0D8"/>
      </w:r>
      <w:r>
        <w:rPr>
          <w:rFonts w:hint="eastAsia" w:asciiTheme="minorEastAsia" w:hAnsiTheme="minorEastAsia" w:eastAsiaTheme="minorEastAsia" w:cstheme="minorEastAsia"/>
          <w:color w:val="auto"/>
          <w:kern w:val="2"/>
          <w:sz w:val="24"/>
          <w:szCs w:val="24"/>
          <w:highlight w:val="none"/>
          <w:lang w:eastAsia="zh-CN"/>
        </w:rPr>
        <w:sym w:font="Wingdings" w:char="F020"/>
      </w:r>
      <w:r>
        <w:rPr>
          <w:rFonts w:hint="eastAsia" w:asciiTheme="minorEastAsia" w:hAnsiTheme="minorEastAsia" w:eastAsiaTheme="minorEastAsia" w:cstheme="minorEastAsia"/>
          <w:color w:val="auto"/>
          <w:kern w:val="2"/>
          <w:sz w:val="24"/>
          <w:szCs w:val="24"/>
          <w:highlight w:val="none"/>
          <w:lang w:eastAsia="zh-CN"/>
        </w:rPr>
        <w:t>合同号；</w:t>
      </w:r>
    </w:p>
    <w:p w14:paraId="62317086">
      <w:pPr>
        <w:widowControl w:val="0"/>
        <w:tabs>
          <w:tab w:val="left" w:pos="600"/>
        </w:tabs>
        <w:adjustRightInd w:val="0"/>
        <w:snapToGrid w:val="0"/>
        <w:spacing w:after="0" w:line="360" w:lineRule="auto"/>
        <w:ind w:firstLine="480" w:firstLineChars="200"/>
        <w:rPr>
          <w:rFonts w:asciiTheme="minorEastAsia" w:hAnsiTheme="minorEastAsia" w:eastAsiaTheme="minorEastAsia" w:cstheme="minorEastAsia"/>
          <w:color w:val="auto"/>
          <w:kern w:val="2"/>
          <w:sz w:val="24"/>
          <w:szCs w:val="24"/>
          <w:highlight w:val="none"/>
          <w:lang w:eastAsia="zh-CN"/>
        </w:rPr>
      </w:pPr>
      <w:r>
        <w:rPr>
          <w:rFonts w:hint="eastAsia" w:asciiTheme="minorEastAsia" w:hAnsiTheme="minorEastAsia" w:eastAsiaTheme="minorEastAsia" w:cstheme="minorEastAsia"/>
          <w:color w:val="auto"/>
          <w:kern w:val="2"/>
          <w:sz w:val="24"/>
          <w:szCs w:val="24"/>
          <w:highlight w:val="none"/>
          <w:lang w:eastAsia="zh-CN"/>
        </w:rPr>
        <w:sym w:font="Wingdings" w:char="F0D8"/>
      </w:r>
      <w:r>
        <w:rPr>
          <w:rFonts w:hint="eastAsia" w:asciiTheme="minorEastAsia" w:hAnsiTheme="minorEastAsia" w:eastAsiaTheme="minorEastAsia" w:cstheme="minorEastAsia"/>
          <w:color w:val="auto"/>
          <w:kern w:val="2"/>
          <w:sz w:val="24"/>
          <w:szCs w:val="24"/>
          <w:highlight w:val="none"/>
          <w:lang w:eastAsia="zh-CN"/>
        </w:rPr>
        <w:sym w:font="Wingdings" w:char="F020"/>
      </w:r>
      <w:r>
        <w:rPr>
          <w:rFonts w:hint="eastAsia" w:asciiTheme="minorEastAsia" w:hAnsiTheme="minorEastAsia" w:eastAsiaTheme="minorEastAsia" w:cstheme="minorEastAsia"/>
          <w:color w:val="auto"/>
          <w:kern w:val="2"/>
          <w:sz w:val="24"/>
          <w:szCs w:val="24"/>
          <w:highlight w:val="none"/>
          <w:lang w:eastAsia="zh-CN"/>
        </w:rPr>
        <w:t>目的站／码头；</w:t>
      </w:r>
    </w:p>
    <w:p w14:paraId="7E3DD86F">
      <w:pPr>
        <w:widowControl w:val="0"/>
        <w:tabs>
          <w:tab w:val="left" w:pos="600"/>
        </w:tabs>
        <w:adjustRightInd w:val="0"/>
        <w:snapToGrid w:val="0"/>
        <w:spacing w:after="0" w:line="360" w:lineRule="auto"/>
        <w:ind w:firstLine="480" w:firstLineChars="200"/>
        <w:rPr>
          <w:rFonts w:asciiTheme="minorEastAsia" w:hAnsiTheme="minorEastAsia" w:eastAsiaTheme="minorEastAsia" w:cstheme="minorEastAsia"/>
          <w:color w:val="auto"/>
          <w:kern w:val="2"/>
          <w:sz w:val="24"/>
          <w:szCs w:val="24"/>
          <w:highlight w:val="none"/>
          <w:lang w:eastAsia="zh-CN"/>
        </w:rPr>
      </w:pPr>
      <w:r>
        <w:rPr>
          <w:rFonts w:hint="eastAsia" w:asciiTheme="minorEastAsia" w:hAnsiTheme="minorEastAsia" w:eastAsiaTheme="minorEastAsia" w:cstheme="minorEastAsia"/>
          <w:color w:val="auto"/>
          <w:kern w:val="2"/>
          <w:sz w:val="24"/>
          <w:szCs w:val="24"/>
          <w:highlight w:val="none"/>
          <w:lang w:eastAsia="zh-CN"/>
        </w:rPr>
        <w:sym w:font="Wingdings" w:char="F0D8"/>
      </w:r>
      <w:r>
        <w:rPr>
          <w:rFonts w:hint="eastAsia" w:asciiTheme="minorEastAsia" w:hAnsiTheme="minorEastAsia" w:eastAsiaTheme="minorEastAsia" w:cstheme="minorEastAsia"/>
          <w:color w:val="auto"/>
          <w:kern w:val="2"/>
          <w:sz w:val="24"/>
          <w:szCs w:val="24"/>
          <w:highlight w:val="none"/>
          <w:lang w:eastAsia="zh-CN"/>
        </w:rPr>
        <w:sym w:font="Wingdings" w:char="F020"/>
      </w:r>
      <w:r>
        <w:rPr>
          <w:rFonts w:hint="eastAsia" w:asciiTheme="minorEastAsia" w:hAnsiTheme="minorEastAsia" w:eastAsiaTheme="minorEastAsia" w:cstheme="minorEastAsia"/>
          <w:color w:val="auto"/>
          <w:kern w:val="2"/>
          <w:sz w:val="24"/>
          <w:szCs w:val="24"/>
          <w:highlight w:val="none"/>
          <w:lang w:eastAsia="zh-CN"/>
        </w:rPr>
        <w:t>供货、收货单位名称；</w:t>
      </w:r>
    </w:p>
    <w:p w14:paraId="6E6E8A2D">
      <w:pPr>
        <w:widowControl w:val="0"/>
        <w:tabs>
          <w:tab w:val="left" w:pos="600"/>
        </w:tabs>
        <w:adjustRightInd w:val="0"/>
        <w:snapToGrid w:val="0"/>
        <w:spacing w:after="0" w:line="360" w:lineRule="auto"/>
        <w:ind w:firstLine="480" w:firstLineChars="200"/>
        <w:rPr>
          <w:rFonts w:asciiTheme="minorEastAsia" w:hAnsiTheme="minorEastAsia" w:eastAsiaTheme="minorEastAsia" w:cstheme="minorEastAsia"/>
          <w:color w:val="auto"/>
          <w:kern w:val="2"/>
          <w:sz w:val="24"/>
          <w:szCs w:val="24"/>
          <w:highlight w:val="none"/>
          <w:lang w:eastAsia="zh-CN"/>
        </w:rPr>
      </w:pPr>
      <w:r>
        <w:rPr>
          <w:rFonts w:hint="eastAsia" w:asciiTheme="minorEastAsia" w:hAnsiTheme="minorEastAsia" w:eastAsiaTheme="minorEastAsia" w:cstheme="minorEastAsia"/>
          <w:color w:val="auto"/>
          <w:kern w:val="2"/>
          <w:sz w:val="24"/>
          <w:szCs w:val="24"/>
          <w:highlight w:val="none"/>
          <w:lang w:eastAsia="zh-CN"/>
        </w:rPr>
        <w:sym w:font="Wingdings" w:char="F0D8"/>
      </w:r>
      <w:r>
        <w:rPr>
          <w:rFonts w:hint="eastAsia" w:asciiTheme="minorEastAsia" w:hAnsiTheme="minorEastAsia" w:eastAsiaTheme="minorEastAsia" w:cstheme="minorEastAsia"/>
          <w:color w:val="auto"/>
          <w:kern w:val="2"/>
          <w:sz w:val="24"/>
          <w:szCs w:val="24"/>
          <w:highlight w:val="none"/>
          <w:lang w:eastAsia="zh-CN"/>
        </w:rPr>
        <w:sym w:font="Wingdings" w:char="F020"/>
      </w:r>
      <w:r>
        <w:rPr>
          <w:rFonts w:hint="eastAsia" w:asciiTheme="minorEastAsia" w:hAnsiTheme="minorEastAsia" w:eastAsiaTheme="minorEastAsia" w:cstheme="minorEastAsia"/>
          <w:color w:val="auto"/>
          <w:kern w:val="2"/>
          <w:sz w:val="24"/>
          <w:szCs w:val="24"/>
          <w:highlight w:val="none"/>
          <w:lang w:eastAsia="zh-CN"/>
        </w:rPr>
        <w:t>设备名称、机组号、图号；</w:t>
      </w:r>
    </w:p>
    <w:p w14:paraId="36385843">
      <w:pPr>
        <w:widowControl w:val="0"/>
        <w:tabs>
          <w:tab w:val="left" w:pos="600"/>
        </w:tabs>
        <w:adjustRightInd w:val="0"/>
        <w:snapToGrid w:val="0"/>
        <w:spacing w:after="0" w:line="360" w:lineRule="auto"/>
        <w:ind w:firstLine="480" w:firstLineChars="200"/>
        <w:rPr>
          <w:rFonts w:asciiTheme="minorEastAsia" w:hAnsiTheme="minorEastAsia" w:eastAsiaTheme="minorEastAsia" w:cstheme="minorEastAsia"/>
          <w:color w:val="auto"/>
          <w:kern w:val="2"/>
          <w:sz w:val="24"/>
          <w:szCs w:val="24"/>
          <w:highlight w:val="none"/>
          <w:lang w:eastAsia="zh-CN"/>
        </w:rPr>
      </w:pPr>
      <w:r>
        <w:rPr>
          <w:rFonts w:hint="eastAsia" w:asciiTheme="minorEastAsia" w:hAnsiTheme="minorEastAsia" w:eastAsiaTheme="minorEastAsia" w:cstheme="minorEastAsia"/>
          <w:color w:val="auto"/>
          <w:kern w:val="2"/>
          <w:sz w:val="24"/>
          <w:szCs w:val="24"/>
          <w:highlight w:val="none"/>
          <w:lang w:eastAsia="zh-CN"/>
        </w:rPr>
        <w:sym w:font="Wingdings" w:char="F0D8"/>
      </w:r>
      <w:r>
        <w:rPr>
          <w:rFonts w:hint="eastAsia" w:asciiTheme="minorEastAsia" w:hAnsiTheme="minorEastAsia" w:eastAsiaTheme="minorEastAsia" w:cstheme="minorEastAsia"/>
          <w:color w:val="auto"/>
          <w:kern w:val="2"/>
          <w:sz w:val="24"/>
          <w:szCs w:val="24"/>
          <w:highlight w:val="none"/>
          <w:lang w:eastAsia="zh-CN"/>
        </w:rPr>
        <w:sym w:font="Wingdings" w:char="F020"/>
      </w:r>
      <w:r>
        <w:rPr>
          <w:rFonts w:hint="eastAsia" w:asciiTheme="minorEastAsia" w:hAnsiTheme="minorEastAsia" w:eastAsiaTheme="minorEastAsia" w:cstheme="minorEastAsia"/>
          <w:color w:val="auto"/>
          <w:kern w:val="2"/>
          <w:sz w:val="24"/>
          <w:szCs w:val="24"/>
          <w:highlight w:val="none"/>
          <w:lang w:eastAsia="zh-CN"/>
        </w:rPr>
        <w:t>箱号／件号；</w:t>
      </w:r>
    </w:p>
    <w:p w14:paraId="311C89C6">
      <w:pPr>
        <w:widowControl w:val="0"/>
        <w:tabs>
          <w:tab w:val="left" w:pos="600"/>
        </w:tabs>
        <w:adjustRightInd w:val="0"/>
        <w:snapToGrid w:val="0"/>
        <w:spacing w:after="0" w:line="360" w:lineRule="auto"/>
        <w:ind w:firstLine="480" w:firstLineChars="200"/>
        <w:rPr>
          <w:rFonts w:asciiTheme="minorEastAsia" w:hAnsiTheme="minorEastAsia" w:eastAsiaTheme="minorEastAsia" w:cstheme="minorEastAsia"/>
          <w:color w:val="auto"/>
          <w:kern w:val="2"/>
          <w:sz w:val="24"/>
          <w:szCs w:val="24"/>
          <w:highlight w:val="none"/>
          <w:lang w:eastAsia="zh-CN"/>
        </w:rPr>
      </w:pPr>
      <w:r>
        <w:rPr>
          <w:rFonts w:hint="eastAsia" w:asciiTheme="minorEastAsia" w:hAnsiTheme="minorEastAsia" w:eastAsiaTheme="minorEastAsia" w:cstheme="minorEastAsia"/>
          <w:color w:val="auto"/>
          <w:kern w:val="2"/>
          <w:sz w:val="24"/>
          <w:szCs w:val="24"/>
          <w:highlight w:val="none"/>
          <w:lang w:eastAsia="zh-CN"/>
        </w:rPr>
        <w:sym w:font="Wingdings" w:char="F0D8"/>
      </w:r>
      <w:r>
        <w:rPr>
          <w:rFonts w:hint="eastAsia" w:asciiTheme="minorEastAsia" w:hAnsiTheme="minorEastAsia" w:eastAsiaTheme="minorEastAsia" w:cstheme="minorEastAsia"/>
          <w:color w:val="auto"/>
          <w:kern w:val="2"/>
          <w:sz w:val="24"/>
          <w:szCs w:val="24"/>
          <w:highlight w:val="none"/>
          <w:lang w:eastAsia="zh-CN"/>
        </w:rPr>
        <w:sym w:font="Wingdings" w:char="F020"/>
      </w:r>
      <w:r>
        <w:rPr>
          <w:rFonts w:hint="eastAsia" w:asciiTheme="minorEastAsia" w:hAnsiTheme="minorEastAsia" w:eastAsiaTheme="minorEastAsia" w:cstheme="minorEastAsia"/>
          <w:color w:val="auto"/>
          <w:kern w:val="2"/>
          <w:sz w:val="24"/>
          <w:szCs w:val="24"/>
          <w:highlight w:val="none"/>
          <w:lang w:eastAsia="zh-CN"/>
        </w:rPr>
        <w:t>毛重／净重</w:t>
      </w:r>
      <w:r>
        <w:rPr>
          <w:rFonts w:asciiTheme="minorEastAsia" w:hAnsiTheme="minorEastAsia" w:eastAsiaTheme="minorEastAsia" w:cstheme="minorEastAsia"/>
          <w:color w:val="auto"/>
          <w:kern w:val="2"/>
          <w:sz w:val="24"/>
          <w:szCs w:val="24"/>
          <w:highlight w:val="none"/>
          <w:lang w:eastAsia="zh-CN"/>
        </w:rPr>
        <w:t>(公斤)；</w:t>
      </w:r>
    </w:p>
    <w:p w14:paraId="2EE5C7A8">
      <w:pPr>
        <w:widowControl w:val="0"/>
        <w:tabs>
          <w:tab w:val="left" w:pos="600"/>
        </w:tabs>
        <w:adjustRightInd w:val="0"/>
        <w:snapToGrid w:val="0"/>
        <w:spacing w:after="0" w:line="360" w:lineRule="auto"/>
        <w:ind w:firstLine="480" w:firstLineChars="200"/>
        <w:rPr>
          <w:rFonts w:asciiTheme="minorEastAsia" w:hAnsiTheme="minorEastAsia" w:eastAsiaTheme="minorEastAsia" w:cstheme="minorEastAsia"/>
          <w:color w:val="auto"/>
          <w:kern w:val="2"/>
          <w:sz w:val="24"/>
          <w:szCs w:val="24"/>
          <w:highlight w:val="none"/>
          <w:lang w:eastAsia="zh-CN"/>
        </w:rPr>
      </w:pPr>
      <w:r>
        <w:rPr>
          <w:rFonts w:hint="eastAsia" w:asciiTheme="minorEastAsia" w:hAnsiTheme="minorEastAsia" w:eastAsiaTheme="minorEastAsia" w:cstheme="minorEastAsia"/>
          <w:color w:val="auto"/>
          <w:kern w:val="2"/>
          <w:sz w:val="24"/>
          <w:szCs w:val="24"/>
          <w:highlight w:val="none"/>
          <w:lang w:eastAsia="zh-CN"/>
        </w:rPr>
        <w:sym w:font="Wingdings" w:char="F0D8"/>
      </w:r>
      <w:r>
        <w:rPr>
          <w:rFonts w:hint="eastAsia" w:asciiTheme="minorEastAsia" w:hAnsiTheme="minorEastAsia" w:eastAsiaTheme="minorEastAsia" w:cstheme="minorEastAsia"/>
          <w:color w:val="auto"/>
          <w:kern w:val="2"/>
          <w:sz w:val="24"/>
          <w:szCs w:val="24"/>
          <w:highlight w:val="none"/>
          <w:lang w:eastAsia="zh-CN"/>
        </w:rPr>
        <w:sym w:font="Wingdings" w:char="F020"/>
      </w:r>
      <w:r>
        <w:rPr>
          <w:rFonts w:hint="eastAsia" w:asciiTheme="minorEastAsia" w:hAnsiTheme="minorEastAsia" w:eastAsiaTheme="minorEastAsia" w:cstheme="minorEastAsia"/>
          <w:color w:val="auto"/>
          <w:kern w:val="2"/>
          <w:sz w:val="24"/>
          <w:szCs w:val="24"/>
          <w:highlight w:val="none"/>
          <w:lang w:eastAsia="zh-CN"/>
        </w:rPr>
        <w:t>体积</w:t>
      </w:r>
      <w:r>
        <w:rPr>
          <w:rFonts w:asciiTheme="minorEastAsia" w:hAnsiTheme="minorEastAsia" w:eastAsiaTheme="minorEastAsia" w:cstheme="minorEastAsia"/>
          <w:color w:val="auto"/>
          <w:kern w:val="2"/>
          <w:sz w:val="24"/>
          <w:szCs w:val="24"/>
          <w:highlight w:val="none"/>
          <w:lang w:eastAsia="zh-CN"/>
        </w:rPr>
        <w:t>(长×宽×高，以毫米表示)。</w:t>
      </w:r>
    </w:p>
    <w:p w14:paraId="50E25018">
      <w:pPr>
        <w:widowControl w:val="0"/>
        <w:tabs>
          <w:tab w:val="left" w:pos="600"/>
        </w:tabs>
        <w:adjustRightInd w:val="0"/>
        <w:snapToGrid w:val="0"/>
        <w:spacing w:after="0" w:line="360" w:lineRule="auto"/>
        <w:ind w:firstLine="480" w:firstLineChars="200"/>
        <w:rPr>
          <w:rFonts w:asciiTheme="minorEastAsia" w:hAnsiTheme="minorEastAsia" w:eastAsiaTheme="minorEastAsia" w:cstheme="minorEastAsia"/>
          <w:color w:val="auto"/>
          <w:kern w:val="2"/>
          <w:sz w:val="24"/>
          <w:szCs w:val="24"/>
          <w:highlight w:val="none"/>
          <w:lang w:eastAsia="zh-CN"/>
        </w:rPr>
      </w:pPr>
      <w:r>
        <w:rPr>
          <w:rFonts w:hint="eastAsia" w:asciiTheme="minorEastAsia" w:hAnsiTheme="minorEastAsia" w:eastAsiaTheme="minorEastAsia" w:cstheme="minorEastAsia"/>
          <w:color w:val="auto"/>
          <w:kern w:val="2"/>
          <w:sz w:val="24"/>
          <w:szCs w:val="24"/>
          <w:highlight w:val="none"/>
          <w:lang w:eastAsia="zh-CN"/>
        </w:rPr>
        <w:t>凡重量为二吨或超过二吨的货物，须在包装箱的侧面以运输常用的标记和图案标明重心位置及起吊点，以便于装卸搬运。按照货物的特点，装卸和运输上的不同要求，包装箱上须明显地印刷有“轻放”“勿倒置”和“防雨”等字样。对裸装货物须以金属标签或直接在设备本身上注明上述有关内容。大件货物须带有足够的货物支架或包装垫木。每件包装箱内，须附有包括分件名称、数量、价格、机组号、图号的详细装箱单、合格证。外购件包装箱内须有产品出厂质量合格证明书、技术说明各一份。另邮寄装箱清单二份。技术条件书中列明的备品备件须按每套设备分别包装，并在包装箱外加以注明，一次性发货。备品备件须分别包装并同样注明上述标记，专用工具也须分别包装。各种设备的松散零星部件须采用好的包装方式，装入尺寸适当的箱内，并尽可能整车发运以减少运输费用。栅格式箱子和／或类似的包装，须能用于盛装不至于被偷窃或被其他物品或雨水造成损坏的设备及零部件。所有管道、管件、阀门及其它设备的端口必须用保护盖或其它方式妥善防护。投标人或其分包商不得用同一箱号标明任何两个箱件。对于需要精确装配的明亮洁净加工面的货物，加工面须采用优良、耐久的保护层，以防止在安装前发生锈蚀和损坏。</w:t>
      </w:r>
    </w:p>
    <w:p w14:paraId="23D3B1B9">
      <w:pPr>
        <w:rPr>
          <w:rFonts w:hint="eastAsia" w:ascii="宋体" w:hAnsi="宋体" w:eastAsia="宋体" w:cs="宋体"/>
          <w:b/>
          <w:bCs/>
          <w:color w:val="auto"/>
          <w:sz w:val="30"/>
          <w:szCs w:val="30"/>
          <w:highlight w:val="none"/>
          <w:lang w:val="en-US" w:eastAsia="zh-CN"/>
        </w:rPr>
      </w:pPr>
      <w:bookmarkStart w:id="12" w:name="_Toc415140554"/>
      <w:bookmarkStart w:id="13" w:name="_Toc7409"/>
      <w:bookmarkStart w:id="14" w:name="_Toc380835211"/>
      <w:r>
        <w:rPr>
          <w:rFonts w:hint="eastAsia" w:ascii="宋体" w:hAnsi="宋体" w:eastAsia="宋体" w:cs="宋体"/>
          <w:b/>
          <w:bCs/>
          <w:color w:val="auto"/>
          <w:sz w:val="30"/>
          <w:szCs w:val="30"/>
          <w:highlight w:val="none"/>
          <w:lang w:val="en-US" w:eastAsia="zh-CN"/>
        </w:rPr>
        <w:br w:type="page"/>
      </w:r>
    </w:p>
    <w:p w14:paraId="07D09534">
      <w:pPr>
        <w:pStyle w:val="181"/>
        <w:numPr>
          <w:ilvl w:val="-1"/>
          <w:numId w:val="0"/>
        </w:numPr>
        <w:rPr>
          <w:rFonts w:hint="eastAsia" w:ascii="宋体" w:hAnsi="宋体" w:eastAsia="宋体" w:cs="宋体"/>
          <w:b/>
          <w:bCs/>
          <w:color w:val="auto"/>
          <w:sz w:val="30"/>
          <w:szCs w:val="30"/>
          <w:highlight w:val="none"/>
          <w:lang w:val="en-US" w:eastAsia="zh-CN"/>
        </w:rPr>
      </w:pPr>
      <w:bookmarkStart w:id="15" w:name="_Toc334015521"/>
      <w:bookmarkStart w:id="16" w:name="_Toc150746254"/>
      <w:r>
        <w:rPr>
          <w:rFonts w:hint="eastAsia" w:ascii="宋体" w:hAnsi="宋体" w:eastAsia="宋体" w:cs="宋体"/>
          <w:b/>
          <w:color w:val="auto"/>
          <w:sz w:val="30"/>
          <w:szCs w:val="30"/>
          <w:highlight w:val="none"/>
        </w:rPr>
        <w:t>附件2供货范围</w:t>
      </w:r>
      <w:bookmarkEnd w:id="12"/>
      <w:bookmarkEnd w:id="13"/>
      <w:bookmarkEnd w:id="14"/>
      <w:bookmarkEnd w:id="15"/>
      <w:bookmarkEnd w:id="16"/>
    </w:p>
    <w:p w14:paraId="14E81793">
      <w:pPr>
        <w:keepNext/>
        <w:keepLines/>
        <w:widowControl w:val="0"/>
        <w:tabs>
          <w:tab w:val="left" w:pos="480"/>
          <w:tab w:val="left" w:pos="525"/>
        </w:tabs>
        <w:adjustRightInd w:val="0"/>
        <w:snapToGrid w:val="0"/>
        <w:spacing w:before="0" w:after="0" w:line="360" w:lineRule="auto"/>
        <w:outlineLvl w:val="2"/>
        <w:rPr>
          <w:rFonts w:hint="eastAsia" w:ascii="宋体" w:hAnsi="宋体" w:eastAsia="宋体" w:cs="宋体"/>
          <w:b/>
          <w:bCs w:val="0"/>
          <w:color w:val="auto"/>
          <w:kern w:val="44"/>
          <w:sz w:val="28"/>
          <w:szCs w:val="28"/>
          <w:highlight w:val="none"/>
          <w:lang w:val="zh-CN" w:eastAsia="zh-CN"/>
        </w:rPr>
      </w:pPr>
      <w:bookmarkStart w:id="17" w:name="_Toc58730874"/>
      <w:r>
        <w:rPr>
          <w:rFonts w:hint="eastAsia" w:ascii="宋体" w:hAnsi="宋体" w:eastAsia="宋体" w:cs="宋体"/>
          <w:b/>
          <w:bCs w:val="0"/>
          <w:color w:val="auto"/>
          <w:kern w:val="44"/>
          <w:sz w:val="28"/>
          <w:szCs w:val="28"/>
          <w:highlight w:val="none"/>
          <w:lang w:val="en-US" w:eastAsia="zh-CN"/>
        </w:rPr>
        <w:t>1</w:t>
      </w:r>
      <w:r>
        <w:rPr>
          <w:rFonts w:hint="eastAsia" w:ascii="宋体" w:hAnsi="宋体" w:eastAsia="宋体" w:cs="宋体"/>
          <w:b/>
          <w:bCs w:val="0"/>
          <w:color w:val="auto"/>
          <w:kern w:val="44"/>
          <w:sz w:val="28"/>
          <w:szCs w:val="28"/>
          <w:highlight w:val="none"/>
          <w:lang w:val="zh-CN" w:eastAsia="zh-CN"/>
        </w:rPr>
        <w:t xml:space="preserve">  一般要求</w:t>
      </w:r>
      <w:bookmarkEnd w:id="17"/>
    </w:p>
    <w:p w14:paraId="28B27635">
      <w:pPr>
        <w:widowControl w:val="0"/>
        <w:tabs>
          <w:tab w:val="left" w:pos="600"/>
        </w:tabs>
        <w:adjustRightInd w:val="0"/>
        <w:snapToGrid w:val="0"/>
        <w:spacing w:after="0" w:line="360" w:lineRule="auto"/>
        <w:ind w:firstLine="480" w:firstLineChars="200"/>
        <w:rPr>
          <w:rFonts w:cs="Times New Roman"/>
          <w:color w:val="auto"/>
          <w:kern w:val="2"/>
          <w:sz w:val="24"/>
          <w:szCs w:val="24"/>
          <w:highlight w:val="none"/>
          <w:lang w:eastAsia="zh-CN"/>
        </w:rPr>
      </w:pPr>
      <w:r>
        <w:rPr>
          <w:rFonts w:hint="eastAsia" w:cs="Times New Roman"/>
          <w:color w:val="auto"/>
          <w:kern w:val="2"/>
          <w:sz w:val="24"/>
          <w:szCs w:val="24"/>
          <w:highlight w:val="none"/>
          <w:lang w:eastAsia="zh-CN"/>
        </w:rPr>
        <w:t>1.1 投标人应提供功能完整的保护装置及相关附属设备，以及对上述设备及材料的设计，制造、检验、包装、运输。</w:t>
      </w:r>
    </w:p>
    <w:p w14:paraId="60C12A49">
      <w:pPr>
        <w:widowControl w:val="0"/>
        <w:tabs>
          <w:tab w:val="left" w:pos="600"/>
        </w:tabs>
        <w:adjustRightInd w:val="0"/>
        <w:snapToGrid w:val="0"/>
        <w:spacing w:after="0" w:line="360" w:lineRule="auto"/>
        <w:ind w:firstLine="480" w:firstLineChars="200"/>
        <w:rPr>
          <w:rFonts w:cs="Times New Roman"/>
          <w:color w:val="auto"/>
          <w:kern w:val="2"/>
          <w:sz w:val="24"/>
          <w:szCs w:val="24"/>
          <w:highlight w:val="none"/>
          <w:lang w:eastAsia="zh-CN"/>
        </w:rPr>
      </w:pPr>
      <w:r>
        <w:rPr>
          <w:rFonts w:hint="eastAsia" w:cs="Times New Roman"/>
          <w:color w:val="auto"/>
          <w:kern w:val="2"/>
          <w:sz w:val="24"/>
          <w:szCs w:val="24"/>
          <w:highlight w:val="none"/>
          <w:lang w:eastAsia="zh-CN"/>
        </w:rPr>
        <w:t>1.2 投标人应提供满足安装调试需要的备品备件，做分项报价，并记入合同总价；如果上述备品备件不能满足安装调试需要，投标人按照招标人要求免费提供。</w:t>
      </w:r>
    </w:p>
    <w:p w14:paraId="33BF657B">
      <w:pPr>
        <w:widowControl w:val="0"/>
        <w:tabs>
          <w:tab w:val="left" w:pos="600"/>
        </w:tabs>
        <w:adjustRightInd w:val="0"/>
        <w:snapToGrid w:val="0"/>
        <w:spacing w:after="0" w:line="360" w:lineRule="auto"/>
        <w:ind w:firstLine="480" w:firstLineChars="200"/>
        <w:rPr>
          <w:rFonts w:cs="Times New Roman"/>
          <w:color w:val="auto"/>
          <w:kern w:val="2"/>
          <w:sz w:val="24"/>
          <w:szCs w:val="24"/>
          <w:highlight w:val="none"/>
          <w:lang w:eastAsia="zh-CN"/>
        </w:rPr>
      </w:pPr>
      <w:r>
        <w:rPr>
          <w:rFonts w:hint="eastAsia" w:cs="Times New Roman"/>
          <w:color w:val="auto"/>
          <w:kern w:val="2"/>
          <w:sz w:val="24"/>
          <w:szCs w:val="24"/>
          <w:highlight w:val="none"/>
          <w:lang w:eastAsia="zh-CN"/>
        </w:rPr>
        <w:t>1.3 投标人应提供满足质保期需要的备品备件，做分项报价，并记入合同总价；如果上述备品备件不能满足质保期需要，投标人按照招标人要求免费提供</w:t>
      </w:r>
    </w:p>
    <w:p w14:paraId="2D8ED807">
      <w:pPr>
        <w:widowControl w:val="0"/>
        <w:tabs>
          <w:tab w:val="left" w:pos="600"/>
        </w:tabs>
        <w:adjustRightInd w:val="0"/>
        <w:snapToGrid w:val="0"/>
        <w:spacing w:after="0" w:line="360" w:lineRule="auto"/>
        <w:ind w:firstLine="480" w:firstLineChars="200"/>
        <w:rPr>
          <w:rFonts w:cs="Times New Roman"/>
          <w:color w:val="auto"/>
          <w:kern w:val="2"/>
          <w:sz w:val="24"/>
          <w:szCs w:val="24"/>
          <w:highlight w:val="none"/>
          <w:lang w:eastAsia="zh-CN"/>
        </w:rPr>
      </w:pPr>
      <w:r>
        <w:rPr>
          <w:rFonts w:hint="eastAsia" w:cs="Times New Roman"/>
          <w:color w:val="auto"/>
          <w:kern w:val="2"/>
          <w:sz w:val="24"/>
          <w:szCs w:val="24"/>
          <w:highlight w:val="none"/>
          <w:lang w:eastAsia="zh-CN"/>
        </w:rPr>
        <w:t>随机备品备件是指在机组通过168小时试运行前安装、调试、运行和维护所必需的备品备件。随机备品备件分为两部分，分别是招标人要求必须供应的随机备品备件，及在此基础上，由投标人补充的随机备品备件。</w:t>
      </w:r>
    </w:p>
    <w:p w14:paraId="05FA2271">
      <w:pPr>
        <w:widowControl w:val="0"/>
        <w:tabs>
          <w:tab w:val="left" w:pos="600"/>
        </w:tabs>
        <w:adjustRightInd w:val="0"/>
        <w:snapToGrid w:val="0"/>
        <w:spacing w:after="0" w:line="360" w:lineRule="auto"/>
        <w:ind w:firstLine="480" w:firstLineChars="200"/>
        <w:rPr>
          <w:rFonts w:cs="Times New Roman"/>
          <w:color w:val="auto"/>
          <w:kern w:val="2"/>
          <w:sz w:val="24"/>
          <w:szCs w:val="24"/>
          <w:highlight w:val="none"/>
          <w:lang w:eastAsia="zh-CN"/>
        </w:rPr>
      </w:pPr>
      <w:r>
        <w:rPr>
          <w:rFonts w:hint="eastAsia" w:cs="Times New Roman"/>
          <w:color w:val="auto"/>
          <w:kern w:val="2"/>
          <w:sz w:val="24"/>
          <w:szCs w:val="24"/>
          <w:highlight w:val="none"/>
          <w:lang w:eastAsia="zh-CN"/>
        </w:rPr>
        <w:t>1.4 投标人应填写“招标人要求的随机备品备件表”（附表2A）和“投标人补充的随机备品备件表”（附表2B）。对于机组在168小时试运前安装、调试、运行和维护所必需的随机备品备件，如果投标人未在“投标人补充的随机备品备件表”中提出，由投标人免费提供。</w:t>
      </w:r>
    </w:p>
    <w:p w14:paraId="15D005AA">
      <w:pPr>
        <w:widowControl w:val="0"/>
        <w:tabs>
          <w:tab w:val="left" w:pos="600"/>
        </w:tabs>
        <w:adjustRightInd w:val="0"/>
        <w:snapToGrid w:val="0"/>
        <w:spacing w:after="0" w:line="360" w:lineRule="auto"/>
        <w:ind w:firstLine="480" w:firstLineChars="200"/>
        <w:rPr>
          <w:rFonts w:cs="Times New Roman"/>
          <w:color w:val="auto"/>
          <w:kern w:val="2"/>
          <w:sz w:val="24"/>
          <w:szCs w:val="24"/>
          <w:highlight w:val="none"/>
          <w:lang w:eastAsia="zh-CN"/>
        </w:rPr>
      </w:pPr>
      <w:r>
        <w:rPr>
          <w:rFonts w:hint="eastAsia" w:cs="Times New Roman"/>
          <w:color w:val="auto"/>
          <w:kern w:val="2"/>
          <w:sz w:val="24"/>
          <w:szCs w:val="24"/>
          <w:highlight w:val="none"/>
          <w:lang w:eastAsia="zh-CN"/>
        </w:rPr>
        <w:t>1.5 生产备品备件是指机组通过168小时试运后3</w:t>
      </w:r>
      <w:r>
        <w:rPr>
          <w:rFonts w:hint="eastAsia" w:cs="Times New Roman"/>
          <w:color w:val="auto"/>
          <w:kern w:val="2"/>
          <w:sz w:val="24"/>
          <w:szCs w:val="24"/>
          <w:highlight w:val="none"/>
          <w:lang w:val="en-US" w:eastAsia="zh-CN"/>
        </w:rPr>
        <w:t>年</w:t>
      </w:r>
      <w:r>
        <w:rPr>
          <w:rFonts w:hint="eastAsia" w:cs="Times New Roman"/>
          <w:color w:val="auto"/>
          <w:kern w:val="2"/>
          <w:sz w:val="24"/>
          <w:szCs w:val="24"/>
          <w:highlight w:val="none"/>
          <w:lang w:eastAsia="zh-CN"/>
        </w:rPr>
        <w:t>（招标人填写期限）生产阶段所用的备品备件。生产备品备件分为两部分，分别是招标人要求生产备品备件，及在此基础上，由投标人推荐的生产备品备件。</w:t>
      </w:r>
    </w:p>
    <w:p w14:paraId="2BA43764">
      <w:pPr>
        <w:widowControl w:val="0"/>
        <w:tabs>
          <w:tab w:val="left" w:pos="600"/>
        </w:tabs>
        <w:adjustRightInd w:val="0"/>
        <w:snapToGrid w:val="0"/>
        <w:spacing w:after="0" w:line="360" w:lineRule="auto"/>
        <w:ind w:firstLine="480" w:firstLineChars="200"/>
        <w:rPr>
          <w:rFonts w:cs="Times New Roman"/>
          <w:color w:val="auto"/>
          <w:kern w:val="2"/>
          <w:sz w:val="24"/>
          <w:szCs w:val="24"/>
          <w:highlight w:val="none"/>
          <w:lang w:eastAsia="zh-CN"/>
        </w:rPr>
      </w:pPr>
      <w:r>
        <w:rPr>
          <w:rFonts w:hint="eastAsia" w:cs="Times New Roman"/>
          <w:color w:val="auto"/>
          <w:kern w:val="2"/>
          <w:sz w:val="24"/>
          <w:szCs w:val="24"/>
          <w:highlight w:val="none"/>
          <w:lang w:eastAsia="zh-CN"/>
        </w:rPr>
        <w:t>1.6 投标人应分别填写“招标人要求的生产备品备件表”（见附表2C）和“投标人推荐的生产备品备件表” （见附表2D）。生产备品备件价格有效期为移交生产后5年（招标人填写）。</w:t>
      </w:r>
    </w:p>
    <w:p w14:paraId="68A6CBFC">
      <w:pPr>
        <w:widowControl w:val="0"/>
        <w:tabs>
          <w:tab w:val="left" w:pos="600"/>
        </w:tabs>
        <w:adjustRightInd w:val="0"/>
        <w:snapToGrid w:val="0"/>
        <w:spacing w:after="0" w:line="360" w:lineRule="auto"/>
        <w:ind w:firstLine="480" w:firstLineChars="200"/>
        <w:rPr>
          <w:rFonts w:cs="Times New Roman"/>
          <w:color w:val="auto"/>
          <w:kern w:val="2"/>
          <w:sz w:val="24"/>
          <w:szCs w:val="24"/>
          <w:highlight w:val="none"/>
          <w:lang w:eastAsia="zh-CN"/>
        </w:rPr>
      </w:pPr>
      <w:r>
        <w:rPr>
          <w:rFonts w:hint="eastAsia" w:cs="Times New Roman"/>
          <w:color w:val="auto"/>
          <w:kern w:val="2"/>
          <w:sz w:val="24"/>
          <w:szCs w:val="24"/>
          <w:highlight w:val="none"/>
          <w:lang w:eastAsia="zh-CN"/>
        </w:rPr>
        <w:t>1.7 投标人应根据设备的特点提供满足设备安装、调试及检修需要专用工具，投标人按照本要求进行分项报价，并记入合同总价。</w:t>
      </w:r>
    </w:p>
    <w:p w14:paraId="1EB13853">
      <w:pPr>
        <w:widowControl w:val="0"/>
        <w:tabs>
          <w:tab w:val="left" w:pos="600"/>
        </w:tabs>
        <w:adjustRightInd w:val="0"/>
        <w:snapToGrid w:val="0"/>
        <w:spacing w:after="0" w:line="360" w:lineRule="auto"/>
        <w:ind w:firstLine="480" w:firstLineChars="200"/>
        <w:rPr>
          <w:rFonts w:cs="Times New Roman"/>
          <w:color w:val="auto"/>
          <w:kern w:val="2"/>
          <w:sz w:val="24"/>
          <w:szCs w:val="24"/>
          <w:highlight w:val="none"/>
          <w:lang w:eastAsia="zh-CN"/>
        </w:rPr>
      </w:pPr>
      <w:r>
        <w:rPr>
          <w:rFonts w:hint="eastAsia" w:cs="Times New Roman"/>
          <w:color w:val="auto"/>
          <w:kern w:val="2"/>
          <w:sz w:val="24"/>
          <w:szCs w:val="24"/>
          <w:highlight w:val="none"/>
          <w:lang w:eastAsia="zh-CN"/>
        </w:rPr>
        <w:t>1.8 投标人的供货范围包括为项目的建设、试车和运营服务的咨询、质量监督和人员培训。</w:t>
      </w:r>
    </w:p>
    <w:p w14:paraId="5B45ECA0">
      <w:pPr>
        <w:widowControl w:val="0"/>
        <w:tabs>
          <w:tab w:val="left" w:pos="600"/>
        </w:tabs>
        <w:adjustRightInd w:val="0"/>
        <w:snapToGrid w:val="0"/>
        <w:spacing w:after="0" w:line="360" w:lineRule="auto"/>
        <w:ind w:firstLine="480" w:firstLineChars="200"/>
        <w:rPr>
          <w:rFonts w:cs="Times New Roman"/>
          <w:color w:val="auto"/>
          <w:kern w:val="2"/>
          <w:sz w:val="24"/>
          <w:szCs w:val="24"/>
          <w:highlight w:val="none"/>
          <w:lang w:eastAsia="zh-CN"/>
        </w:rPr>
      </w:pPr>
      <w:r>
        <w:rPr>
          <w:rFonts w:hint="eastAsia" w:cs="Times New Roman"/>
          <w:color w:val="auto"/>
          <w:kern w:val="2"/>
          <w:sz w:val="24"/>
          <w:szCs w:val="24"/>
          <w:highlight w:val="none"/>
          <w:lang w:eastAsia="zh-CN"/>
        </w:rPr>
        <w:t>1.9 投标人的供货范围包括合格的现场服务和售后服务。</w:t>
      </w:r>
    </w:p>
    <w:p w14:paraId="5780602E">
      <w:pPr>
        <w:widowControl w:val="0"/>
        <w:tabs>
          <w:tab w:val="left" w:pos="600"/>
        </w:tabs>
        <w:adjustRightInd w:val="0"/>
        <w:snapToGrid w:val="0"/>
        <w:spacing w:after="0" w:line="360" w:lineRule="auto"/>
        <w:ind w:firstLine="480" w:firstLineChars="200"/>
        <w:rPr>
          <w:rFonts w:cs="Times New Roman"/>
          <w:color w:val="auto"/>
          <w:kern w:val="2"/>
          <w:sz w:val="24"/>
          <w:szCs w:val="24"/>
          <w:highlight w:val="none"/>
          <w:lang w:eastAsia="zh-CN"/>
        </w:rPr>
      </w:pPr>
      <w:r>
        <w:rPr>
          <w:rFonts w:hint="eastAsia" w:cs="Times New Roman"/>
          <w:color w:val="auto"/>
          <w:kern w:val="2"/>
          <w:sz w:val="24"/>
          <w:szCs w:val="24"/>
          <w:highlight w:val="none"/>
          <w:lang w:eastAsia="zh-CN"/>
        </w:rPr>
        <w:t>1.10 投标人提供的设计是详细、完整、安全、经济、可行的设计。</w:t>
      </w:r>
    </w:p>
    <w:p w14:paraId="36ECB11B">
      <w:pPr>
        <w:widowControl w:val="0"/>
        <w:tabs>
          <w:tab w:val="left" w:pos="600"/>
        </w:tabs>
        <w:adjustRightInd w:val="0"/>
        <w:snapToGrid w:val="0"/>
        <w:spacing w:after="0" w:line="360" w:lineRule="auto"/>
        <w:ind w:firstLine="480" w:firstLineChars="200"/>
        <w:rPr>
          <w:rFonts w:cs="Times New Roman"/>
          <w:color w:val="auto"/>
          <w:kern w:val="2"/>
          <w:sz w:val="24"/>
          <w:szCs w:val="24"/>
          <w:highlight w:val="none"/>
          <w:lang w:eastAsia="zh-CN"/>
        </w:rPr>
      </w:pPr>
      <w:r>
        <w:rPr>
          <w:rFonts w:hint="eastAsia" w:cs="Times New Roman"/>
          <w:color w:val="auto"/>
          <w:kern w:val="2"/>
          <w:sz w:val="24"/>
          <w:szCs w:val="24"/>
          <w:highlight w:val="none"/>
          <w:lang w:eastAsia="zh-CN"/>
        </w:rPr>
        <w:t>1.11投标人负责设备供应，并提供润滑油（如果需要）和为试车所需的其他物料。</w:t>
      </w:r>
    </w:p>
    <w:p w14:paraId="1BB602E3">
      <w:pPr>
        <w:widowControl w:val="0"/>
        <w:tabs>
          <w:tab w:val="left" w:pos="600"/>
        </w:tabs>
        <w:adjustRightInd w:val="0"/>
        <w:snapToGrid w:val="0"/>
        <w:spacing w:after="0" w:line="360" w:lineRule="auto"/>
        <w:ind w:firstLine="480" w:firstLineChars="200"/>
        <w:rPr>
          <w:rFonts w:cs="Times New Roman"/>
          <w:color w:val="auto"/>
          <w:kern w:val="2"/>
          <w:sz w:val="24"/>
          <w:szCs w:val="24"/>
          <w:highlight w:val="none"/>
          <w:lang w:eastAsia="zh-CN"/>
        </w:rPr>
      </w:pPr>
      <w:r>
        <w:rPr>
          <w:rFonts w:hint="eastAsia" w:cs="Times New Roman"/>
          <w:color w:val="auto"/>
          <w:kern w:val="2"/>
          <w:sz w:val="24"/>
          <w:szCs w:val="24"/>
          <w:highlight w:val="none"/>
          <w:lang w:eastAsia="zh-CN"/>
        </w:rPr>
        <w:t>1.12 投标人供货范围还包括满足工程需要的技术资料的提供。</w:t>
      </w:r>
    </w:p>
    <w:p w14:paraId="37BE0410">
      <w:pPr>
        <w:widowControl w:val="0"/>
        <w:tabs>
          <w:tab w:val="left" w:pos="600"/>
        </w:tabs>
        <w:adjustRightInd w:val="0"/>
        <w:snapToGrid w:val="0"/>
        <w:spacing w:after="0" w:line="360" w:lineRule="auto"/>
        <w:ind w:firstLine="480" w:firstLineChars="200"/>
        <w:rPr>
          <w:rFonts w:cs="Times New Roman"/>
          <w:color w:val="auto"/>
          <w:kern w:val="2"/>
          <w:sz w:val="24"/>
          <w:szCs w:val="24"/>
          <w:highlight w:val="none"/>
          <w:lang w:eastAsia="zh-CN"/>
        </w:rPr>
      </w:pPr>
      <w:r>
        <w:rPr>
          <w:rFonts w:hint="eastAsia" w:cs="Times New Roman"/>
          <w:color w:val="auto"/>
          <w:kern w:val="2"/>
          <w:sz w:val="24"/>
          <w:szCs w:val="24"/>
          <w:highlight w:val="none"/>
          <w:lang w:eastAsia="zh-CN"/>
        </w:rPr>
        <w:t>1.13 投标人须按照招标人的要求完成设备KKS标识。</w:t>
      </w:r>
    </w:p>
    <w:p w14:paraId="6AC45A6D">
      <w:pPr>
        <w:widowControl w:val="0"/>
        <w:tabs>
          <w:tab w:val="left" w:pos="600"/>
        </w:tabs>
        <w:adjustRightInd w:val="0"/>
        <w:snapToGrid w:val="0"/>
        <w:spacing w:after="0" w:line="360" w:lineRule="auto"/>
        <w:ind w:firstLine="480" w:firstLineChars="200"/>
        <w:rPr>
          <w:rFonts w:cs="Times New Roman"/>
          <w:color w:val="auto"/>
          <w:kern w:val="2"/>
          <w:sz w:val="24"/>
          <w:szCs w:val="24"/>
          <w:highlight w:val="none"/>
          <w:lang w:eastAsia="zh-CN"/>
        </w:rPr>
      </w:pPr>
      <w:r>
        <w:rPr>
          <w:rFonts w:hint="eastAsia" w:cs="Times New Roman"/>
          <w:color w:val="auto"/>
          <w:kern w:val="2"/>
          <w:sz w:val="24"/>
          <w:szCs w:val="24"/>
          <w:highlight w:val="none"/>
          <w:lang w:eastAsia="zh-CN"/>
        </w:rPr>
        <w:t>1.14 投在执行合同过程中如发现有任何供货范围中未包括且未列入发货清单的漏项和短缺，而且该遗漏和短缺的内容确实是供货范围中必不可少的，并且是满足合同设备的性能保证值要求所必须的，则投标人均应负责按招标人要求时间将所缺的设备、技术资料、专用工具、备品备件、服务及技术指导等补上，且不得要求支付任何费用。标方须提供满足本技术规范书要求的整套设备，并至少按照供货清单的要求供货，对于那些属于满足设备功能要求的设备或部件，即使供货清单没有列出，投标人必须无条件提供。</w:t>
      </w:r>
    </w:p>
    <w:p w14:paraId="0E1DFF96">
      <w:pPr>
        <w:keepNext/>
        <w:keepLines/>
        <w:widowControl w:val="0"/>
        <w:tabs>
          <w:tab w:val="left" w:pos="480"/>
          <w:tab w:val="left" w:pos="525"/>
        </w:tabs>
        <w:adjustRightInd w:val="0"/>
        <w:snapToGrid w:val="0"/>
        <w:spacing w:before="0" w:after="0" w:line="360" w:lineRule="auto"/>
        <w:outlineLvl w:val="2"/>
        <w:rPr>
          <w:rFonts w:hint="eastAsia" w:ascii="宋体" w:hAnsi="宋体" w:eastAsia="宋体" w:cs="宋体"/>
          <w:b/>
          <w:bCs w:val="0"/>
          <w:color w:val="auto"/>
          <w:kern w:val="44"/>
          <w:sz w:val="28"/>
          <w:szCs w:val="28"/>
          <w:highlight w:val="none"/>
          <w:lang w:val="zh-CN" w:eastAsia="zh-CN"/>
        </w:rPr>
      </w:pPr>
      <w:bookmarkStart w:id="18" w:name="_Toc58730875"/>
      <w:bookmarkStart w:id="19" w:name="_Toc227468218"/>
      <w:r>
        <w:rPr>
          <w:rFonts w:hint="eastAsia" w:ascii="宋体" w:hAnsi="宋体" w:eastAsia="宋体" w:cs="宋体"/>
          <w:b/>
          <w:bCs w:val="0"/>
          <w:color w:val="auto"/>
          <w:kern w:val="44"/>
          <w:sz w:val="28"/>
          <w:szCs w:val="28"/>
          <w:highlight w:val="none"/>
          <w:lang w:val="zh-CN" w:eastAsia="zh-CN"/>
        </w:rPr>
        <w:t xml:space="preserve">2 </w:t>
      </w:r>
      <w:r>
        <w:rPr>
          <w:rFonts w:hint="eastAsia" w:ascii="宋体" w:hAnsi="宋体" w:eastAsia="宋体" w:cs="宋体"/>
          <w:b/>
          <w:bCs w:val="0"/>
          <w:color w:val="auto"/>
          <w:kern w:val="44"/>
          <w:sz w:val="28"/>
          <w:szCs w:val="28"/>
          <w:highlight w:val="none"/>
          <w:lang w:val="en-US" w:eastAsia="zh-CN"/>
        </w:rPr>
        <w:t xml:space="preserve"> </w:t>
      </w:r>
      <w:r>
        <w:rPr>
          <w:rFonts w:hint="eastAsia" w:ascii="宋体" w:hAnsi="宋体" w:eastAsia="宋体" w:cs="宋体"/>
          <w:b/>
          <w:bCs w:val="0"/>
          <w:color w:val="auto"/>
          <w:kern w:val="44"/>
          <w:sz w:val="28"/>
          <w:szCs w:val="28"/>
          <w:highlight w:val="none"/>
          <w:lang w:val="zh-CN" w:eastAsia="zh-CN"/>
        </w:rPr>
        <w:t>供货范围</w:t>
      </w:r>
      <w:bookmarkEnd w:id="18"/>
      <w:bookmarkEnd w:id="19"/>
      <w:r>
        <w:rPr>
          <w:rFonts w:hint="eastAsia" w:ascii="宋体" w:hAnsi="宋体" w:eastAsia="宋体" w:cs="宋体"/>
          <w:b/>
          <w:bCs w:val="0"/>
          <w:color w:val="auto"/>
          <w:kern w:val="44"/>
          <w:sz w:val="28"/>
          <w:szCs w:val="28"/>
          <w:highlight w:val="none"/>
          <w:lang w:val="zh-CN" w:eastAsia="zh-CN"/>
        </w:rPr>
        <w:tab/>
      </w:r>
    </w:p>
    <w:p w14:paraId="7DA73F52">
      <w:pPr>
        <w:widowControl w:val="0"/>
        <w:tabs>
          <w:tab w:val="left" w:pos="600"/>
        </w:tabs>
        <w:adjustRightInd w:val="0"/>
        <w:snapToGrid w:val="0"/>
        <w:spacing w:after="0" w:line="360" w:lineRule="auto"/>
        <w:ind w:firstLine="480" w:firstLineChars="200"/>
        <w:rPr>
          <w:rFonts w:hint="eastAsia" w:cs="Times New Roman"/>
          <w:color w:val="auto"/>
          <w:kern w:val="2"/>
          <w:sz w:val="24"/>
          <w:szCs w:val="24"/>
          <w:highlight w:val="none"/>
          <w:lang w:eastAsia="zh-CN"/>
        </w:rPr>
      </w:pPr>
      <w:r>
        <w:rPr>
          <w:rFonts w:hint="eastAsia" w:cs="Times New Roman"/>
          <w:color w:val="auto"/>
          <w:kern w:val="2"/>
          <w:sz w:val="24"/>
          <w:szCs w:val="24"/>
          <w:highlight w:val="none"/>
          <w:lang w:eastAsia="zh-CN"/>
        </w:rPr>
        <w:t>2.1 设备规范和数量（</w:t>
      </w:r>
      <w:r>
        <w:rPr>
          <w:rFonts w:hint="eastAsia" w:ascii="Times New Roman" w:hAnsi="Times New Roman" w:cs="宋体"/>
          <w:color w:val="auto"/>
          <w:kern w:val="2"/>
          <w:sz w:val="24"/>
          <w:szCs w:val="24"/>
          <w:highlight w:val="none"/>
          <w:lang w:eastAsia="zh-CN"/>
        </w:rPr>
        <w:t>投标人要确认此供货范围，不限下表所列，并根据具体设备提供细化清单</w:t>
      </w:r>
      <w:r>
        <w:rPr>
          <w:rFonts w:hint="eastAsia" w:cs="Times New Roman"/>
          <w:color w:val="auto"/>
          <w:kern w:val="2"/>
          <w:sz w:val="24"/>
          <w:szCs w:val="24"/>
          <w:highlight w:val="none"/>
          <w:lang w:eastAsia="zh-CN"/>
        </w:rPr>
        <w:t>）（投标人填写）</w:t>
      </w:r>
      <w:r>
        <w:rPr>
          <w:rFonts w:hint="eastAsia" w:ascii="宋体" w:hAnsi="宋体" w:eastAsia="宋体" w:cs="Times New Roman"/>
          <w:snapToGrid/>
          <w:color w:val="auto"/>
          <w:kern w:val="2"/>
          <w:sz w:val="24"/>
          <w:szCs w:val="24"/>
          <w:highlight w:val="none"/>
          <w:lang w:eastAsia="zh-CN"/>
        </w:rPr>
        <w:t>(两台机组</w:t>
      </w:r>
      <w:r>
        <w:rPr>
          <w:rFonts w:hint="eastAsia" w:ascii="宋体" w:hAnsi="宋体" w:eastAsia="宋体" w:cs="Times New Roman"/>
          <w:snapToGrid/>
          <w:color w:val="auto"/>
          <w:kern w:val="2"/>
          <w:sz w:val="24"/>
          <w:szCs w:val="24"/>
          <w:highlight w:val="none"/>
          <w:lang w:val="en-US" w:eastAsia="zh-CN"/>
        </w:rPr>
        <w:t>及升压站</w:t>
      </w:r>
      <w:r>
        <w:rPr>
          <w:rFonts w:hint="eastAsia" w:ascii="宋体" w:hAnsi="宋体" w:eastAsia="宋体" w:cs="Times New Roman"/>
          <w:snapToGrid/>
          <w:color w:val="auto"/>
          <w:kern w:val="2"/>
          <w:sz w:val="24"/>
          <w:szCs w:val="24"/>
          <w:highlight w:val="none"/>
          <w:lang w:eastAsia="zh-CN"/>
        </w:rPr>
        <w:t>所需，</w:t>
      </w:r>
      <w:r>
        <w:rPr>
          <w:rFonts w:hint="eastAsia" w:cs="Times New Roman"/>
          <w:snapToGrid/>
          <w:color w:val="auto"/>
          <w:kern w:val="2"/>
          <w:sz w:val="24"/>
          <w:szCs w:val="24"/>
          <w:highlight w:val="none"/>
          <w:lang w:eastAsia="zh-CN"/>
        </w:rPr>
        <w:t>投标人</w:t>
      </w:r>
      <w:r>
        <w:rPr>
          <w:rFonts w:hint="eastAsia" w:ascii="宋体" w:hAnsi="宋体" w:eastAsia="宋体" w:cs="Times New Roman"/>
          <w:snapToGrid/>
          <w:color w:val="auto"/>
          <w:kern w:val="2"/>
          <w:sz w:val="24"/>
          <w:szCs w:val="24"/>
          <w:highlight w:val="none"/>
          <w:lang w:eastAsia="zh-CN"/>
        </w:rPr>
        <w:t>填写，不限于此)</w:t>
      </w:r>
    </w:p>
    <w:p w14:paraId="54CD6829">
      <w:pPr>
        <w:jc w:val="center"/>
        <w:rPr>
          <w:rFonts w:hint="eastAsia" w:cs="宋体"/>
          <w:color w:val="auto"/>
          <w:szCs w:val="21"/>
          <w:highlight w:val="none"/>
          <w:lang w:eastAsia="zh-CN"/>
        </w:rPr>
      </w:pPr>
      <w:r>
        <w:rPr>
          <w:rFonts w:hint="eastAsia" w:ascii="宋体" w:hAnsi="宋体" w:eastAsia="宋体" w:cs="Times New Roman"/>
          <w:b w:val="0"/>
          <w:bCs w:val="0"/>
          <w:color w:val="auto"/>
          <w:kern w:val="2"/>
          <w:sz w:val="21"/>
          <w:szCs w:val="21"/>
          <w:highlight w:val="none"/>
          <w:lang w:val="en-US" w:eastAsia="zh-CN"/>
        </w:rPr>
        <w:t>表一  宽频同步相量测量装置供货范围</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31"/>
        <w:gridCol w:w="1919"/>
        <w:gridCol w:w="2383"/>
        <w:gridCol w:w="475"/>
        <w:gridCol w:w="477"/>
        <w:gridCol w:w="836"/>
        <w:gridCol w:w="1000"/>
        <w:gridCol w:w="1270"/>
      </w:tblGrid>
      <w:tr w14:paraId="1A45FB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9" w:type="pct"/>
            <w:vAlign w:val="center"/>
          </w:tcPr>
          <w:p w14:paraId="79F17957">
            <w:pPr>
              <w:widowControl w:val="0"/>
              <w:adjustRightInd w:val="0"/>
              <w:snapToGrid w:val="0"/>
              <w:spacing w:beforeLines="50" w:afterLines="50" w:line="276" w:lineRule="auto"/>
              <w:jc w:val="center"/>
              <w:rPr>
                <w:rFonts w:cs="Times New Roman"/>
                <w:color w:val="auto"/>
                <w:kern w:val="2"/>
                <w:szCs w:val="21"/>
                <w:highlight w:val="none"/>
                <w:lang w:eastAsia="zh-CN"/>
              </w:rPr>
            </w:pPr>
            <w:r>
              <w:rPr>
                <w:rFonts w:hint="eastAsia" w:cs="Times New Roman"/>
                <w:color w:val="auto"/>
                <w:kern w:val="2"/>
                <w:szCs w:val="21"/>
                <w:highlight w:val="none"/>
                <w:lang w:eastAsia="zh-CN"/>
              </w:rPr>
              <w:t>序号</w:t>
            </w:r>
          </w:p>
        </w:tc>
        <w:tc>
          <w:tcPr>
            <w:tcW w:w="1079" w:type="pct"/>
            <w:vAlign w:val="center"/>
          </w:tcPr>
          <w:p w14:paraId="3A552EE2">
            <w:pPr>
              <w:widowControl w:val="0"/>
              <w:adjustRightInd w:val="0"/>
              <w:snapToGrid w:val="0"/>
              <w:spacing w:beforeLines="50" w:afterLines="50" w:line="276" w:lineRule="auto"/>
              <w:jc w:val="center"/>
              <w:rPr>
                <w:rFonts w:cs="Times New Roman"/>
                <w:color w:val="auto"/>
                <w:kern w:val="2"/>
                <w:szCs w:val="21"/>
                <w:highlight w:val="none"/>
                <w:lang w:eastAsia="zh-CN"/>
              </w:rPr>
            </w:pPr>
            <w:r>
              <w:rPr>
                <w:rFonts w:hint="eastAsia" w:cs="Times New Roman"/>
                <w:color w:val="auto"/>
                <w:kern w:val="2"/>
                <w:szCs w:val="21"/>
                <w:highlight w:val="none"/>
                <w:lang w:eastAsia="zh-CN"/>
              </w:rPr>
              <w:t>名称</w:t>
            </w:r>
          </w:p>
        </w:tc>
        <w:tc>
          <w:tcPr>
            <w:tcW w:w="1340" w:type="pct"/>
            <w:vAlign w:val="center"/>
          </w:tcPr>
          <w:p w14:paraId="7256C2B7">
            <w:pPr>
              <w:widowControl w:val="0"/>
              <w:adjustRightInd w:val="0"/>
              <w:snapToGrid w:val="0"/>
              <w:spacing w:beforeLines="50" w:afterLines="50" w:line="276" w:lineRule="auto"/>
              <w:jc w:val="center"/>
              <w:rPr>
                <w:rFonts w:cs="Times New Roman"/>
                <w:color w:val="auto"/>
                <w:kern w:val="2"/>
                <w:szCs w:val="21"/>
                <w:highlight w:val="none"/>
                <w:lang w:eastAsia="zh-CN"/>
              </w:rPr>
            </w:pPr>
            <w:r>
              <w:rPr>
                <w:rFonts w:hint="eastAsia" w:cs="Times New Roman"/>
                <w:color w:val="auto"/>
                <w:kern w:val="2"/>
                <w:szCs w:val="21"/>
                <w:highlight w:val="none"/>
                <w:lang w:eastAsia="zh-CN"/>
              </w:rPr>
              <w:t>规格型号</w:t>
            </w:r>
          </w:p>
        </w:tc>
        <w:tc>
          <w:tcPr>
            <w:tcW w:w="267" w:type="pct"/>
            <w:vAlign w:val="center"/>
          </w:tcPr>
          <w:p w14:paraId="10D357F0">
            <w:pPr>
              <w:widowControl w:val="0"/>
              <w:adjustRightInd w:val="0"/>
              <w:snapToGrid w:val="0"/>
              <w:spacing w:beforeLines="50" w:afterLines="50" w:line="276" w:lineRule="auto"/>
              <w:jc w:val="center"/>
              <w:rPr>
                <w:rFonts w:cs="Times New Roman"/>
                <w:color w:val="auto"/>
                <w:kern w:val="2"/>
                <w:szCs w:val="21"/>
                <w:highlight w:val="none"/>
                <w:lang w:eastAsia="zh-CN"/>
              </w:rPr>
            </w:pPr>
            <w:r>
              <w:rPr>
                <w:rFonts w:hint="eastAsia" w:cs="Times New Roman"/>
                <w:color w:val="auto"/>
                <w:kern w:val="2"/>
                <w:szCs w:val="21"/>
                <w:highlight w:val="none"/>
                <w:lang w:eastAsia="zh-CN"/>
              </w:rPr>
              <w:t>单位</w:t>
            </w:r>
          </w:p>
        </w:tc>
        <w:tc>
          <w:tcPr>
            <w:tcW w:w="268" w:type="pct"/>
            <w:vAlign w:val="center"/>
          </w:tcPr>
          <w:p w14:paraId="10E50890">
            <w:pPr>
              <w:widowControl w:val="0"/>
              <w:adjustRightInd w:val="0"/>
              <w:snapToGrid w:val="0"/>
              <w:spacing w:beforeLines="50" w:afterLines="50" w:line="276" w:lineRule="auto"/>
              <w:jc w:val="center"/>
              <w:rPr>
                <w:rFonts w:cs="Times New Roman"/>
                <w:color w:val="auto"/>
                <w:kern w:val="2"/>
                <w:szCs w:val="21"/>
                <w:highlight w:val="none"/>
                <w:lang w:eastAsia="zh-CN"/>
              </w:rPr>
            </w:pPr>
            <w:r>
              <w:rPr>
                <w:rFonts w:hint="eastAsia" w:cs="Times New Roman"/>
                <w:color w:val="auto"/>
                <w:kern w:val="2"/>
                <w:szCs w:val="21"/>
                <w:highlight w:val="none"/>
                <w:lang w:eastAsia="zh-CN"/>
              </w:rPr>
              <w:t>数量</w:t>
            </w:r>
          </w:p>
        </w:tc>
        <w:tc>
          <w:tcPr>
            <w:tcW w:w="470" w:type="pct"/>
            <w:vAlign w:val="center"/>
          </w:tcPr>
          <w:p w14:paraId="500919A6">
            <w:pPr>
              <w:widowControl w:val="0"/>
              <w:adjustRightInd w:val="0"/>
              <w:snapToGrid w:val="0"/>
              <w:spacing w:beforeLines="50" w:afterLines="50" w:line="276" w:lineRule="auto"/>
              <w:jc w:val="center"/>
              <w:rPr>
                <w:rFonts w:cs="Times New Roman"/>
                <w:color w:val="auto"/>
                <w:kern w:val="2"/>
                <w:szCs w:val="21"/>
                <w:highlight w:val="none"/>
                <w:lang w:eastAsia="zh-CN"/>
              </w:rPr>
            </w:pPr>
            <w:r>
              <w:rPr>
                <w:rFonts w:hint="eastAsia" w:cs="Times New Roman"/>
                <w:color w:val="auto"/>
                <w:kern w:val="2"/>
                <w:szCs w:val="21"/>
                <w:highlight w:val="none"/>
                <w:lang w:eastAsia="zh-CN"/>
              </w:rPr>
              <w:t>产地</w:t>
            </w:r>
          </w:p>
        </w:tc>
        <w:tc>
          <w:tcPr>
            <w:tcW w:w="562" w:type="pct"/>
            <w:vAlign w:val="center"/>
          </w:tcPr>
          <w:p w14:paraId="4D970636">
            <w:pPr>
              <w:widowControl w:val="0"/>
              <w:adjustRightInd w:val="0"/>
              <w:snapToGrid w:val="0"/>
              <w:spacing w:beforeLines="50" w:afterLines="50" w:line="276" w:lineRule="auto"/>
              <w:jc w:val="center"/>
              <w:rPr>
                <w:rFonts w:cs="Times New Roman"/>
                <w:color w:val="auto"/>
                <w:kern w:val="2"/>
                <w:szCs w:val="21"/>
                <w:highlight w:val="none"/>
                <w:lang w:eastAsia="zh-CN"/>
              </w:rPr>
            </w:pPr>
            <w:r>
              <w:rPr>
                <w:rFonts w:hint="eastAsia" w:cs="Times New Roman"/>
                <w:color w:val="auto"/>
                <w:kern w:val="2"/>
                <w:szCs w:val="21"/>
                <w:highlight w:val="none"/>
                <w:lang w:eastAsia="zh-CN"/>
              </w:rPr>
              <w:t>生产厂家</w:t>
            </w:r>
          </w:p>
        </w:tc>
        <w:tc>
          <w:tcPr>
            <w:tcW w:w="711" w:type="pct"/>
            <w:vAlign w:val="center"/>
          </w:tcPr>
          <w:p w14:paraId="569A6A8C">
            <w:pPr>
              <w:widowControl w:val="0"/>
              <w:adjustRightInd w:val="0"/>
              <w:snapToGrid w:val="0"/>
              <w:spacing w:beforeLines="50" w:afterLines="50" w:line="276" w:lineRule="auto"/>
              <w:jc w:val="center"/>
              <w:rPr>
                <w:rFonts w:cs="Times New Roman"/>
                <w:color w:val="auto"/>
                <w:kern w:val="2"/>
                <w:szCs w:val="21"/>
                <w:highlight w:val="none"/>
                <w:lang w:eastAsia="zh-CN"/>
              </w:rPr>
            </w:pPr>
            <w:r>
              <w:rPr>
                <w:rFonts w:hint="eastAsia" w:cs="Times New Roman"/>
                <w:color w:val="auto"/>
                <w:kern w:val="2"/>
                <w:szCs w:val="21"/>
                <w:highlight w:val="none"/>
                <w:lang w:eastAsia="zh-CN"/>
              </w:rPr>
              <w:t>备注</w:t>
            </w:r>
          </w:p>
        </w:tc>
      </w:tr>
      <w:tr w14:paraId="426611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299" w:type="pct"/>
            <w:vAlign w:val="center"/>
          </w:tcPr>
          <w:p w14:paraId="31DFAEB6">
            <w:pPr>
              <w:widowControl w:val="0"/>
              <w:spacing w:before="0" w:after="0" w:line="240" w:lineRule="auto"/>
              <w:ind w:firstLine="0" w:firstLineChars="0"/>
              <w:jc w:val="both"/>
              <w:rPr>
                <w:rFonts w:cs="Times New Roman"/>
                <w:color w:val="auto"/>
                <w:szCs w:val="21"/>
                <w:highlight w:val="none"/>
                <w:lang w:eastAsia="zh-CN"/>
              </w:rPr>
            </w:pPr>
            <w:r>
              <w:rPr>
                <w:rFonts w:hint="eastAsia" w:ascii="宋体" w:hAnsi="宋体" w:eastAsia="宋体" w:cs="宋体"/>
                <w:color w:val="auto"/>
                <w:kern w:val="2"/>
                <w:sz w:val="21"/>
                <w:szCs w:val="21"/>
                <w:highlight w:val="none"/>
                <w:lang w:eastAsia="zh-CN"/>
              </w:rPr>
              <w:t>1</w:t>
            </w:r>
          </w:p>
        </w:tc>
        <w:tc>
          <w:tcPr>
            <w:tcW w:w="4700" w:type="pct"/>
            <w:gridSpan w:val="7"/>
            <w:vAlign w:val="center"/>
          </w:tcPr>
          <w:p w14:paraId="1BA5BFC7">
            <w:pPr>
              <w:widowControl w:val="0"/>
              <w:spacing w:line="240" w:lineRule="auto"/>
              <w:jc w:val="both"/>
              <w:rPr>
                <w:rFonts w:cs="Times New Roman"/>
                <w:color w:val="auto"/>
                <w:kern w:val="2"/>
                <w:szCs w:val="21"/>
                <w:highlight w:val="none"/>
                <w:lang w:eastAsia="zh-CN"/>
              </w:rPr>
            </w:pPr>
            <w:r>
              <w:rPr>
                <w:rFonts w:hint="eastAsia" w:cs="宋体"/>
                <w:color w:val="auto"/>
                <w:kern w:val="2"/>
                <w:sz w:val="21"/>
                <w:szCs w:val="21"/>
                <w:highlight w:val="none"/>
                <w:lang w:eastAsia="zh-CN"/>
              </w:rPr>
              <w:t>宽频测量装置处理机屏</w:t>
            </w:r>
            <w:r>
              <w:rPr>
                <w:rFonts w:hint="eastAsia" w:cs="宋体"/>
                <w:color w:val="auto"/>
                <w:kern w:val="2"/>
                <w:sz w:val="21"/>
                <w:szCs w:val="21"/>
                <w:highlight w:val="none"/>
                <w:lang w:val="en-US" w:eastAsia="zh-CN"/>
              </w:rPr>
              <w:t>1面</w:t>
            </w:r>
          </w:p>
        </w:tc>
      </w:tr>
      <w:tr w14:paraId="76BB22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9" w:type="pct"/>
            <w:vAlign w:val="center"/>
          </w:tcPr>
          <w:p w14:paraId="1746D57B">
            <w:pPr>
              <w:widowControl w:val="0"/>
              <w:spacing w:before="0" w:after="0" w:line="240" w:lineRule="auto"/>
              <w:ind w:firstLine="0" w:firstLineChars="0"/>
              <w:jc w:val="both"/>
              <w:rPr>
                <w:rFonts w:cs="Times New Roman"/>
                <w:color w:val="auto"/>
                <w:kern w:val="2"/>
                <w:szCs w:val="21"/>
                <w:highlight w:val="none"/>
                <w:lang w:eastAsia="zh-CN"/>
              </w:rPr>
            </w:pPr>
            <w:r>
              <w:rPr>
                <w:rFonts w:hint="eastAsia" w:cs="宋体"/>
                <w:color w:val="auto"/>
                <w:kern w:val="2"/>
                <w:sz w:val="21"/>
                <w:szCs w:val="21"/>
                <w:highlight w:val="none"/>
                <w:lang w:val="en-US" w:eastAsia="zh-CN"/>
              </w:rPr>
              <w:t>1.1</w:t>
            </w:r>
          </w:p>
        </w:tc>
        <w:tc>
          <w:tcPr>
            <w:tcW w:w="1079" w:type="pct"/>
            <w:vAlign w:val="center"/>
          </w:tcPr>
          <w:p w14:paraId="59A5C928">
            <w:pPr>
              <w:widowControl w:val="0"/>
              <w:spacing w:before="0" w:after="0" w:line="240" w:lineRule="auto"/>
              <w:ind w:firstLine="0" w:firstLineChars="0"/>
              <w:jc w:val="both"/>
              <w:rPr>
                <w:rFonts w:cs="Times New Roman"/>
                <w:color w:val="auto"/>
                <w:kern w:val="2"/>
                <w:szCs w:val="21"/>
                <w:highlight w:val="none"/>
                <w:lang w:eastAsia="zh-CN"/>
              </w:rPr>
            </w:pPr>
            <w:r>
              <w:rPr>
                <w:rFonts w:hint="eastAsia" w:cs="宋体"/>
                <w:color w:val="auto"/>
                <w:kern w:val="2"/>
                <w:sz w:val="21"/>
                <w:szCs w:val="21"/>
                <w:highlight w:val="none"/>
                <w:lang w:eastAsia="zh-CN"/>
              </w:rPr>
              <w:t>宽频测量</w:t>
            </w:r>
            <w:r>
              <w:rPr>
                <w:rFonts w:hint="eastAsia" w:cs="宋体"/>
                <w:color w:val="auto"/>
                <w:kern w:val="2"/>
                <w:sz w:val="21"/>
                <w:szCs w:val="21"/>
                <w:highlight w:val="none"/>
                <w:lang w:val="en-US" w:eastAsia="zh-CN"/>
              </w:rPr>
              <w:t>数据集中</w:t>
            </w:r>
            <w:r>
              <w:rPr>
                <w:rFonts w:hint="eastAsia" w:cs="宋体"/>
                <w:color w:val="auto"/>
                <w:kern w:val="2"/>
                <w:sz w:val="21"/>
                <w:szCs w:val="21"/>
                <w:highlight w:val="none"/>
                <w:lang w:eastAsia="zh-CN"/>
              </w:rPr>
              <w:t>处理单元</w:t>
            </w:r>
          </w:p>
        </w:tc>
        <w:tc>
          <w:tcPr>
            <w:tcW w:w="1340" w:type="pct"/>
            <w:vAlign w:val="center"/>
          </w:tcPr>
          <w:p w14:paraId="06770176">
            <w:pPr>
              <w:widowControl w:val="0"/>
              <w:spacing w:before="0" w:after="0" w:line="240" w:lineRule="auto"/>
              <w:ind w:firstLine="0" w:firstLineChars="0"/>
              <w:jc w:val="both"/>
              <w:rPr>
                <w:rFonts w:hint="default" w:cs="宋体"/>
                <w:color w:val="auto"/>
                <w:sz w:val="24"/>
                <w:highlight w:val="none"/>
                <w:lang w:val="en-US"/>
              </w:rPr>
            </w:pPr>
            <w:r>
              <w:rPr>
                <w:rFonts w:hint="eastAsia" w:cs="宋体"/>
                <w:color w:val="auto"/>
                <w:kern w:val="2"/>
                <w:sz w:val="21"/>
                <w:szCs w:val="21"/>
                <w:highlight w:val="none"/>
                <w:lang w:eastAsia="zh-CN"/>
              </w:rPr>
              <w:t>100M网口4个，双主模式。</w:t>
            </w:r>
            <w:r>
              <w:rPr>
                <w:rFonts w:hint="eastAsia" w:cs="宋体"/>
                <w:color w:val="auto"/>
                <w:kern w:val="2"/>
                <w:sz w:val="21"/>
                <w:szCs w:val="21"/>
                <w:highlight w:val="none"/>
                <w:lang w:val="en-US" w:eastAsia="zh-CN"/>
              </w:rPr>
              <w:t>安装AGENT探针</w:t>
            </w:r>
          </w:p>
        </w:tc>
        <w:tc>
          <w:tcPr>
            <w:tcW w:w="267" w:type="pct"/>
            <w:vAlign w:val="center"/>
          </w:tcPr>
          <w:p w14:paraId="1015ABCA">
            <w:pPr>
              <w:widowControl w:val="0"/>
              <w:spacing w:before="0" w:after="0" w:line="240" w:lineRule="auto"/>
              <w:ind w:firstLine="0" w:firstLineChars="0"/>
              <w:jc w:val="both"/>
              <w:rPr>
                <w:rFonts w:cs="Times New Roman"/>
                <w:color w:val="auto"/>
                <w:kern w:val="2"/>
                <w:szCs w:val="21"/>
                <w:highlight w:val="none"/>
                <w:lang w:eastAsia="zh-CN"/>
              </w:rPr>
            </w:pPr>
            <w:r>
              <w:rPr>
                <w:rFonts w:hint="eastAsia" w:cs="宋体"/>
                <w:color w:val="auto"/>
                <w:kern w:val="2"/>
                <w:sz w:val="21"/>
                <w:szCs w:val="21"/>
                <w:highlight w:val="none"/>
                <w:lang w:eastAsia="zh-CN"/>
              </w:rPr>
              <w:t>台</w:t>
            </w:r>
          </w:p>
        </w:tc>
        <w:tc>
          <w:tcPr>
            <w:tcW w:w="268" w:type="pct"/>
            <w:vAlign w:val="center"/>
          </w:tcPr>
          <w:p w14:paraId="35C091C0">
            <w:pPr>
              <w:widowControl w:val="0"/>
              <w:spacing w:before="0" w:after="0" w:line="240" w:lineRule="auto"/>
              <w:ind w:firstLine="0" w:firstLineChars="0"/>
              <w:jc w:val="center"/>
              <w:rPr>
                <w:rFonts w:cs="Times New Roman"/>
                <w:color w:val="auto"/>
                <w:kern w:val="2"/>
                <w:szCs w:val="21"/>
                <w:highlight w:val="none"/>
                <w:lang w:eastAsia="zh-CN"/>
              </w:rPr>
            </w:pPr>
            <w:r>
              <w:rPr>
                <w:rFonts w:hint="eastAsia" w:cs="宋体"/>
                <w:color w:val="auto"/>
                <w:kern w:val="2"/>
                <w:sz w:val="21"/>
                <w:szCs w:val="21"/>
                <w:highlight w:val="none"/>
                <w:lang w:val="en-US" w:eastAsia="zh-CN"/>
              </w:rPr>
              <w:t>2</w:t>
            </w:r>
          </w:p>
        </w:tc>
        <w:tc>
          <w:tcPr>
            <w:tcW w:w="470" w:type="pct"/>
            <w:vAlign w:val="center"/>
          </w:tcPr>
          <w:p w14:paraId="405CDBEC">
            <w:pPr>
              <w:widowControl w:val="0"/>
              <w:adjustRightInd w:val="0"/>
              <w:snapToGrid w:val="0"/>
              <w:spacing w:beforeLines="50" w:afterLines="50" w:line="276" w:lineRule="auto"/>
              <w:jc w:val="center"/>
              <w:rPr>
                <w:rFonts w:cs="Times New Roman"/>
                <w:color w:val="auto"/>
                <w:kern w:val="2"/>
                <w:szCs w:val="21"/>
                <w:highlight w:val="none"/>
                <w:lang w:eastAsia="zh-CN"/>
              </w:rPr>
            </w:pPr>
          </w:p>
        </w:tc>
        <w:tc>
          <w:tcPr>
            <w:tcW w:w="562" w:type="pct"/>
            <w:vAlign w:val="center"/>
          </w:tcPr>
          <w:p w14:paraId="4712DFA3">
            <w:pPr>
              <w:widowControl w:val="0"/>
              <w:adjustRightInd w:val="0"/>
              <w:snapToGrid w:val="0"/>
              <w:spacing w:beforeLines="50" w:afterLines="50" w:line="276" w:lineRule="auto"/>
              <w:jc w:val="center"/>
              <w:rPr>
                <w:rFonts w:cs="Times New Roman"/>
                <w:color w:val="auto"/>
                <w:kern w:val="2"/>
                <w:szCs w:val="21"/>
                <w:highlight w:val="none"/>
                <w:lang w:eastAsia="zh-CN"/>
              </w:rPr>
            </w:pPr>
          </w:p>
        </w:tc>
        <w:tc>
          <w:tcPr>
            <w:tcW w:w="711" w:type="pct"/>
            <w:vAlign w:val="center"/>
          </w:tcPr>
          <w:p w14:paraId="469A2829">
            <w:pPr>
              <w:pStyle w:val="185"/>
              <w:rPr>
                <w:rFonts w:hAnsi="宋体" w:eastAsia="宋体"/>
                <w:color w:val="auto"/>
                <w:kern w:val="2"/>
                <w:sz w:val="21"/>
                <w:szCs w:val="21"/>
                <w:highlight w:val="none"/>
              </w:rPr>
            </w:pPr>
          </w:p>
        </w:tc>
      </w:tr>
      <w:tr w14:paraId="04FA7E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9" w:type="pct"/>
            <w:vAlign w:val="center"/>
          </w:tcPr>
          <w:p w14:paraId="47D98776">
            <w:pPr>
              <w:widowControl w:val="0"/>
              <w:spacing w:before="0" w:after="0" w:line="240" w:lineRule="auto"/>
              <w:ind w:firstLine="0" w:firstLineChars="0"/>
              <w:jc w:val="both"/>
              <w:rPr>
                <w:rFonts w:hint="default" w:cs="宋体"/>
                <w:color w:val="auto"/>
                <w:kern w:val="2"/>
                <w:sz w:val="21"/>
                <w:szCs w:val="21"/>
                <w:highlight w:val="none"/>
                <w:lang w:val="en-US" w:eastAsia="zh-CN"/>
              </w:rPr>
            </w:pPr>
            <w:r>
              <w:rPr>
                <w:rFonts w:hint="eastAsia" w:cs="宋体"/>
                <w:color w:val="auto"/>
                <w:kern w:val="2"/>
                <w:sz w:val="21"/>
                <w:szCs w:val="21"/>
                <w:highlight w:val="none"/>
                <w:lang w:val="en-US" w:eastAsia="zh-CN"/>
              </w:rPr>
              <w:t>1.2</w:t>
            </w:r>
          </w:p>
        </w:tc>
        <w:tc>
          <w:tcPr>
            <w:tcW w:w="1079" w:type="pct"/>
            <w:vAlign w:val="center"/>
          </w:tcPr>
          <w:p w14:paraId="4943FFC0">
            <w:pPr>
              <w:widowControl w:val="0"/>
              <w:spacing w:before="0" w:after="0" w:line="240" w:lineRule="auto"/>
              <w:ind w:firstLine="0" w:firstLineChars="0"/>
              <w:jc w:val="both"/>
              <w:rPr>
                <w:rFonts w:hint="default" w:cs="宋体"/>
                <w:color w:val="auto"/>
                <w:kern w:val="2"/>
                <w:sz w:val="21"/>
                <w:szCs w:val="21"/>
                <w:highlight w:val="none"/>
                <w:lang w:val="en-US" w:eastAsia="zh-CN"/>
              </w:rPr>
            </w:pPr>
            <w:r>
              <w:rPr>
                <w:rFonts w:hint="eastAsia" w:cs="宋体"/>
                <w:color w:val="auto"/>
                <w:kern w:val="2"/>
                <w:sz w:val="21"/>
                <w:szCs w:val="21"/>
                <w:highlight w:val="none"/>
                <w:lang w:val="en-US" w:eastAsia="zh-CN"/>
              </w:rPr>
              <w:t>网络交换机</w:t>
            </w:r>
          </w:p>
        </w:tc>
        <w:tc>
          <w:tcPr>
            <w:tcW w:w="1340" w:type="pct"/>
            <w:vAlign w:val="center"/>
          </w:tcPr>
          <w:p w14:paraId="0A62876D">
            <w:pPr>
              <w:pStyle w:val="198"/>
              <w:spacing w:before="67" w:beforeLines="28" w:after="67" w:afterLines="28"/>
              <w:ind w:left="84" w:right="84"/>
              <w:jc w:val="left"/>
              <w:rPr>
                <w:rFonts w:hint="default"/>
                <w:color w:val="auto"/>
                <w:sz w:val="21"/>
                <w:szCs w:val="21"/>
                <w:highlight w:val="none"/>
                <w:lang w:eastAsia="zh-CN"/>
              </w:rPr>
            </w:pPr>
            <w:r>
              <w:rPr>
                <w:color w:val="auto"/>
                <w:sz w:val="21"/>
                <w:szCs w:val="21"/>
                <w:highlight w:val="none"/>
              </w:rPr>
              <w:t>100M网口</w:t>
            </w:r>
            <w:r>
              <w:rPr>
                <w:rFonts w:hint="eastAsia"/>
                <w:color w:val="auto"/>
                <w:sz w:val="21"/>
                <w:szCs w:val="21"/>
                <w:highlight w:val="none"/>
              </w:rPr>
              <w:t>8</w:t>
            </w:r>
            <w:r>
              <w:rPr>
                <w:color w:val="auto"/>
                <w:sz w:val="21"/>
                <w:szCs w:val="21"/>
                <w:highlight w:val="none"/>
              </w:rPr>
              <w:t>个</w:t>
            </w:r>
            <w:r>
              <w:rPr>
                <w:rFonts w:hint="eastAsia"/>
                <w:color w:val="auto"/>
                <w:sz w:val="21"/>
                <w:szCs w:val="21"/>
                <w:highlight w:val="none"/>
              </w:rPr>
              <w:t>，光口口8个，</w:t>
            </w:r>
            <w:r>
              <w:rPr>
                <w:color w:val="auto"/>
                <w:sz w:val="21"/>
                <w:szCs w:val="21"/>
                <w:highlight w:val="none"/>
              </w:rPr>
              <w:t>工业级，无风扇，使用电力工业权威机构检测合格的</w:t>
            </w:r>
            <w:r>
              <w:rPr>
                <w:rFonts w:hint="eastAsia"/>
                <w:color w:val="auto"/>
                <w:sz w:val="21"/>
                <w:szCs w:val="21"/>
                <w:highlight w:val="none"/>
                <w:lang w:val="en-US" w:eastAsia="zh-CN"/>
              </w:rPr>
              <w:t>国产</w:t>
            </w:r>
            <w:r>
              <w:rPr>
                <w:color w:val="auto"/>
                <w:sz w:val="21"/>
                <w:szCs w:val="21"/>
                <w:highlight w:val="none"/>
              </w:rPr>
              <w:t>工业交换机</w:t>
            </w:r>
            <w:r>
              <w:rPr>
                <w:rFonts w:hint="eastAsia"/>
                <w:color w:val="auto"/>
                <w:sz w:val="21"/>
                <w:szCs w:val="21"/>
                <w:highlight w:val="none"/>
                <w:lang w:eastAsia="zh-CN"/>
              </w:rPr>
              <w:t>：</w:t>
            </w:r>
            <w:r>
              <w:rPr>
                <w:rFonts w:hint="eastAsia"/>
                <w:color w:val="auto"/>
                <w:sz w:val="21"/>
                <w:szCs w:val="21"/>
                <w:highlight w:val="none"/>
                <w:lang w:val="en-US" w:eastAsia="zh-CN"/>
              </w:rPr>
              <w:t>采用华为、华三、东土或“相当于”</w:t>
            </w:r>
          </w:p>
          <w:p w14:paraId="7A962F12">
            <w:pPr>
              <w:widowControl w:val="0"/>
              <w:spacing w:before="0" w:after="0" w:line="240" w:lineRule="auto"/>
              <w:ind w:firstLine="0" w:firstLineChars="0"/>
              <w:jc w:val="both"/>
              <w:rPr>
                <w:rFonts w:hint="eastAsia" w:cs="宋体"/>
                <w:color w:val="auto"/>
                <w:kern w:val="2"/>
                <w:sz w:val="21"/>
                <w:szCs w:val="21"/>
                <w:highlight w:val="none"/>
                <w:lang w:eastAsia="zh-CN"/>
              </w:rPr>
            </w:pPr>
            <w:r>
              <w:rPr>
                <w:rFonts w:hint="eastAsia"/>
                <w:color w:val="auto"/>
                <w:sz w:val="21"/>
                <w:szCs w:val="21"/>
                <w:highlight w:val="none"/>
                <w:lang w:val="en-US" w:eastAsia="zh-CN"/>
              </w:rPr>
              <w:t>具备双电源模块，支持SNMP V2协议</w:t>
            </w:r>
          </w:p>
        </w:tc>
        <w:tc>
          <w:tcPr>
            <w:tcW w:w="267" w:type="pct"/>
            <w:vAlign w:val="center"/>
          </w:tcPr>
          <w:p w14:paraId="5ECB53CF">
            <w:pPr>
              <w:widowControl w:val="0"/>
              <w:spacing w:before="0" w:after="0" w:line="240" w:lineRule="auto"/>
              <w:ind w:firstLine="0" w:firstLineChars="0"/>
              <w:jc w:val="both"/>
              <w:rPr>
                <w:rFonts w:hint="default" w:cs="宋体"/>
                <w:color w:val="auto"/>
                <w:kern w:val="2"/>
                <w:sz w:val="21"/>
                <w:szCs w:val="21"/>
                <w:highlight w:val="none"/>
                <w:lang w:val="en-US" w:eastAsia="zh-CN"/>
              </w:rPr>
            </w:pPr>
            <w:r>
              <w:rPr>
                <w:rFonts w:hint="eastAsia" w:cs="宋体"/>
                <w:color w:val="auto"/>
                <w:kern w:val="2"/>
                <w:sz w:val="21"/>
                <w:szCs w:val="21"/>
                <w:highlight w:val="none"/>
                <w:lang w:val="en-US" w:eastAsia="zh-CN"/>
              </w:rPr>
              <w:t>台</w:t>
            </w:r>
          </w:p>
        </w:tc>
        <w:tc>
          <w:tcPr>
            <w:tcW w:w="268" w:type="pct"/>
            <w:vAlign w:val="center"/>
          </w:tcPr>
          <w:p w14:paraId="01942411">
            <w:pPr>
              <w:widowControl w:val="0"/>
              <w:spacing w:before="0" w:after="0" w:line="240" w:lineRule="auto"/>
              <w:ind w:firstLine="0" w:firstLineChars="0"/>
              <w:jc w:val="center"/>
              <w:rPr>
                <w:rFonts w:hint="default" w:cs="宋体"/>
                <w:color w:val="auto"/>
                <w:kern w:val="2"/>
                <w:sz w:val="21"/>
                <w:szCs w:val="21"/>
                <w:highlight w:val="none"/>
                <w:lang w:val="en-US" w:eastAsia="zh-CN"/>
              </w:rPr>
            </w:pPr>
            <w:r>
              <w:rPr>
                <w:rFonts w:hint="eastAsia" w:cs="宋体"/>
                <w:color w:val="auto"/>
                <w:kern w:val="2"/>
                <w:sz w:val="21"/>
                <w:szCs w:val="21"/>
                <w:highlight w:val="none"/>
                <w:lang w:val="en-US" w:eastAsia="zh-CN"/>
              </w:rPr>
              <w:t>2</w:t>
            </w:r>
          </w:p>
        </w:tc>
        <w:tc>
          <w:tcPr>
            <w:tcW w:w="470" w:type="pct"/>
            <w:vAlign w:val="center"/>
          </w:tcPr>
          <w:p w14:paraId="6983287E">
            <w:pPr>
              <w:widowControl w:val="0"/>
              <w:adjustRightInd w:val="0"/>
              <w:snapToGrid w:val="0"/>
              <w:spacing w:beforeLines="50" w:afterLines="50" w:line="276" w:lineRule="auto"/>
              <w:jc w:val="center"/>
              <w:rPr>
                <w:rFonts w:cs="Times New Roman"/>
                <w:color w:val="auto"/>
                <w:kern w:val="2"/>
                <w:szCs w:val="21"/>
                <w:highlight w:val="none"/>
                <w:lang w:eastAsia="zh-CN"/>
              </w:rPr>
            </w:pPr>
          </w:p>
        </w:tc>
        <w:tc>
          <w:tcPr>
            <w:tcW w:w="562" w:type="pct"/>
            <w:vAlign w:val="center"/>
          </w:tcPr>
          <w:p w14:paraId="4E97CCEA">
            <w:pPr>
              <w:widowControl w:val="0"/>
              <w:adjustRightInd w:val="0"/>
              <w:snapToGrid w:val="0"/>
              <w:spacing w:beforeLines="50" w:afterLines="50" w:line="276" w:lineRule="auto"/>
              <w:jc w:val="center"/>
              <w:rPr>
                <w:rFonts w:cs="Times New Roman"/>
                <w:color w:val="auto"/>
                <w:kern w:val="2"/>
                <w:szCs w:val="21"/>
                <w:highlight w:val="none"/>
                <w:lang w:eastAsia="zh-CN"/>
              </w:rPr>
            </w:pPr>
          </w:p>
        </w:tc>
        <w:tc>
          <w:tcPr>
            <w:tcW w:w="711" w:type="pct"/>
            <w:vAlign w:val="center"/>
          </w:tcPr>
          <w:p w14:paraId="4637FA01">
            <w:pPr>
              <w:pStyle w:val="185"/>
              <w:rPr>
                <w:rFonts w:hAnsi="宋体" w:eastAsia="宋体"/>
                <w:color w:val="auto"/>
                <w:kern w:val="2"/>
                <w:sz w:val="21"/>
                <w:szCs w:val="21"/>
                <w:highlight w:val="none"/>
              </w:rPr>
            </w:pPr>
          </w:p>
        </w:tc>
      </w:tr>
      <w:tr w14:paraId="3553CC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9" w:type="pct"/>
            <w:vAlign w:val="center"/>
          </w:tcPr>
          <w:p w14:paraId="54D5F85B">
            <w:pPr>
              <w:widowControl w:val="0"/>
              <w:spacing w:before="0" w:after="0" w:line="240" w:lineRule="auto"/>
              <w:ind w:firstLine="0" w:firstLineChars="0"/>
              <w:jc w:val="both"/>
              <w:rPr>
                <w:rFonts w:cs="Times New Roman"/>
                <w:color w:val="auto"/>
                <w:kern w:val="2"/>
                <w:szCs w:val="21"/>
                <w:highlight w:val="none"/>
                <w:lang w:eastAsia="zh-CN"/>
              </w:rPr>
            </w:pPr>
            <w:r>
              <w:rPr>
                <w:rFonts w:hint="eastAsia" w:cs="宋体"/>
                <w:color w:val="auto"/>
                <w:kern w:val="2"/>
                <w:sz w:val="21"/>
                <w:szCs w:val="21"/>
                <w:highlight w:val="none"/>
                <w:lang w:val="en-US" w:eastAsia="zh-CN"/>
              </w:rPr>
              <w:t>1.3</w:t>
            </w:r>
          </w:p>
        </w:tc>
        <w:tc>
          <w:tcPr>
            <w:tcW w:w="1079" w:type="pct"/>
            <w:vAlign w:val="center"/>
          </w:tcPr>
          <w:p w14:paraId="770E9067">
            <w:pPr>
              <w:widowControl w:val="0"/>
              <w:spacing w:before="0" w:after="0" w:line="240" w:lineRule="auto"/>
              <w:ind w:firstLine="0" w:firstLineChars="0"/>
              <w:jc w:val="both"/>
              <w:rPr>
                <w:rFonts w:cs="Times New Roman"/>
                <w:color w:val="auto"/>
                <w:kern w:val="2"/>
                <w:szCs w:val="21"/>
                <w:highlight w:val="none"/>
                <w:lang w:eastAsia="zh-CN"/>
              </w:rPr>
            </w:pPr>
            <w:r>
              <w:rPr>
                <w:rFonts w:hint="eastAsia" w:cs="宋体"/>
                <w:color w:val="auto"/>
                <w:kern w:val="2"/>
                <w:sz w:val="21"/>
                <w:szCs w:val="21"/>
                <w:highlight w:val="none"/>
                <w:lang w:eastAsia="zh-CN"/>
              </w:rPr>
              <w:t>辅助设备</w:t>
            </w:r>
          </w:p>
        </w:tc>
        <w:tc>
          <w:tcPr>
            <w:tcW w:w="1340" w:type="pct"/>
            <w:vAlign w:val="center"/>
          </w:tcPr>
          <w:p w14:paraId="0AE63AE0">
            <w:pPr>
              <w:widowControl w:val="0"/>
              <w:spacing w:before="0" w:after="0" w:line="240" w:lineRule="auto"/>
              <w:ind w:firstLine="0" w:firstLineChars="0"/>
              <w:jc w:val="both"/>
              <w:rPr>
                <w:rFonts w:cs="宋体"/>
                <w:color w:val="auto"/>
                <w:sz w:val="24"/>
                <w:highlight w:val="none"/>
              </w:rPr>
            </w:pPr>
            <w:r>
              <w:rPr>
                <w:rFonts w:hint="eastAsia" w:cs="宋体"/>
                <w:color w:val="auto"/>
                <w:kern w:val="2"/>
                <w:sz w:val="21"/>
                <w:szCs w:val="21"/>
                <w:highlight w:val="none"/>
                <w:lang w:eastAsia="zh-CN"/>
              </w:rPr>
              <w:t>包括光电转换设备、通信光缆、光熔接盒、网线、跳纤等，满足现场组屏需要</w:t>
            </w:r>
          </w:p>
        </w:tc>
        <w:tc>
          <w:tcPr>
            <w:tcW w:w="267" w:type="pct"/>
            <w:vAlign w:val="center"/>
          </w:tcPr>
          <w:p w14:paraId="20B33E8B">
            <w:pPr>
              <w:widowControl w:val="0"/>
              <w:spacing w:before="0" w:after="0" w:line="240" w:lineRule="auto"/>
              <w:ind w:firstLine="0" w:firstLineChars="0"/>
              <w:jc w:val="both"/>
              <w:rPr>
                <w:rFonts w:cs="Times New Roman"/>
                <w:color w:val="auto"/>
                <w:kern w:val="2"/>
                <w:szCs w:val="21"/>
                <w:highlight w:val="none"/>
                <w:lang w:eastAsia="zh-CN"/>
              </w:rPr>
            </w:pPr>
            <w:r>
              <w:rPr>
                <w:rFonts w:hint="eastAsia" w:cs="宋体"/>
                <w:color w:val="auto"/>
                <w:kern w:val="2"/>
                <w:sz w:val="21"/>
                <w:szCs w:val="21"/>
                <w:highlight w:val="none"/>
                <w:lang w:eastAsia="zh-CN"/>
              </w:rPr>
              <w:t>套</w:t>
            </w:r>
          </w:p>
        </w:tc>
        <w:tc>
          <w:tcPr>
            <w:tcW w:w="268" w:type="pct"/>
            <w:vAlign w:val="center"/>
          </w:tcPr>
          <w:p w14:paraId="1F7AB4CC">
            <w:pPr>
              <w:widowControl w:val="0"/>
              <w:spacing w:before="0" w:after="0" w:line="240" w:lineRule="auto"/>
              <w:ind w:firstLine="0" w:firstLineChars="0"/>
              <w:jc w:val="center"/>
              <w:rPr>
                <w:rFonts w:cs="Times New Roman"/>
                <w:color w:val="auto"/>
                <w:kern w:val="2"/>
                <w:szCs w:val="21"/>
                <w:highlight w:val="none"/>
                <w:lang w:eastAsia="zh-CN"/>
              </w:rPr>
            </w:pPr>
            <w:r>
              <w:rPr>
                <w:rFonts w:hint="eastAsia" w:cs="宋体"/>
                <w:color w:val="auto"/>
                <w:kern w:val="2"/>
                <w:sz w:val="21"/>
                <w:szCs w:val="21"/>
                <w:highlight w:val="none"/>
                <w:lang w:val="en-US" w:eastAsia="zh-CN"/>
              </w:rPr>
              <w:t>1</w:t>
            </w:r>
          </w:p>
        </w:tc>
        <w:tc>
          <w:tcPr>
            <w:tcW w:w="470" w:type="pct"/>
            <w:vAlign w:val="center"/>
          </w:tcPr>
          <w:p w14:paraId="1AA12B5A">
            <w:pPr>
              <w:widowControl w:val="0"/>
              <w:adjustRightInd w:val="0"/>
              <w:snapToGrid w:val="0"/>
              <w:spacing w:beforeLines="50" w:afterLines="50" w:line="276" w:lineRule="auto"/>
              <w:jc w:val="center"/>
              <w:rPr>
                <w:rFonts w:cs="Times New Roman"/>
                <w:color w:val="auto"/>
                <w:kern w:val="2"/>
                <w:szCs w:val="21"/>
                <w:highlight w:val="none"/>
                <w:lang w:eastAsia="zh-CN"/>
              </w:rPr>
            </w:pPr>
          </w:p>
        </w:tc>
        <w:tc>
          <w:tcPr>
            <w:tcW w:w="562" w:type="pct"/>
            <w:vAlign w:val="center"/>
          </w:tcPr>
          <w:p w14:paraId="1667E8CD">
            <w:pPr>
              <w:widowControl w:val="0"/>
              <w:adjustRightInd w:val="0"/>
              <w:snapToGrid w:val="0"/>
              <w:spacing w:beforeLines="50" w:afterLines="50" w:line="276" w:lineRule="auto"/>
              <w:jc w:val="center"/>
              <w:rPr>
                <w:rFonts w:cs="Times New Roman"/>
                <w:color w:val="auto"/>
                <w:kern w:val="2"/>
                <w:szCs w:val="21"/>
                <w:highlight w:val="none"/>
                <w:lang w:eastAsia="zh-CN"/>
              </w:rPr>
            </w:pPr>
          </w:p>
        </w:tc>
        <w:tc>
          <w:tcPr>
            <w:tcW w:w="711" w:type="pct"/>
            <w:vAlign w:val="center"/>
          </w:tcPr>
          <w:p w14:paraId="73D26C20">
            <w:pPr>
              <w:pStyle w:val="185"/>
              <w:rPr>
                <w:rFonts w:hAnsi="宋体" w:eastAsia="宋体"/>
                <w:color w:val="auto"/>
                <w:kern w:val="2"/>
                <w:sz w:val="21"/>
                <w:szCs w:val="21"/>
                <w:highlight w:val="none"/>
              </w:rPr>
            </w:pPr>
          </w:p>
        </w:tc>
      </w:tr>
      <w:tr w14:paraId="6767F2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9" w:type="pct"/>
            <w:vAlign w:val="center"/>
          </w:tcPr>
          <w:p w14:paraId="4003D398">
            <w:pPr>
              <w:widowControl w:val="0"/>
              <w:spacing w:before="0" w:after="0" w:line="240" w:lineRule="auto"/>
              <w:ind w:firstLine="0" w:firstLineChars="0"/>
              <w:jc w:val="both"/>
              <w:rPr>
                <w:rFonts w:hint="default" w:cs="Times New Roman"/>
                <w:color w:val="auto"/>
                <w:kern w:val="2"/>
                <w:szCs w:val="21"/>
                <w:highlight w:val="none"/>
                <w:lang w:val="en-US" w:eastAsia="zh-CN"/>
              </w:rPr>
            </w:pPr>
            <w:r>
              <w:rPr>
                <w:rFonts w:hint="eastAsia" w:cs="宋体"/>
                <w:color w:val="auto"/>
                <w:kern w:val="2"/>
                <w:sz w:val="21"/>
                <w:szCs w:val="21"/>
                <w:highlight w:val="none"/>
                <w:lang w:val="en-US" w:eastAsia="zh-CN"/>
              </w:rPr>
              <w:t>1.4</w:t>
            </w:r>
          </w:p>
        </w:tc>
        <w:tc>
          <w:tcPr>
            <w:tcW w:w="1079" w:type="pct"/>
            <w:vAlign w:val="center"/>
          </w:tcPr>
          <w:p w14:paraId="373AFD81">
            <w:pPr>
              <w:widowControl w:val="0"/>
              <w:spacing w:before="0" w:after="0" w:line="240" w:lineRule="auto"/>
              <w:ind w:firstLine="0" w:firstLineChars="0"/>
              <w:jc w:val="both"/>
              <w:rPr>
                <w:rFonts w:cs="Times New Roman"/>
                <w:color w:val="auto"/>
                <w:kern w:val="2"/>
                <w:szCs w:val="21"/>
                <w:highlight w:val="none"/>
                <w:lang w:eastAsia="zh-CN"/>
              </w:rPr>
            </w:pPr>
            <w:r>
              <w:rPr>
                <w:rFonts w:hint="eastAsia" w:cs="宋体"/>
                <w:color w:val="auto"/>
                <w:kern w:val="2"/>
                <w:sz w:val="21"/>
                <w:szCs w:val="21"/>
                <w:highlight w:val="none"/>
                <w:lang w:eastAsia="zh-CN"/>
              </w:rPr>
              <w:t>柜体及附件</w:t>
            </w:r>
          </w:p>
        </w:tc>
        <w:tc>
          <w:tcPr>
            <w:tcW w:w="1340" w:type="pct"/>
            <w:vAlign w:val="center"/>
          </w:tcPr>
          <w:p w14:paraId="1D12900E">
            <w:pPr>
              <w:widowControl w:val="0"/>
              <w:spacing w:before="0" w:after="0" w:line="240" w:lineRule="auto"/>
              <w:ind w:firstLine="0" w:firstLineChars="0"/>
              <w:jc w:val="both"/>
              <w:rPr>
                <w:rFonts w:cs="宋体"/>
                <w:color w:val="auto"/>
                <w:sz w:val="24"/>
                <w:highlight w:val="none"/>
              </w:rPr>
            </w:pPr>
          </w:p>
        </w:tc>
        <w:tc>
          <w:tcPr>
            <w:tcW w:w="267" w:type="pct"/>
            <w:vAlign w:val="center"/>
          </w:tcPr>
          <w:p w14:paraId="694245F3">
            <w:pPr>
              <w:widowControl w:val="0"/>
              <w:spacing w:before="0" w:after="0" w:line="240" w:lineRule="auto"/>
              <w:ind w:firstLine="0" w:firstLineChars="0"/>
              <w:jc w:val="both"/>
              <w:rPr>
                <w:rFonts w:hint="eastAsia" w:cs="宋体"/>
                <w:color w:val="auto"/>
                <w:kern w:val="2"/>
                <w:szCs w:val="21"/>
                <w:highlight w:val="none"/>
                <w:lang w:eastAsia="zh-CN"/>
              </w:rPr>
            </w:pPr>
            <w:r>
              <w:rPr>
                <w:rFonts w:hint="eastAsia" w:cs="宋体"/>
                <w:color w:val="auto"/>
                <w:kern w:val="2"/>
                <w:sz w:val="21"/>
                <w:szCs w:val="21"/>
                <w:highlight w:val="none"/>
                <w:lang w:eastAsia="zh-CN"/>
              </w:rPr>
              <w:t>面</w:t>
            </w:r>
          </w:p>
        </w:tc>
        <w:tc>
          <w:tcPr>
            <w:tcW w:w="268" w:type="pct"/>
            <w:vAlign w:val="center"/>
          </w:tcPr>
          <w:p w14:paraId="36A77BCA">
            <w:pPr>
              <w:widowControl w:val="0"/>
              <w:spacing w:before="0" w:after="0" w:line="240" w:lineRule="auto"/>
              <w:ind w:firstLine="0" w:firstLineChars="0"/>
              <w:jc w:val="both"/>
              <w:rPr>
                <w:rFonts w:hint="eastAsia" w:cs="宋体"/>
                <w:color w:val="auto"/>
                <w:kern w:val="2"/>
                <w:szCs w:val="21"/>
                <w:highlight w:val="none"/>
                <w:lang w:eastAsia="zh-CN"/>
              </w:rPr>
            </w:pPr>
            <w:r>
              <w:rPr>
                <w:rFonts w:hint="eastAsia" w:cs="宋体"/>
                <w:color w:val="auto"/>
                <w:kern w:val="2"/>
                <w:sz w:val="21"/>
                <w:szCs w:val="21"/>
                <w:highlight w:val="none"/>
                <w:lang w:val="en-US" w:eastAsia="zh-CN"/>
              </w:rPr>
              <w:t>1</w:t>
            </w:r>
          </w:p>
        </w:tc>
        <w:tc>
          <w:tcPr>
            <w:tcW w:w="470" w:type="pct"/>
            <w:vAlign w:val="center"/>
          </w:tcPr>
          <w:p w14:paraId="40BD7A54">
            <w:pPr>
              <w:widowControl w:val="0"/>
              <w:adjustRightInd w:val="0"/>
              <w:snapToGrid w:val="0"/>
              <w:spacing w:beforeLines="50" w:afterLines="50" w:line="276" w:lineRule="auto"/>
              <w:jc w:val="center"/>
              <w:rPr>
                <w:rFonts w:cs="Times New Roman"/>
                <w:color w:val="auto"/>
                <w:kern w:val="2"/>
                <w:szCs w:val="21"/>
                <w:highlight w:val="none"/>
                <w:lang w:eastAsia="zh-CN"/>
              </w:rPr>
            </w:pPr>
          </w:p>
        </w:tc>
        <w:tc>
          <w:tcPr>
            <w:tcW w:w="562" w:type="pct"/>
            <w:vAlign w:val="center"/>
          </w:tcPr>
          <w:p w14:paraId="68493D81">
            <w:pPr>
              <w:widowControl w:val="0"/>
              <w:adjustRightInd w:val="0"/>
              <w:snapToGrid w:val="0"/>
              <w:spacing w:beforeLines="50" w:afterLines="50" w:line="276" w:lineRule="auto"/>
              <w:jc w:val="center"/>
              <w:rPr>
                <w:rFonts w:cs="Times New Roman"/>
                <w:color w:val="auto"/>
                <w:kern w:val="2"/>
                <w:szCs w:val="21"/>
                <w:highlight w:val="none"/>
                <w:lang w:eastAsia="zh-CN"/>
              </w:rPr>
            </w:pPr>
          </w:p>
        </w:tc>
        <w:tc>
          <w:tcPr>
            <w:tcW w:w="711" w:type="pct"/>
            <w:vAlign w:val="center"/>
          </w:tcPr>
          <w:p w14:paraId="33B73343">
            <w:pPr>
              <w:pStyle w:val="185"/>
              <w:rPr>
                <w:rFonts w:hAnsi="宋体" w:eastAsia="宋体"/>
                <w:color w:val="auto"/>
                <w:kern w:val="2"/>
                <w:sz w:val="21"/>
                <w:szCs w:val="21"/>
                <w:highlight w:val="none"/>
              </w:rPr>
            </w:pPr>
          </w:p>
        </w:tc>
      </w:tr>
      <w:tr w14:paraId="6B0BA5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9" w:type="pct"/>
            <w:vAlign w:val="center"/>
          </w:tcPr>
          <w:p w14:paraId="07A35201">
            <w:pPr>
              <w:widowControl w:val="0"/>
              <w:spacing w:before="0" w:after="0" w:line="240" w:lineRule="auto"/>
              <w:ind w:firstLine="0" w:firstLineChars="0"/>
              <w:jc w:val="both"/>
              <w:rPr>
                <w:rFonts w:hint="default" w:cs="Times New Roman"/>
                <w:color w:val="auto"/>
                <w:kern w:val="2"/>
                <w:szCs w:val="21"/>
                <w:highlight w:val="none"/>
                <w:lang w:val="en-US" w:eastAsia="zh-CN"/>
              </w:rPr>
            </w:pPr>
            <w:r>
              <w:rPr>
                <w:rFonts w:hint="eastAsia" w:cs="宋体"/>
                <w:color w:val="auto"/>
                <w:kern w:val="2"/>
                <w:sz w:val="21"/>
                <w:szCs w:val="21"/>
                <w:highlight w:val="none"/>
                <w:lang w:val="en-US" w:eastAsia="zh-CN"/>
              </w:rPr>
              <w:t>1.5</w:t>
            </w:r>
          </w:p>
        </w:tc>
        <w:tc>
          <w:tcPr>
            <w:tcW w:w="1079" w:type="pct"/>
            <w:vAlign w:val="center"/>
          </w:tcPr>
          <w:p w14:paraId="2E806CBA">
            <w:pPr>
              <w:widowControl w:val="0"/>
              <w:spacing w:before="0" w:after="0" w:line="240" w:lineRule="auto"/>
              <w:ind w:firstLine="0" w:firstLineChars="0"/>
              <w:jc w:val="both"/>
              <w:rPr>
                <w:rFonts w:cs="Times New Roman"/>
                <w:color w:val="auto"/>
                <w:kern w:val="2"/>
                <w:szCs w:val="21"/>
                <w:highlight w:val="none"/>
                <w:lang w:eastAsia="zh-CN"/>
              </w:rPr>
            </w:pPr>
            <w:r>
              <w:rPr>
                <w:rFonts w:hint="eastAsia"/>
                <w:color w:val="auto"/>
                <w:sz w:val="21"/>
                <w:szCs w:val="21"/>
                <w:highlight w:val="none"/>
                <w:lang w:val="en-US" w:eastAsia="zh-CN"/>
              </w:rPr>
              <w:t>后台工作站</w:t>
            </w:r>
          </w:p>
        </w:tc>
        <w:tc>
          <w:tcPr>
            <w:tcW w:w="1340" w:type="pct"/>
            <w:vAlign w:val="center"/>
          </w:tcPr>
          <w:p w14:paraId="5F3E4BE8">
            <w:pPr>
              <w:pStyle w:val="198"/>
              <w:spacing w:before="67" w:beforeLines="28" w:after="67" w:afterLines="28"/>
              <w:ind w:left="84" w:right="84"/>
              <w:jc w:val="left"/>
              <w:rPr>
                <w:rFonts w:hint="eastAsia"/>
                <w:color w:val="auto"/>
                <w:sz w:val="21"/>
                <w:szCs w:val="21"/>
                <w:highlight w:val="none"/>
                <w:lang w:val="en-US" w:eastAsia="zh-CN"/>
              </w:rPr>
            </w:pPr>
            <w:r>
              <w:rPr>
                <w:color w:val="auto"/>
                <w:sz w:val="21"/>
                <w:szCs w:val="21"/>
                <w:highlight w:val="none"/>
              </w:rPr>
              <w:t>17</w:t>
            </w:r>
            <w:r>
              <w:rPr>
                <w:rFonts w:hint="eastAsia" w:ascii="宋体" w:hAnsi="宋体"/>
                <w:color w:val="auto"/>
                <w:sz w:val="21"/>
                <w:szCs w:val="21"/>
                <w:highlight w:val="none"/>
              </w:rPr>
              <w:t>″</w:t>
            </w:r>
            <w:r>
              <w:rPr>
                <w:color w:val="auto"/>
                <w:sz w:val="21"/>
                <w:szCs w:val="21"/>
                <w:highlight w:val="none"/>
              </w:rPr>
              <w:t>液晶显示器，</w:t>
            </w:r>
            <w:r>
              <w:rPr>
                <w:rFonts w:hint="eastAsia"/>
                <w:color w:val="auto"/>
                <w:sz w:val="21"/>
                <w:szCs w:val="21"/>
                <w:highlight w:val="none"/>
                <w:lang w:val="en-US" w:eastAsia="zh-CN"/>
              </w:rPr>
              <w:t>含</w:t>
            </w:r>
            <w:r>
              <w:rPr>
                <w:color w:val="auto"/>
                <w:sz w:val="21"/>
                <w:szCs w:val="21"/>
                <w:highlight w:val="none"/>
              </w:rPr>
              <w:t>键盘，鼠标</w:t>
            </w:r>
            <w:r>
              <w:rPr>
                <w:rFonts w:hint="eastAsia"/>
                <w:color w:val="auto"/>
                <w:sz w:val="21"/>
                <w:szCs w:val="21"/>
                <w:highlight w:val="none"/>
                <w:lang w:val="en-US" w:eastAsia="zh-CN"/>
              </w:rPr>
              <w:t>,</w:t>
            </w:r>
            <w:r>
              <w:rPr>
                <w:rFonts w:hint="eastAsia"/>
                <w:color w:val="auto"/>
                <w:sz w:val="21"/>
                <w:szCs w:val="21"/>
                <w:highlight w:val="none"/>
                <w:lang w:val="en-US" w:eastAsia="zh-CN"/>
              </w:rPr>
              <w:t>KVM。</w:t>
            </w:r>
          </w:p>
          <w:p w14:paraId="1F49B05A">
            <w:pPr>
              <w:pStyle w:val="204"/>
              <w:ind w:left="21" w:right="74"/>
              <w:jc w:val="both"/>
              <w:rPr>
                <w:rFonts w:hint="eastAsia"/>
                <w:color w:val="auto"/>
                <w:sz w:val="21"/>
                <w:szCs w:val="21"/>
                <w:highlight w:val="none"/>
                <w:lang w:val="en-US" w:eastAsia="zh-CN"/>
              </w:rPr>
            </w:pPr>
            <w:r>
              <w:rPr>
                <w:rFonts w:hint="eastAsia"/>
                <w:color w:val="auto"/>
                <w:sz w:val="21"/>
                <w:szCs w:val="21"/>
                <w:highlight w:val="none"/>
                <w:lang w:val="en-US" w:eastAsia="zh-CN"/>
              </w:rPr>
              <w:t>工作站参数：</w:t>
            </w:r>
          </w:p>
          <w:p w14:paraId="5CC3A449">
            <w:pPr>
              <w:pStyle w:val="204"/>
              <w:ind w:left="21" w:right="74"/>
              <w:jc w:val="both"/>
              <w:rPr>
                <w:rFonts w:hint="eastAsia" w:ascii="宋体" w:hAnsi="宋体" w:eastAsia="宋体" w:cs="宋体"/>
                <w:color w:val="auto"/>
                <w:kern w:val="2"/>
                <w:sz w:val="21"/>
                <w:szCs w:val="21"/>
                <w:highlight w:val="none"/>
                <w:lang w:eastAsia="zh-CN"/>
              </w:rPr>
            </w:pPr>
            <w:r>
              <w:rPr>
                <w:rFonts w:hint="eastAsia" w:ascii="宋体" w:hAnsi="宋体" w:eastAsia="宋体" w:cs="宋体"/>
                <w:color w:val="auto"/>
                <w:kern w:val="2"/>
                <w:sz w:val="21"/>
                <w:szCs w:val="21"/>
                <w:highlight w:val="none"/>
              </w:rPr>
              <w:t>处理器：酷睿i7-8700(六核4.6GHz)</w:t>
            </w:r>
            <w:r>
              <w:rPr>
                <w:rFonts w:hint="eastAsia" w:hAnsi="宋体" w:cs="宋体"/>
                <w:color w:val="auto"/>
                <w:kern w:val="2"/>
                <w:sz w:val="21"/>
                <w:szCs w:val="21"/>
                <w:highlight w:val="none"/>
                <w:lang w:eastAsia="zh-CN"/>
              </w:rPr>
              <w:t>。</w:t>
            </w:r>
          </w:p>
          <w:p w14:paraId="3FE363BB">
            <w:pPr>
              <w:pStyle w:val="204"/>
              <w:ind w:left="21" w:right="74"/>
              <w:jc w:val="both"/>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内存：16GB DDR4</w:t>
            </w:r>
          </w:p>
          <w:p w14:paraId="1AEC83A7">
            <w:pPr>
              <w:pStyle w:val="204"/>
              <w:ind w:left="21" w:right="74"/>
              <w:jc w:val="both"/>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SSD硬盘：1T；</w:t>
            </w:r>
          </w:p>
          <w:p w14:paraId="6E035755">
            <w:pPr>
              <w:pStyle w:val="204"/>
              <w:ind w:left="21" w:right="74"/>
              <w:jc w:val="both"/>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显卡：独立显卡</w:t>
            </w:r>
          </w:p>
          <w:p w14:paraId="48997148">
            <w:pPr>
              <w:pStyle w:val="204"/>
              <w:ind w:left="21" w:right="74"/>
              <w:jc w:val="both"/>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外设：键盘、鼠标</w:t>
            </w:r>
          </w:p>
          <w:p w14:paraId="780651F0">
            <w:pPr>
              <w:pStyle w:val="204"/>
              <w:ind w:left="21" w:right="74"/>
              <w:jc w:val="both"/>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网络：1000MB以太网口×2</w:t>
            </w:r>
          </w:p>
          <w:p w14:paraId="41D78556">
            <w:pPr>
              <w:widowControl w:val="0"/>
              <w:spacing w:before="0" w:after="0" w:line="240" w:lineRule="auto"/>
              <w:ind w:firstLine="0" w:firstLineChars="0"/>
              <w:jc w:val="both"/>
              <w:rPr>
                <w:rFonts w:hint="default" w:cs="宋体"/>
                <w:color w:val="auto"/>
                <w:sz w:val="24"/>
                <w:highlight w:val="none"/>
                <w:lang w:val="en-US"/>
              </w:rPr>
            </w:pPr>
            <w:r>
              <w:rPr>
                <w:rFonts w:hint="eastAsia"/>
                <w:color w:val="auto"/>
                <w:sz w:val="21"/>
                <w:szCs w:val="21"/>
                <w:highlight w:val="none"/>
                <w:lang w:val="en-US" w:eastAsia="zh-CN"/>
              </w:rPr>
              <w:t>安装国产安全操作系统、AGENT探针。</w:t>
            </w:r>
          </w:p>
        </w:tc>
        <w:tc>
          <w:tcPr>
            <w:tcW w:w="267" w:type="pct"/>
            <w:vAlign w:val="center"/>
          </w:tcPr>
          <w:p w14:paraId="6EE8C0F2">
            <w:pPr>
              <w:widowControl w:val="0"/>
              <w:spacing w:before="0" w:after="0" w:line="240" w:lineRule="auto"/>
              <w:ind w:firstLine="0" w:firstLineChars="0"/>
              <w:jc w:val="both"/>
              <w:rPr>
                <w:rFonts w:hint="eastAsia" w:cs="宋体"/>
                <w:color w:val="auto"/>
                <w:kern w:val="2"/>
                <w:szCs w:val="21"/>
                <w:highlight w:val="none"/>
                <w:lang w:eastAsia="zh-CN"/>
              </w:rPr>
            </w:pPr>
            <w:r>
              <w:rPr>
                <w:rFonts w:hint="eastAsia" w:cs="宋体"/>
                <w:color w:val="auto"/>
                <w:kern w:val="2"/>
                <w:sz w:val="21"/>
                <w:szCs w:val="21"/>
                <w:highlight w:val="none"/>
                <w:lang w:eastAsia="zh-CN"/>
              </w:rPr>
              <w:t>台</w:t>
            </w:r>
          </w:p>
        </w:tc>
        <w:tc>
          <w:tcPr>
            <w:tcW w:w="268" w:type="pct"/>
            <w:vAlign w:val="center"/>
          </w:tcPr>
          <w:p w14:paraId="2FEA04E0">
            <w:pPr>
              <w:widowControl w:val="0"/>
              <w:spacing w:before="0" w:after="0" w:line="240" w:lineRule="auto"/>
              <w:ind w:firstLine="0" w:firstLineChars="0"/>
              <w:jc w:val="both"/>
              <w:rPr>
                <w:rFonts w:hint="eastAsia" w:cs="宋体"/>
                <w:color w:val="auto"/>
                <w:kern w:val="2"/>
                <w:szCs w:val="21"/>
                <w:highlight w:val="none"/>
                <w:lang w:eastAsia="zh-CN"/>
              </w:rPr>
            </w:pPr>
            <w:r>
              <w:rPr>
                <w:rFonts w:hint="eastAsia" w:cs="宋体"/>
                <w:color w:val="auto"/>
                <w:kern w:val="2"/>
                <w:sz w:val="21"/>
                <w:szCs w:val="21"/>
                <w:highlight w:val="none"/>
                <w:lang w:val="en-US" w:eastAsia="zh-CN"/>
              </w:rPr>
              <w:t>1</w:t>
            </w:r>
          </w:p>
        </w:tc>
        <w:tc>
          <w:tcPr>
            <w:tcW w:w="470" w:type="pct"/>
            <w:vAlign w:val="center"/>
          </w:tcPr>
          <w:p w14:paraId="626064ED">
            <w:pPr>
              <w:widowControl w:val="0"/>
              <w:adjustRightInd w:val="0"/>
              <w:snapToGrid w:val="0"/>
              <w:spacing w:beforeLines="50" w:afterLines="50" w:line="276" w:lineRule="auto"/>
              <w:jc w:val="center"/>
              <w:rPr>
                <w:rFonts w:cs="Times New Roman"/>
                <w:color w:val="auto"/>
                <w:kern w:val="2"/>
                <w:szCs w:val="21"/>
                <w:highlight w:val="none"/>
                <w:lang w:eastAsia="zh-CN"/>
              </w:rPr>
            </w:pPr>
          </w:p>
        </w:tc>
        <w:tc>
          <w:tcPr>
            <w:tcW w:w="562" w:type="pct"/>
            <w:vAlign w:val="center"/>
          </w:tcPr>
          <w:p w14:paraId="1B84D1AA">
            <w:pPr>
              <w:widowControl w:val="0"/>
              <w:adjustRightInd w:val="0"/>
              <w:snapToGrid w:val="0"/>
              <w:spacing w:beforeLines="50" w:afterLines="50" w:line="276" w:lineRule="auto"/>
              <w:jc w:val="center"/>
              <w:rPr>
                <w:rFonts w:cs="Times New Roman"/>
                <w:color w:val="auto"/>
                <w:kern w:val="2"/>
                <w:szCs w:val="21"/>
                <w:highlight w:val="none"/>
                <w:lang w:eastAsia="zh-CN"/>
              </w:rPr>
            </w:pPr>
          </w:p>
        </w:tc>
        <w:tc>
          <w:tcPr>
            <w:tcW w:w="711" w:type="pct"/>
            <w:vAlign w:val="center"/>
          </w:tcPr>
          <w:p w14:paraId="52EBC421">
            <w:pPr>
              <w:pStyle w:val="185"/>
              <w:rPr>
                <w:rFonts w:hAnsi="宋体" w:eastAsia="宋体"/>
                <w:color w:val="auto"/>
                <w:kern w:val="2"/>
                <w:sz w:val="21"/>
                <w:szCs w:val="21"/>
                <w:highlight w:val="none"/>
              </w:rPr>
            </w:pPr>
          </w:p>
        </w:tc>
      </w:tr>
      <w:tr w14:paraId="66D30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299" w:type="pct"/>
            <w:vAlign w:val="center"/>
          </w:tcPr>
          <w:p w14:paraId="057D0B2B">
            <w:pPr>
              <w:widowControl w:val="0"/>
              <w:spacing w:before="0" w:after="0" w:line="240" w:lineRule="auto"/>
              <w:ind w:firstLine="0" w:firstLineChars="0"/>
              <w:jc w:val="both"/>
              <w:rPr>
                <w:rFonts w:hint="eastAsia" w:cs="宋体"/>
                <w:color w:val="auto"/>
                <w:kern w:val="2"/>
                <w:szCs w:val="21"/>
                <w:highlight w:val="none"/>
                <w:lang w:eastAsia="zh-CN"/>
              </w:rPr>
            </w:pPr>
            <w:r>
              <w:rPr>
                <w:rFonts w:hint="eastAsia" w:cs="宋体"/>
                <w:color w:val="auto"/>
                <w:kern w:val="2"/>
                <w:sz w:val="21"/>
                <w:szCs w:val="21"/>
                <w:highlight w:val="none"/>
                <w:lang w:val="en-US" w:eastAsia="zh-CN"/>
              </w:rPr>
              <w:t>2</w:t>
            </w:r>
          </w:p>
        </w:tc>
        <w:tc>
          <w:tcPr>
            <w:tcW w:w="4700" w:type="pct"/>
            <w:gridSpan w:val="7"/>
            <w:vAlign w:val="center"/>
          </w:tcPr>
          <w:p w14:paraId="7F4BDFE5">
            <w:pPr>
              <w:spacing w:after="0" w:line="240" w:lineRule="auto"/>
              <w:jc w:val="left"/>
              <w:rPr>
                <w:rFonts w:hint="eastAsia" w:hAnsi="宋体" w:eastAsia="宋体" w:cs="宋体"/>
                <w:color w:val="auto"/>
                <w:kern w:val="2"/>
                <w:sz w:val="21"/>
                <w:szCs w:val="21"/>
                <w:highlight w:val="none"/>
                <w:lang w:eastAsia="zh-CN"/>
              </w:rPr>
            </w:pPr>
            <w:r>
              <w:rPr>
                <w:rFonts w:hint="eastAsia" w:cs="宋体"/>
                <w:color w:val="auto"/>
                <w:kern w:val="2"/>
                <w:sz w:val="21"/>
                <w:szCs w:val="21"/>
                <w:highlight w:val="none"/>
                <w:lang w:val="en-US" w:eastAsia="zh-CN"/>
              </w:rPr>
              <w:t>升压站宽频测量采集屏1面</w:t>
            </w:r>
          </w:p>
        </w:tc>
      </w:tr>
      <w:tr w14:paraId="1F4432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9" w:type="pct"/>
            <w:vAlign w:val="center"/>
          </w:tcPr>
          <w:p w14:paraId="37B4426E">
            <w:pPr>
              <w:widowControl w:val="0"/>
              <w:spacing w:before="0" w:after="0" w:line="240" w:lineRule="auto"/>
              <w:ind w:firstLine="0" w:firstLineChars="0"/>
              <w:jc w:val="both"/>
              <w:rPr>
                <w:rFonts w:hint="default" w:cs="宋体"/>
                <w:color w:val="auto"/>
                <w:kern w:val="2"/>
                <w:sz w:val="21"/>
                <w:szCs w:val="21"/>
                <w:highlight w:val="none"/>
                <w:lang w:val="en-US" w:eastAsia="zh-CN"/>
              </w:rPr>
            </w:pPr>
            <w:r>
              <w:rPr>
                <w:rFonts w:hint="default" w:cs="宋体"/>
                <w:color w:val="auto"/>
                <w:kern w:val="2"/>
                <w:sz w:val="21"/>
                <w:szCs w:val="21"/>
                <w:highlight w:val="none"/>
                <w:lang w:val="en-US" w:eastAsia="zh-CN"/>
              </w:rPr>
              <w:t>2.1</w:t>
            </w:r>
          </w:p>
        </w:tc>
        <w:tc>
          <w:tcPr>
            <w:tcW w:w="1079" w:type="pct"/>
            <w:vAlign w:val="center"/>
          </w:tcPr>
          <w:p w14:paraId="7351247F">
            <w:pPr>
              <w:widowControl w:val="0"/>
              <w:spacing w:before="0" w:after="0" w:line="240" w:lineRule="auto"/>
              <w:ind w:firstLine="0" w:firstLineChars="0"/>
              <w:jc w:val="both"/>
              <w:rPr>
                <w:rFonts w:hint="default" w:cs="宋体"/>
                <w:color w:val="auto"/>
                <w:kern w:val="2"/>
                <w:sz w:val="21"/>
                <w:szCs w:val="21"/>
                <w:highlight w:val="none"/>
                <w:lang w:val="en-US" w:eastAsia="zh-CN"/>
              </w:rPr>
            </w:pPr>
            <w:r>
              <w:rPr>
                <w:rFonts w:hint="default" w:cs="宋体"/>
                <w:color w:val="auto"/>
                <w:kern w:val="2"/>
                <w:sz w:val="21"/>
                <w:szCs w:val="21"/>
                <w:highlight w:val="none"/>
                <w:lang w:eastAsia="zh-CN"/>
              </w:rPr>
              <w:t>宽频</w:t>
            </w:r>
            <w:r>
              <w:rPr>
                <w:rFonts w:cs="宋体"/>
                <w:color w:val="auto"/>
                <w:kern w:val="2"/>
                <w:sz w:val="21"/>
                <w:szCs w:val="21"/>
                <w:highlight w:val="none"/>
                <w:lang w:eastAsia="zh-CN"/>
              </w:rPr>
              <w:t>测量单元</w:t>
            </w:r>
          </w:p>
        </w:tc>
        <w:tc>
          <w:tcPr>
            <w:tcW w:w="1340" w:type="pct"/>
            <w:vAlign w:val="center"/>
          </w:tcPr>
          <w:p w14:paraId="64C9676F">
            <w:pPr>
              <w:widowControl w:val="0"/>
              <w:spacing w:before="0" w:after="0" w:line="240" w:lineRule="auto"/>
              <w:ind w:firstLine="0" w:firstLineChars="0"/>
              <w:jc w:val="both"/>
              <w:rPr>
                <w:rFonts w:hint="default" w:cs="宋体"/>
                <w:color w:val="auto"/>
                <w:kern w:val="2"/>
                <w:sz w:val="21"/>
                <w:szCs w:val="21"/>
                <w:highlight w:val="none"/>
                <w:lang w:val="en-US" w:eastAsia="zh-CN"/>
              </w:rPr>
            </w:pPr>
            <w:r>
              <w:rPr>
                <w:rFonts w:hint="eastAsia" w:cs="宋体"/>
                <w:color w:val="auto"/>
                <w:kern w:val="2"/>
                <w:sz w:val="21"/>
                <w:szCs w:val="21"/>
                <w:highlight w:val="none"/>
                <w:lang w:eastAsia="zh-CN"/>
              </w:rPr>
              <w:t>模拟量</w:t>
            </w:r>
            <w:r>
              <w:rPr>
                <w:rFonts w:hint="eastAsia" w:cs="宋体"/>
                <w:color w:val="auto"/>
                <w:kern w:val="2"/>
                <w:sz w:val="21"/>
                <w:szCs w:val="21"/>
                <w:highlight w:val="none"/>
                <w:lang w:val="en-US" w:eastAsia="zh-CN"/>
              </w:rPr>
              <w:t>48</w:t>
            </w:r>
            <w:r>
              <w:rPr>
                <w:rFonts w:hint="eastAsia" w:cs="宋体"/>
                <w:color w:val="auto"/>
                <w:kern w:val="2"/>
                <w:sz w:val="21"/>
                <w:szCs w:val="21"/>
                <w:highlight w:val="none"/>
                <w:lang w:eastAsia="zh-CN"/>
              </w:rPr>
              <w:t>路，开关量</w:t>
            </w:r>
            <w:r>
              <w:rPr>
                <w:rFonts w:hint="eastAsia" w:cs="宋体"/>
                <w:color w:val="auto"/>
                <w:kern w:val="2"/>
                <w:sz w:val="21"/>
                <w:szCs w:val="21"/>
                <w:highlight w:val="none"/>
                <w:lang w:val="en-US" w:eastAsia="zh-CN"/>
              </w:rPr>
              <w:t>24</w:t>
            </w:r>
            <w:r>
              <w:rPr>
                <w:rFonts w:hint="eastAsia" w:cs="宋体"/>
                <w:color w:val="auto"/>
                <w:kern w:val="2"/>
                <w:sz w:val="21"/>
                <w:szCs w:val="21"/>
                <w:highlight w:val="none"/>
                <w:lang w:eastAsia="zh-CN"/>
              </w:rPr>
              <w:t>路</w:t>
            </w:r>
          </w:p>
        </w:tc>
        <w:tc>
          <w:tcPr>
            <w:tcW w:w="267" w:type="pct"/>
            <w:vAlign w:val="center"/>
          </w:tcPr>
          <w:p w14:paraId="3CB488C3">
            <w:pPr>
              <w:widowControl w:val="0"/>
              <w:spacing w:before="0" w:after="0" w:line="240" w:lineRule="auto"/>
              <w:ind w:firstLine="0" w:firstLineChars="0"/>
              <w:jc w:val="both"/>
              <w:rPr>
                <w:rFonts w:hint="default" w:cs="宋体"/>
                <w:color w:val="auto"/>
                <w:kern w:val="2"/>
                <w:szCs w:val="21"/>
                <w:highlight w:val="none"/>
                <w:lang w:eastAsia="zh-CN"/>
              </w:rPr>
            </w:pPr>
            <w:r>
              <w:rPr>
                <w:rFonts w:hint="default" w:cs="宋体"/>
                <w:color w:val="auto"/>
                <w:kern w:val="2"/>
                <w:szCs w:val="21"/>
                <w:highlight w:val="none"/>
                <w:lang w:eastAsia="zh-CN"/>
              </w:rPr>
              <w:t>台</w:t>
            </w:r>
          </w:p>
        </w:tc>
        <w:tc>
          <w:tcPr>
            <w:tcW w:w="268" w:type="pct"/>
            <w:vAlign w:val="center"/>
          </w:tcPr>
          <w:p w14:paraId="5935AF8E">
            <w:pPr>
              <w:widowControl w:val="0"/>
              <w:spacing w:before="0" w:after="0" w:line="240" w:lineRule="auto"/>
              <w:ind w:firstLine="0" w:firstLineChars="0"/>
              <w:jc w:val="both"/>
              <w:rPr>
                <w:rFonts w:hint="default" w:cs="宋体"/>
                <w:color w:val="auto"/>
                <w:kern w:val="2"/>
                <w:szCs w:val="21"/>
                <w:highlight w:val="none"/>
                <w:lang w:val="en-US" w:eastAsia="zh-CN"/>
              </w:rPr>
            </w:pPr>
            <w:r>
              <w:rPr>
                <w:rFonts w:hint="default" w:cs="宋体"/>
                <w:color w:val="auto"/>
                <w:kern w:val="2"/>
                <w:szCs w:val="21"/>
                <w:highlight w:val="none"/>
                <w:lang w:val="en-US" w:eastAsia="zh-CN"/>
              </w:rPr>
              <w:t>1</w:t>
            </w:r>
          </w:p>
        </w:tc>
        <w:tc>
          <w:tcPr>
            <w:tcW w:w="470" w:type="pct"/>
            <w:vAlign w:val="center"/>
          </w:tcPr>
          <w:p w14:paraId="1E22BD83">
            <w:pPr>
              <w:widowControl w:val="0"/>
              <w:adjustRightInd/>
              <w:snapToGrid/>
              <w:spacing w:beforeLines="-2147483648" w:afterLines="-2147483648" w:line="240" w:lineRule="auto"/>
              <w:jc w:val="both"/>
              <w:rPr>
                <w:rFonts w:cs="宋体"/>
                <w:color w:val="auto"/>
                <w:kern w:val="2"/>
                <w:szCs w:val="21"/>
                <w:highlight w:val="none"/>
                <w:lang w:eastAsia="zh-CN"/>
              </w:rPr>
            </w:pPr>
          </w:p>
        </w:tc>
        <w:tc>
          <w:tcPr>
            <w:tcW w:w="562" w:type="pct"/>
            <w:vAlign w:val="center"/>
          </w:tcPr>
          <w:p w14:paraId="5C6C6ABC">
            <w:pPr>
              <w:widowControl w:val="0"/>
              <w:adjustRightInd w:val="0"/>
              <w:snapToGrid w:val="0"/>
              <w:spacing w:beforeLines="50" w:afterLines="50" w:line="276" w:lineRule="auto"/>
              <w:jc w:val="center"/>
              <w:rPr>
                <w:rFonts w:cs="Times New Roman"/>
                <w:color w:val="auto"/>
                <w:kern w:val="2"/>
                <w:szCs w:val="21"/>
                <w:highlight w:val="none"/>
                <w:lang w:eastAsia="zh-CN"/>
              </w:rPr>
            </w:pPr>
          </w:p>
        </w:tc>
        <w:tc>
          <w:tcPr>
            <w:tcW w:w="711" w:type="pct"/>
            <w:vAlign w:val="center"/>
          </w:tcPr>
          <w:p w14:paraId="1E558B43">
            <w:pPr>
              <w:pStyle w:val="185"/>
              <w:rPr>
                <w:rFonts w:hAnsi="宋体" w:eastAsia="宋体"/>
                <w:color w:val="auto"/>
                <w:kern w:val="2"/>
                <w:sz w:val="21"/>
                <w:szCs w:val="21"/>
                <w:highlight w:val="none"/>
              </w:rPr>
            </w:pPr>
          </w:p>
        </w:tc>
      </w:tr>
      <w:tr w14:paraId="10A9F9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9" w:type="pct"/>
            <w:vAlign w:val="center"/>
          </w:tcPr>
          <w:p w14:paraId="6F1BE77B">
            <w:pPr>
              <w:widowControl w:val="0"/>
              <w:spacing w:before="0" w:after="0" w:line="240" w:lineRule="auto"/>
              <w:ind w:firstLine="0" w:firstLineChars="0"/>
              <w:jc w:val="both"/>
              <w:rPr>
                <w:rFonts w:hint="default" w:cs="宋体"/>
                <w:color w:val="auto"/>
                <w:kern w:val="2"/>
                <w:sz w:val="21"/>
                <w:szCs w:val="21"/>
                <w:highlight w:val="none"/>
                <w:lang w:val="en-US" w:eastAsia="zh-CN"/>
              </w:rPr>
            </w:pPr>
            <w:r>
              <w:rPr>
                <w:rFonts w:hint="default" w:cs="宋体"/>
                <w:color w:val="auto"/>
                <w:kern w:val="2"/>
                <w:sz w:val="21"/>
                <w:szCs w:val="21"/>
                <w:highlight w:val="none"/>
                <w:lang w:val="en-US" w:eastAsia="zh-CN"/>
              </w:rPr>
              <w:t>2.2</w:t>
            </w:r>
          </w:p>
        </w:tc>
        <w:tc>
          <w:tcPr>
            <w:tcW w:w="1079" w:type="pct"/>
            <w:vAlign w:val="center"/>
          </w:tcPr>
          <w:p w14:paraId="661943A5">
            <w:pPr>
              <w:widowControl w:val="0"/>
              <w:spacing w:before="0" w:after="0" w:line="240" w:lineRule="auto"/>
              <w:ind w:firstLine="0" w:firstLineChars="0"/>
              <w:jc w:val="both"/>
              <w:rPr>
                <w:rFonts w:hint="default" w:cs="宋体"/>
                <w:color w:val="auto"/>
                <w:kern w:val="2"/>
                <w:sz w:val="21"/>
                <w:szCs w:val="21"/>
                <w:highlight w:val="none"/>
                <w:lang w:eastAsia="zh-CN"/>
              </w:rPr>
            </w:pPr>
            <w:r>
              <w:rPr>
                <w:rFonts w:cs="宋体"/>
                <w:color w:val="auto"/>
                <w:kern w:val="2"/>
                <w:sz w:val="21"/>
                <w:szCs w:val="21"/>
                <w:highlight w:val="none"/>
                <w:lang w:eastAsia="zh-CN"/>
              </w:rPr>
              <w:t>辅助设备</w:t>
            </w:r>
          </w:p>
        </w:tc>
        <w:tc>
          <w:tcPr>
            <w:tcW w:w="1340" w:type="pct"/>
            <w:vAlign w:val="center"/>
          </w:tcPr>
          <w:p w14:paraId="316A22C0">
            <w:pPr>
              <w:widowControl w:val="0"/>
              <w:spacing w:before="0" w:after="0" w:line="240" w:lineRule="auto"/>
              <w:ind w:firstLine="0" w:firstLineChars="0"/>
              <w:jc w:val="both"/>
              <w:rPr>
                <w:rFonts w:hint="eastAsia" w:cs="宋体"/>
                <w:color w:val="auto"/>
                <w:kern w:val="2"/>
                <w:sz w:val="21"/>
                <w:szCs w:val="21"/>
                <w:highlight w:val="none"/>
                <w:lang w:eastAsia="zh-CN"/>
              </w:rPr>
            </w:pPr>
            <w:r>
              <w:rPr>
                <w:rFonts w:hint="default" w:cs="宋体"/>
                <w:color w:val="auto"/>
                <w:kern w:val="2"/>
                <w:sz w:val="21"/>
                <w:szCs w:val="21"/>
                <w:highlight w:val="none"/>
                <w:lang w:eastAsia="zh-CN"/>
              </w:rPr>
              <w:t>通信光缆（8芯多模/单模，用于采集屏与处理屏互联，）、光熔接盒、网线、跳纤等，应满足现场组屏需要</w:t>
            </w:r>
          </w:p>
        </w:tc>
        <w:tc>
          <w:tcPr>
            <w:tcW w:w="267" w:type="pct"/>
            <w:vAlign w:val="center"/>
          </w:tcPr>
          <w:p w14:paraId="0C357809">
            <w:pPr>
              <w:widowControl w:val="0"/>
              <w:spacing w:before="0" w:after="0" w:line="240" w:lineRule="auto"/>
              <w:ind w:firstLine="0" w:firstLineChars="0"/>
              <w:jc w:val="both"/>
              <w:rPr>
                <w:rFonts w:hint="default" w:cs="宋体"/>
                <w:color w:val="auto"/>
                <w:kern w:val="2"/>
                <w:szCs w:val="21"/>
                <w:highlight w:val="none"/>
                <w:lang w:eastAsia="zh-CN"/>
              </w:rPr>
            </w:pPr>
            <w:r>
              <w:rPr>
                <w:rFonts w:hint="default" w:cs="宋体"/>
                <w:color w:val="auto"/>
                <w:kern w:val="2"/>
                <w:szCs w:val="21"/>
                <w:highlight w:val="none"/>
                <w:lang w:eastAsia="zh-CN"/>
              </w:rPr>
              <w:t>套</w:t>
            </w:r>
          </w:p>
        </w:tc>
        <w:tc>
          <w:tcPr>
            <w:tcW w:w="268" w:type="pct"/>
            <w:vAlign w:val="center"/>
          </w:tcPr>
          <w:p w14:paraId="07564FAF">
            <w:pPr>
              <w:widowControl w:val="0"/>
              <w:spacing w:before="0" w:after="0" w:line="240" w:lineRule="auto"/>
              <w:ind w:firstLine="0" w:firstLineChars="0"/>
              <w:jc w:val="both"/>
              <w:rPr>
                <w:rFonts w:hint="default" w:cs="宋体"/>
                <w:color w:val="auto"/>
                <w:kern w:val="2"/>
                <w:szCs w:val="21"/>
                <w:highlight w:val="none"/>
                <w:lang w:val="en-US" w:eastAsia="zh-CN"/>
              </w:rPr>
            </w:pPr>
            <w:r>
              <w:rPr>
                <w:rFonts w:hint="default" w:cs="宋体"/>
                <w:color w:val="auto"/>
                <w:kern w:val="2"/>
                <w:szCs w:val="21"/>
                <w:highlight w:val="none"/>
                <w:lang w:val="en-US" w:eastAsia="zh-CN"/>
              </w:rPr>
              <w:t>1</w:t>
            </w:r>
          </w:p>
        </w:tc>
        <w:tc>
          <w:tcPr>
            <w:tcW w:w="470" w:type="pct"/>
            <w:vAlign w:val="center"/>
          </w:tcPr>
          <w:p w14:paraId="6F1EFCA5">
            <w:pPr>
              <w:widowControl w:val="0"/>
              <w:adjustRightInd/>
              <w:snapToGrid/>
              <w:spacing w:beforeLines="-2147483648" w:afterLines="-2147483648" w:line="240" w:lineRule="auto"/>
              <w:jc w:val="both"/>
              <w:rPr>
                <w:rFonts w:cs="宋体"/>
                <w:color w:val="auto"/>
                <w:kern w:val="2"/>
                <w:szCs w:val="21"/>
                <w:highlight w:val="none"/>
                <w:lang w:eastAsia="zh-CN"/>
              </w:rPr>
            </w:pPr>
          </w:p>
        </w:tc>
        <w:tc>
          <w:tcPr>
            <w:tcW w:w="562" w:type="pct"/>
            <w:vAlign w:val="center"/>
          </w:tcPr>
          <w:p w14:paraId="5694BED6">
            <w:pPr>
              <w:widowControl w:val="0"/>
              <w:adjustRightInd w:val="0"/>
              <w:snapToGrid w:val="0"/>
              <w:spacing w:beforeLines="50" w:afterLines="50" w:line="276" w:lineRule="auto"/>
              <w:jc w:val="center"/>
              <w:rPr>
                <w:rFonts w:cs="Times New Roman"/>
                <w:color w:val="auto"/>
                <w:kern w:val="2"/>
                <w:szCs w:val="21"/>
                <w:highlight w:val="none"/>
                <w:lang w:eastAsia="zh-CN"/>
              </w:rPr>
            </w:pPr>
          </w:p>
        </w:tc>
        <w:tc>
          <w:tcPr>
            <w:tcW w:w="711" w:type="pct"/>
            <w:vAlign w:val="center"/>
          </w:tcPr>
          <w:p w14:paraId="794C2F69">
            <w:pPr>
              <w:pStyle w:val="185"/>
              <w:rPr>
                <w:rFonts w:hAnsi="宋体" w:eastAsia="宋体"/>
                <w:color w:val="auto"/>
                <w:kern w:val="2"/>
                <w:sz w:val="21"/>
                <w:szCs w:val="21"/>
                <w:highlight w:val="none"/>
              </w:rPr>
            </w:pPr>
          </w:p>
        </w:tc>
      </w:tr>
      <w:tr w14:paraId="4EB4A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9" w:type="pct"/>
            <w:vAlign w:val="center"/>
          </w:tcPr>
          <w:p w14:paraId="512F6B39">
            <w:pPr>
              <w:widowControl w:val="0"/>
              <w:spacing w:before="0" w:after="0" w:line="240" w:lineRule="auto"/>
              <w:ind w:firstLine="0" w:firstLineChars="0"/>
              <w:jc w:val="both"/>
              <w:rPr>
                <w:rFonts w:hint="default" w:cs="宋体"/>
                <w:color w:val="auto"/>
                <w:kern w:val="2"/>
                <w:sz w:val="21"/>
                <w:szCs w:val="21"/>
                <w:highlight w:val="none"/>
                <w:lang w:val="en-US" w:eastAsia="zh-CN"/>
              </w:rPr>
            </w:pPr>
            <w:r>
              <w:rPr>
                <w:rFonts w:hint="eastAsia" w:cs="宋体"/>
                <w:color w:val="auto"/>
                <w:kern w:val="2"/>
                <w:sz w:val="21"/>
                <w:szCs w:val="21"/>
                <w:highlight w:val="none"/>
                <w:lang w:val="en-US" w:eastAsia="zh-CN"/>
              </w:rPr>
              <w:t>2.3</w:t>
            </w:r>
          </w:p>
        </w:tc>
        <w:tc>
          <w:tcPr>
            <w:tcW w:w="1079" w:type="pct"/>
            <w:vAlign w:val="center"/>
          </w:tcPr>
          <w:p w14:paraId="31632822">
            <w:pPr>
              <w:widowControl w:val="0"/>
              <w:spacing w:before="0" w:after="0" w:line="240" w:lineRule="auto"/>
              <w:ind w:firstLine="0" w:firstLineChars="0"/>
              <w:jc w:val="both"/>
              <w:rPr>
                <w:rFonts w:cs="宋体"/>
                <w:color w:val="auto"/>
                <w:kern w:val="2"/>
                <w:sz w:val="21"/>
                <w:szCs w:val="21"/>
                <w:highlight w:val="none"/>
                <w:lang w:eastAsia="zh-CN"/>
              </w:rPr>
            </w:pPr>
            <w:r>
              <w:rPr>
                <w:rFonts w:hint="eastAsia" w:cs="宋体"/>
                <w:color w:val="auto"/>
                <w:kern w:val="2"/>
                <w:sz w:val="21"/>
                <w:szCs w:val="21"/>
                <w:highlight w:val="none"/>
                <w:lang w:eastAsia="zh-CN"/>
              </w:rPr>
              <w:t>柜体及附件</w:t>
            </w:r>
          </w:p>
        </w:tc>
        <w:tc>
          <w:tcPr>
            <w:tcW w:w="1340" w:type="pct"/>
            <w:vAlign w:val="center"/>
          </w:tcPr>
          <w:p w14:paraId="67F9BA52">
            <w:pPr>
              <w:widowControl w:val="0"/>
              <w:spacing w:before="0" w:after="0" w:line="240" w:lineRule="auto"/>
              <w:ind w:firstLine="0" w:firstLineChars="0"/>
              <w:jc w:val="both"/>
              <w:rPr>
                <w:rFonts w:hint="default" w:cs="宋体"/>
                <w:color w:val="auto"/>
                <w:kern w:val="2"/>
                <w:sz w:val="21"/>
                <w:szCs w:val="21"/>
                <w:highlight w:val="none"/>
                <w:lang w:eastAsia="zh-CN"/>
              </w:rPr>
            </w:pPr>
            <w:r>
              <w:rPr>
                <w:rFonts w:hint="default" w:cs="宋体"/>
                <w:color w:val="auto"/>
                <w:kern w:val="2"/>
                <w:sz w:val="21"/>
                <w:szCs w:val="21"/>
                <w:highlight w:val="none"/>
                <w:lang w:eastAsia="zh-CN"/>
              </w:rPr>
              <w:t>光缆长度按100米计算</w:t>
            </w:r>
          </w:p>
        </w:tc>
        <w:tc>
          <w:tcPr>
            <w:tcW w:w="267" w:type="pct"/>
            <w:vAlign w:val="center"/>
          </w:tcPr>
          <w:p w14:paraId="53884A1E">
            <w:pPr>
              <w:widowControl w:val="0"/>
              <w:spacing w:before="0" w:after="0" w:line="240" w:lineRule="auto"/>
              <w:ind w:firstLine="0" w:firstLineChars="0"/>
              <w:jc w:val="both"/>
              <w:rPr>
                <w:rFonts w:hint="default" w:cs="宋体"/>
                <w:color w:val="auto"/>
                <w:kern w:val="2"/>
                <w:szCs w:val="21"/>
                <w:highlight w:val="none"/>
                <w:lang w:eastAsia="zh-CN"/>
              </w:rPr>
            </w:pPr>
            <w:r>
              <w:rPr>
                <w:rFonts w:hint="eastAsia" w:cs="宋体"/>
                <w:color w:val="auto"/>
                <w:kern w:val="2"/>
                <w:sz w:val="21"/>
                <w:szCs w:val="21"/>
                <w:highlight w:val="none"/>
                <w:lang w:eastAsia="zh-CN"/>
              </w:rPr>
              <w:t>面</w:t>
            </w:r>
          </w:p>
        </w:tc>
        <w:tc>
          <w:tcPr>
            <w:tcW w:w="268" w:type="pct"/>
            <w:vAlign w:val="center"/>
          </w:tcPr>
          <w:p w14:paraId="39E20CAB">
            <w:pPr>
              <w:widowControl w:val="0"/>
              <w:spacing w:before="0" w:after="0" w:line="240" w:lineRule="auto"/>
              <w:ind w:firstLine="0" w:firstLineChars="0"/>
              <w:jc w:val="both"/>
              <w:rPr>
                <w:rFonts w:hint="default" w:cs="宋体"/>
                <w:color w:val="auto"/>
                <w:kern w:val="2"/>
                <w:szCs w:val="21"/>
                <w:highlight w:val="none"/>
                <w:lang w:val="en-US" w:eastAsia="zh-CN"/>
              </w:rPr>
            </w:pPr>
            <w:r>
              <w:rPr>
                <w:rFonts w:hint="eastAsia" w:cs="宋体"/>
                <w:color w:val="auto"/>
                <w:kern w:val="2"/>
                <w:sz w:val="21"/>
                <w:szCs w:val="21"/>
                <w:highlight w:val="none"/>
                <w:lang w:val="en-US" w:eastAsia="zh-CN"/>
              </w:rPr>
              <w:t>1</w:t>
            </w:r>
          </w:p>
        </w:tc>
        <w:tc>
          <w:tcPr>
            <w:tcW w:w="470" w:type="pct"/>
            <w:vAlign w:val="center"/>
          </w:tcPr>
          <w:p w14:paraId="71FA13D6">
            <w:pPr>
              <w:widowControl w:val="0"/>
              <w:adjustRightInd/>
              <w:snapToGrid/>
              <w:spacing w:beforeLines="-2147483648" w:afterLines="-2147483648" w:line="240" w:lineRule="auto"/>
              <w:jc w:val="both"/>
              <w:rPr>
                <w:rFonts w:cs="宋体"/>
                <w:color w:val="auto"/>
                <w:kern w:val="2"/>
                <w:szCs w:val="21"/>
                <w:highlight w:val="none"/>
                <w:lang w:eastAsia="zh-CN"/>
              </w:rPr>
            </w:pPr>
          </w:p>
        </w:tc>
        <w:tc>
          <w:tcPr>
            <w:tcW w:w="562" w:type="pct"/>
            <w:vAlign w:val="center"/>
          </w:tcPr>
          <w:p w14:paraId="148C1D2E">
            <w:pPr>
              <w:widowControl w:val="0"/>
              <w:adjustRightInd w:val="0"/>
              <w:snapToGrid w:val="0"/>
              <w:spacing w:beforeLines="50" w:afterLines="50" w:line="276" w:lineRule="auto"/>
              <w:jc w:val="center"/>
              <w:rPr>
                <w:rFonts w:cs="Times New Roman"/>
                <w:color w:val="auto"/>
                <w:kern w:val="2"/>
                <w:szCs w:val="21"/>
                <w:highlight w:val="none"/>
                <w:lang w:eastAsia="zh-CN"/>
              </w:rPr>
            </w:pPr>
          </w:p>
        </w:tc>
        <w:tc>
          <w:tcPr>
            <w:tcW w:w="711" w:type="pct"/>
            <w:vAlign w:val="center"/>
          </w:tcPr>
          <w:p w14:paraId="0066D4A3">
            <w:pPr>
              <w:pStyle w:val="185"/>
              <w:rPr>
                <w:rFonts w:hAnsi="宋体" w:eastAsia="宋体"/>
                <w:color w:val="auto"/>
                <w:kern w:val="2"/>
                <w:sz w:val="21"/>
                <w:szCs w:val="21"/>
                <w:highlight w:val="none"/>
              </w:rPr>
            </w:pPr>
          </w:p>
        </w:tc>
      </w:tr>
      <w:tr w14:paraId="0A2F0C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9" w:type="pct"/>
            <w:vAlign w:val="center"/>
          </w:tcPr>
          <w:p w14:paraId="0441F7A8">
            <w:pPr>
              <w:widowControl w:val="0"/>
              <w:spacing w:before="0" w:after="0" w:line="240" w:lineRule="auto"/>
              <w:ind w:firstLine="0" w:firstLineChars="0"/>
              <w:jc w:val="both"/>
              <w:rPr>
                <w:rFonts w:hint="default" w:cs="宋体"/>
                <w:color w:val="auto"/>
                <w:kern w:val="2"/>
                <w:sz w:val="21"/>
                <w:szCs w:val="21"/>
                <w:highlight w:val="none"/>
                <w:lang w:val="en-US" w:eastAsia="zh-CN"/>
              </w:rPr>
            </w:pPr>
            <w:r>
              <w:rPr>
                <w:rFonts w:hint="eastAsia" w:cs="宋体"/>
                <w:color w:val="auto"/>
                <w:kern w:val="2"/>
                <w:sz w:val="21"/>
                <w:szCs w:val="21"/>
                <w:highlight w:val="none"/>
                <w:lang w:val="en-US" w:eastAsia="zh-CN"/>
              </w:rPr>
              <w:t>3</w:t>
            </w:r>
          </w:p>
        </w:tc>
        <w:tc>
          <w:tcPr>
            <w:tcW w:w="4700" w:type="pct"/>
            <w:gridSpan w:val="7"/>
            <w:vAlign w:val="center"/>
          </w:tcPr>
          <w:p w14:paraId="4EA60066">
            <w:pPr>
              <w:spacing w:after="0" w:line="240" w:lineRule="auto"/>
              <w:jc w:val="both"/>
              <w:rPr>
                <w:rFonts w:hint="default" w:hAnsi="宋体" w:eastAsia="宋体" w:cs="宋体"/>
                <w:color w:val="auto"/>
                <w:kern w:val="2"/>
                <w:sz w:val="21"/>
                <w:szCs w:val="21"/>
                <w:highlight w:val="none"/>
                <w:lang w:eastAsia="zh-CN"/>
              </w:rPr>
            </w:pPr>
            <w:r>
              <w:rPr>
                <w:rFonts w:hint="eastAsia" w:cs="宋体"/>
                <w:color w:val="auto"/>
                <w:kern w:val="2"/>
                <w:sz w:val="21"/>
                <w:szCs w:val="21"/>
                <w:highlight w:val="none"/>
                <w:lang w:eastAsia="zh-CN"/>
              </w:rPr>
              <w:t>机组侧宽频测量采集屏</w:t>
            </w:r>
            <w:r>
              <w:rPr>
                <w:rFonts w:hint="eastAsia" w:cs="宋体"/>
                <w:color w:val="auto"/>
                <w:kern w:val="2"/>
                <w:sz w:val="21"/>
                <w:szCs w:val="21"/>
                <w:highlight w:val="none"/>
                <w:lang w:val="en-US" w:eastAsia="zh-CN"/>
              </w:rPr>
              <w:t>2面，每面柜含：</w:t>
            </w:r>
          </w:p>
        </w:tc>
      </w:tr>
      <w:tr w14:paraId="346DD0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9" w:type="pct"/>
            <w:vAlign w:val="center"/>
          </w:tcPr>
          <w:p w14:paraId="787A2034">
            <w:pPr>
              <w:widowControl w:val="0"/>
              <w:spacing w:before="0" w:after="0" w:line="240" w:lineRule="auto"/>
              <w:ind w:firstLine="0" w:firstLineChars="0"/>
              <w:jc w:val="both"/>
              <w:rPr>
                <w:rFonts w:hint="default" w:cs="宋体"/>
                <w:color w:val="auto"/>
                <w:kern w:val="2"/>
                <w:sz w:val="21"/>
                <w:szCs w:val="21"/>
                <w:highlight w:val="none"/>
                <w:lang w:val="en-US" w:eastAsia="zh-CN"/>
              </w:rPr>
            </w:pPr>
            <w:r>
              <w:rPr>
                <w:rFonts w:hint="eastAsia" w:cs="宋体"/>
                <w:color w:val="auto"/>
                <w:kern w:val="2"/>
                <w:sz w:val="21"/>
                <w:szCs w:val="21"/>
                <w:highlight w:val="none"/>
                <w:lang w:val="en-US" w:eastAsia="zh-CN"/>
              </w:rPr>
              <w:t>3.1</w:t>
            </w:r>
          </w:p>
        </w:tc>
        <w:tc>
          <w:tcPr>
            <w:tcW w:w="1079" w:type="pct"/>
            <w:vAlign w:val="center"/>
          </w:tcPr>
          <w:p w14:paraId="58BCD3F6">
            <w:pPr>
              <w:widowControl w:val="0"/>
              <w:spacing w:before="0" w:after="0" w:line="240" w:lineRule="auto"/>
              <w:ind w:firstLine="0" w:firstLineChars="0"/>
              <w:jc w:val="both"/>
              <w:rPr>
                <w:rFonts w:hint="eastAsia" w:cs="宋体"/>
                <w:color w:val="auto"/>
                <w:kern w:val="2"/>
                <w:sz w:val="21"/>
                <w:szCs w:val="21"/>
                <w:highlight w:val="none"/>
                <w:lang w:eastAsia="zh-CN"/>
              </w:rPr>
            </w:pPr>
            <w:r>
              <w:rPr>
                <w:rFonts w:hint="default" w:cs="宋体"/>
                <w:color w:val="auto"/>
                <w:kern w:val="2"/>
                <w:sz w:val="21"/>
                <w:szCs w:val="21"/>
                <w:highlight w:val="none"/>
                <w:lang w:eastAsia="zh-CN"/>
              </w:rPr>
              <w:t>宽频</w:t>
            </w:r>
            <w:r>
              <w:rPr>
                <w:rFonts w:cs="宋体"/>
                <w:color w:val="auto"/>
                <w:kern w:val="2"/>
                <w:sz w:val="21"/>
                <w:szCs w:val="21"/>
                <w:highlight w:val="none"/>
                <w:lang w:eastAsia="zh-CN"/>
              </w:rPr>
              <w:t>测量单元</w:t>
            </w:r>
          </w:p>
        </w:tc>
        <w:tc>
          <w:tcPr>
            <w:tcW w:w="1340" w:type="pct"/>
            <w:vAlign w:val="center"/>
          </w:tcPr>
          <w:p w14:paraId="6033C743">
            <w:pPr>
              <w:widowControl w:val="0"/>
              <w:spacing w:before="0" w:after="0" w:line="240" w:lineRule="auto"/>
              <w:ind w:firstLine="0" w:firstLineChars="0"/>
              <w:jc w:val="both"/>
              <w:rPr>
                <w:rFonts w:hint="default" w:cs="宋体"/>
                <w:color w:val="auto"/>
                <w:kern w:val="2"/>
                <w:sz w:val="21"/>
                <w:szCs w:val="21"/>
                <w:highlight w:val="none"/>
                <w:lang w:eastAsia="zh-CN"/>
              </w:rPr>
            </w:pPr>
            <w:r>
              <w:rPr>
                <w:rFonts w:hint="eastAsia" w:cs="宋体"/>
                <w:color w:val="auto"/>
                <w:kern w:val="2"/>
                <w:sz w:val="21"/>
                <w:szCs w:val="21"/>
                <w:highlight w:val="none"/>
                <w:lang w:eastAsia="zh-CN"/>
              </w:rPr>
              <w:t>测量发电机机端三相电压、电流及其励磁电压、电流和转子转速（信号类型4~20mA），预留22路开关量，</w:t>
            </w:r>
            <w:r>
              <w:rPr>
                <w:rFonts w:hint="eastAsia" w:ascii="宋体" w:hAnsi="宋体" w:cs="宋体"/>
                <w:color w:val="auto"/>
                <w:kern w:val="2"/>
                <w:sz w:val="21"/>
                <w:szCs w:val="21"/>
                <w:highlight w:val="none"/>
                <w:lang w:eastAsia="zh-CN"/>
              </w:rPr>
              <w:t>含键相脉冲接入。</w:t>
            </w:r>
          </w:p>
        </w:tc>
        <w:tc>
          <w:tcPr>
            <w:tcW w:w="267" w:type="pct"/>
            <w:vAlign w:val="center"/>
          </w:tcPr>
          <w:p w14:paraId="044A6C24">
            <w:pPr>
              <w:widowControl w:val="0"/>
              <w:spacing w:before="0" w:after="0" w:line="240" w:lineRule="auto"/>
              <w:ind w:firstLine="0" w:firstLineChars="0"/>
              <w:jc w:val="both"/>
              <w:rPr>
                <w:rFonts w:hint="eastAsia" w:cs="宋体"/>
                <w:color w:val="auto"/>
                <w:kern w:val="2"/>
                <w:sz w:val="21"/>
                <w:szCs w:val="21"/>
                <w:highlight w:val="none"/>
                <w:lang w:eastAsia="zh-CN"/>
              </w:rPr>
            </w:pPr>
            <w:r>
              <w:rPr>
                <w:rFonts w:hint="eastAsia" w:cs="宋体"/>
                <w:color w:val="auto"/>
                <w:kern w:val="2"/>
                <w:szCs w:val="21"/>
                <w:highlight w:val="none"/>
                <w:lang w:eastAsia="zh-CN"/>
              </w:rPr>
              <w:t>台</w:t>
            </w:r>
          </w:p>
        </w:tc>
        <w:tc>
          <w:tcPr>
            <w:tcW w:w="268" w:type="pct"/>
            <w:vAlign w:val="center"/>
          </w:tcPr>
          <w:p w14:paraId="1BC3D431">
            <w:pPr>
              <w:widowControl w:val="0"/>
              <w:spacing w:before="0" w:after="0" w:line="240" w:lineRule="auto"/>
              <w:ind w:firstLine="0" w:firstLineChars="0"/>
              <w:jc w:val="both"/>
              <w:rPr>
                <w:rFonts w:hint="default" w:cs="宋体"/>
                <w:color w:val="auto"/>
                <w:kern w:val="2"/>
                <w:sz w:val="21"/>
                <w:szCs w:val="21"/>
                <w:highlight w:val="none"/>
                <w:lang w:val="en-US" w:eastAsia="zh-CN"/>
              </w:rPr>
            </w:pPr>
            <w:r>
              <w:rPr>
                <w:rFonts w:hint="eastAsia" w:cs="宋体"/>
                <w:color w:val="auto"/>
                <w:kern w:val="2"/>
                <w:szCs w:val="21"/>
                <w:highlight w:val="none"/>
                <w:lang w:val="en-US" w:eastAsia="zh-CN"/>
              </w:rPr>
              <w:t>1</w:t>
            </w:r>
          </w:p>
        </w:tc>
        <w:tc>
          <w:tcPr>
            <w:tcW w:w="470" w:type="pct"/>
            <w:vAlign w:val="center"/>
          </w:tcPr>
          <w:p w14:paraId="5EAB3D33">
            <w:pPr>
              <w:widowControl w:val="0"/>
              <w:adjustRightInd/>
              <w:snapToGrid/>
              <w:spacing w:beforeLines="-2147483648" w:afterLines="-2147483648" w:line="240" w:lineRule="auto"/>
              <w:jc w:val="both"/>
              <w:rPr>
                <w:rFonts w:cs="宋体"/>
                <w:color w:val="auto"/>
                <w:kern w:val="2"/>
                <w:szCs w:val="21"/>
                <w:highlight w:val="none"/>
                <w:lang w:eastAsia="zh-CN"/>
              </w:rPr>
            </w:pPr>
          </w:p>
        </w:tc>
        <w:tc>
          <w:tcPr>
            <w:tcW w:w="562" w:type="pct"/>
            <w:vAlign w:val="center"/>
          </w:tcPr>
          <w:p w14:paraId="1F2E0249">
            <w:pPr>
              <w:widowControl w:val="0"/>
              <w:adjustRightInd w:val="0"/>
              <w:snapToGrid w:val="0"/>
              <w:spacing w:beforeLines="50" w:afterLines="50" w:line="276" w:lineRule="auto"/>
              <w:jc w:val="center"/>
              <w:rPr>
                <w:rFonts w:cs="Times New Roman"/>
                <w:color w:val="auto"/>
                <w:kern w:val="2"/>
                <w:szCs w:val="21"/>
                <w:highlight w:val="none"/>
                <w:lang w:eastAsia="zh-CN"/>
              </w:rPr>
            </w:pPr>
          </w:p>
        </w:tc>
        <w:tc>
          <w:tcPr>
            <w:tcW w:w="711" w:type="pct"/>
            <w:vAlign w:val="center"/>
          </w:tcPr>
          <w:p w14:paraId="6F1D1009">
            <w:pPr>
              <w:pStyle w:val="185"/>
              <w:rPr>
                <w:rFonts w:hAnsi="宋体" w:eastAsia="宋体"/>
                <w:color w:val="auto"/>
                <w:kern w:val="2"/>
                <w:sz w:val="21"/>
                <w:szCs w:val="21"/>
                <w:highlight w:val="none"/>
              </w:rPr>
            </w:pPr>
          </w:p>
        </w:tc>
      </w:tr>
      <w:tr w14:paraId="4E3322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9" w:type="pct"/>
            <w:vAlign w:val="center"/>
          </w:tcPr>
          <w:p w14:paraId="553D35C3">
            <w:pPr>
              <w:widowControl w:val="0"/>
              <w:spacing w:before="0" w:after="0" w:line="240" w:lineRule="auto"/>
              <w:ind w:firstLine="0" w:firstLineChars="0"/>
              <w:jc w:val="both"/>
              <w:rPr>
                <w:rFonts w:hint="default" w:cs="宋体"/>
                <w:color w:val="auto"/>
                <w:kern w:val="2"/>
                <w:sz w:val="21"/>
                <w:szCs w:val="21"/>
                <w:highlight w:val="none"/>
                <w:lang w:val="en-US" w:eastAsia="zh-CN"/>
              </w:rPr>
            </w:pPr>
            <w:r>
              <w:rPr>
                <w:rFonts w:hint="eastAsia" w:cs="宋体"/>
                <w:color w:val="auto"/>
                <w:kern w:val="2"/>
                <w:sz w:val="21"/>
                <w:szCs w:val="21"/>
                <w:highlight w:val="none"/>
                <w:lang w:val="en-US" w:eastAsia="zh-CN"/>
              </w:rPr>
              <w:t>3.2</w:t>
            </w:r>
          </w:p>
        </w:tc>
        <w:tc>
          <w:tcPr>
            <w:tcW w:w="1079" w:type="pct"/>
            <w:vAlign w:val="center"/>
          </w:tcPr>
          <w:p w14:paraId="59F85755">
            <w:pPr>
              <w:widowControl w:val="0"/>
              <w:spacing w:before="0" w:after="0" w:line="240" w:lineRule="auto"/>
              <w:ind w:firstLine="0" w:firstLineChars="0"/>
              <w:jc w:val="both"/>
              <w:rPr>
                <w:rFonts w:hint="default" w:cs="宋体"/>
                <w:color w:val="auto"/>
                <w:kern w:val="2"/>
                <w:sz w:val="21"/>
                <w:szCs w:val="21"/>
                <w:highlight w:val="none"/>
                <w:lang w:eastAsia="zh-CN"/>
              </w:rPr>
            </w:pPr>
            <w:r>
              <w:rPr>
                <w:rFonts w:hint="eastAsia" w:cs="宋体"/>
                <w:color w:val="auto"/>
                <w:kern w:val="2"/>
                <w:sz w:val="21"/>
                <w:szCs w:val="21"/>
                <w:highlight w:val="none"/>
                <w:lang w:eastAsia="zh-CN"/>
              </w:rPr>
              <w:t>柜体及附件</w:t>
            </w:r>
          </w:p>
        </w:tc>
        <w:tc>
          <w:tcPr>
            <w:tcW w:w="1340" w:type="pct"/>
            <w:vAlign w:val="center"/>
          </w:tcPr>
          <w:p w14:paraId="34912503">
            <w:pPr>
              <w:widowControl w:val="0"/>
              <w:spacing w:before="0" w:after="0" w:line="240" w:lineRule="auto"/>
              <w:ind w:firstLine="0" w:firstLineChars="0"/>
              <w:jc w:val="both"/>
              <w:rPr>
                <w:rFonts w:hint="eastAsia" w:cs="宋体"/>
                <w:color w:val="auto"/>
                <w:kern w:val="2"/>
                <w:sz w:val="21"/>
                <w:szCs w:val="21"/>
                <w:highlight w:val="none"/>
                <w:lang w:eastAsia="zh-CN"/>
              </w:rPr>
            </w:pPr>
            <w:r>
              <w:rPr>
                <w:rFonts w:hint="default" w:cs="宋体"/>
                <w:color w:val="auto"/>
                <w:kern w:val="2"/>
                <w:sz w:val="21"/>
                <w:szCs w:val="21"/>
                <w:highlight w:val="none"/>
                <w:lang w:eastAsia="zh-CN"/>
              </w:rPr>
              <w:t>光缆长度按</w:t>
            </w:r>
            <w:r>
              <w:rPr>
                <w:rFonts w:hint="eastAsia" w:cs="宋体"/>
                <w:color w:val="auto"/>
                <w:kern w:val="2"/>
                <w:sz w:val="21"/>
                <w:szCs w:val="21"/>
                <w:highlight w:val="none"/>
                <w:lang w:val="en-US" w:eastAsia="zh-CN"/>
              </w:rPr>
              <w:t>4</w:t>
            </w:r>
            <w:r>
              <w:rPr>
                <w:rFonts w:hint="default" w:cs="宋体"/>
                <w:color w:val="auto"/>
                <w:kern w:val="2"/>
                <w:sz w:val="21"/>
                <w:szCs w:val="21"/>
                <w:highlight w:val="none"/>
                <w:lang w:eastAsia="zh-CN"/>
              </w:rPr>
              <w:t>00米计算</w:t>
            </w:r>
          </w:p>
        </w:tc>
        <w:tc>
          <w:tcPr>
            <w:tcW w:w="267" w:type="pct"/>
            <w:vAlign w:val="center"/>
          </w:tcPr>
          <w:p w14:paraId="28F5CC23">
            <w:pPr>
              <w:widowControl w:val="0"/>
              <w:spacing w:before="0" w:after="0" w:line="240" w:lineRule="auto"/>
              <w:ind w:firstLine="0" w:firstLineChars="0"/>
              <w:jc w:val="both"/>
              <w:rPr>
                <w:rFonts w:hint="eastAsia" w:cs="宋体"/>
                <w:color w:val="auto"/>
                <w:kern w:val="2"/>
                <w:szCs w:val="21"/>
                <w:highlight w:val="none"/>
                <w:lang w:eastAsia="zh-CN"/>
              </w:rPr>
            </w:pPr>
            <w:r>
              <w:rPr>
                <w:rFonts w:hint="eastAsia" w:cs="宋体"/>
                <w:color w:val="auto"/>
                <w:kern w:val="2"/>
                <w:sz w:val="21"/>
                <w:szCs w:val="21"/>
                <w:highlight w:val="none"/>
                <w:lang w:eastAsia="zh-CN"/>
              </w:rPr>
              <w:t>面</w:t>
            </w:r>
          </w:p>
        </w:tc>
        <w:tc>
          <w:tcPr>
            <w:tcW w:w="268" w:type="pct"/>
            <w:vAlign w:val="center"/>
          </w:tcPr>
          <w:p w14:paraId="24CE6A9B">
            <w:pPr>
              <w:widowControl w:val="0"/>
              <w:spacing w:before="0" w:after="0" w:line="240" w:lineRule="auto"/>
              <w:ind w:firstLine="0" w:firstLineChars="0"/>
              <w:jc w:val="both"/>
              <w:rPr>
                <w:rFonts w:hint="eastAsia" w:cs="宋体"/>
                <w:color w:val="auto"/>
                <w:kern w:val="2"/>
                <w:szCs w:val="21"/>
                <w:highlight w:val="none"/>
                <w:lang w:val="en-US" w:eastAsia="zh-CN"/>
              </w:rPr>
            </w:pPr>
            <w:r>
              <w:rPr>
                <w:rFonts w:hint="eastAsia" w:cs="宋体"/>
                <w:color w:val="auto"/>
                <w:kern w:val="2"/>
                <w:sz w:val="21"/>
                <w:szCs w:val="21"/>
                <w:highlight w:val="none"/>
                <w:lang w:val="en-US" w:eastAsia="zh-CN"/>
              </w:rPr>
              <w:t>1</w:t>
            </w:r>
          </w:p>
        </w:tc>
        <w:tc>
          <w:tcPr>
            <w:tcW w:w="470" w:type="pct"/>
            <w:vAlign w:val="center"/>
          </w:tcPr>
          <w:p w14:paraId="3F06E22D">
            <w:pPr>
              <w:widowControl w:val="0"/>
              <w:adjustRightInd/>
              <w:snapToGrid/>
              <w:spacing w:beforeLines="-2147483648" w:afterLines="-2147483648" w:line="240" w:lineRule="auto"/>
              <w:jc w:val="both"/>
              <w:rPr>
                <w:rFonts w:cs="宋体"/>
                <w:color w:val="auto"/>
                <w:kern w:val="2"/>
                <w:szCs w:val="21"/>
                <w:highlight w:val="none"/>
                <w:lang w:eastAsia="zh-CN"/>
              </w:rPr>
            </w:pPr>
          </w:p>
        </w:tc>
        <w:tc>
          <w:tcPr>
            <w:tcW w:w="562" w:type="pct"/>
            <w:vAlign w:val="center"/>
          </w:tcPr>
          <w:p w14:paraId="2CE1A34E">
            <w:pPr>
              <w:widowControl w:val="0"/>
              <w:adjustRightInd w:val="0"/>
              <w:snapToGrid w:val="0"/>
              <w:spacing w:beforeLines="50" w:afterLines="50" w:line="276" w:lineRule="auto"/>
              <w:jc w:val="center"/>
              <w:rPr>
                <w:rFonts w:cs="Times New Roman"/>
                <w:color w:val="auto"/>
                <w:kern w:val="2"/>
                <w:szCs w:val="21"/>
                <w:highlight w:val="none"/>
                <w:lang w:eastAsia="zh-CN"/>
              </w:rPr>
            </w:pPr>
          </w:p>
        </w:tc>
        <w:tc>
          <w:tcPr>
            <w:tcW w:w="711" w:type="pct"/>
            <w:vAlign w:val="center"/>
          </w:tcPr>
          <w:p w14:paraId="0897DDFE">
            <w:pPr>
              <w:pStyle w:val="185"/>
              <w:rPr>
                <w:rFonts w:hAnsi="宋体" w:eastAsia="宋体"/>
                <w:color w:val="auto"/>
                <w:kern w:val="2"/>
                <w:sz w:val="21"/>
                <w:szCs w:val="21"/>
                <w:highlight w:val="none"/>
              </w:rPr>
            </w:pPr>
          </w:p>
        </w:tc>
      </w:tr>
    </w:tbl>
    <w:p w14:paraId="780790A2">
      <w:pPr>
        <w:widowControl w:val="0"/>
        <w:tabs>
          <w:tab w:val="left" w:pos="525"/>
        </w:tabs>
        <w:snapToGrid w:val="0"/>
        <w:spacing w:after="200" w:line="360" w:lineRule="auto"/>
        <w:jc w:val="both"/>
        <w:rPr>
          <w:rFonts w:hint="eastAsia" w:cs="宋体"/>
          <w:color w:val="auto"/>
          <w:szCs w:val="21"/>
          <w:highlight w:val="none"/>
          <w:lang w:eastAsia="zh-CN"/>
        </w:rPr>
      </w:pPr>
      <w:r>
        <w:rPr>
          <w:rFonts w:hint="eastAsia" w:cs="宋体"/>
          <w:color w:val="auto"/>
          <w:szCs w:val="21"/>
          <w:highlight w:val="none"/>
          <w:lang w:eastAsia="zh-CN"/>
        </w:rPr>
        <w:t xml:space="preserve"> 注：以上每面屏投标人对组屏及配置进行详细说明。</w:t>
      </w:r>
    </w:p>
    <w:p w14:paraId="7BFC43F5">
      <w:pPr>
        <w:widowControl w:val="0"/>
        <w:tabs>
          <w:tab w:val="left" w:pos="525"/>
        </w:tabs>
        <w:snapToGrid w:val="0"/>
        <w:spacing w:after="200" w:line="360" w:lineRule="auto"/>
        <w:ind w:firstLine="420" w:firstLineChars="200"/>
        <w:jc w:val="both"/>
        <w:rPr>
          <w:color w:val="auto"/>
          <w:sz w:val="24"/>
          <w:szCs w:val="24"/>
          <w:highlight w:val="none"/>
          <w:lang w:eastAsia="zh-CN"/>
        </w:rPr>
      </w:pPr>
      <w:r>
        <w:rPr>
          <w:rFonts w:hint="eastAsia" w:ascii="宋体" w:hAnsi="宋体" w:eastAsia="宋体" w:cs="宋体"/>
          <w:color w:val="auto"/>
          <w:highlight w:val="none"/>
        </w:rPr>
        <w:t>投标人</w:t>
      </w:r>
      <w:r>
        <w:rPr>
          <w:rFonts w:hint="eastAsia"/>
          <w:color w:val="auto"/>
          <w:highlight w:val="none"/>
        </w:rPr>
        <w:t>负责设备间</w:t>
      </w:r>
      <w:r>
        <w:rPr>
          <w:color w:val="auto"/>
          <w:highlight w:val="none"/>
        </w:rPr>
        <w:t>的</w:t>
      </w:r>
      <w:r>
        <w:rPr>
          <w:rFonts w:hint="eastAsia"/>
          <w:color w:val="auto"/>
          <w:highlight w:val="none"/>
        </w:rPr>
        <w:t>电缆</w:t>
      </w:r>
      <w:r>
        <w:rPr>
          <w:color w:val="auto"/>
          <w:highlight w:val="none"/>
        </w:rPr>
        <w:t>及</w:t>
      </w:r>
      <w:r>
        <w:rPr>
          <w:rFonts w:hint="eastAsia"/>
          <w:color w:val="auto"/>
          <w:highlight w:val="none"/>
        </w:rPr>
        <w:t>光缆、交换机的</w:t>
      </w:r>
      <w:r>
        <w:rPr>
          <w:color w:val="auto"/>
          <w:highlight w:val="none"/>
        </w:rPr>
        <w:t>供货</w:t>
      </w:r>
      <w:r>
        <w:rPr>
          <w:rFonts w:hint="eastAsia"/>
          <w:color w:val="auto"/>
          <w:highlight w:val="none"/>
        </w:rPr>
        <w:t>，</w:t>
      </w:r>
      <w:r>
        <w:rPr>
          <w:color w:val="auto"/>
          <w:highlight w:val="none"/>
        </w:rPr>
        <w:t>并承担其敷设连接</w:t>
      </w:r>
      <w:r>
        <w:rPr>
          <w:rFonts w:hint="eastAsia"/>
          <w:color w:val="auto"/>
          <w:highlight w:val="none"/>
        </w:rPr>
        <w:t>、光缆的熔接等</w:t>
      </w:r>
      <w:r>
        <w:rPr>
          <w:color w:val="auto"/>
          <w:highlight w:val="none"/>
        </w:rPr>
        <w:t>所需的</w:t>
      </w:r>
      <w:r>
        <w:rPr>
          <w:rFonts w:hint="eastAsia"/>
          <w:color w:val="auto"/>
          <w:highlight w:val="none"/>
        </w:rPr>
        <w:t>费用；承担与厂站</w:t>
      </w:r>
      <w:r>
        <w:rPr>
          <w:rFonts w:hint="eastAsia"/>
          <w:color w:val="auto"/>
          <w:highlight w:val="none"/>
          <w:lang w:val="en-US" w:eastAsia="zh-CN"/>
        </w:rPr>
        <w:t>其它</w:t>
      </w:r>
      <w:r>
        <w:rPr>
          <w:rFonts w:hint="eastAsia"/>
          <w:color w:val="auto"/>
          <w:highlight w:val="none"/>
        </w:rPr>
        <w:t>设备连接需要的配合费用</w:t>
      </w:r>
      <w:r>
        <w:rPr>
          <w:color w:val="auto"/>
          <w:highlight w:val="none"/>
        </w:rPr>
        <w:t>。</w:t>
      </w:r>
    </w:p>
    <w:p w14:paraId="1539EF52">
      <w:pPr>
        <w:widowControl w:val="0"/>
        <w:tabs>
          <w:tab w:val="left" w:pos="600"/>
        </w:tabs>
        <w:adjustRightInd w:val="0"/>
        <w:snapToGrid w:val="0"/>
        <w:spacing w:after="0" w:line="360" w:lineRule="auto"/>
        <w:ind w:firstLine="480" w:firstLineChars="200"/>
        <w:rPr>
          <w:rFonts w:cs="Times New Roman"/>
          <w:color w:val="auto"/>
          <w:kern w:val="2"/>
          <w:sz w:val="24"/>
          <w:szCs w:val="24"/>
          <w:highlight w:val="none"/>
          <w:lang w:eastAsia="zh-CN"/>
        </w:rPr>
      </w:pPr>
      <w:r>
        <w:rPr>
          <w:rFonts w:hint="eastAsia" w:cs="Times New Roman"/>
          <w:color w:val="auto"/>
          <w:kern w:val="2"/>
          <w:sz w:val="24"/>
          <w:szCs w:val="24"/>
          <w:highlight w:val="none"/>
          <w:lang w:eastAsia="zh-CN"/>
        </w:rPr>
        <w:t>2.2 备品备件</w:t>
      </w:r>
    </w:p>
    <w:p w14:paraId="6B2DEAF8">
      <w:pPr>
        <w:widowControl w:val="0"/>
        <w:tabs>
          <w:tab w:val="left" w:pos="600"/>
        </w:tabs>
        <w:adjustRightInd w:val="0"/>
        <w:snapToGrid w:val="0"/>
        <w:spacing w:after="0" w:line="360" w:lineRule="auto"/>
        <w:ind w:firstLine="480" w:firstLineChars="200"/>
        <w:rPr>
          <w:rFonts w:cs="Times New Roman"/>
          <w:color w:val="auto"/>
          <w:kern w:val="2"/>
          <w:sz w:val="24"/>
          <w:szCs w:val="24"/>
          <w:highlight w:val="none"/>
          <w:lang w:eastAsia="zh-CN"/>
        </w:rPr>
      </w:pPr>
      <w:r>
        <w:rPr>
          <w:rFonts w:hint="eastAsia" w:cs="Times New Roman"/>
          <w:color w:val="auto"/>
          <w:kern w:val="2"/>
          <w:sz w:val="24"/>
          <w:szCs w:val="24"/>
          <w:highlight w:val="none"/>
          <w:lang w:eastAsia="zh-CN"/>
        </w:rPr>
        <w:t>2.2.1 随机备品备件</w:t>
      </w:r>
    </w:p>
    <w:p w14:paraId="50F4CD31">
      <w:pPr>
        <w:widowControl w:val="0"/>
        <w:tabs>
          <w:tab w:val="left" w:pos="600"/>
        </w:tabs>
        <w:adjustRightInd w:val="0"/>
        <w:snapToGrid w:val="0"/>
        <w:spacing w:after="200" w:line="360" w:lineRule="auto"/>
        <w:jc w:val="center"/>
        <w:rPr>
          <w:rFonts w:cs="Times New Roman"/>
          <w:color w:val="auto"/>
          <w:kern w:val="2"/>
          <w:szCs w:val="21"/>
          <w:highlight w:val="none"/>
          <w:lang w:eastAsia="zh-CN"/>
        </w:rPr>
      </w:pPr>
      <w:r>
        <w:rPr>
          <w:rFonts w:hint="eastAsia" w:cs="Times New Roman"/>
          <w:color w:val="auto"/>
          <w:kern w:val="2"/>
          <w:szCs w:val="21"/>
          <w:highlight w:val="none"/>
          <w:lang w:eastAsia="zh-CN"/>
        </w:rPr>
        <w:t>附表2A 招标人要求的随机备品备件表</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715"/>
        <w:gridCol w:w="1867"/>
        <w:gridCol w:w="1324"/>
        <w:gridCol w:w="704"/>
        <w:gridCol w:w="704"/>
        <w:gridCol w:w="1162"/>
        <w:gridCol w:w="712"/>
        <w:gridCol w:w="775"/>
        <w:gridCol w:w="742"/>
      </w:tblGrid>
      <w:tr w14:paraId="70E2FF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1" w:hRule="atLeast"/>
          <w:jc w:val="center"/>
        </w:trPr>
        <w:tc>
          <w:tcPr>
            <w:tcW w:w="411" w:type="pct"/>
            <w:tcMar>
              <w:top w:w="15" w:type="dxa"/>
              <w:left w:w="15" w:type="dxa"/>
              <w:bottom w:w="0" w:type="dxa"/>
              <w:right w:w="15" w:type="dxa"/>
            </w:tcMar>
            <w:vAlign w:val="center"/>
          </w:tcPr>
          <w:p w14:paraId="41253499">
            <w:pPr>
              <w:widowControl w:val="0"/>
              <w:adjustRightInd w:val="0"/>
              <w:snapToGrid w:val="0"/>
              <w:spacing w:beforeLines="50" w:afterLines="50" w:line="276" w:lineRule="auto"/>
              <w:jc w:val="center"/>
              <w:rPr>
                <w:rFonts w:cs="Times New Roman"/>
                <w:color w:val="auto"/>
                <w:kern w:val="2"/>
                <w:szCs w:val="21"/>
                <w:highlight w:val="none"/>
                <w:lang w:eastAsia="zh-CN"/>
              </w:rPr>
            </w:pPr>
            <w:r>
              <w:rPr>
                <w:rFonts w:hint="eastAsia" w:cs="Times New Roman"/>
                <w:color w:val="auto"/>
                <w:kern w:val="2"/>
                <w:szCs w:val="21"/>
                <w:highlight w:val="none"/>
                <w:lang w:eastAsia="zh-CN"/>
              </w:rPr>
              <w:t>序号</w:t>
            </w:r>
          </w:p>
        </w:tc>
        <w:tc>
          <w:tcPr>
            <w:tcW w:w="1072" w:type="pct"/>
            <w:tcMar>
              <w:top w:w="15" w:type="dxa"/>
              <w:left w:w="15" w:type="dxa"/>
              <w:bottom w:w="0" w:type="dxa"/>
              <w:right w:w="15" w:type="dxa"/>
            </w:tcMar>
            <w:vAlign w:val="center"/>
          </w:tcPr>
          <w:p w14:paraId="340D926D">
            <w:pPr>
              <w:widowControl w:val="0"/>
              <w:adjustRightInd w:val="0"/>
              <w:snapToGrid w:val="0"/>
              <w:spacing w:beforeLines="50" w:afterLines="50" w:line="276" w:lineRule="auto"/>
              <w:jc w:val="center"/>
              <w:rPr>
                <w:rFonts w:cs="Times New Roman"/>
                <w:color w:val="auto"/>
                <w:kern w:val="2"/>
                <w:szCs w:val="21"/>
                <w:highlight w:val="none"/>
                <w:lang w:eastAsia="zh-CN"/>
              </w:rPr>
            </w:pPr>
            <w:r>
              <w:rPr>
                <w:rFonts w:hint="eastAsia" w:cs="Times New Roman"/>
                <w:color w:val="auto"/>
                <w:kern w:val="2"/>
                <w:szCs w:val="21"/>
                <w:highlight w:val="none"/>
                <w:lang w:eastAsia="zh-CN"/>
              </w:rPr>
              <w:t>名  称</w:t>
            </w:r>
          </w:p>
        </w:tc>
        <w:tc>
          <w:tcPr>
            <w:tcW w:w="760" w:type="pct"/>
            <w:tcMar>
              <w:top w:w="15" w:type="dxa"/>
              <w:left w:w="15" w:type="dxa"/>
              <w:bottom w:w="0" w:type="dxa"/>
              <w:right w:w="15" w:type="dxa"/>
            </w:tcMar>
            <w:vAlign w:val="center"/>
          </w:tcPr>
          <w:p w14:paraId="5F122A4B">
            <w:pPr>
              <w:widowControl w:val="0"/>
              <w:adjustRightInd w:val="0"/>
              <w:snapToGrid w:val="0"/>
              <w:spacing w:beforeLines="50" w:afterLines="50" w:line="276" w:lineRule="auto"/>
              <w:jc w:val="center"/>
              <w:rPr>
                <w:rFonts w:cs="Times New Roman"/>
                <w:color w:val="auto"/>
                <w:kern w:val="2"/>
                <w:szCs w:val="21"/>
                <w:highlight w:val="none"/>
                <w:lang w:eastAsia="zh-CN"/>
              </w:rPr>
            </w:pPr>
            <w:r>
              <w:rPr>
                <w:rFonts w:hint="eastAsia" w:cs="Times New Roman"/>
                <w:color w:val="auto"/>
                <w:kern w:val="2"/>
                <w:szCs w:val="21"/>
                <w:highlight w:val="none"/>
                <w:lang w:eastAsia="zh-CN"/>
              </w:rPr>
              <w:t>规格型号</w:t>
            </w:r>
          </w:p>
        </w:tc>
        <w:tc>
          <w:tcPr>
            <w:tcW w:w="404" w:type="pct"/>
            <w:tcMar>
              <w:top w:w="15" w:type="dxa"/>
              <w:left w:w="15" w:type="dxa"/>
              <w:bottom w:w="0" w:type="dxa"/>
              <w:right w:w="15" w:type="dxa"/>
            </w:tcMar>
            <w:vAlign w:val="center"/>
          </w:tcPr>
          <w:p w14:paraId="24FDE6CB">
            <w:pPr>
              <w:widowControl w:val="0"/>
              <w:adjustRightInd w:val="0"/>
              <w:snapToGrid w:val="0"/>
              <w:spacing w:beforeLines="50" w:afterLines="50" w:line="276" w:lineRule="auto"/>
              <w:jc w:val="center"/>
              <w:rPr>
                <w:rFonts w:cs="Times New Roman"/>
                <w:color w:val="auto"/>
                <w:kern w:val="2"/>
                <w:szCs w:val="21"/>
                <w:highlight w:val="none"/>
                <w:lang w:eastAsia="zh-CN"/>
              </w:rPr>
            </w:pPr>
            <w:r>
              <w:rPr>
                <w:rFonts w:hint="eastAsia" w:cs="Times New Roman"/>
                <w:color w:val="auto"/>
                <w:kern w:val="2"/>
                <w:szCs w:val="21"/>
                <w:highlight w:val="none"/>
                <w:lang w:eastAsia="zh-CN"/>
              </w:rPr>
              <w:t>单位</w:t>
            </w:r>
          </w:p>
        </w:tc>
        <w:tc>
          <w:tcPr>
            <w:tcW w:w="404" w:type="pct"/>
            <w:tcMar>
              <w:top w:w="15" w:type="dxa"/>
              <w:left w:w="15" w:type="dxa"/>
              <w:bottom w:w="0" w:type="dxa"/>
              <w:right w:w="15" w:type="dxa"/>
            </w:tcMar>
            <w:vAlign w:val="center"/>
          </w:tcPr>
          <w:p w14:paraId="01438DEB">
            <w:pPr>
              <w:widowControl w:val="0"/>
              <w:adjustRightInd w:val="0"/>
              <w:snapToGrid w:val="0"/>
              <w:spacing w:beforeLines="50" w:afterLines="50" w:line="276" w:lineRule="auto"/>
              <w:jc w:val="center"/>
              <w:rPr>
                <w:rFonts w:cs="Times New Roman"/>
                <w:color w:val="auto"/>
                <w:kern w:val="2"/>
                <w:szCs w:val="21"/>
                <w:highlight w:val="none"/>
                <w:lang w:eastAsia="zh-CN"/>
              </w:rPr>
            </w:pPr>
            <w:r>
              <w:rPr>
                <w:rFonts w:hint="eastAsia" w:cs="Times New Roman"/>
                <w:color w:val="auto"/>
                <w:kern w:val="2"/>
                <w:szCs w:val="21"/>
                <w:highlight w:val="none"/>
                <w:lang w:eastAsia="zh-CN"/>
              </w:rPr>
              <w:t>数量</w:t>
            </w:r>
          </w:p>
        </w:tc>
        <w:tc>
          <w:tcPr>
            <w:tcW w:w="667" w:type="pct"/>
            <w:tcMar>
              <w:top w:w="15" w:type="dxa"/>
              <w:left w:w="15" w:type="dxa"/>
              <w:bottom w:w="0" w:type="dxa"/>
              <w:right w:w="15" w:type="dxa"/>
            </w:tcMar>
            <w:vAlign w:val="center"/>
          </w:tcPr>
          <w:p w14:paraId="13527D5A">
            <w:pPr>
              <w:widowControl w:val="0"/>
              <w:adjustRightInd w:val="0"/>
              <w:snapToGrid w:val="0"/>
              <w:spacing w:beforeLines="50" w:afterLines="50" w:line="276" w:lineRule="auto"/>
              <w:jc w:val="center"/>
              <w:rPr>
                <w:rFonts w:cs="Times New Roman"/>
                <w:color w:val="auto"/>
                <w:kern w:val="2"/>
                <w:szCs w:val="21"/>
                <w:highlight w:val="none"/>
                <w:lang w:eastAsia="zh-CN"/>
              </w:rPr>
            </w:pPr>
            <w:r>
              <w:rPr>
                <w:rFonts w:hint="eastAsia" w:cs="Times New Roman"/>
                <w:color w:val="auto"/>
                <w:kern w:val="2"/>
                <w:szCs w:val="21"/>
                <w:highlight w:val="none"/>
                <w:lang w:eastAsia="zh-CN"/>
              </w:rPr>
              <w:t>产地/制造商</w:t>
            </w:r>
          </w:p>
        </w:tc>
        <w:tc>
          <w:tcPr>
            <w:tcW w:w="407" w:type="pct"/>
            <w:tcMar>
              <w:top w:w="15" w:type="dxa"/>
              <w:left w:w="15" w:type="dxa"/>
              <w:bottom w:w="0" w:type="dxa"/>
              <w:right w:w="15" w:type="dxa"/>
            </w:tcMar>
            <w:vAlign w:val="center"/>
          </w:tcPr>
          <w:p w14:paraId="2A9CB2DA">
            <w:pPr>
              <w:widowControl w:val="0"/>
              <w:adjustRightInd w:val="0"/>
              <w:snapToGrid w:val="0"/>
              <w:spacing w:beforeLines="50" w:afterLines="50" w:line="276" w:lineRule="auto"/>
              <w:jc w:val="center"/>
              <w:rPr>
                <w:rFonts w:cs="Times New Roman"/>
                <w:color w:val="auto"/>
                <w:kern w:val="2"/>
                <w:szCs w:val="21"/>
                <w:highlight w:val="none"/>
                <w:lang w:eastAsia="zh-CN"/>
              </w:rPr>
            </w:pPr>
            <w:r>
              <w:rPr>
                <w:rFonts w:hint="eastAsia" w:cs="Times New Roman"/>
                <w:color w:val="auto"/>
                <w:kern w:val="2"/>
                <w:szCs w:val="21"/>
                <w:highlight w:val="none"/>
                <w:lang w:eastAsia="zh-CN"/>
              </w:rPr>
              <w:t>单价</w:t>
            </w:r>
          </w:p>
        </w:tc>
        <w:tc>
          <w:tcPr>
            <w:tcW w:w="445" w:type="pct"/>
            <w:tcMar>
              <w:top w:w="15" w:type="dxa"/>
              <w:left w:w="15" w:type="dxa"/>
              <w:bottom w:w="0" w:type="dxa"/>
              <w:right w:w="15" w:type="dxa"/>
            </w:tcMar>
            <w:vAlign w:val="center"/>
          </w:tcPr>
          <w:p w14:paraId="76EC547C">
            <w:pPr>
              <w:widowControl w:val="0"/>
              <w:adjustRightInd w:val="0"/>
              <w:snapToGrid w:val="0"/>
              <w:spacing w:beforeLines="50" w:afterLines="50" w:line="276" w:lineRule="auto"/>
              <w:jc w:val="center"/>
              <w:rPr>
                <w:rFonts w:cs="Times New Roman"/>
                <w:color w:val="auto"/>
                <w:kern w:val="2"/>
                <w:szCs w:val="21"/>
                <w:highlight w:val="none"/>
                <w:lang w:eastAsia="zh-CN"/>
              </w:rPr>
            </w:pPr>
            <w:r>
              <w:rPr>
                <w:rFonts w:hint="eastAsia" w:cs="Times New Roman"/>
                <w:color w:val="auto"/>
                <w:kern w:val="2"/>
                <w:szCs w:val="21"/>
                <w:highlight w:val="none"/>
                <w:lang w:eastAsia="zh-CN"/>
              </w:rPr>
              <w:t>合价</w:t>
            </w:r>
          </w:p>
        </w:tc>
        <w:tc>
          <w:tcPr>
            <w:tcW w:w="426" w:type="pct"/>
            <w:tcMar>
              <w:top w:w="15" w:type="dxa"/>
              <w:left w:w="15" w:type="dxa"/>
              <w:bottom w:w="0" w:type="dxa"/>
              <w:right w:w="15" w:type="dxa"/>
            </w:tcMar>
            <w:vAlign w:val="center"/>
          </w:tcPr>
          <w:p w14:paraId="02696F8D">
            <w:pPr>
              <w:widowControl w:val="0"/>
              <w:adjustRightInd w:val="0"/>
              <w:snapToGrid w:val="0"/>
              <w:spacing w:beforeLines="50" w:afterLines="50" w:line="276" w:lineRule="auto"/>
              <w:jc w:val="center"/>
              <w:rPr>
                <w:rFonts w:cs="Times New Roman"/>
                <w:color w:val="auto"/>
                <w:kern w:val="2"/>
                <w:szCs w:val="21"/>
                <w:highlight w:val="none"/>
                <w:lang w:eastAsia="zh-CN"/>
              </w:rPr>
            </w:pPr>
            <w:r>
              <w:rPr>
                <w:rFonts w:hint="eastAsia" w:cs="Times New Roman"/>
                <w:color w:val="auto"/>
                <w:kern w:val="2"/>
                <w:szCs w:val="21"/>
                <w:highlight w:val="none"/>
                <w:lang w:eastAsia="zh-CN"/>
              </w:rPr>
              <w:t>备注</w:t>
            </w:r>
          </w:p>
        </w:tc>
      </w:tr>
      <w:tr w14:paraId="06723F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7" w:hRule="atLeast"/>
          <w:jc w:val="center"/>
        </w:trPr>
        <w:tc>
          <w:tcPr>
            <w:tcW w:w="411" w:type="pct"/>
            <w:tcMar>
              <w:top w:w="15" w:type="dxa"/>
              <w:left w:w="15" w:type="dxa"/>
              <w:bottom w:w="0" w:type="dxa"/>
              <w:right w:w="15" w:type="dxa"/>
            </w:tcMar>
            <w:vAlign w:val="center"/>
          </w:tcPr>
          <w:p w14:paraId="1D4B3ECE">
            <w:pPr>
              <w:widowControl w:val="0"/>
              <w:adjustRightInd w:val="0"/>
              <w:snapToGrid w:val="0"/>
              <w:spacing w:beforeLines="50" w:afterLines="50" w:line="276" w:lineRule="auto"/>
              <w:jc w:val="center"/>
              <w:rPr>
                <w:rFonts w:cs="Times New Roman"/>
                <w:color w:val="auto"/>
                <w:kern w:val="2"/>
                <w:szCs w:val="21"/>
                <w:highlight w:val="none"/>
                <w:lang w:eastAsia="zh-CN"/>
              </w:rPr>
            </w:pPr>
            <w:r>
              <w:rPr>
                <w:rFonts w:hint="eastAsia" w:cs="Times New Roman"/>
                <w:color w:val="auto"/>
                <w:kern w:val="2"/>
                <w:szCs w:val="21"/>
                <w:highlight w:val="none"/>
                <w:lang w:eastAsia="zh-CN"/>
              </w:rPr>
              <w:t>1</w:t>
            </w:r>
          </w:p>
        </w:tc>
        <w:tc>
          <w:tcPr>
            <w:tcW w:w="1859" w:type="dxa"/>
            <w:tcMar>
              <w:top w:w="15" w:type="dxa"/>
              <w:left w:w="15" w:type="dxa"/>
              <w:bottom w:w="0" w:type="dxa"/>
              <w:right w:w="15" w:type="dxa"/>
            </w:tcMar>
            <w:vAlign w:val="center"/>
          </w:tcPr>
          <w:p w14:paraId="21A0B8D4">
            <w:pPr>
              <w:widowControl w:val="0"/>
              <w:topLinePunct/>
              <w:spacing w:before="0" w:after="0" w:line="240" w:lineRule="auto"/>
              <w:ind w:firstLine="420" w:firstLineChars="0"/>
              <w:jc w:val="center"/>
              <w:rPr>
                <w:color w:val="auto"/>
                <w:highlight w:val="none"/>
                <w:lang w:eastAsia="zh-CN"/>
              </w:rPr>
            </w:pPr>
          </w:p>
        </w:tc>
        <w:tc>
          <w:tcPr>
            <w:tcW w:w="760" w:type="pct"/>
            <w:tcMar>
              <w:top w:w="15" w:type="dxa"/>
              <w:left w:w="15" w:type="dxa"/>
              <w:bottom w:w="0" w:type="dxa"/>
              <w:right w:w="15" w:type="dxa"/>
            </w:tcMar>
            <w:vAlign w:val="center"/>
          </w:tcPr>
          <w:p w14:paraId="52AF4156">
            <w:pPr>
              <w:jc w:val="center"/>
              <w:rPr>
                <w:rFonts w:cs="宋体"/>
                <w:bCs/>
                <w:color w:val="auto"/>
                <w:szCs w:val="21"/>
                <w:highlight w:val="none"/>
                <w:lang w:eastAsia="zh-CN"/>
              </w:rPr>
            </w:pPr>
          </w:p>
        </w:tc>
        <w:tc>
          <w:tcPr>
            <w:tcW w:w="404" w:type="pct"/>
            <w:tcMar>
              <w:top w:w="15" w:type="dxa"/>
              <w:left w:w="15" w:type="dxa"/>
              <w:bottom w:w="0" w:type="dxa"/>
              <w:right w:w="15" w:type="dxa"/>
            </w:tcMar>
            <w:vAlign w:val="center"/>
          </w:tcPr>
          <w:p w14:paraId="68879966">
            <w:pPr>
              <w:jc w:val="center"/>
              <w:rPr>
                <w:rFonts w:cs="宋体"/>
                <w:bCs/>
                <w:color w:val="auto"/>
                <w:szCs w:val="21"/>
                <w:highlight w:val="none"/>
                <w:lang w:eastAsia="zh-CN"/>
              </w:rPr>
            </w:pPr>
          </w:p>
        </w:tc>
        <w:tc>
          <w:tcPr>
            <w:tcW w:w="404" w:type="pct"/>
            <w:tcMar>
              <w:top w:w="15" w:type="dxa"/>
              <w:left w:w="15" w:type="dxa"/>
              <w:bottom w:w="0" w:type="dxa"/>
              <w:right w:w="15" w:type="dxa"/>
            </w:tcMar>
            <w:vAlign w:val="center"/>
          </w:tcPr>
          <w:p w14:paraId="1C1B87CC">
            <w:pPr>
              <w:jc w:val="center"/>
              <w:rPr>
                <w:rFonts w:hint="eastAsia" w:eastAsia="宋体" w:cs="宋体"/>
                <w:bCs/>
                <w:color w:val="auto"/>
                <w:szCs w:val="21"/>
                <w:highlight w:val="none"/>
                <w:lang w:val="en-US" w:eastAsia="zh-CN"/>
              </w:rPr>
            </w:pPr>
          </w:p>
        </w:tc>
        <w:tc>
          <w:tcPr>
            <w:tcW w:w="667" w:type="pct"/>
            <w:tcMar>
              <w:top w:w="15" w:type="dxa"/>
              <w:left w:w="15" w:type="dxa"/>
              <w:bottom w:w="0" w:type="dxa"/>
              <w:right w:w="15" w:type="dxa"/>
            </w:tcMar>
            <w:vAlign w:val="center"/>
          </w:tcPr>
          <w:p w14:paraId="1C0E2775">
            <w:pPr>
              <w:widowControl w:val="0"/>
              <w:adjustRightInd w:val="0"/>
              <w:snapToGrid w:val="0"/>
              <w:spacing w:beforeLines="50" w:afterLines="50" w:line="276" w:lineRule="auto"/>
              <w:jc w:val="center"/>
              <w:rPr>
                <w:rFonts w:cs="Times New Roman"/>
                <w:color w:val="auto"/>
                <w:kern w:val="2"/>
                <w:szCs w:val="21"/>
                <w:highlight w:val="none"/>
                <w:lang w:eastAsia="zh-CN"/>
              </w:rPr>
            </w:pPr>
          </w:p>
        </w:tc>
        <w:tc>
          <w:tcPr>
            <w:tcW w:w="407" w:type="pct"/>
            <w:tcMar>
              <w:top w:w="15" w:type="dxa"/>
              <w:left w:w="15" w:type="dxa"/>
              <w:bottom w:w="0" w:type="dxa"/>
              <w:right w:w="15" w:type="dxa"/>
            </w:tcMar>
            <w:vAlign w:val="center"/>
          </w:tcPr>
          <w:p w14:paraId="2BE425D8">
            <w:pPr>
              <w:widowControl w:val="0"/>
              <w:adjustRightInd w:val="0"/>
              <w:snapToGrid w:val="0"/>
              <w:spacing w:beforeLines="50" w:afterLines="50" w:line="276" w:lineRule="auto"/>
              <w:jc w:val="center"/>
              <w:rPr>
                <w:rFonts w:cs="Times New Roman"/>
                <w:color w:val="auto"/>
                <w:kern w:val="2"/>
                <w:szCs w:val="21"/>
                <w:highlight w:val="none"/>
                <w:lang w:eastAsia="zh-CN"/>
              </w:rPr>
            </w:pPr>
          </w:p>
        </w:tc>
        <w:tc>
          <w:tcPr>
            <w:tcW w:w="445" w:type="pct"/>
            <w:tcMar>
              <w:top w:w="15" w:type="dxa"/>
              <w:left w:w="15" w:type="dxa"/>
              <w:bottom w:w="0" w:type="dxa"/>
              <w:right w:w="15" w:type="dxa"/>
            </w:tcMar>
            <w:vAlign w:val="center"/>
          </w:tcPr>
          <w:p w14:paraId="30821928">
            <w:pPr>
              <w:widowControl w:val="0"/>
              <w:adjustRightInd w:val="0"/>
              <w:snapToGrid w:val="0"/>
              <w:spacing w:beforeLines="50" w:afterLines="50" w:line="276" w:lineRule="auto"/>
              <w:jc w:val="center"/>
              <w:rPr>
                <w:rFonts w:cs="Times New Roman"/>
                <w:color w:val="auto"/>
                <w:kern w:val="2"/>
                <w:szCs w:val="21"/>
                <w:highlight w:val="none"/>
                <w:lang w:eastAsia="zh-CN"/>
              </w:rPr>
            </w:pPr>
          </w:p>
        </w:tc>
        <w:tc>
          <w:tcPr>
            <w:tcW w:w="426" w:type="pct"/>
            <w:tcMar>
              <w:top w:w="15" w:type="dxa"/>
              <w:left w:w="15" w:type="dxa"/>
              <w:bottom w:w="0" w:type="dxa"/>
              <w:right w:w="15" w:type="dxa"/>
            </w:tcMar>
            <w:vAlign w:val="center"/>
          </w:tcPr>
          <w:p w14:paraId="5EAEA0FB">
            <w:pPr>
              <w:widowControl w:val="0"/>
              <w:adjustRightInd w:val="0"/>
              <w:snapToGrid w:val="0"/>
              <w:spacing w:beforeLines="50" w:afterLines="50" w:line="276" w:lineRule="auto"/>
              <w:jc w:val="center"/>
              <w:rPr>
                <w:rFonts w:cs="Times New Roman"/>
                <w:color w:val="auto"/>
                <w:kern w:val="2"/>
                <w:szCs w:val="21"/>
                <w:highlight w:val="none"/>
                <w:lang w:eastAsia="zh-CN"/>
              </w:rPr>
            </w:pPr>
          </w:p>
        </w:tc>
      </w:tr>
      <w:tr w14:paraId="4AFAA0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7" w:hRule="atLeast"/>
          <w:jc w:val="center"/>
        </w:trPr>
        <w:tc>
          <w:tcPr>
            <w:tcW w:w="411" w:type="pct"/>
            <w:tcMar>
              <w:top w:w="15" w:type="dxa"/>
              <w:left w:w="15" w:type="dxa"/>
              <w:bottom w:w="0" w:type="dxa"/>
              <w:right w:w="15" w:type="dxa"/>
            </w:tcMar>
            <w:vAlign w:val="center"/>
          </w:tcPr>
          <w:p w14:paraId="7F5B9D1A">
            <w:pPr>
              <w:widowControl w:val="0"/>
              <w:adjustRightInd w:val="0"/>
              <w:snapToGrid w:val="0"/>
              <w:spacing w:beforeLines="50" w:afterLines="50" w:line="276" w:lineRule="auto"/>
              <w:jc w:val="center"/>
              <w:rPr>
                <w:rFonts w:hint="default" w:cs="Times New Roman"/>
                <w:color w:val="auto"/>
                <w:kern w:val="2"/>
                <w:szCs w:val="21"/>
                <w:highlight w:val="none"/>
                <w:lang w:val="en-US" w:eastAsia="zh-CN"/>
              </w:rPr>
            </w:pPr>
            <w:r>
              <w:rPr>
                <w:rFonts w:hint="eastAsia" w:cs="Times New Roman"/>
                <w:color w:val="auto"/>
                <w:kern w:val="2"/>
                <w:szCs w:val="21"/>
                <w:highlight w:val="none"/>
                <w:lang w:val="en-US" w:eastAsia="zh-CN"/>
              </w:rPr>
              <w:t>2</w:t>
            </w:r>
          </w:p>
        </w:tc>
        <w:tc>
          <w:tcPr>
            <w:tcW w:w="1859" w:type="dxa"/>
            <w:tcMar>
              <w:top w:w="15" w:type="dxa"/>
              <w:left w:w="15" w:type="dxa"/>
              <w:bottom w:w="0" w:type="dxa"/>
              <w:right w:w="15" w:type="dxa"/>
            </w:tcMar>
            <w:vAlign w:val="center"/>
          </w:tcPr>
          <w:p w14:paraId="12AC7755">
            <w:pPr>
              <w:widowControl w:val="0"/>
              <w:topLinePunct/>
              <w:spacing w:before="0" w:after="0" w:line="240" w:lineRule="auto"/>
              <w:ind w:firstLine="420" w:firstLineChars="0"/>
              <w:jc w:val="center"/>
              <w:rPr>
                <w:rFonts w:hint="default" w:ascii="宋体" w:hAnsi="宋体" w:eastAsia="宋体" w:cs="宋体"/>
                <w:color w:val="auto"/>
                <w:kern w:val="2"/>
                <w:sz w:val="21"/>
                <w:szCs w:val="21"/>
                <w:highlight w:val="none"/>
                <w:lang w:val="en-US" w:eastAsia="zh-CN"/>
              </w:rPr>
            </w:pPr>
          </w:p>
        </w:tc>
        <w:tc>
          <w:tcPr>
            <w:tcW w:w="760" w:type="pct"/>
            <w:tcMar>
              <w:top w:w="15" w:type="dxa"/>
              <w:left w:w="15" w:type="dxa"/>
              <w:bottom w:w="0" w:type="dxa"/>
              <w:right w:w="15" w:type="dxa"/>
            </w:tcMar>
            <w:vAlign w:val="center"/>
          </w:tcPr>
          <w:p w14:paraId="6648D6F3">
            <w:pPr>
              <w:jc w:val="center"/>
              <w:rPr>
                <w:rFonts w:cs="宋体"/>
                <w:bCs/>
                <w:color w:val="auto"/>
                <w:szCs w:val="21"/>
                <w:highlight w:val="none"/>
                <w:lang w:eastAsia="zh-CN"/>
              </w:rPr>
            </w:pPr>
          </w:p>
        </w:tc>
        <w:tc>
          <w:tcPr>
            <w:tcW w:w="701" w:type="dxa"/>
            <w:tcMar>
              <w:top w:w="15" w:type="dxa"/>
              <w:left w:w="15" w:type="dxa"/>
              <w:bottom w:w="0" w:type="dxa"/>
              <w:right w:w="15" w:type="dxa"/>
            </w:tcMar>
            <w:vAlign w:val="center"/>
          </w:tcPr>
          <w:p w14:paraId="6D0C1EEB">
            <w:pPr>
              <w:ind w:firstLine="0" w:firstLineChars="0"/>
              <w:jc w:val="center"/>
              <w:rPr>
                <w:rFonts w:hint="eastAsia" w:cs="宋体"/>
                <w:bCs/>
                <w:color w:val="auto"/>
                <w:szCs w:val="21"/>
                <w:highlight w:val="none"/>
              </w:rPr>
            </w:pPr>
          </w:p>
        </w:tc>
        <w:tc>
          <w:tcPr>
            <w:tcW w:w="701" w:type="dxa"/>
            <w:tcMar>
              <w:top w:w="15" w:type="dxa"/>
              <w:left w:w="15" w:type="dxa"/>
              <w:bottom w:w="0" w:type="dxa"/>
              <w:right w:w="15" w:type="dxa"/>
            </w:tcMar>
            <w:vAlign w:val="center"/>
          </w:tcPr>
          <w:p w14:paraId="069C8095">
            <w:pPr>
              <w:ind w:firstLine="0" w:firstLineChars="0"/>
              <w:jc w:val="center"/>
              <w:rPr>
                <w:rFonts w:hint="eastAsia" w:cs="宋体"/>
                <w:bCs/>
                <w:color w:val="auto"/>
                <w:szCs w:val="21"/>
                <w:highlight w:val="none"/>
                <w:lang w:val="en-US" w:eastAsia="zh-CN"/>
              </w:rPr>
            </w:pPr>
          </w:p>
        </w:tc>
        <w:tc>
          <w:tcPr>
            <w:tcW w:w="667" w:type="pct"/>
            <w:tcMar>
              <w:top w:w="15" w:type="dxa"/>
              <w:left w:w="15" w:type="dxa"/>
              <w:bottom w:w="0" w:type="dxa"/>
              <w:right w:w="15" w:type="dxa"/>
            </w:tcMar>
            <w:vAlign w:val="center"/>
          </w:tcPr>
          <w:p w14:paraId="06E9F645">
            <w:pPr>
              <w:widowControl w:val="0"/>
              <w:adjustRightInd w:val="0"/>
              <w:snapToGrid w:val="0"/>
              <w:spacing w:beforeLines="50" w:afterLines="50" w:line="276" w:lineRule="auto"/>
              <w:jc w:val="center"/>
              <w:rPr>
                <w:rFonts w:cs="Times New Roman"/>
                <w:color w:val="auto"/>
                <w:kern w:val="2"/>
                <w:szCs w:val="21"/>
                <w:highlight w:val="none"/>
                <w:lang w:eastAsia="zh-CN"/>
              </w:rPr>
            </w:pPr>
          </w:p>
        </w:tc>
        <w:tc>
          <w:tcPr>
            <w:tcW w:w="407" w:type="pct"/>
            <w:tcMar>
              <w:top w:w="15" w:type="dxa"/>
              <w:left w:w="15" w:type="dxa"/>
              <w:bottom w:w="0" w:type="dxa"/>
              <w:right w:w="15" w:type="dxa"/>
            </w:tcMar>
            <w:vAlign w:val="center"/>
          </w:tcPr>
          <w:p w14:paraId="42D1ADAE">
            <w:pPr>
              <w:widowControl w:val="0"/>
              <w:adjustRightInd w:val="0"/>
              <w:snapToGrid w:val="0"/>
              <w:spacing w:beforeLines="50" w:afterLines="50" w:line="276" w:lineRule="auto"/>
              <w:jc w:val="center"/>
              <w:rPr>
                <w:rFonts w:cs="Times New Roman"/>
                <w:color w:val="auto"/>
                <w:kern w:val="2"/>
                <w:szCs w:val="21"/>
                <w:highlight w:val="none"/>
                <w:lang w:eastAsia="zh-CN"/>
              </w:rPr>
            </w:pPr>
          </w:p>
        </w:tc>
        <w:tc>
          <w:tcPr>
            <w:tcW w:w="445" w:type="pct"/>
            <w:tcMar>
              <w:top w:w="15" w:type="dxa"/>
              <w:left w:w="15" w:type="dxa"/>
              <w:bottom w:w="0" w:type="dxa"/>
              <w:right w:w="15" w:type="dxa"/>
            </w:tcMar>
            <w:vAlign w:val="center"/>
          </w:tcPr>
          <w:p w14:paraId="78AEB75E">
            <w:pPr>
              <w:widowControl w:val="0"/>
              <w:adjustRightInd w:val="0"/>
              <w:snapToGrid w:val="0"/>
              <w:spacing w:beforeLines="50" w:afterLines="50" w:line="276" w:lineRule="auto"/>
              <w:jc w:val="center"/>
              <w:rPr>
                <w:rFonts w:cs="Times New Roman"/>
                <w:color w:val="auto"/>
                <w:kern w:val="2"/>
                <w:szCs w:val="21"/>
                <w:highlight w:val="none"/>
                <w:lang w:eastAsia="zh-CN"/>
              </w:rPr>
            </w:pPr>
          </w:p>
        </w:tc>
        <w:tc>
          <w:tcPr>
            <w:tcW w:w="426" w:type="pct"/>
            <w:tcMar>
              <w:top w:w="15" w:type="dxa"/>
              <w:left w:w="15" w:type="dxa"/>
              <w:bottom w:w="0" w:type="dxa"/>
              <w:right w:w="15" w:type="dxa"/>
            </w:tcMar>
            <w:vAlign w:val="center"/>
          </w:tcPr>
          <w:p w14:paraId="52B342B4">
            <w:pPr>
              <w:widowControl w:val="0"/>
              <w:adjustRightInd w:val="0"/>
              <w:snapToGrid w:val="0"/>
              <w:spacing w:beforeLines="50" w:afterLines="50" w:line="276" w:lineRule="auto"/>
              <w:jc w:val="center"/>
              <w:rPr>
                <w:rFonts w:cs="Times New Roman"/>
                <w:color w:val="auto"/>
                <w:kern w:val="2"/>
                <w:szCs w:val="21"/>
                <w:highlight w:val="none"/>
                <w:lang w:eastAsia="zh-CN"/>
              </w:rPr>
            </w:pPr>
          </w:p>
        </w:tc>
      </w:tr>
      <w:tr w14:paraId="7D2C03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7" w:hRule="atLeast"/>
          <w:jc w:val="center"/>
        </w:trPr>
        <w:tc>
          <w:tcPr>
            <w:tcW w:w="411" w:type="pct"/>
            <w:tcMar>
              <w:top w:w="15" w:type="dxa"/>
              <w:left w:w="15" w:type="dxa"/>
              <w:bottom w:w="0" w:type="dxa"/>
              <w:right w:w="15" w:type="dxa"/>
            </w:tcMar>
            <w:vAlign w:val="center"/>
          </w:tcPr>
          <w:p w14:paraId="649F1FA2">
            <w:pPr>
              <w:widowControl w:val="0"/>
              <w:adjustRightInd w:val="0"/>
              <w:snapToGrid w:val="0"/>
              <w:spacing w:beforeLines="50" w:afterLines="50" w:line="276" w:lineRule="auto"/>
              <w:jc w:val="center"/>
              <w:rPr>
                <w:rFonts w:hint="default" w:cs="Times New Roman"/>
                <w:color w:val="auto"/>
                <w:kern w:val="2"/>
                <w:szCs w:val="21"/>
                <w:highlight w:val="none"/>
                <w:lang w:val="en-US" w:eastAsia="zh-CN"/>
              </w:rPr>
            </w:pPr>
            <w:r>
              <w:rPr>
                <w:rFonts w:hint="eastAsia" w:cs="Times New Roman"/>
                <w:color w:val="auto"/>
                <w:kern w:val="2"/>
                <w:szCs w:val="21"/>
                <w:highlight w:val="none"/>
                <w:lang w:val="en-US" w:eastAsia="zh-CN"/>
              </w:rPr>
              <w:t>3</w:t>
            </w:r>
          </w:p>
        </w:tc>
        <w:tc>
          <w:tcPr>
            <w:tcW w:w="1859" w:type="dxa"/>
            <w:tcMar>
              <w:top w:w="15" w:type="dxa"/>
              <w:left w:w="15" w:type="dxa"/>
              <w:bottom w:w="0" w:type="dxa"/>
              <w:right w:w="15" w:type="dxa"/>
            </w:tcMar>
            <w:vAlign w:val="center"/>
          </w:tcPr>
          <w:p w14:paraId="177A4AC6">
            <w:pPr>
              <w:widowControl w:val="0"/>
              <w:topLinePunct/>
              <w:spacing w:before="0" w:after="0" w:line="240" w:lineRule="auto"/>
              <w:ind w:firstLine="420" w:firstLineChars="0"/>
              <w:jc w:val="center"/>
              <w:rPr>
                <w:rFonts w:hint="eastAsia" w:ascii="宋体" w:hAnsi="宋体" w:eastAsia="宋体" w:cs="宋体"/>
                <w:color w:val="auto"/>
                <w:kern w:val="2"/>
                <w:sz w:val="21"/>
                <w:szCs w:val="21"/>
                <w:highlight w:val="none"/>
                <w:lang w:eastAsia="zh-CN"/>
              </w:rPr>
            </w:pPr>
          </w:p>
        </w:tc>
        <w:tc>
          <w:tcPr>
            <w:tcW w:w="760" w:type="pct"/>
            <w:tcMar>
              <w:top w:w="15" w:type="dxa"/>
              <w:left w:w="15" w:type="dxa"/>
              <w:bottom w:w="0" w:type="dxa"/>
              <w:right w:w="15" w:type="dxa"/>
            </w:tcMar>
            <w:vAlign w:val="center"/>
          </w:tcPr>
          <w:p w14:paraId="7669D408">
            <w:pPr>
              <w:jc w:val="center"/>
              <w:rPr>
                <w:rFonts w:cs="宋体"/>
                <w:bCs/>
                <w:color w:val="auto"/>
                <w:szCs w:val="21"/>
                <w:highlight w:val="none"/>
                <w:lang w:eastAsia="zh-CN"/>
              </w:rPr>
            </w:pPr>
          </w:p>
        </w:tc>
        <w:tc>
          <w:tcPr>
            <w:tcW w:w="701" w:type="dxa"/>
            <w:tcMar>
              <w:top w:w="15" w:type="dxa"/>
              <w:left w:w="15" w:type="dxa"/>
              <w:bottom w:w="0" w:type="dxa"/>
              <w:right w:w="15" w:type="dxa"/>
            </w:tcMar>
            <w:vAlign w:val="center"/>
          </w:tcPr>
          <w:p w14:paraId="4E18802A">
            <w:pPr>
              <w:ind w:firstLine="0" w:firstLineChars="0"/>
              <w:jc w:val="center"/>
              <w:rPr>
                <w:rFonts w:hint="eastAsia" w:cs="宋体"/>
                <w:bCs/>
                <w:color w:val="auto"/>
                <w:szCs w:val="21"/>
                <w:highlight w:val="none"/>
              </w:rPr>
            </w:pPr>
          </w:p>
        </w:tc>
        <w:tc>
          <w:tcPr>
            <w:tcW w:w="701" w:type="dxa"/>
            <w:tcMar>
              <w:top w:w="15" w:type="dxa"/>
              <w:left w:w="15" w:type="dxa"/>
              <w:bottom w:w="0" w:type="dxa"/>
              <w:right w:w="15" w:type="dxa"/>
            </w:tcMar>
            <w:vAlign w:val="center"/>
          </w:tcPr>
          <w:p w14:paraId="630EFCB3">
            <w:pPr>
              <w:ind w:firstLine="0" w:firstLineChars="0"/>
              <w:jc w:val="center"/>
              <w:rPr>
                <w:rFonts w:hint="eastAsia" w:cs="宋体"/>
                <w:bCs/>
                <w:color w:val="auto"/>
                <w:szCs w:val="21"/>
                <w:highlight w:val="none"/>
                <w:lang w:val="en-US" w:eastAsia="zh-CN"/>
              </w:rPr>
            </w:pPr>
          </w:p>
        </w:tc>
        <w:tc>
          <w:tcPr>
            <w:tcW w:w="667" w:type="pct"/>
            <w:tcMar>
              <w:top w:w="15" w:type="dxa"/>
              <w:left w:w="15" w:type="dxa"/>
              <w:bottom w:w="0" w:type="dxa"/>
              <w:right w:w="15" w:type="dxa"/>
            </w:tcMar>
            <w:vAlign w:val="center"/>
          </w:tcPr>
          <w:p w14:paraId="6594C8FD">
            <w:pPr>
              <w:widowControl w:val="0"/>
              <w:adjustRightInd w:val="0"/>
              <w:snapToGrid w:val="0"/>
              <w:spacing w:beforeLines="50" w:afterLines="50" w:line="276" w:lineRule="auto"/>
              <w:jc w:val="center"/>
              <w:rPr>
                <w:rFonts w:cs="Times New Roman"/>
                <w:color w:val="auto"/>
                <w:kern w:val="2"/>
                <w:szCs w:val="21"/>
                <w:highlight w:val="none"/>
                <w:lang w:eastAsia="zh-CN"/>
              </w:rPr>
            </w:pPr>
          </w:p>
        </w:tc>
        <w:tc>
          <w:tcPr>
            <w:tcW w:w="407" w:type="pct"/>
            <w:tcMar>
              <w:top w:w="15" w:type="dxa"/>
              <w:left w:w="15" w:type="dxa"/>
              <w:bottom w:w="0" w:type="dxa"/>
              <w:right w:w="15" w:type="dxa"/>
            </w:tcMar>
            <w:vAlign w:val="center"/>
          </w:tcPr>
          <w:p w14:paraId="3C49372B">
            <w:pPr>
              <w:widowControl w:val="0"/>
              <w:adjustRightInd w:val="0"/>
              <w:snapToGrid w:val="0"/>
              <w:spacing w:beforeLines="50" w:afterLines="50" w:line="276" w:lineRule="auto"/>
              <w:jc w:val="center"/>
              <w:rPr>
                <w:rFonts w:cs="Times New Roman"/>
                <w:color w:val="auto"/>
                <w:kern w:val="2"/>
                <w:szCs w:val="21"/>
                <w:highlight w:val="none"/>
                <w:lang w:eastAsia="zh-CN"/>
              </w:rPr>
            </w:pPr>
          </w:p>
        </w:tc>
        <w:tc>
          <w:tcPr>
            <w:tcW w:w="445" w:type="pct"/>
            <w:tcMar>
              <w:top w:w="15" w:type="dxa"/>
              <w:left w:w="15" w:type="dxa"/>
              <w:bottom w:w="0" w:type="dxa"/>
              <w:right w:w="15" w:type="dxa"/>
            </w:tcMar>
            <w:vAlign w:val="center"/>
          </w:tcPr>
          <w:p w14:paraId="267F7A8E">
            <w:pPr>
              <w:widowControl w:val="0"/>
              <w:adjustRightInd w:val="0"/>
              <w:snapToGrid w:val="0"/>
              <w:spacing w:beforeLines="50" w:afterLines="50" w:line="276" w:lineRule="auto"/>
              <w:jc w:val="center"/>
              <w:rPr>
                <w:rFonts w:cs="Times New Roman"/>
                <w:color w:val="auto"/>
                <w:kern w:val="2"/>
                <w:szCs w:val="21"/>
                <w:highlight w:val="none"/>
                <w:lang w:eastAsia="zh-CN"/>
              </w:rPr>
            </w:pPr>
          </w:p>
        </w:tc>
        <w:tc>
          <w:tcPr>
            <w:tcW w:w="426" w:type="pct"/>
            <w:tcMar>
              <w:top w:w="15" w:type="dxa"/>
              <w:left w:w="15" w:type="dxa"/>
              <w:bottom w:w="0" w:type="dxa"/>
              <w:right w:w="15" w:type="dxa"/>
            </w:tcMar>
            <w:vAlign w:val="center"/>
          </w:tcPr>
          <w:p w14:paraId="33824B32">
            <w:pPr>
              <w:widowControl w:val="0"/>
              <w:adjustRightInd w:val="0"/>
              <w:snapToGrid w:val="0"/>
              <w:spacing w:beforeLines="50" w:afterLines="50" w:line="276" w:lineRule="auto"/>
              <w:jc w:val="center"/>
              <w:rPr>
                <w:rFonts w:cs="Times New Roman"/>
                <w:color w:val="auto"/>
                <w:kern w:val="2"/>
                <w:szCs w:val="21"/>
                <w:highlight w:val="none"/>
                <w:lang w:eastAsia="zh-CN"/>
              </w:rPr>
            </w:pPr>
          </w:p>
        </w:tc>
      </w:tr>
      <w:tr w14:paraId="4C27B7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1" w:hRule="atLeast"/>
          <w:jc w:val="center"/>
        </w:trPr>
        <w:tc>
          <w:tcPr>
            <w:tcW w:w="411" w:type="pct"/>
            <w:tcMar>
              <w:top w:w="15" w:type="dxa"/>
              <w:left w:w="15" w:type="dxa"/>
              <w:bottom w:w="0" w:type="dxa"/>
              <w:right w:w="15" w:type="dxa"/>
            </w:tcMar>
            <w:vAlign w:val="center"/>
          </w:tcPr>
          <w:p w14:paraId="1668DDC2">
            <w:pPr>
              <w:widowControl w:val="0"/>
              <w:adjustRightInd w:val="0"/>
              <w:snapToGrid w:val="0"/>
              <w:spacing w:beforeLines="50" w:afterLines="50" w:line="276" w:lineRule="auto"/>
              <w:jc w:val="center"/>
              <w:rPr>
                <w:rFonts w:cs="Times New Roman"/>
                <w:color w:val="auto"/>
                <w:kern w:val="2"/>
                <w:szCs w:val="21"/>
                <w:highlight w:val="none"/>
                <w:lang w:eastAsia="zh-CN"/>
              </w:rPr>
            </w:pPr>
            <w:r>
              <w:rPr>
                <w:rFonts w:hint="eastAsia" w:cs="Times New Roman"/>
                <w:color w:val="auto"/>
                <w:kern w:val="2"/>
                <w:szCs w:val="21"/>
                <w:highlight w:val="none"/>
                <w:lang w:val="en-US" w:eastAsia="zh-CN"/>
              </w:rPr>
              <w:t>4</w:t>
            </w:r>
          </w:p>
        </w:tc>
        <w:tc>
          <w:tcPr>
            <w:tcW w:w="1859" w:type="dxa"/>
            <w:tcMar>
              <w:top w:w="15" w:type="dxa"/>
              <w:left w:w="15" w:type="dxa"/>
              <w:bottom w:w="0" w:type="dxa"/>
              <w:right w:w="15" w:type="dxa"/>
            </w:tcMar>
            <w:vAlign w:val="center"/>
          </w:tcPr>
          <w:p w14:paraId="5B854D19">
            <w:pPr>
              <w:widowControl w:val="0"/>
              <w:topLinePunct/>
              <w:spacing w:before="0" w:after="0" w:line="240" w:lineRule="auto"/>
              <w:ind w:firstLine="420" w:firstLineChars="0"/>
              <w:jc w:val="center"/>
              <w:rPr>
                <w:rFonts w:cs="Times New Roman"/>
                <w:color w:val="auto"/>
                <w:kern w:val="2"/>
                <w:szCs w:val="21"/>
                <w:highlight w:val="none"/>
                <w:lang w:eastAsia="zh-CN"/>
              </w:rPr>
            </w:pPr>
          </w:p>
        </w:tc>
        <w:tc>
          <w:tcPr>
            <w:tcW w:w="760" w:type="pct"/>
            <w:tcMar>
              <w:top w:w="15" w:type="dxa"/>
              <w:left w:w="15" w:type="dxa"/>
              <w:bottom w:w="0" w:type="dxa"/>
              <w:right w:w="15" w:type="dxa"/>
            </w:tcMar>
            <w:vAlign w:val="center"/>
          </w:tcPr>
          <w:p w14:paraId="0180CF57">
            <w:pPr>
              <w:widowControl w:val="0"/>
              <w:shd w:val="clear" w:color="auto" w:fill="auto"/>
              <w:adjustRightInd w:val="0"/>
              <w:snapToGrid w:val="0"/>
              <w:spacing w:beforeLines="50" w:afterLines="50" w:line="276" w:lineRule="auto"/>
              <w:jc w:val="center"/>
              <w:textAlignment w:val="auto"/>
              <w:rPr>
                <w:rFonts w:cs="Times New Roman"/>
                <w:color w:val="auto"/>
                <w:kern w:val="2"/>
                <w:szCs w:val="21"/>
                <w:highlight w:val="none"/>
                <w:lang w:eastAsia="zh-CN"/>
              </w:rPr>
            </w:pPr>
          </w:p>
        </w:tc>
        <w:tc>
          <w:tcPr>
            <w:tcW w:w="404" w:type="pct"/>
            <w:tcMar>
              <w:top w:w="15" w:type="dxa"/>
              <w:left w:w="15" w:type="dxa"/>
              <w:bottom w:w="0" w:type="dxa"/>
              <w:right w:w="15" w:type="dxa"/>
            </w:tcMar>
            <w:vAlign w:val="center"/>
          </w:tcPr>
          <w:p w14:paraId="2DB2FB7C">
            <w:pPr>
              <w:widowControl w:val="0"/>
              <w:shd w:val="clear" w:color="auto" w:fill="auto"/>
              <w:adjustRightInd w:val="0"/>
              <w:snapToGrid w:val="0"/>
              <w:spacing w:beforeLines="50" w:afterLines="50" w:line="276" w:lineRule="auto"/>
              <w:jc w:val="center"/>
              <w:rPr>
                <w:rFonts w:cs="Times New Roman"/>
                <w:bCs w:val="0"/>
                <w:color w:val="auto"/>
                <w:kern w:val="2"/>
                <w:szCs w:val="21"/>
                <w:highlight w:val="none"/>
                <w:lang w:eastAsia="zh-CN"/>
              </w:rPr>
            </w:pPr>
          </w:p>
        </w:tc>
        <w:tc>
          <w:tcPr>
            <w:tcW w:w="404" w:type="pct"/>
            <w:tcMar>
              <w:top w:w="15" w:type="dxa"/>
              <w:left w:w="15" w:type="dxa"/>
              <w:bottom w:w="0" w:type="dxa"/>
              <w:right w:w="15" w:type="dxa"/>
            </w:tcMar>
            <w:vAlign w:val="center"/>
          </w:tcPr>
          <w:p w14:paraId="57200B58">
            <w:pPr>
              <w:widowControl w:val="0"/>
              <w:shd w:val="clear" w:color="auto" w:fill="auto"/>
              <w:adjustRightInd w:val="0"/>
              <w:snapToGrid w:val="0"/>
              <w:spacing w:beforeLines="50" w:afterLines="50" w:line="276" w:lineRule="auto"/>
              <w:jc w:val="center"/>
              <w:rPr>
                <w:rFonts w:cs="Times New Roman"/>
                <w:bCs w:val="0"/>
                <w:color w:val="auto"/>
                <w:kern w:val="2"/>
                <w:szCs w:val="21"/>
                <w:highlight w:val="none"/>
                <w:lang w:eastAsia="zh-CN"/>
              </w:rPr>
            </w:pPr>
          </w:p>
        </w:tc>
        <w:tc>
          <w:tcPr>
            <w:tcW w:w="667" w:type="pct"/>
            <w:tcMar>
              <w:top w:w="15" w:type="dxa"/>
              <w:left w:w="15" w:type="dxa"/>
              <w:bottom w:w="0" w:type="dxa"/>
              <w:right w:w="15" w:type="dxa"/>
            </w:tcMar>
            <w:vAlign w:val="center"/>
          </w:tcPr>
          <w:p w14:paraId="63721CB1">
            <w:pPr>
              <w:widowControl w:val="0"/>
              <w:adjustRightInd w:val="0"/>
              <w:snapToGrid w:val="0"/>
              <w:spacing w:beforeLines="50" w:afterLines="50" w:line="276" w:lineRule="auto"/>
              <w:jc w:val="center"/>
              <w:rPr>
                <w:rFonts w:cs="Times New Roman"/>
                <w:color w:val="auto"/>
                <w:kern w:val="2"/>
                <w:szCs w:val="21"/>
                <w:highlight w:val="none"/>
                <w:lang w:eastAsia="zh-CN"/>
              </w:rPr>
            </w:pPr>
          </w:p>
        </w:tc>
        <w:tc>
          <w:tcPr>
            <w:tcW w:w="407" w:type="pct"/>
            <w:tcMar>
              <w:top w:w="15" w:type="dxa"/>
              <w:left w:w="15" w:type="dxa"/>
              <w:bottom w:w="0" w:type="dxa"/>
              <w:right w:w="15" w:type="dxa"/>
            </w:tcMar>
            <w:vAlign w:val="center"/>
          </w:tcPr>
          <w:p w14:paraId="7D5C8BCD">
            <w:pPr>
              <w:widowControl w:val="0"/>
              <w:adjustRightInd w:val="0"/>
              <w:snapToGrid w:val="0"/>
              <w:spacing w:beforeLines="50" w:afterLines="50" w:line="276" w:lineRule="auto"/>
              <w:jc w:val="center"/>
              <w:rPr>
                <w:rFonts w:cs="Times New Roman"/>
                <w:color w:val="auto"/>
                <w:kern w:val="2"/>
                <w:szCs w:val="21"/>
                <w:highlight w:val="none"/>
                <w:lang w:eastAsia="zh-CN"/>
              </w:rPr>
            </w:pPr>
          </w:p>
        </w:tc>
        <w:tc>
          <w:tcPr>
            <w:tcW w:w="445" w:type="pct"/>
            <w:tcMar>
              <w:top w:w="15" w:type="dxa"/>
              <w:left w:w="15" w:type="dxa"/>
              <w:bottom w:w="0" w:type="dxa"/>
              <w:right w:w="15" w:type="dxa"/>
            </w:tcMar>
            <w:vAlign w:val="center"/>
          </w:tcPr>
          <w:p w14:paraId="3454613E">
            <w:pPr>
              <w:widowControl w:val="0"/>
              <w:adjustRightInd w:val="0"/>
              <w:snapToGrid w:val="0"/>
              <w:spacing w:beforeLines="50" w:afterLines="50" w:line="276" w:lineRule="auto"/>
              <w:jc w:val="center"/>
              <w:rPr>
                <w:rFonts w:cs="Times New Roman"/>
                <w:color w:val="auto"/>
                <w:kern w:val="2"/>
                <w:szCs w:val="21"/>
                <w:highlight w:val="none"/>
                <w:lang w:eastAsia="zh-CN"/>
              </w:rPr>
            </w:pPr>
          </w:p>
        </w:tc>
        <w:tc>
          <w:tcPr>
            <w:tcW w:w="426" w:type="pct"/>
            <w:tcMar>
              <w:top w:w="15" w:type="dxa"/>
              <w:left w:w="15" w:type="dxa"/>
              <w:bottom w:w="0" w:type="dxa"/>
              <w:right w:w="15" w:type="dxa"/>
            </w:tcMar>
            <w:vAlign w:val="center"/>
          </w:tcPr>
          <w:p w14:paraId="0E6A8AB6">
            <w:pPr>
              <w:widowControl w:val="0"/>
              <w:adjustRightInd w:val="0"/>
              <w:snapToGrid w:val="0"/>
              <w:spacing w:beforeLines="50" w:afterLines="50" w:line="276" w:lineRule="auto"/>
              <w:jc w:val="center"/>
              <w:rPr>
                <w:rFonts w:cs="Times New Roman"/>
                <w:color w:val="auto"/>
                <w:kern w:val="2"/>
                <w:szCs w:val="21"/>
                <w:highlight w:val="none"/>
                <w:lang w:eastAsia="zh-CN"/>
              </w:rPr>
            </w:pPr>
          </w:p>
        </w:tc>
      </w:tr>
      <w:tr w14:paraId="171C66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6" w:hRule="atLeast"/>
          <w:jc w:val="center"/>
        </w:trPr>
        <w:tc>
          <w:tcPr>
            <w:tcW w:w="411" w:type="pct"/>
            <w:tcMar>
              <w:top w:w="15" w:type="dxa"/>
              <w:left w:w="15" w:type="dxa"/>
              <w:bottom w:w="0" w:type="dxa"/>
              <w:right w:w="15" w:type="dxa"/>
            </w:tcMar>
            <w:vAlign w:val="center"/>
          </w:tcPr>
          <w:p w14:paraId="7D20A66A">
            <w:pPr>
              <w:widowControl w:val="0"/>
              <w:adjustRightInd w:val="0"/>
              <w:snapToGrid w:val="0"/>
              <w:spacing w:beforeLines="50" w:afterLines="50" w:line="276" w:lineRule="auto"/>
              <w:jc w:val="center"/>
              <w:rPr>
                <w:rFonts w:cs="Times New Roman"/>
                <w:color w:val="auto"/>
                <w:kern w:val="2"/>
                <w:szCs w:val="21"/>
                <w:highlight w:val="none"/>
                <w:lang w:eastAsia="zh-CN"/>
              </w:rPr>
            </w:pPr>
            <w:r>
              <w:rPr>
                <w:rFonts w:hint="eastAsia" w:cs="Times New Roman"/>
                <w:color w:val="auto"/>
                <w:kern w:val="2"/>
                <w:szCs w:val="21"/>
                <w:highlight w:val="none"/>
                <w:lang w:val="en-US" w:eastAsia="zh-CN"/>
              </w:rPr>
              <w:t>5</w:t>
            </w:r>
          </w:p>
        </w:tc>
        <w:tc>
          <w:tcPr>
            <w:tcW w:w="1859" w:type="dxa"/>
            <w:tcMar>
              <w:top w:w="15" w:type="dxa"/>
              <w:left w:w="15" w:type="dxa"/>
              <w:bottom w:w="0" w:type="dxa"/>
              <w:right w:w="15" w:type="dxa"/>
            </w:tcMar>
            <w:vAlign w:val="center"/>
          </w:tcPr>
          <w:p w14:paraId="72F08D00">
            <w:pPr>
              <w:widowControl w:val="0"/>
              <w:topLinePunct/>
              <w:spacing w:before="0" w:after="0" w:line="240" w:lineRule="auto"/>
              <w:ind w:firstLine="420" w:firstLineChars="0"/>
              <w:jc w:val="center"/>
              <w:rPr>
                <w:rFonts w:cs="Times New Roman"/>
                <w:color w:val="auto"/>
                <w:kern w:val="2"/>
                <w:szCs w:val="21"/>
                <w:highlight w:val="none"/>
                <w:lang w:eastAsia="zh-CN"/>
              </w:rPr>
            </w:pPr>
          </w:p>
        </w:tc>
        <w:tc>
          <w:tcPr>
            <w:tcW w:w="760" w:type="pct"/>
            <w:tcMar>
              <w:top w:w="15" w:type="dxa"/>
              <w:left w:w="15" w:type="dxa"/>
              <w:bottom w:w="0" w:type="dxa"/>
              <w:right w:w="15" w:type="dxa"/>
            </w:tcMar>
            <w:vAlign w:val="center"/>
          </w:tcPr>
          <w:p w14:paraId="7497C2D8">
            <w:pPr>
              <w:widowControl w:val="0"/>
              <w:shd w:val="clear" w:color="auto" w:fill="auto"/>
              <w:adjustRightInd w:val="0"/>
              <w:snapToGrid w:val="0"/>
              <w:spacing w:beforeLines="50" w:afterLines="50" w:line="276" w:lineRule="auto"/>
              <w:jc w:val="center"/>
              <w:textAlignment w:val="auto"/>
              <w:rPr>
                <w:rFonts w:cs="Times New Roman"/>
                <w:color w:val="auto"/>
                <w:kern w:val="2"/>
                <w:szCs w:val="21"/>
                <w:highlight w:val="none"/>
                <w:lang w:eastAsia="zh-CN"/>
              </w:rPr>
            </w:pPr>
          </w:p>
        </w:tc>
        <w:tc>
          <w:tcPr>
            <w:tcW w:w="701" w:type="dxa"/>
            <w:tcMar>
              <w:top w:w="15" w:type="dxa"/>
              <w:left w:w="15" w:type="dxa"/>
              <w:bottom w:w="0" w:type="dxa"/>
              <w:right w:w="15" w:type="dxa"/>
            </w:tcMar>
            <w:vAlign w:val="center"/>
          </w:tcPr>
          <w:p w14:paraId="3469F674">
            <w:pPr>
              <w:widowControl w:val="0"/>
              <w:shd w:val="clear" w:color="auto" w:fill="auto"/>
              <w:adjustRightInd w:val="0"/>
              <w:snapToGrid w:val="0"/>
              <w:spacing w:beforeLines="50" w:afterLines="50" w:line="276" w:lineRule="auto"/>
              <w:ind w:firstLine="0" w:firstLineChars="0"/>
              <w:jc w:val="center"/>
              <w:rPr>
                <w:rFonts w:cs="Times New Roman"/>
                <w:bCs w:val="0"/>
                <w:color w:val="auto"/>
                <w:kern w:val="2"/>
                <w:szCs w:val="21"/>
                <w:highlight w:val="none"/>
                <w:lang w:eastAsia="zh-CN"/>
              </w:rPr>
            </w:pPr>
          </w:p>
        </w:tc>
        <w:tc>
          <w:tcPr>
            <w:tcW w:w="701" w:type="dxa"/>
            <w:tcMar>
              <w:top w:w="15" w:type="dxa"/>
              <w:left w:w="15" w:type="dxa"/>
              <w:bottom w:w="0" w:type="dxa"/>
              <w:right w:w="15" w:type="dxa"/>
            </w:tcMar>
            <w:vAlign w:val="center"/>
          </w:tcPr>
          <w:p w14:paraId="253DF595">
            <w:pPr>
              <w:widowControl w:val="0"/>
              <w:shd w:val="clear" w:color="auto" w:fill="auto"/>
              <w:adjustRightInd w:val="0"/>
              <w:snapToGrid w:val="0"/>
              <w:spacing w:beforeLines="50" w:afterLines="50" w:line="276" w:lineRule="auto"/>
              <w:ind w:firstLine="0" w:firstLineChars="0"/>
              <w:jc w:val="center"/>
              <w:rPr>
                <w:rFonts w:cs="Times New Roman"/>
                <w:bCs w:val="0"/>
                <w:color w:val="auto"/>
                <w:kern w:val="2"/>
                <w:szCs w:val="21"/>
                <w:highlight w:val="none"/>
                <w:lang w:eastAsia="zh-CN"/>
              </w:rPr>
            </w:pPr>
          </w:p>
        </w:tc>
        <w:tc>
          <w:tcPr>
            <w:tcW w:w="667" w:type="pct"/>
            <w:tcMar>
              <w:top w:w="15" w:type="dxa"/>
              <w:left w:w="15" w:type="dxa"/>
              <w:bottom w:w="0" w:type="dxa"/>
              <w:right w:w="15" w:type="dxa"/>
            </w:tcMar>
            <w:vAlign w:val="center"/>
          </w:tcPr>
          <w:p w14:paraId="0EDA7ECF">
            <w:pPr>
              <w:widowControl w:val="0"/>
              <w:adjustRightInd w:val="0"/>
              <w:snapToGrid w:val="0"/>
              <w:spacing w:beforeLines="50" w:afterLines="50" w:line="276" w:lineRule="auto"/>
              <w:jc w:val="center"/>
              <w:rPr>
                <w:rFonts w:cs="Times New Roman"/>
                <w:color w:val="auto"/>
                <w:kern w:val="2"/>
                <w:szCs w:val="21"/>
                <w:highlight w:val="none"/>
                <w:lang w:eastAsia="zh-CN"/>
              </w:rPr>
            </w:pPr>
          </w:p>
        </w:tc>
        <w:tc>
          <w:tcPr>
            <w:tcW w:w="407" w:type="pct"/>
            <w:tcMar>
              <w:top w:w="15" w:type="dxa"/>
              <w:left w:w="15" w:type="dxa"/>
              <w:bottom w:w="0" w:type="dxa"/>
              <w:right w:w="15" w:type="dxa"/>
            </w:tcMar>
            <w:vAlign w:val="center"/>
          </w:tcPr>
          <w:p w14:paraId="7F6BEF8C">
            <w:pPr>
              <w:widowControl w:val="0"/>
              <w:adjustRightInd w:val="0"/>
              <w:snapToGrid w:val="0"/>
              <w:spacing w:beforeLines="50" w:afterLines="50" w:line="276" w:lineRule="auto"/>
              <w:jc w:val="center"/>
              <w:rPr>
                <w:rFonts w:cs="Times New Roman"/>
                <w:color w:val="auto"/>
                <w:kern w:val="2"/>
                <w:szCs w:val="21"/>
                <w:highlight w:val="none"/>
                <w:lang w:eastAsia="zh-CN"/>
              </w:rPr>
            </w:pPr>
          </w:p>
        </w:tc>
        <w:tc>
          <w:tcPr>
            <w:tcW w:w="445" w:type="pct"/>
            <w:tcMar>
              <w:top w:w="15" w:type="dxa"/>
              <w:left w:w="15" w:type="dxa"/>
              <w:bottom w:w="0" w:type="dxa"/>
              <w:right w:w="15" w:type="dxa"/>
            </w:tcMar>
            <w:vAlign w:val="center"/>
          </w:tcPr>
          <w:p w14:paraId="608B6811">
            <w:pPr>
              <w:widowControl w:val="0"/>
              <w:adjustRightInd w:val="0"/>
              <w:snapToGrid w:val="0"/>
              <w:spacing w:beforeLines="50" w:afterLines="50" w:line="276" w:lineRule="auto"/>
              <w:jc w:val="center"/>
              <w:rPr>
                <w:rFonts w:cs="Times New Roman"/>
                <w:color w:val="auto"/>
                <w:kern w:val="2"/>
                <w:szCs w:val="21"/>
                <w:highlight w:val="none"/>
                <w:lang w:eastAsia="zh-CN"/>
              </w:rPr>
            </w:pPr>
          </w:p>
        </w:tc>
        <w:tc>
          <w:tcPr>
            <w:tcW w:w="426" w:type="pct"/>
            <w:tcMar>
              <w:top w:w="15" w:type="dxa"/>
              <w:left w:w="15" w:type="dxa"/>
              <w:bottom w:w="0" w:type="dxa"/>
              <w:right w:w="15" w:type="dxa"/>
            </w:tcMar>
            <w:vAlign w:val="center"/>
          </w:tcPr>
          <w:p w14:paraId="7123918F">
            <w:pPr>
              <w:widowControl w:val="0"/>
              <w:adjustRightInd w:val="0"/>
              <w:snapToGrid w:val="0"/>
              <w:spacing w:beforeLines="50" w:afterLines="50" w:line="276" w:lineRule="auto"/>
              <w:jc w:val="center"/>
              <w:rPr>
                <w:rFonts w:cs="Times New Roman"/>
                <w:color w:val="auto"/>
                <w:kern w:val="2"/>
                <w:szCs w:val="21"/>
                <w:highlight w:val="none"/>
                <w:lang w:eastAsia="zh-CN"/>
              </w:rPr>
            </w:pPr>
          </w:p>
        </w:tc>
      </w:tr>
      <w:tr w14:paraId="27EF28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6" w:hRule="atLeast"/>
          <w:jc w:val="center"/>
        </w:trPr>
        <w:tc>
          <w:tcPr>
            <w:tcW w:w="411" w:type="pct"/>
            <w:tcMar>
              <w:top w:w="15" w:type="dxa"/>
              <w:left w:w="15" w:type="dxa"/>
              <w:bottom w:w="0" w:type="dxa"/>
              <w:right w:w="15" w:type="dxa"/>
            </w:tcMar>
            <w:vAlign w:val="center"/>
          </w:tcPr>
          <w:p w14:paraId="37FA49BC">
            <w:pPr>
              <w:widowControl w:val="0"/>
              <w:adjustRightInd w:val="0"/>
              <w:snapToGrid w:val="0"/>
              <w:spacing w:beforeLines="50" w:afterLines="50" w:line="276" w:lineRule="auto"/>
              <w:jc w:val="center"/>
              <w:rPr>
                <w:rFonts w:cs="Times New Roman"/>
                <w:color w:val="auto"/>
                <w:kern w:val="2"/>
                <w:szCs w:val="21"/>
                <w:highlight w:val="none"/>
                <w:lang w:eastAsia="zh-CN"/>
              </w:rPr>
            </w:pPr>
            <w:r>
              <w:rPr>
                <w:rFonts w:hint="eastAsia" w:cs="Times New Roman"/>
                <w:color w:val="auto"/>
                <w:kern w:val="2"/>
                <w:szCs w:val="21"/>
                <w:highlight w:val="none"/>
                <w:lang w:val="en-US" w:eastAsia="zh-CN"/>
              </w:rPr>
              <w:t>6</w:t>
            </w:r>
          </w:p>
        </w:tc>
        <w:tc>
          <w:tcPr>
            <w:tcW w:w="1859" w:type="dxa"/>
            <w:tcMar>
              <w:top w:w="15" w:type="dxa"/>
              <w:left w:w="15" w:type="dxa"/>
              <w:bottom w:w="0" w:type="dxa"/>
              <w:right w:w="15" w:type="dxa"/>
            </w:tcMar>
            <w:vAlign w:val="center"/>
          </w:tcPr>
          <w:p w14:paraId="0C84F2A7">
            <w:pPr>
              <w:widowControl w:val="0"/>
              <w:topLinePunct/>
              <w:spacing w:before="0" w:after="0" w:line="240" w:lineRule="auto"/>
              <w:ind w:firstLine="420" w:firstLineChars="0"/>
              <w:jc w:val="center"/>
              <w:rPr>
                <w:rFonts w:cs="Times New Roman"/>
                <w:color w:val="auto"/>
                <w:kern w:val="2"/>
                <w:szCs w:val="21"/>
                <w:highlight w:val="none"/>
                <w:lang w:eastAsia="zh-CN"/>
              </w:rPr>
            </w:pPr>
          </w:p>
        </w:tc>
        <w:tc>
          <w:tcPr>
            <w:tcW w:w="760" w:type="pct"/>
            <w:tcMar>
              <w:top w:w="15" w:type="dxa"/>
              <w:left w:w="15" w:type="dxa"/>
              <w:bottom w:w="0" w:type="dxa"/>
              <w:right w:w="15" w:type="dxa"/>
            </w:tcMar>
            <w:vAlign w:val="center"/>
          </w:tcPr>
          <w:p w14:paraId="2ECC19A7">
            <w:pPr>
              <w:widowControl w:val="0"/>
              <w:shd w:val="clear" w:color="auto" w:fill="auto"/>
              <w:adjustRightInd w:val="0"/>
              <w:snapToGrid w:val="0"/>
              <w:spacing w:beforeLines="50" w:afterLines="50" w:line="276" w:lineRule="auto"/>
              <w:jc w:val="center"/>
              <w:textAlignment w:val="auto"/>
              <w:rPr>
                <w:rFonts w:cs="Times New Roman"/>
                <w:color w:val="auto"/>
                <w:kern w:val="2"/>
                <w:szCs w:val="21"/>
                <w:highlight w:val="none"/>
                <w:lang w:eastAsia="zh-CN"/>
              </w:rPr>
            </w:pPr>
          </w:p>
        </w:tc>
        <w:tc>
          <w:tcPr>
            <w:tcW w:w="701" w:type="dxa"/>
            <w:tcMar>
              <w:top w:w="15" w:type="dxa"/>
              <w:left w:w="15" w:type="dxa"/>
              <w:bottom w:w="0" w:type="dxa"/>
              <w:right w:w="15" w:type="dxa"/>
            </w:tcMar>
            <w:vAlign w:val="center"/>
          </w:tcPr>
          <w:p w14:paraId="23AD2307">
            <w:pPr>
              <w:widowControl w:val="0"/>
              <w:shd w:val="clear" w:color="auto" w:fill="auto"/>
              <w:adjustRightInd w:val="0"/>
              <w:snapToGrid w:val="0"/>
              <w:spacing w:beforeLines="50" w:afterLines="50" w:line="276" w:lineRule="auto"/>
              <w:ind w:firstLine="0" w:firstLineChars="0"/>
              <w:jc w:val="center"/>
              <w:rPr>
                <w:rFonts w:cs="Times New Roman"/>
                <w:bCs w:val="0"/>
                <w:color w:val="auto"/>
                <w:kern w:val="2"/>
                <w:szCs w:val="21"/>
                <w:highlight w:val="none"/>
                <w:lang w:eastAsia="zh-CN"/>
              </w:rPr>
            </w:pPr>
          </w:p>
        </w:tc>
        <w:tc>
          <w:tcPr>
            <w:tcW w:w="701" w:type="dxa"/>
            <w:tcMar>
              <w:top w:w="15" w:type="dxa"/>
              <w:left w:w="15" w:type="dxa"/>
              <w:bottom w:w="0" w:type="dxa"/>
              <w:right w:w="15" w:type="dxa"/>
            </w:tcMar>
            <w:vAlign w:val="center"/>
          </w:tcPr>
          <w:p w14:paraId="1DD1CE18">
            <w:pPr>
              <w:widowControl w:val="0"/>
              <w:shd w:val="clear" w:color="auto" w:fill="auto"/>
              <w:adjustRightInd w:val="0"/>
              <w:snapToGrid w:val="0"/>
              <w:spacing w:beforeLines="50" w:afterLines="50" w:line="276" w:lineRule="auto"/>
              <w:ind w:firstLine="0" w:firstLineChars="0"/>
              <w:jc w:val="center"/>
              <w:rPr>
                <w:rFonts w:cs="Times New Roman"/>
                <w:bCs w:val="0"/>
                <w:color w:val="auto"/>
                <w:kern w:val="2"/>
                <w:szCs w:val="21"/>
                <w:highlight w:val="none"/>
                <w:lang w:eastAsia="zh-CN"/>
              </w:rPr>
            </w:pPr>
          </w:p>
        </w:tc>
        <w:tc>
          <w:tcPr>
            <w:tcW w:w="667" w:type="pct"/>
            <w:tcMar>
              <w:top w:w="15" w:type="dxa"/>
              <w:left w:w="15" w:type="dxa"/>
              <w:bottom w:w="0" w:type="dxa"/>
              <w:right w:w="15" w:type="dxa"/>
            </w:tcMar>
            <w:vAlign w:val="center"/>
          </w:tcPr>
          <w:p w14:paraId="668024E4">
            <w:pPr>
              <w:widowControl w:val="0"/>
              <w:adjustRightInd w:val="0"/>
              <w:snapToGrid w:val="0"/>
              <w:spacing w:beforeLines="50" w:afterLines="50" w:line="276" w:lineRule="auto"/>
              <w:jc w:val="center"/>
              <w:rPr>
                <w:rFonts w:cs="Times New Roman"/>
                <w:color w:val="auto"/>
                <w:kern w:val="2"/>
                <w:szCs w:val="21"/>
                <w:highlight w:val="none"/>
                <w:lang w:eastAsia="zh-CN"/>
              </w:rPr>
            </w:pPr>
          </w:p>
        </w:tc>
        <w:tc>
          <w:tcPr>
            <w:tcW w:w="407" w:type="pct"/>
            <w:tcMar>
              <w:top w:w="15" w:type="dxa"/>
              <w:left w:w="15" w:type="dxa"/>
              <w:bottom w:w="0" w:type="dxa"/>
              <w:right w:w="15" w:type="dxa"/>
            </w:tcMar>
            <w:vAlign w:val="center"/>
          </w:tcPr>
          <w:p w14:paraId="77AA46DD">
            <w:pPr>
              <w:widowControl w:val="0"/>
              <w:adjustRightInd w:val="0"/>
              <w:snapToGrid w:val="0"/>
              <w:spacing w:beforeLines="50" w:afterLines="50" w:line="276" w:lineRule="auto"/>
              <w:jc w:val="center"/>
              <w:rPr>
                <w:rFonts w:cs="Times New Roman"/>
                <w:color w:val="auto"/>
                <w:kern w:val="2"/>
                <w:szCs w:val="21"/>
                <w:highlight w:val="none"/>
                <w:lang w:eastAsia="zh-CN"/>
              </w:rPr>
            </w:pPr>
          </w:p>
        </w:tc>
        <w:tc>
          <w:tcPr>
            <w:tcW w:w="445" w:type="pct"/>
            <w:tcMar>
              <w:top w:w="15" w:type="dxa"/>
              <w:left w:w="15" w:type="dxa"/>
              <w:bottom w:w="0" w:type="dxa"/>
              <w:right w:w="15" w:type="dxa"/>
            </w:tcMar>
            <w:vAlign w:val="center"/>
          </w:tcPr>
          <w:p w14:paraId="53B1EA8A">
            <w:pPr>
              <w:widowControl w:val="0"/>
              <w:adjustRightInd w:val="0"/>
              <w:snapToGrid w:val="0"/>
              <w:spacing w:beforeLines="50" w:afterLines="50" w:line="276" w:lineRule="auto"/>
              <w:jc w:val="center"/>
              <w:rPr>
                <w:rFonts w:cs="Times New Roman"/>
                <w:color w:val="auto"/>
                <w:kern w:val="2"/>
                <w:szCs w:val="21"/>
                <w:highlight w:val="none"/>
                <w:lang w:eastAsia="zh-CN"/>
              </w:rPr>
            </w:pPr>
          </w:p>
        </w:tc>
        <w:tc>
          <w:tcPr>
            <w:tcW w:w="426" w:type="pct"/>
            <w:tcMar>
              <w:top w:w="15" w:type="dxa"/>
              <w:left w:w="15" w:type="dxa"/>
              <w:bottom w:w="0" w:type="dxa"/>
              <w:right w:w="15" w:type="dxa"/>
            </w:tcMar>
            <w:vAlign w:val="center"/>
          </w:tcPr>
          <w:p w14:paraId="1435D5E6">
            <w:pPr>
              <w:widowControl w:val="0"/>
              <w:adjustRightInd w:val="0"/>
              <w:snapToGrid w:val="0"/>
              <w:spacing w:beforeLines="50" w:afterLines="50" w:line="276" w:lineRule="auto"/>
              <w:jc w:val="center"/>
              <w:rPr>
                <w:rFonts w:cs="Times New Roman"/>
                <w:color w:val="auto"/>
                <w:kern w:val="2"/>
                <w:szCs w:val="21"/>
                <w:highlight w:val="none"/>
                <w:lang w:eastAsia="zh-CN"/>
              </w:rPr>
            </w:pPr>
          </w:p>
        </w:tc>
      </w:tr>
      <w:tr w14:paraId="00EB57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4" w:hRule="atLeast"/>
          <w:jc w:val="center"/>
        </w:trPr>
        <w:tc>
          <w:tcPr>
            <w:tcW w:w="411" w:type="pct"/>
            <w:tcMar>
              <w:top w:w="15" w:type="dxa"/>
              <w:left w:w="15" w:type="dxa"/>
              <w:bottom w:w="0" w:type="dxa"/>
              <w:right w:w="15" w:type="dxa"/>
            </w:tcMar>
            <w:vAlign w:val="center"/>
          </w:tcPr>
          <w:p w14:paraId="3C42CD1A">
            <w:pPr>
              <w:widowControl w:val="0"/>
              <w:adjustRightInd w:val="0"/>
              <w:snapToGrid w:val="0"/>
              <w:spacing w:beforeLines="50" w:afterLines="50" w:line="276" w:lineRule="auto"/>
              <w:jc w:val="center"/>
              <w:rPr>
                <w:rFonts w:cs="Times New Roman"/>
                <w:color w:val="auto"/>
                <w:kern w:val="2"/>
                <w:szCs w:val="21"/>
                <w:highlight w:val="none"/>
                <w:lang w:eastAsia="zh-CN"/>
              </w:rPr>
            </w:pPr>
            <w:r>
              <w:rPr>
                <w:rFonts w:hint="eastAsia" w:cs="Times New Roman"/>
                <w:color w:val="auto"/>
                <w:kern w:val="2"/>
                <w:szCs w:val="21"/>
                <w:highlight w:val="none"/>
                <w:lang w:eastAsia="zh-CN"/>
              </w:rPr>
              <w:t>…</w:t>
            </w:r>
          </w:p>
        </w:tc>
        <w:tc>
          <w:tcPr>
            <w:tcW w:w="1072" w:type="pct"/>
            <w:tcMar>
              <w:top w:w="15" w:type="dxa"/>
              <w:left w:w="15" w:type="dxa"/>
              <w:bottom w:w="0" w:type="dxa"/>
              <w:right w:w="15" w:type="dxa"/>
            </w:tcMar>
            <w:vAlign w:val="center"/>
          </w:tcPr>
          <w:p w14:paraId="02344C15">
            <w:pPr>
              <w:widowControl w:val="0"/>
              <w:adjustRightInd w:val="0"/>
              <w:snapToGrid w:val="0"/>
              <w:spacing w:beforeLines="50" w:afterLines="50" w:line="276" w:lineRule="auto"/>
              <w:jc w:val="center"/>
              <w:rPr>
                <w:rFonts w:cs="Times New Roman"/>
                <w:color w:val="auto"/>
                <w:kern w:val="2"/>
                <w:szCs w:val="21"/>
                <w:highlight w:val="none"/>
                <w:lang w:eastAsia="zh-CN"/>
              </w:rPr>
            </w:pPr>
          </w:p>
        </w:tc>
        <w:tc>
          <w:tcPr>
            <w:tcW w:w="760" w:type="pct"/>
            <w:tcMar>
              <w:top w:w="15" w:type="dxa"/>
              <w:left w:w="15" w:type="dxa"/>
              <w:bottom w:w="0" w:type="dxa"/>
              <w:right w:w="15" w:type="dxa"/>
            </w:tcMar>
            <w:vAlign w:val="center"/>
          </w:tcPr>
          <w:p w14:paraId="74788556">
            <w:pPr>
              <w:widowControl w:val="0"/>
              <w:adjustRightInd w:val="0"/>
              <w:snapToGrid w:val="0"/>
              <w:spacing w:beforeLines="50" w:afterLines="50" w:line="276" w:lineRule="auto"/>
              <w:jc w:val="center"/>
              <w:rPr>
                <w:rFonts w:cs="Times New Roman"/>
                <w:color w:val="auto"/>
                <w:kern w:val="2"/>
                <w:szCs w:val="21"/>
                <w:highlight w:val="none"/>
                <w:lang w:eastAsia="zh-CN"/>
              </w:rPr>
            </w:pPr>
          </w:p>
        </w:tc>
        <w:tc>
          <w:tcPr>
            <w:tcW w:w="404" w:type="pct"/>
            <w:tcMar>
              <w:top w:w="15" w:type="dxa"/>
              <w:left w:w="15" w:type="dxa"/>
              <w:bottom w:w="0" w:type="dxa"/>
              <w:right w:w="15" w:type="dxa"/>
            </w:tcMar>
            <w:vAlign w:val="center"/>
          </w:tcPr>
          <w:p w14:paraId="46499645">
            <w:pPr>
              <w:widowControl w:val="0"/>
              <w:adjustRightInd w:val="0"/>
              <w:snapToGrid w:val="0"/>
              <w:spacing w:beforeLines="50" w:afterLines="50" w:line="276" w:lineRule="auto"/>
              <w:jc w:val="center"/>
              <w:rPr>
                <w:rFonts w:cs="Times New Roman"/>
                <w:color w:val="auto"/>
                <w:kern w:val="2"/>
                <w:szCs w:val="21"/>
                <w:highlight w:val="none"/>
                <w:lang w:eastAsia="zh-CN"/>
              </w:rPr>
            </w:pPr>
          </w:p>
        </w:tc>
        <w:tc>
          <w:tcPr>
            <w:tcW w:w="404" w:type="pct"/>
            <w:tcMar>
              <w:top w:w="15" w:type="dxa"/>
              <w:left w:w="15" w:type="dxa"/>
              <w:bottom w:w="0" w:type="dxa"/>
              <w:right w:w="15" w:type="dxa"/>
            </w:tcMar>
            <w:vAlign w:val="center"/>
          </w:tcPr>
          <w:p w14:paraId="021D2DFB">
            <w:pPr>
              <w:widowControl w:val="0"/>
              <w:adjustRightInd w:val="0"/>
              <w:snapToGrid w:val="0"/>
              <w:spacing w:beforeLines="50" w:afterLines="50" w:line="276" w:lineRule="auto"/>
              <w:jc w:val="center"/>
              <w:rPr>
                <w:rFonts w:cs="Times New Roman"/>
                <w:color w:val="auto"/>
                <w:kern w:val="2"/>
                <w:szCs w:val="21"/>
                <w:highlight w:val="none"/>
                <w:lang w:eastAsia="zh-CN"/>
              </w:rPr>
            </w:pPr>
          </w:p>
        </w:tc>
        <w:tc>
          <w:tcPr>
            <w:tcW w:w="667" w:type="pct"/>
            <w:tcMar>
              <w:top w:w="15" w:type="dxa"/>
              <w:left w:w="15" w:type="dxa"/>
              <w:bottom w:w="0" w:type="dxa"/>
              <w:right w:w="15" w:type="dxa"/>
            </w:tcMar>
            <w:vAlign w:val="center"/>
          </w:tcPr>
          <w:p w14:paraId="62289C31">
            <w:pPr>
              <w:widowControl w:val="0"/>
              <w:adjustRightInd w:val="0"/>
              <w:snapToGrid w:val="0"/>
              <w:spacing w:beforeLines="50" w:afterLines="50" w:line="276" w:lineRule="auto"/>
              <w:jc w:val="center"/>
              <w:rPr>
                <w:rFonts w:cs="Times New Roman"/>
                <w:color w:val="auto"/>
                <w:kern w:val="2"/>
                <w:szCs w:val="21"/>
                <w:highlight w:val="none"/>
                <w:lang w:eastAsia="zh-CN"/>
              </w:rPr>
            </w:pPr>
          </w:p>
        </w:tc>
        <w:tc>
          <w:tcPr>
            <w:tcW w:w="407" w:type="pct"/>
            <w:tcMar>
              <w:top w:w="15" w:type="dxa"/>
              <w:left w:w="15" w:type="dxa"/>
              <w:bottom w:w="0" w:type="dxa"/>
              <w:right w:w="15" w:type="dxa"/>
            </w:tcMar>
            <w:vAlign w:val="center"/>
          </w:tcPr>
          <w:p w14:paraId="21184DEA">
            <w:pPr>
              <w:widowControl w:val="0"/>
              <w:adjustRightInd w:val="0"/>
              <w:snapToGrid w:val="0"/>
              <w:spacing w:beforeLines="50" w:afterLines="50" w:line="276" w:lineRule="auto"/>
              <w:jc w:val="center"/>
              <w:rPr>
                <w:rFonts w:cs="Times New Roman"/>
                <w:color w:val="auto"/>
                <w:kern w:val="2"/>
                <w:szCs w:val="21"/>
                <w:highlight w:val="none"/>
                <w:lang w:eastAsia="zh-CN"/>
              </w:rPr>
            </w:pPr>
          </w:p>
        </w:tc>
        <w:tc>
          <w:tcPr>
            <w:tcW w:w="445" w:type="pct"/>
            <w:tcMar>
              <w:top w:w="15" w:type="dxa"/>
              <w:left w:w="15" w:type="dxa"/>
              <w:bottom w:w="0" w:type="dxa"/>
              <w:right w:w="15" w:type="dxa"/>
            </w:tcMar>
            <w:vAlign w:val="center"/>
          </w:tcPr>
          <w:p w14:paraId="6EE71F8B">
            <w:pPr>
              <w:widowControl w:val="0"/>
              <w:adjustRightInd w:val="0"/>
              <w:snapToGrid w:val="0"/>
              <w:spacing w:beforeLines="50" w:afterLines="50" w:line="276" w:lineRule="auto"/>
              <w:jc w:val="center"/>
              <w:rPr>
                <w:rFonts w:cs="Times New Roman"/>
                <w:color w:val="auto"/>
                <w:kern w:val="2"/>
                <w:szCs w:val="21"/>
                <w:highlight w:val="none"/>
                <w:lang w:eastAsia="zh-CN"/>
              </w:rPr>
            </w:pPr>
          </w:p>
        </w:tc>
        <w:tc>
          <w:tcPr>
            <w:tcW w:w="426" w:type="pct"/>
            <w:tcMar>
              <w:top w:w="15" w:type="dxa"/>
              <w:left w:w="15" w:type="dxa"/>
              <w:bottom w:w="0" w:type="dxa"/>
              <w:right w:w="15" w:type="dxa"/>
            </w:tcMar>
            <w:vAlign w:val="center"/>
          </w:tcPr>
          <w:p w14:paraId="3FFABDEF">
            <w:pPr>
              <w:widowControl w:val="0"/>
              <w:adjustRightInd w:val="0"/>
              <w:snapToGrid w:val="0"/>
              <w:spacing w:beforeLines="50" w:afterLines="50" w:line="276" w:lineRule="auto"/>
              <w:jc w:val="center"/>
              <w:rPr>
                <w:rFonts w:cs="Times New Roman"/>
                <w:color w:val="auto"/>
                <w:kern w:val="2"/>
                <w:szCs w:val="21"/>
                <w:highlight w:val="none"/>
                <w:lang w:eastAsia="zh-CN"/>
              </w:rPr>
            </w:pPr>
          </w:p>
        </w:tc>
      </w:tr>
      <w:tr w14:paraId="26CB3C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4" w:hRule="atLeast"/>
          <w:jc w:val="center"/>
        </w:trPr>
        <w:tc>
          <w:tcPr>
            <w:tcW w:w="4127" w:type="pct"/>
            <w:gridSpan w:val="7"/>
            <w:tcMar>
              <w:top w:w="15" w:type="dxa"/>
              <w:left w:w="15" w:type="dxa"/>
              <w:bottom w:w="0" w:type="dxa"/>
              <w:right w:w="15" w:type="dxa"/>
            </w:tcMar>
            <w:vAlign w:val="center"/>
          </w:tcPr>
          <w:p w14:paraId="441C6A5A">
            <w:pPr>
              <w:widowControl w:val="0"/>
              <w:adjustRightInd w:val="0"/>
              <w:snapToGrid w:val="0"/>
              <w:spacing w:beforeLines="50" w:afterLines="50" w:line="276" w:lineRule="auto"/>
              <w:jc w:val="center"/>
              <w:rPr>
                <w:rFonts w:cs="Times New Roman"/>
                <w:color w:val="auto"/>
                <w:kern w:val="2"/>
                <w:szCs w:val="21"/>
                <w:highlight w:val="none"/>
                <w:lang w:eastAsia="zh-CN"/>
              </w:rPr>
            </w:pPr>
            <w:r>
              <w:rPr>
                <w:rFonts w:hint="eastAsia" w:cs="Times New Roman"/>
                <w:color w:val="auto"/>
                <w:kern w:val="2"/>
                <w:szCs w:val="21"/>
                <w:highlight w:val="none"/>
                <w:lang w:eastAsia="zh-CN"/>
              </w:rPr>
              <w:t>合计</w:t>
            </w:r>
          </w:p>
        </w:tc>
        <w:tc>
          <w:tcPr>
            <w:tcW w:w="445" w:type="pct"/>
            <w:tcMar>
              <w:top w:w="15" w:type="dxa"/>
              <w:left w:w="15" w:type="dxa"/>
              <w:bottom w:w="0" w:type="dxa"/>
              <w:right w:w="15" w:type="dxa"/>
            </w:tcMar>
            <w:vAlign w:val="center"/>
          </w:tcPr>
          <w:p w14:paraId="04A5026A">
            <w:pPr>
              <w:widowControl w:val="0"/>
              <w:adjustRightInd w:val="0"/>
              <w:snapToGrid w:val="0"/>
              <w:spacing w:beforeLines="50" w:afterLines="50" w:line="276" w:lineRule="auto"/>
              <w:jc w:val="center"/>
              <w:rPr>
                <w:rFonts w:cs="Times New Roman"/>
                <w:color w:val="auto"/>
                <w:kern w:val="2"/>
                <w:szCs w:val="21"/>
                <w:highlight w:val="none"/>
                <w:lang w:eastAsia="zh-CN"/>
              </w:rPr>
            </w:pPr>
          </w:p>
        </w:tc>
        <w:tc>
          <w:tcPr>
            <w:tcW w:w="426" w:type="pct"/>
            <w:tcMar>
              <w:top w:w="15" w:type="dxa"/>
              <w:left w:w="15" w:type="dxa"/>
              <w:bottom w:w="0" w:type="dxa"/>
              <w:right w:w="15" w:type="dxa"/>
            </w:tcMar>
            <w:vAlign w:val="center"/>
          </w:tcPr>
          <w:p w14:paraId="165978F9">
            <w:pPr>
              <w:widowControl w:val="0"/>
              <w:adjustRightInd w:val="0"/>
              <w:snapToGrid w:val="0"/>
              <w:spacing w:beforeLines="50" w:afterLines="50" w:line="276" w:lineRule="auto"/>
              <w:jc w:val="center"/>
              <w:rPr>
                <w:rFonts w:cs="Times New Roman"/>
                <w:color w:val="auto"/>
                <w:kern w:val="2"/>
                <w:szCs w:val="21"/>
                <w:highlight w:val="none"/>
                <w:lang w:eastAsia="zh-CN"/>
              </w:rPr>
            </w:pPr>
          </w:p>
        </w:tc>
      </w:tr>
    </w:tbl>
    <w:p w14:paraId="03998465">
      <w:pPr>
        <w:widowControl w:val="0"/>
        <w:spacing w:after="200" w:line="360" w:lineRule="auto"/>
        <w:jc w:val="center"/>
        <w:rPr>
          <w:rFonts w:cs="宋体"/>
          <w:bCs/>
          <w:color w:val="auto"/>
          <w:kern w:val="2"/>
          <w:szCs w:val="21"/>
          <w:highlight w:val="none"/>
          <w:lang w:eastAsia="zh-CN"/>
        </w:rPr>
      </w:pPr>
    </w:p>
    <w:p w14:paraId="0B017CA2">
      <w:pPr>
        <w:widowControl w:val="0"/>
        <w:tabs>
          <w:tab w:val="left" w:pos="600"/>
        </w:tabs>
        <w:adjustRightInd w:val="0"/>
        <w:snapToGrid w:val="0"/>
        <w:spacing w:after="200" w:line="360" w:lineRule="auto"/>
        <w:jc w:val="center"/>
        <w:rPr>
          <w:rFonts w:cs="Times New Roman"/>
          <w:color w:val="auto"/>
          <w:kern w:val="2"/>
          <w:szCs w:val="21"/>
          <w:highlight w:val="none"/>
          <w:lang w:eastAsia="zh-CN"/>
        </w:rPr>
      </w:pPr>
      <w:r>
        <w:rPr>
          <w:rFonts w:hint="eastAsia" w:cs="Times New Roman"/>
          <w:color w:val="auto"/>
          <w:kern w:val="2"/>
          <w:szCs w:val="21"/>
          <w:highlight w:val="none"/>
          <w:lang w:eastAsia="zh-CN"/>
        </w:rPr>
        <w:t>附表2B 投标人补充的随机备品备件表</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724"/>
        <w:gridCol w:w="1873"/>
        <w:gridCol w:w="1323"/>
        <w:gridCol w:w="705"/>
        <w:gridCol w:w="705"/>
        <w:gridCol w:w="1410"/>
        <w:gridCol w:w="568"/>
        <w:gridCol w:w="651"/>
        <w:gridCol w:w="746"/>
      </w:tblGrid>
      <w:tr w14:paraId="2D25B5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16" w:type="pct"/>
            <w:tcMar>
              <w:top w:w="15" w:type="dxa"/>
              <w:left w:w="15" w:type="dxa"/>
              <w:bottom w:w="0" w:type="dxa"/>
              <w:right w:w="15" w:type="dxa"/>
            </w:tcMar>
            <w:vAlign w:val="center"/>
          </w:tcPr>
          <w:p w14:paraId="1A39377B">
            <w:pPr>
              <w:widowControl w:val="0"/>
              <w:adjustRightInd w:val="0"/>
              <w:snapToGrid w:val="0"/>
              <w:spacing w:beforeLines="50" w:afterLines="50" w:line="276" w:lineRule="auto"/>
              <w:jc w:val="center"/>
              <w:rPr>
                <w:rFonts w:cs="Times New Roman"/>
                <w:color w:val="auto"/>
                <w:kern w:val="2"/>
                <w:szCs w:val="21"/>
                <w:highlight w:val="none"/>
                <w:lang w:eastAsia="zh-CN"/>
              </w:rPr>
            </w:pPr>
            <w:r>
              <w:rPr>
                <w:rFonts w:hint="eastAsia" w:cs="Times New Roman"/>
                <w:color w:val="auto"/>
                <w:kern w:val="2"/>
                <w:szCs w:val="21"/>
                <w:highlight w:val="none"/>
                <w:lang w:eastAsia="zh-CN"/>
              </w:rPr>
              <w:t>序号</w:t>
            </w:r>
          </w:p>
        </w:tc>
        <w:tc>
          <w:tcPr>
            <w:tcW w:w="1076" w:type="pct"/>
            <w:tcMar>
              <w:top w:w="15" w:type="dxa"/>
              <w:left w:w="15" w:type="dxa"/>
              <w:bottom w:w="0" w:type="dxa"/>
              <w:right w:w="15" w:type="dxa"/>
            </w:tcMar>
            <w:vAlign w:val="center"/>
          </w:tcPr>
          <w:p w14:paraId="68BCBE87">
            <w:pPr>
              <w:widowControl w:val="0"/>
              <w:adjustRightInd w:val="0"/>
              <w:snapToGrid w:val="0"/>
              <w:spacing w:beforeLines="50" w:afterLines="50" w:line="276" w:lineRule="auto"/>
              <w:jc w:val="center"/>
              <w:rPr>
                <w:rFonts w:cs="Times New Roman"/>
                <w:color w:val="auto"/>
                <w:kern w:val="2"/>
                <w:szCs w:val="21"/>
                <w:highlight w:val="none"/>
                <w:lang w:eastAsia="zh-CN"/>
              </w:rPr>
            </w:pPr>
            <w:r>
              <w:rPr>
                <w:rFonts w:hint="eastAsia" w:cs="Times New Roman"/>
                <w:color w:val="auto"/>
                <w:kern w:val="2"/>
                <w:szCs w:val="21"/>
                <w:highlight w:val="none"/>
                <w:lang w:eastAsia="zh-CN"/>
              </w:rPr>
              <w:t>名  称</w:t>
            </w:r>
          </w:p>
        </w:tc>
        <w:tc>
          <w:tcPr>
            <w:tcW w:w="760" w:type="pct"/>
            <w:tcMar>
              <w:top w:w="15" w:type="dxa"/>
              <w:left w:w="15" w:type="dxa"/>
              <w:bottom w:w="0" w:type="dxa"/>
              <w:right w:w="15" w:type="dxa"/>
            </w:tcMar>
            <w:vAlign w:val="center"/>
          </w:tcPr>
          <w:p w14:paraId="698DBC23">
            <w:pPr>
              <w:widowControl w:val="0"/>
              <w:adjustRightInd w:val="0"/>
              <w:snapToGrid w:val="0"/>
              <w:spacing w:beforeLines="50" w:afterLines="50" w:line="276" w:lineRule="auto"/>
              <w:jc w:val="center"/>
              <w:rPr>
                <w:rFonts w:cs="Times New Roman"/>
                <w:color w:val="auto"/>
                <w:kern w:val="2"/>
                <w:szCs w:val="21"/>
                <w:highlight w:val="none"/>
                <w:lang w:eastAsia="zh-CN"/>
              </w:rPr>
            </w:pPr>
            <w:r>
              <w:rPr>
                <w:rFonts w:hint="eastAsia" w:cs="Times New Roman"/>
                <w:color w:val="auto"/>
                <w:kern w:val="2"/>
                <w:szCs w:val="21"/>
                <w:highlight w:val="none"/>
                <w:lang w:eastAsia="zh-CN"/>
              </w:rPr>
              <w:t>规格型号</w:t>
            </w:r>
          </w:p>
        </w:tc>
        <w:tc>
          <w:tcPr>
            <w:tcW w:w="405" w:type="pct"/>
            <w:tcMar>
              <w:top w:w="15" w:type="dxa"/>
              <w:left w:w="15" w:type="dxa"/>
              <w:bottom w:w="0" w:type="dxa"/>
              <w:right w:w="15" w:type="dxa"/>
            </w:tcMar>
            <w:vAlign w:val="center"/>
          </w:tcPr>
          <w:p w14:paraId="446DD7C7">
            <w:pPr>
              <w:widowControl w:val="0"/>
              <w:adjustRightInd w:val="0"/>
              <w:snapToGrid w:val="0"/>
              <w:spacing w:beforeLines="50" w:afterLines="50" w:line="276" w:lineRule="auto"/>
              <w:jc w:val="center"/>
              <w:rPr>
                <w:rFonts w:cs="Times New Roman"/>
                <w:color w:val="auto"/>
                <w:kern w:val="2"/>
                <w:szCs w:val="21"/>
                <w:highlight w:val="none"/>
                <w:lang w:eastAsia="zh-CN"/>
              </w:rPr>
            </w:pPr>
            <w:r>
              <w:rPr>
                <w:rFonts w:hint="eastAsia" w:cs="Times New Roman"/>
                <w:color w:val="auto"/>
                <w:kern w:val="2"/>
                <w:szCs w:val="21"/>
                <w:highlight w:val="none"/>
                <w:lang w:eastAsia="zh-CN"/>
              </w:rPr>
              <w:t>单位</w:t>
            </w:r>
          </w:p>
        </w:tc>
        <w:tc>
          <w:tcPr>
            <w:tcW w:w="405" w:type="pct"/>
            <w:tcMar>
              <w:top w:w="15" w:type="dxa"/>
              <w:left w:w="15" w:type="dxa"/>
              <w:bottom w:w="0" w:type="dxa"/>
              <w:right w:w="15" w:type="dxa"/>
            </w:tcMar>
            <w:vAlign w:val="center"/>
          </w:tcPr>
          <w:p w14:paraId="7ABD6CD2">
            <w:pPr>
              <w:widowControl w:val="0"/>
              <w:adjustRightInd w:val="0"/>
              <w:snapToGrid w:val="0"/>
              <w:spacing w:beforeLines="50" w:afterLines="50" w:line="276" w:lineRule="auto"/>
              <w:jc w:val="center"/>
              <w:rPr>
                <w:rFonts w:cs="Times New Roman"/>
                <w:color w:val="auto"/>
                <w:kern w:val="2"/>
                <w:szCs w:val="21"/>
                <w:highlight w:val="none"/>
                <w:lang w:eastAsia="zh-CN"/>
              </w:rPr>
            </w:pPr>
            <w:r>
              <w:rPr>
                <w:rFonts w:hint="eastAsia" w:cs="Times New Roman"/>
                <w:color w:val="auto"/>
                <w:kern w:val="2"/>
                <w:szCs w:val="21"/>
                <w:highlight w:val="none"/>
                <w:lang w:eastAsia="zh-CN"/>
              </w:rPr>
              <w:t>数量</w:t>
            </w:r>
          </w:p>
        </w:tc>
        <w:tc>
          <w:tcPr>
            <w:tcW w:w="810" w:type="pct"/>
            <w:tcMar>
              <w:top w:w="15" w:type="dxa"/>
              <w:left w:w="15" w:type="dxa"/>
              <w:bottom w:w="0" w:type="dxa"/>
              <w:right w:w="15" w:type="dxa"/>
            </w:tcMar>
            <w:vAlign w:val="center"/>
          </w:tcPr>
          <w:p w14:paraId="6A394EF4">
            <w:pPr>
              <w:widowControl w:val="0"/>
              <w:adjustRightInd w:val="0"/>
              <w:snapToGrid w:val="0"/>
              <w:spacing w:beforeLines="50" w:afterLines="50" w:line="276" w:lineRule="auto"/>
              <w:jc w:val="center"/>
              <w:rPr>
                <w:rFonts w:cs="Times New Roman"/>
                <w:color w:val="auto"/>
                <w:kern w:val="2"/>
                <w:szCs w:val="21"/>
                <w:highlight w:val="none"/>
                <w:lang w:eastAsia="zh-CN"/>
              </w:rPr>
            </w:pPr>
            <w:r>
              <w:rPr>
                <w:rFonts w:hint="eastAsia" w:cs="Times New Roman"/>
                <w:color w:val="auto"/>
                <w:kern w:val="2"/>
                <w:szCs w:val="21"/>
                <w:highlight w:val="none"/>
                <w:lang w:eastAsia="zh-CN"/>
              </w:rPr>
              <w:t>产地/制造商</w:t>
            </w:r>
          </w:p>
        </w:tc>
        <w:tc>
          <w:tcPr>
            <w:tcW w:w="326" w:type="pct"/>
            <w:tcMar>
              <w:top w:w="15" w:type="dxa"/>
              <w:left w:w="15" w:type="dxa"/>
              <w:bottom w:w="0" w:type="dxa"/>
              <w:right w:w="15" w:type="dxa"/>
            </w:tcMar>
            <w:vAlign w:val="center"/>
          </w:tcPr>
          <w:p w14:paraId="68DF308E">
            <w:pPr>
              <w:widowControl w:val="0"/>
              <w:adjustRightInd w:val="0"/>
              <w:snapToGrid w:val="0"/>
              <w:spacing w:beforeLines="50" w:afterLines="50" w:line="276" w:lineRule="auto"/>
              <w:jc w:val="center"/>
              <w:rPr>
                <w:rFonts w:cs="Times New Roman"/>
                <w:color w:val="auto"/>
                <w:kern w:val="2"/>
                <w:szCs w:val="21"/>
                <w:highlight w:val="none"/>
                <w:lang w:eastAsia="zh-CN"/>
              </w:rPr>
            </w:pPr>
            <w:r>
              <w:rPr>
                <w:rFonts w:hint="eastAsia" w:cs="Times New Roman"/>
                <w:color w:val="auto"/>
                <w:kern w:val="2"/>
                <w:szCs w:val="21"/>
                <w:highlight w:val="none"/>
                <w:lang w:eastAsia="zh-CN"/>
              </w:rPr>
              <w:t>单价</w:t>
            </w:r>
          </w:p>
        </w:tc>
        <w:tc>
          <w:tcPr>
            <w:tcW w:w="374" w:type="pct"/>
            <w:tcMar>
              <w:top w:w="15" w:type="dxa"/>
              <w:left w:w="15" w:type="dxa"/>
              <w:bottom w:w="0" w:type="dxa"/>
              <w:right w:w="15" w:type="dxa"/>
            </w:tcMar>
            <w:vAlign w:val="center"/>
          </w:tcPr>
          <w:p w14:paraId="41BC2D21">
            <w:pPr>
              <w:widowControl w:val="0"/>
              <w:adjustRightInd w:val="0"/>
              <w:snapToGrid w:val="0"/>
              <w:spacing w:beforeLines="50" w:afterLines="50" w:line="276" w:lineRule="auto"/>
              <w:jc w:val="center"/>
              <w:rPr>
                <w:rFonts w:cs="Times New Roman"/>
                <w:color w:val="auto"/>
                <w:kern w:val="2"/>
                <w:szCs w:val="21"/>
                <w:highlight w:val="none"/>
                <w:lang w:eastAsia="zh-CN"/>
              </w:rPr>
            </w:pPr>
            <w:r>
              <w:rPr>
                <w:rFonts w:hint="eastAsia" w:cs="Times New Roman"/>
                <w:color w:val="auto"/>
                <w:kern w:val="2"/>
                <w:szCs w:val="21"/>
                <w:highlight w:val="none"/>
                <w:lang w:eastAsia="zh-CN"/>
              </w:rPr>
              <w:t>合价</w:t>
            </w:r>
          </w:p>
        </w:tc>
        <w:tc>
          <w:tcPr>
            <w:tcW w:w="428" w:type="pct"/>
            <w:tcMar>
              <w:top w:w="15" w:type="dxa"/>
              <w:left w:w="15" w:type="dxa"/>
              <w:bottom w:w="0" w:type="dxa"/>
              <w:right w:w="15" w:type="dxa"/>
            </w:tcMar>
            <w:vAlign w:val="center"/>
          </w:tcPr>
          <w:p w14:paraId="69116578">
            <w:pPr>
              <w:widowControl w:val="0"/>
              <w:adjustRightInd w:val="0"/>
              <w:snapToGrid w:val="0"/>
              <w:spacing w:beforeLines="50" w:afterLines="50" w:line="276" w:lineRule="auto"/>
              <w:jc w:val="center"/>
              <w:rPr>
                <w:rFonts w:cs="Times New Roman"/>
                <w:color w:val="auto"/>
                <w:kern w:val="2"/>
                <w:szCs w:val="21"/>
                <w:highlight w:val="none"/>
                <w:lang w:eastAsia="zh-CN"/>
              </w:rPr>
            </w:pPr>
            <w:r>
              <w:rPr>
                <w:rFonts w:hint="eastAsia" w:cs="Times New Roman"/>
                <w:color w:val="auto"/>
                <w:kern w:val="2"/>
                <w:szCs w:val="21"/>
                <w:highlight w:val="none"/>
                <w:lang w:eastAsia="zh-CN"/>
              </w:rPr>
              <w:t>备注</w:t>
            </w:r>
          </w:p>
        </w:tc>
      </w:tr>
      <w:tr w14:paraId="679CA6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16" w:type="pct"/>
            <w:tcMar>
              <w:top w:w="15" w:type="dxa"/>
              <w:left w:w="15" w:type="dxa"/>
              <w:bottom w:w="0" w:type="dxa"/>
              <w:right w:w="15" w:type="dxa"/>
            </w:tcMar>
            <w:vAlign w:val="center"/>
          </w:tcPr>
          <w:p w14:paraId="7B8D7CA5">
            <w:pPr>
              <w:widowControl w:val="0"/>
              <w:adjustRightInd w:val="0"/>
              <w:snapToGrid w:val="0"/>
              <w:spacing w:beforeLines="50" w:afterLines="50" w:line="276" w:lineRule="auto"/>
              <w:jc w:val="center"/>
              <w:rPr>
                <w:rFonts w:cs="Times New Roman"/>
                <w:color w:val="auto"/>
                <w:kern w:val="2"/>
                <w:szCs w:val="21"/>
                <w:highlight w:val="none"/>
                <w:lang w:eastAsia="zh-CN"/>
              </w:rPr>
            </w:pPr>
            <w:r>
              <w:rPr>
                <w:rFonts w:hint="eastAsia" w:cs="Times New Roman"/>
                <w:color w:val="auto"/>
                <w:kern w:val="2"/>
                <w:szCs w:val="21"/>
                <w:highlight w:val="none"/>
                <w:lang w:eastAsia="zh-CN"/>
              </w:rPr>
              <w:t>1</w:t>
            </w:r>
          </w:p>
        </w:tc>
        <w:tc>
          <w:tcPr>
            <w:tcW w:w="1076" w:type="pct"/>
            <w:tcMar>
              <w:top w:w="15" w:type="dxa"/>
              <w:left w:w="15" w:type="dxa"/>
              <w:bottom w:w="0" w:type="dxa"/>
              <w:right w:w="15" w:type="dxa"/>
            </w:tcMar>
            <w:vAlign w:val="center"/>
          </w:tcPr>
          <w:p w14:paraId="254A2B1E">
            <w:pPr>
              <w:widowControl w:val="0"/>
              <w:adjustRightInd w:val="0"/>
              <w:snapToGrid w:val="0"/>
              <w:spacing w:beforeLines="50" w:afterLines="50" w:line="276" w:lineRule="auto"/>
              <w:jc w:val="center"/>
              <w:rPr>
                <w:rFonts w:cs="Times New Roman"/>
                <w:color w:val="auto"/>
                <w:kern w:val="2"/>
                <w:szCs w:val="21"/>
                <w:highlight w:val="none"/>
                <w:lang w:eastAsia="zh-CN"/>
              </w:rPr>
            </w:pPr>
          </w:p>
        </w:tc>
        <w:tc>
          <w:tcPr>
            <w:tcW w:w="760" w:type="pct"/>
            <w:tcMar>
              <w:top w:w="15" w:type="dxa"/>
              <w:left w:w="15" w:type="dxa"/>
              <w:bottom w:w="0" w:type="dxa"/>
              <w:right w:w="15" w:type="dxa"/>
            </w:tcMar>
            <w:vAlign w:val="center"/>
          </w:tcPr>
          <w:p w14:paraId="4880C1F1">
            <w:pPr>
              <w:widowControl w:val="0"/>
              <w:adjustRightInd w:val="0"/>
              <w:snapToGrid w:val="0"/>
              <w:spacing w:beforeLines="50" w:afterLines="50" w:line="276" w:lineRule="auto"/>
              <w:jc w:val="center"/>
              <w:rPr>
                <w:rFonts w:cs="Times New Roman"/>
                <w:color w:val="auto"/>
                <w:kern w:val="2"/>
                <w:szCs w:val="21"/>
                <w:highlight w:val="none"/>
                <w:lang w:eastAsia="zh-CN"/>
              </w:rPr>
            </w:pPr>
          </w:p>
        </w:tc>
        <w:tc>
          <w:tcPr>
            <w:tcW w:w="405" w:type="pct"/>
            <w:tcMar>
              <w:top w:w="15" w:type="dxa"/>
              <w:left w:w="15" w:type="dxa"/>
              <w:bottom w:w="0" w:type="dxa"/>
              <w:right w:w="15" w:type="dxa"/>
            </w:tcMar>
            <w:vAlign w:val="center"/>
          </w:tcPr>
          <w:p w14:paraId="20E6CA96">
            <w:pPr>
              <w:widowControl w:val="0"/>
              <w:adjustRightInd w:val="0"/>
              <w:snapToGrid w:val="0"/>
              <w:spacing w:beforeLines="50" w:afterLines="50" w:line="276" w:lineRule="auto"/>
              <w:jc w:val="center"/>
              <w:rPr>
                <w:rFonts w:cs="Times New Roman"/>
                <w:color w:val="auto"/>
                <w:kern w:val="2"/>
                <w:szCs w:val="21"/>
                <w:highlight w:val="none"/>
                <w:lang w:eastAsia="zh-CN"/>
              </w:rPr>
            </w:pPr>
          </w:p>
        </w:tc>
        <w:tc>
          <w:tcPr>
            <w:tcW w:w="405" w:type="pct"/>
            <w:tcMar>
              <w:top w:w="15" w:type="dxa"/>
              <w:left w:w="15" w:type="dxa"/>
              <w:bottom w:w="0" w:type="dxa"/>
              <w:right w:w="15" w:type="dxa"/>
            </w:tcMar>
            <w:vAlign w:val="center"/>
          </w:tcPr>
          <w:p w14:paraId="10CC352F">
            <w:pPr>
              <w:widowControl w:val="0"/>
              <w:adjustRightInd w:val="0"/>
              <w:snapToGrid w:val="0"/>
              <w:spacing w:beforeLines="50" w:afterLines="50" w:line="276" w:lineRule="auto"/>
              <w:jc w:val="center"/>
              <w:rPr>
                <w:rFonts w:cs="Times New Roman"/>
                <w:color w:val="auto"/>
                <w:kern w:val="2"/>
                <w:szCs w:val="21"/>
                <w:highlight w:val="none"/>
                <w:lang w:eastAsia="zh-CN"/>
              </w:rPr>
            </w:pPr>
          </w:p>
        </w:tc>
        <w:tc>
          <w:tcPr>
            <w:tcW w:w="810" w:type="pct"/>
            <w:tcMar>
              <w:top w:w="15" w:type="dxa"/>
              <w:left w:w="15" w:type="dxa"/>
              <w:bottom w:w="0" w:type="dxa"/>
              <w:right w:w="15" w:type="dxa"/>
            </w:tcMar>
            <w:vAlign w:val="center"/>
          </w:tcPr>
          <w:p w14:paraId="709A0F6B">
            <w:pPr>
              <w:widowControl w:val="0"/>
              <w:adjustRightInd w:val="0"/>
              <w:snapToGrid w:val="0"/>
              <w:spacing w:beforeLines="50" w:afterLines="50" w:line="276" w:lineRule="auto"/>
              <w:jc w:val="center"/>
              <w:rPr>
                <w:rFonts w:cs="Times New Roman"/>
                <w:color w:val="auto"/>
                <w:kern w:val="2"/>
                <w:szCs w:val="21"/>
                <w:highlight w:val="none"/>
                <w:lang w:eastAsia="zh-CN"/>
              </w:rPr>
            </w:pPr>
          </w:p>
        </w:tc>
        <w:tc>
          <w:tcPr>
            <w:tcW w:w="326" w:type="pct"/>
            <w:tcMar>
              <w:top w:w="15" w:type="dxa"/>
              <w:left w:w="15" w:type="dxa"/>
              <w:bottom w:w="0" w:type="dxa"/>
              <w:right w:w="15" w:type="dxa"/>
            </w:tcMar>
            <w:vAlign w:val="center"/>
          </w:tcPr>
          <w:p w14:paraId="5E24C734">
            <w:pPr>
              <w:widowControl w:val="0"/>
              <w:adjustRightInd w:val="0"/>
              <w:snapToGrid w:val="0"/>
              <w:spacing w:beforeLines="50" w:afterLines="50" w:line="276" w:lineRule="auto"/>
              <w:jc w:val="center"/>
              <w:rPr>
                <w:rFonts w:cs="Times New Roman"/>
                <w:color w:val="auto"/>
                <w:kern w:val="2"/>
                <w:szCs w:val="21"/>
                <w:highlight w:val="none"/>
                <w:lang w:eastAsia="zh-CN"/>
              </w:rPr>
            </w:pPr>
          </w:p>
        </w:tc>
        <w:tc>
          <w:tcPr>
            <w:tcW w:w="374" w:type="pct"/>
            <w:tcMar>
              <w:top w:w="15" w:type="dxa"/>
              <w:left w:w="15" w:type="dxa"/>
              <w:bottom w:w="0" w:type="dxa"/>
              <w:right w:w="15" w:type="dxa"/>
            </w:tcMar>
            <w:vAlign w:val="center"/>
          </w:tcPr>
          <w:p w14:paraId="27B47595">
            <w:pPr>
              <w:widowControl w:val="0"/>
              <w:adjustRightInd w:val="0"/>
              <w:snapToGrid w:val="0"/>
              <w:spacing w:beforeLines="50" w:afterLines="50" w:line="276" w:lineRule="auto"/>
              <w:jc w:val="center"/>
              <w:rPr>
                <w:rFonts w:cs="Times New Roman"/>
                <w:color w:val="auto"/>
                <w:kern w:val="2"/>
                <w:szCs w:val="21"/>
                <w:highlight w:val="none"/>
                <w:lang w:eastAsia="zh-CN"/>
              </w:rPr>
            </w:pPr>
          </w:p>
        </w:tc>
        <w:tc>
          <w:tcPr>
            <w:tcW w:w="428" w:type="pct"/>
            <w:tcMar>
              <w:top w:w="15" w:type="dxa"/>
              <w:left w:w="15" w:type="dxa"/>
              <w:bottom w:w="0" w:type="dxa"/>
              <w:right w:w="15" w:type="dxa"/>
            </w:tcMar>
            <w:vAlign w:val="center"/>
          </w:tcPr>
          <w:p w14:paraId="629CCF64">
            <w:pPr>
              <w:widowControl w:val="0"/>
              <w:adjustRightInd w:val="0"/>
              <w:snapToGrid w:val="0"/>
              <w:spacing w:beforeLines="50" w:afterLines="50" w:line="276" w:lineRule="auto"/>
              <w:jc w:val="center"/>
              <w:rPr>
                <w:rFonts w:cs="Times New Roman"/>
                <w:color w:val="auto"/>
                <w:kern w:val="2"/>
                <w:szCs w:val="21"/>
                <w:highlight w:val="none"/>
                <w:lang w:eastAsia="zh-CN"/>
              </w:rPr>
            </w:pPr>
          </w:p>
        </w:tc>
      </w:tr>
      <w:tr w14:paraId="0F7A6B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16" w:type="pct"/>
            <w:tcMar>
              <w:top w:w="15" w:type="dxa"/>
              <w:left w:w="15" w:type="dxa"/>
              <w:bottom w:w="0" w:type="dxa"/>
              <w:right w:w="15" w:type="dxa"/>
            </w:tcMar>
            <w:vAlign w:val="center"/>
          </w:tcPr>
          <w:p w14:paraId="402B87BF">
            <w:pPr>
              <w:widowControl w:val="0"/>
              <w:adjustRightInd w:val="0"/>
              <w:snapToGrid w:val="0"/>
              <w:spacing w:beforeLines="50" w:afterLines="50" w:line="276" w:lineRule="auto"/>
              <w:jc w:val="center"/>
              <w:rPr>
                <w:rFonts w:cs="Times New Roman"/>
                <w:color w:val="auto"/>
                <w:kern w:val="2"/>
                <w:szCs w:val="21"/>
                <w:highlight w:val="none"/>
                <w:lang w:eastAsia="zh-CN"/>
              </w:rPr>
            </w:pPr>
            <w:r>
              <w:rPr>
                <w:rFonts w:hint="eastAsia" w:cs="Times New Roman"/>
                <w:color w:val="auto"/>
                <w:kern w:val="2"/>
                <w:szCs w:val="21"/>
                <w:highlight w:val="none"/>
                <w:lang w:eastAsia="zh-CN"/>
              </w:rPr>
              <w:t>2</w:t>
            </w:r>
          </w:p>
        </w:tc>
        <w:tc>
          <w:tcPr>
            <w:tcW w:w="1076" w:type="pct"/>
            <w:tcMar>
              <w:top w:w="15" w:type="dxa"/>
              <w:left w:w="15" w:type="dxa"/>
              <w:bottom w:w="0" w:type="dxa"/>
              <w:right w:w="15" w:type="dxa"/>
            </w:tcMar>
            <w:vAlign w:val="center"/>
          </w:tcPr>
          <w:p w14:paraId="402869E1">
            <w:pPr>
              <w:widowControl w:val="0"/>
              <w:adjustRightInd w:val="0"/>
              <w:snapToGrid w:val="0"/>
              <w:spacing w:beforeLines="50" w:afterLines="50" w:line="276" w:lineRule="auto"/>
              <w:jc w:val="center"/>
              <w:rPr>
                <w:rFonts w:cs="Times New Roman"/>
                <w:color w:val="auto"/>
                <w:kern w:val="2"/>
                <w:szCs w:val="21"/>
                <w:highlight w:val="none"/>
                <w:lang w:eastAsia="zh-CN"/>
              </w:rPr>
            </w:pPr>
          </w:p>
        </w:tc>
        <w:tc>
          <w:tcPr>
            <w:tcW w:w="760" w:type="pct"/>
            <w:tcMar>
              <w:top w:w="15" w:type="dxa"/>
              <w:left w:w="15" w:type="dxa"/>
              <w:bottom w:w="0" w:type="dxa"/>
              <w:right w:w="15" w:type="dxa"/>
            </w:tcMar>
            <w:vAlign w:val="center"/>
          </w:tcPr>
          <w:p w14:paraId="78A1526A">
            <w:pPr>
              <w:widowControl w:val="0"/>
              <w:adjustRightInd w:val="0"/>
              <w:snapToGrid w:val="0"/>
              <w:spacing w:beforeLines="50" w:afterLines="50" w:line="276" w:lineRule="auto"/>
              <w:jc w:val="center"/>
              <w:rPr>
                <w:rFonts w:cs="Times New Roman"/>
                <w:color w:val="auto"/>
                <w:kern w:val="2"/>
                <w:szCs w:val="21"/>
                <w:highlight w:val="none"/>
                <w:lang w:eastAsia="zh-CN"/>
              </w:rPr>
            </w:pPr>
          </w:p>
        </w:tc>
        <w:tc>
          <w:tcPr>
            <w:tcW w:w="405" w:type="pct"/>
            <w:tcMar>
              <w:top w:w="15" w:type="dxa"/>
              <w:left w:w="15" w:type="dxa"/>
              <w:bottom w:w="0" w:type="dxa"/>
              <w:right w:w="15" w:type="dxa"/>
            </w:tcMar>
            <w:vAlign w:val="center"/>
          </w:tcPr>
          <w:p w14:paraId="3B0F226B">
            <w:pPr>
              <w:widowControl w:val="0"/>
              <w:adjustRightInd w:val="0"/>
              <w:snapToGrid w:val="0"/>
              <w:spacing w:beforeLines="50" w:afterLines="50" w:line="276" w:lineRule="auto"/>
              <w:jc w:val="center"/>
              <w:rPr>
                <w:rFonts w:cs="Times New Roman"/>
                <w:color w:val="auto"/>
                <w:kern w:val="2"/>
                <w:szCs w:val="21"/>
                <w:highlight w:val="none"/>
                <w:lang w:eastAsia="zh-CN"/>
              </w:rPr>
            </w:pPr>
          </w:p>
        </w:tc>
        <w:tc>
          <w:tcPr>
            <w:tcW w:w="405" w:type="pct"/>
            <w:tcMar>
              <w:top w:w="15" w:type="dxa"/>
              <w:left w:w="15" w:type="dxa"/>
              <w:bottom w:w="0" w:type="dxa"/>
              <w:right w:w="15" w:type="dxa"/>
            </w:tcMar>
            <w:vAlign w:val="center"/>
          </w:tcPr>
          <w:p w14:paraId="1CC3D20A">
            <w:pPr>
              <w:widowControl w:val="0"/>
              <w:adjustRightInd w:val="0"/>
              <w:snapToGrid w:val="0"/>
              <w:spacing w:beforeLines="50" w:afterLines="50" w:line="276" w:lineRule="auto"/>
              <w:jc w:val="center"/>
              <w:rPr>
                <w:rFonts w:cs="Times New Roman"/>
                <w:color w:val="auto"/>
                <w:kern w:val="2"/>
                <w:szCs w:val="21"/>
                <w:highlight w:val="none"/>
                <w:lang w:eastAsia="zh-CN"/>
              </w:rPr>
            </w:pPr>
          </w:p>
        </w:tc>
        <w:tc>
          <w:tcPr>
            <w:tcW w:w="810" w:type="pct"/>
            <w:tcMar>
              <w:top w:w="15" w:type="dxa"/>
              <w:left w:w="15" w:type="dxa"/>
              <w:bottom w:w="0" w:type="dxa"/>
              <w:right w:w="15" w:type="dxa"/>
            </w:tcMar>
            <w:vAlign w:val="center"/>
          </w:tcPr>
          <w:p w14:paraId="2E1257A2">
            <w:pPr>
              <w:widowControl w:val="0"/>
              <w:adjustRightInd w:val="0"/>
              <w:snapToGrid w:val="0"/>
              <w:spacing w:beforeLines="50" w:afterLines="50" w:line="276" w:lineRule="auto"/>
              <w:jc w:val="center"/>
              <w:rPr>
                <w:rFonts w:cs="Times New Roman"/>
                <w:color w:val="auto"/>
                <w:kern w:val="2"/>
                <w:szCs w:val="21"/>
                <w:highlight w:val="none"/>
                <w:lang w:eastAsia="zh-CN"/>
              </w:rPr>
            </w:pPr>
          </w:p>
        </w:tc>
        <w:tc>
          <w:tcPr>
            <w:tcW w:w="326" w:type="pct"/>
            <w:tcMar>
              <w:top w:w="15" w:type="dxa"/>
              <w:left w:w="15" w:type="dxa"/>
              <w:bottom w:w="0" w:type="dxa"/>
              <w:right w:w="15" w:type="dxa"/>
            </w:tcMar>
            <w:vAlign w:val="center"/>
          </w:tcPr>
          <w:p w14:paraId="0AABD623">
            <w:pPr>
              <w:widowControl w:val="0"/>
              <w:adjustRightInd w:val="0"/>
              <w:snapToGrid w:val="0"/>
              <w:spacing w:beforeLines="50" w:afterLines="50" w:line="276" w:lineRule="auto"/>
              <w:jc w:val="center"/>
              <w:rPr>
                <w:rFonts w:cs="Times New Roman"/>
                <w:color w:val="auto"/>
                <w:kern w:val="2"/>
                <w:szCs w:val="21"/>
                <w:highlight w:val="none"/>
                <w:lang w:eastAsia="zh-CN"/>
              </w:rPr>
            </w:pPr>
          </w:p>
        </w:tc>
        <w:tc>
          <w:tcPr>
            <w:tcW w:w="374" w:type="pct"/>
            <w:tcMar>
              <w:top w:w="15" w:type="dxa"/>
              <w:left w:w="15" w:type="dxa"/>
              <w:bottom w:w="0" w:type="dxa"/>
              <w:right w:w="15" w:type="dxa"/>
            </w:tcMar>
            <w:vAlign w:val="center"/>
          </w:tcPr>
          <w:p w14:paraId="7FB08D63">
            <w:pPr>
              <w:widowControl w:val="0"/>
              <w:adjustRightInd w:val="0"/>
              <w:snapToGrid w:val="0"/>
              <w:spacing w:beforeLines="50" w:afterLines="50" w:line="276" w:lineRule="auto"/>
              <w:jc w:val="center"/>
              <w:rPr>
                <w:rFonts w:cs="Times New Roman"/>
                <w:color w:val="auto"/>
                <w:kern w:val="2"/>
                <w:szCs w:val="21"/>
                <w:highlight w:val="none"/>
                <w:lang w:eastAsia="zh-CN"/>
              </w:rPr>
            </w:pPr>
          </w:p>
        </w:tc>
        <w:tc>
          <w:tcPr>
            <w:tcW w:w="428" w:type="pct"/>
            <w:tcMar>
              <w:top w:w="15" w:type="dxa"/>
              <w:left w:w="15" w:type="dxa"/>
              <w:bottom w:w="0" w:type="dxa"/>
              <w:right w:w="15" w:type="dxa"/>
            </w:tcMar>
            <w:vAlign w:val="center"/>
          </w:tcPr>
          <w:p w14:paraId="1686EFB8">
            <w:pPr>
              <w:widowControl w:val="0"/>
              <w:adjustRightInd w:val="0"/>
              <w:snapToGrid w:val="0"/>
              <w:spacing w:beforeLines="50" w:afterLines="50" w:line="276" w:lineRule="auto"/>
              <w:jc w:val="center"/>
              <w:rPr>
                <w:rFonts w:cs="Times New Roman"/>
                <w:color w:val="auto"/>
                <w:kern w:val="2"/>
                <w:szCs w:val="21"/>
                <w:highlight w:val="none"/>
                <w:lang w:eastAsia="zh-CN"/>
              </w:rPr>
            </w:pPr>
          </w:p>
        </w:tc>
      </w:tr>
      <w:tr w14:paraId="6E9C7F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16" w:type="pct"/>
            <w:tcMar>
              <w:top w:w="15" w:type="dxa"/>
              <w:left w:w="15" w:type="dxa"/>
              <w:bottom w:w="0" w:type="dxa"/>
              <w:right w:w="15" w:type="dxa"/>
            </w:tcMar>
            <w:vAlign w:val="center"/>
          </w:tcPr>
          <w:p w14:paraId="136188BA">
            <w:pPr>
              <w:widowControl w:val="0"/>
              <w:adjustRightInd w:val="0"/>
              <w:snapToGrid w:val="0"/>
              <w:spacing w:beforeLines="50" w:afterLines="50" w:line="276" w:lineRule="auto"/>
              <w:jc w:val="center"/>
              <w:rPr>
                <w:rFonts w:cs="Times New Roman"/>
                <w:color w:val="auto"/>
                <w:kern w:val="2"/>
                <w:szCs w:val="21"/>
                <w:highlight w:val="none"/>
                <w:lang w:eastAsia="zh-CN"/>
              </w:rPr>
            </w:pPr>
            <w:r>
              <w:rPr>
                <w:rFonts w:hint="eastAsia" w:cs="Times New Roman"/>
                <w:color w:val="auto"/>
                <w:kern w:val="2"/>
                <w:szCs w:val="21"/>
                <w:highlight w:val="none"/>
                <w:lang w:eastAsia="zh-CN"/>
              </w:rPr>
              <w:t>3</w:t>
            </w:r>
          </w:p>
        </w:tc>
        <w:tc>
          <w:tcPr>
            <w:tcW w:w="1076" w:type="pct"/>
            <w:tcMar>
              <w:top w:w="15" w:type="dxa"/>
              <w:left w:w="15" w:type="dxa"/>
              <w:bottom w:w="0" w:type="dxa"/>
              <w:right w:w="15" w:type="dxa"/>
            </w:tcMar>
            <w:vAlign w:val="center"/>
          </w:tcPr>
          <w:p w14:paraId="7FE7A41B">
            <w:pPr>
              <w:widowControl w:val="0"/>
              <w:adjustRightInd w:val="0"/>
              <w:snapToGrid w:val="0"/>
              <w:spacing w:beforeLines="50" w:afterLines="50" w:line="276" w:lineRule="auto"/>
              <w:jc w:val="center"/>
              <w:rPr>
                <w:rFonts w:cs="Times New Roman"/>
                <w:color w:val="auto"/>
                <w:kern w:val="2"/>
                <w:szCs w:val="21"/>
                <w:highlight w:val="none"/>
                <w:lang w:eastAsia="zh-CN"/>
              </w:rPr>
            </w:pPr>
          </w:p>
        </w:tc>
        <w:tc>
          <w:tcPr>
            <w:tcW w:w="760" w:type="pct"/>
            <w:tcMar>
              <w:top w:w="15" w:type="dxa"/>
              <w:left w:w="15" w:type="dxa"/>
              <w:bottom w:w="0" w:type="dxa"/>
              <w:right w:w="15" w:type="dxa"/>
            </w:tcMar>
            <w:vAlign w:val="center"/>
          </w:tcPr>
          <w:p w14:paraId="4B49B347">
            <w:pPr>
              <w:widowControl w:val="0"/>
              <w:adjustRightInd w:val="0"/>
              <w:snapToGrid w:val="0"/>
              <w:spacing w:beforeLines="50" w:afterLines="50" w:line="276" w:lineRule="auto"/>
              <w:jc w:val="center"/>
              <w:rPr>
                <w:rFonts w:cs="Times New Roman"/>
                <w:color w:val="auto"/>
                <w:kern w:val="2"/>
                <w:szCs w:val="21"/>
                <w:highlight w:val="none"/>
                <w:lang w:eastAsia="zh-CN"/>
              </w:rPr>
            </w:pPr>
          </w:p>
        </w:tc>
        <w:tc>
          <w:tcPr>
            <w:tcW w:w="405" w:type="pct"/>
            <w:tcMar>
              <w:top w:w="15" w:type="dxa"/>
              <w:left w:w="15" w:type="dxa"/>
              <w:bottom w:w="0" w:type="dxa"/>
              <w:right w:w="15" w:type="dxa"/>
            </w:tcMar>
            <w:vAlign w:val="center"/>
          </w:tcPr>
          <w:p w14:paraId="6BF6B6A5">
            <w:pPr>
              <w:widowControl w:val="0"/>
              <w:adjustRightInd w:val="0"/>
              <w:snapToGrid w:val="0"/>
              <w:spacing w:beforeLines="50" w:afterLines="50" w:line="276" w:lineRule="auto"/>
              <w:jc w:val="center"/>
              <w:rPr>
                <w:rFonts w:cs="Times New Roman"/>
                <w:color w:val="auto"/>
                <w:kern w:val="2"/>
                <w:szCs w:val="21"/>
                <w:highlight w:val="none"/>
                <w:lang w:eastAsia="zh-CN"/>
              </w:rPr>
            </w:pPr>
          </w:p>
        </w:tc>
        <w:tc>
          <w:tcPr>
            <w:tcW w:w="405" w:type="pct"/>
            <w:tcMar>
              <w:top w:w="15" w:type="dxa"/>
              <w:left w:w="15" w:type="dxa"/>
              <w:bottom w:w="0" w:type="dxa"/>
              <w:right w:w="15" w:type="dxa"/>
            </w:tcMar>
            <w:vAlign w:val="center"/>
          </w:tcPr>
          <w:p w14:paraId="2A8744FE">
            <w:pPr>
              <w:widowControl w:val="0"/>
              <w:adjustRightInd w:val="0"/>
              <w:snapToGrid w:val="0"/>
              <w:spacing w:beforeLines="50" w:afterLines="50" w:line="276" w:lineRule="auto"/>
              <w:jc w:val="center"/>
              <w:rPr>
                <w:rFonts w:cs="Times New Roman"/>
                <w:color w:val="auto"/>
                <w:kern w:val="2"/>
                <w:szCs w:val="21"/>
                <w:highlight w:val="none"/>
                <w:lang w:eastAsia="zh-CN"/>
              </w:rPr>
            </w:pPr>
          </w:p>
        </w:tc>
        <w:tc>
          <w:tcPr>
            <w:tcW w:w="810" w:type="pct"/>
            <w:tcMar>
              <w:top w:w="15" w:type="dxa"/>
              <w:left w:w="15" w:type="dxa"/>
              <w:bottom w:w="0" w:type="dxa"/>
              <w:right w:w="15" w:type="dxa"/>
            </w:tcMar>
            <w:vAlign w:val="center"/>
          </w:tcPr>
          <w:p w14:paraId="6DBD5FBB">
            <w:pPr>
              <w:widowControl w:val="0"/>
              <w:adjustRightInd w:val="0"/>
              <w:snapToGrid w:val="0"/>
              <w:spacing w:beforeLines="50" w:afterLines="50" w:line="276" w:lineRule="auto"/>
              <w:jc w:val="center"/>
              <w:rPr>
                <w:rFonts w:cs="Times New Roman"/>
                <w:color w:val="auto"/>
                <w:kern w:val="2"/>
                <w:szCs w:val="21"/>
                <w:highlight w:val="none"/>
                <w:lang w:eastAsia="zh-CN"/>
              </w:rPr>
            </w:pPr>
          </w:p>
        </w:tc>
        <w:tc>
          <w:tcPr>
            <w:tcW w:w="326" w:type="pct"/>
            <w:tcMar>
              <w:top w:w="15" w:type="dxa"/>
              <w:left w:w="15" w:type="dxa"/>
              <w:bottom w:w="0" w:type="dxa"/>
              <w:right w:w="15" w:type="dxa"/>
            </w:tcMar>
            <w:vAlign w:val="center"/>
          </w:tcPr>
          <w:p w14:paraId="6FAB75D9">
            <w:pPr>
              <w:widowControl w:val="0"/>
              <w:adjustRightInd w:val="0"/>
              <w:snapToGrid w:val="0"/>
              <w:spacing w:beforeLines="50" w:afterLines="50" w:line="276" w:lineRule="auto"/>
              <w:jc w:val="center"/>
              <w:rPr>
                <w:rFonts w:cs="Times New Roman"/>
                <w:color w:val="auto"/>
                <w:kern w:val="2"/>
                <w:szCs w:val="21"/>
                <w:highlight w:val="none"/>
                <w:lang w:eastAsia="zh-CN"/>
              </w:rPr>
            </w:pPr>
          </w:p>
        </w:tc>
        <w:tc>
          <w:tcPr>
            <w:tcW w:w="374" w:type="pct"/>
            <w:tcMar>
              <w:top w:w="15" w:type="dxa"/>
              <w:left w:w="15" w:type="dxa"/>
              <w:bottom w:w="0" w:type="dxa"/>
              <w:right w:w="15" w:type="dxa"/>
            </w:tcMar>
            <w:vAlign w:val="center"/>
          </w:tcPr>
          <w:p w14:paraId="77597CD1">
            <w:pPr>
              <w:widowControl w:val="0"/>
              <w:adjustRightInd w:val="0"/>
              <w:snapToGrid w:val="0"/>
              <w:spacing w:beforeLines="50" w:afterLines="50" w:line="276" w:lineRule="auto"/>
              <w:jc w:val="center"/>
              <w:rPr>
                <w:rFonts w:cs="Times New Roman"/>
                <w:color w:val="auto"/>
                <w:kern w:val="2"/>
                <w:szCs w:val="21"/>
                <w:highlight w:val="none"/>
                <w:lang w:eastAsia="zh-CN"/>
              </w:rPr>
            </w:pPr>
          </w:p>
        </w:tc>
        <w:tc>
          <w:tcPr>
            <w:tcW w:w="428" w:type="pct"/>
            <w:tcMar>
              <w:top w:w="15" w:type="dxa"/>
              <w:left w:w="15" w:type="dxa"/>
              <w:bottom w:w="0" w:type="dxa"/>
              <w:right w:w="15" w:type="dxa"/>
            </w:tcMar>
            <w:vAlign w:val="center"/>
          </w:tcPr>
          <w:p w14:paraId="3084AEFF">
            <w:pPr>
              <w:widowControl w:val="0"/>
              <w:adjustRightInd w:val="0"/>
              <w:snapToGrid w:val="0"/>
              <w:spacing w:beforeLines="50" w:afterLines="50" w:line="276" w:lineRule="auto"/>
              <w:jc w:val="center"/>
              <w:rPr>
                <w:rFonts w:cs="Times New Roman"/>
                <w:color w:val="auto"/>
                <w:kern w:val="2"/>
                <w:szCs w:val="21"/>
                <w:highlight w:val="none"/>
                <w:lang w:eastAsia="zh-CN"/>
              </w:rPr>
            </w:pPr>
          </w:p>
        </w:tc>
      </w:tr>
      <w:tr w14:paraId="2A1F04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16" w:type="pct"/>
            <w:tcMar>
              <w:top w:w="15" w:type="dxa"/>
              <w:left w:w="15" w:type="dxa"/>
              <w:bottom w:w="0" w:type="dxa"/>
              <w:right w:w="15" w:type="dxa"/>
            </w:tcMar>
            <w:vAlign w:val="center"/>
          </w:tcPr>
          <w:p w14:paraId="73D646D1">
            <w:pPr>
              <w:widowControl w:val="0"/>
              <w:adjustRightInd w:val="0"/>
              <w:snapToGrid w:val="0"/>
              <w:spacing w:beforeLines="50" w:afterLines="50" w:line="276" w:lineRule="auto"/>
              <w:jc w:val="center"/>
              <w:rPr>
                <w:rFonts w:cs="Times New Roman"/>
                <w:color w:val="auto"/>
                <w:kern w:val="2"/>
                <w:szCs w:val="21"/>
                <w:highlight w:val="none"/>
                <w:lang w:eastAsia="zh-CN"/>
              </w:rPr>
            </w:pPr>
            <w:r>
              <w:rPr>
                <w:rFonts w:hint="eastAsia" w:cs="Times New Roman"/>
                <w:color w:val="auto"/>
                <w:kern w:val="2"/>
                <w:szCs w:val="21"/>
                <w:highlight w:val="none"/>
                <w:lang w:eastAsia="zh-CN"/>
              </w:rPr>
              <w:t>…</w:t>
            </w:r>
          </w:p>
        </w:tc>
        <w:tc>
          <w:tcPr>
            <w:tcW w:w="1076" w:type="pct"/>
            <w:tcMar>
              <w:top w:w="15" w:type="dxa"/>
              <w:left w:w="15" w:type="dxa"/>
              <w:bottom w:w="0" w:type="dxa"/>
              <w:right w:w="15" w:type="dxa"/>
            </w:tcMar>
            <w:vAlign w:val="center"/>
          </w:tcPr>
          <w:p w14:paraId="4B45495C">
            <w:pPr>
              <w:widowControl w:val="0"/>
              <w:adjustRightInd w:val="0"/>
              <w:snapToGrid w:val="0"/>
              <w:spacing w:beforeLines="50" w:afterLines="50" w:line="276" w:lineRule="auto"/>
              <w:jc w:val="center"/>
              <w:rPr>
                <w:rFonts w:cs="Times New Roman"/>
                <w:color w:val="auto"/>
                <w:kern w:val="2"/>
                <w:szCs w:val="21"/>
                <w:highlight w:val="none"/>
                <w:lang w:eastAsia="zh-CN"/>
              </w:rPr>
            </w:pPr>
          </w:p>
        </w:tc>
        <w:tc>
          <w:tcPr>
            <w:tcW w:w="760" w:type="pct"/>
            <w:tcMar>
              <w:top w:w="15" w:type="dxa"/>
              <w:left w:w="15" w:type="dxa"/>
              <w:bottom w:w="0" w:type="dxa"/>
              <w:right w:w="15" w:type="dxa"/>
            </w:tcMar>
            <w:vAlign w:val="center"/>
          </w:tcPr>
          <w:p w14:paraId="2926F1A2">
            <w:pPr>
              <w:widowControl w:val="0"/>
              <w:adjustRightInd w:val="0"/>
              <w:snapToGrid w:val="0"/>
              <w:spacing w:beforeLines="50" w:afterLines="50" w:line="276" w:lineRule="auto"/>
              <w:jc w:val="center"/>
              <w:rPr>
                <w:rFonts w:cs="Times New Roman"/>
                <w:color w:val="auto"/>
                <w:kern w:val="2"/>
                <w:szCs w:val="21"/>
                <w:highlight w:val="none"/>
                <w:lang w:eastAsia="zh-CN"/>
              </w:rPr>
            </w:pPr>
          </w:p>
        </w:tc>
        <w:tc>
          <w:tcPr>
            <w:tcW w:w="405" w:type="pct"/>
            <w:tcMar>
              <w:top w:w="15" w:type="dxa"/>
              <w:left w:w="15" w:type="dxa"/>
              <w:bottom w:w="0" w:type="dxa"/>
              <w:right w:w="15" w:type="dxa"/>
            </w:tcMar>
            <w:vAlign w:val="center"/>
          </w:tcPr>
          <w:p w14:paraId="5B7DC56A">
            <w:pPr>
              <w:widowControl w:val="0"/>
              <w:adjustRightInd w:val="0"/>
              <w:snapToGrid w:val="0"/>
              <w:spacing w:beforeLines="50" w:afterLines="50" w:line="276" w:lineRule="auto"/>
              <w:jc w:val="center"/>
              <w:rPr>
                <w:rFonts w:cs="Times New Roman"/>
                <w:color w:val="auto"/>
                <w:kern w:val="2"/>
                <w:szCs w:val="21"/>
                <w:highlight w:val="none"/>
                <w:lang w:eastAsia="zh-CN"/>
              </w:rPr>
            </w:pPr>
          </w:p>
        </w:tc>
        <w:tc>
          <w:tcPr>
            <w:tcW w:w="405" w:type="pct"/>
            <w:tcMar>
              <w:top w:w="15" w:type="dxa"/>
              <w:left w:w="15" w:type="dxa"/>
              <w:bottom w:w="0" w:type="dxa"/>
              <w:right w:w="15" w:type="dxa"/>
            </w:tcMar>
            <w:vAlign w:val="center"/>
          </w:tcPr>
          <w:p w14:paraId="3D5C0869">
            <w:pPr>
              <w:widowControl w:val="0"/>
              <w:adjustRightInd w:val="0"/>
              <w:snapToGrid w:val="0"/>
              <w:spacing w:beforeLines="50" w:afterLines="50" w:line="276" w:lineRule="auto"/>
              <w:jc w:val="center"/>
              <w:rPr>
                <w:rFonts w:cs="Times New Roman"/>
                <w:color w:val="auto"/>
                <w:kern w:val="2"/>
                <w:szCs w:val="21"/>
                <w:highlight w:val="none"/>
                <w:lang w:eastAsia="zh-CN"/>
              </w:rPr>
            </w:pPr>
          </w:p>
        </w:tc>
        <w:tc>
          <w:tcPr>
            <w:tcW w:w="810" w:type="pct"/>
            <w:tcMar>
              <w:top w:w="15" w:type="dxa"/>
              <w:left w:w="15" w:type="dxa"/>
              <w:bottom w:w="0" w:type="dxa"/>
              <w:right w:w="15" w:type="dxa"/>
            </w:tcMar>
            <w:vAlign w:val="center"/>
          </w:tcPr>
          <w:p w14:paraId="31F14D15">
            <w:pPr>
              <w:widowControl w:val="0"/>
              <w:adjustRightInd w:val="0"/>
              <w:snapToGrid w:val="0"/>
              <w:spacing w:beforeLines="50" w:afterLines="50" w:line="276" w:lineRule="auto"/>
              <w:jc w:val="center"/>
              <w:rPr>
                <w:rFonts w:cs="Times New Roman"/>
                <w:color w:val="auto"/>
                <w:kern w:val="2"/>
                <w:szCs w:val="21"/>
                <w:highlight w:val="none"/>
                <w:lang w:eastAsia="zh-CN"/>
              </w:rPr>
            </w:pPr>
          </w:p>
        </w:tc>
        <w:tc>
          <w:tcPr>
            <w:tcW w:w="326" w:type="pct"/>
            <w:tcMar>
              <w:top w:w="15" w:type="dxa"/>
              <w:left w:w="15" w:type="dxa"/>
              <w:bottom w:w="0" w:type="dxa"/>
              <w:right w:w="15" w:type="dxa"/>
            </w:tcMar>
            <w:vAlign w:val="center"/>
          </w:tcPr>
          <w:p w14:paraId="21669C87">
            <w:pPr>
              <w:widowControl w:val="0"/>
              <w:adjustRightInd w:val="0"/>
              <w:snapToGrid w:val="0"/>
              <w:spacing w:beforeLines="50" w:afterLines="50" w:line="276" w:lineRule="auto"/>
              <w:jc w:val="center"/>
              <w:rPr>
                <w:rFonts w:cs="Times New Roman"/>
                <w:color w:val="auto"/>
                <w:kern w:val="2"/>
                <w:szCs w:val="21"/>
                <w:highlight w:val="none"/>
                <w:lang w:eastAsia="zh-CN"/>
              </w:rPr>
            </w:pPr>
          </w:p>
        </w:tc>
        <w:tc>
          <w:tcPr>
            <w:tcW w:w="374" w:type="pct"/>
            <w:tcMar>
              <w:top w:w="15" w:type="dxa"/>
              <w:left w:w="15" w:type="dxa"/>
              <w:bottom w:w="0" w:type="dxa"/>
              <w:right w:w="15" w:type="dxa"/>
            </w:tcMar>
            <w:vAlign w:val="center"/>
          </w:tcPr>
          <w:p w14:paraId="0ACAF869">
            <w:pPr>
              <w:widowControl w:val="0"/>
              <w:adjustRightInd w:val="0"/>
              <w:snapToGrid w:val="0"/>
              <w:spacing w:beforeLines="50" w:afterLines="50" w:line="276" w:lineRule="auto"/>
              <w:jc w:val="center"/>
              <w:rPr>
                <w:rFonts w:cs="Times New Roman"/>
                <w:color w:val="auto"/>
                <w:kern w:val="2"/>
                <w:szCs w:val="21"/>
                <w:highlight w:val="none"/>
                <w:lang w:eastAsia="zh-CN"/>
              </w:rPr>
            </w:pPr>
          </w:p>
        </w:tc>
        <w:tc>
          <w:tcPr>
            <w:tcW w:w="428" w:type="pct"/>
            <w:tcMar>
              <w:top w:w="15" w:type="dxa"/>
              <w:left w:w="15" w:type="dxa"/>
              <w:bottom w:w="0" w:type="dxa"/>
              <w:right w:w="15" w:type="dxa"/>
            </w:tcMar>
            <w:vAlign w:val="center"/>
          </w:tcPr>
          <w:p w14:paraId="65EA79AA">
            <w:pPr>
              <w:widowControl w:val="0"/>
              <w:adjustRightInd w:val="0"/>
              <w:snapToGrid w:val="0"/>
              <w:spacing w:beforeLines="50" w:afterLines="50" w:line="276" w:lineRule="auto"/>
              <w:jc w:val="center"/>
              <w:rPr>
                <w:rFonts w:cs="Times New Roman"/>
                <w:color w:val="auto"/>
                <w:kern w:val="2"/>
                <w:szCs w:val="21"/>
                <w:highlight w:val="none"/>
                <w:lang w:eastAsia="zh-CN"/>
              </w:rPr>
            </w:pPr>
          </w:p>
        </w:tc>
      </w:tr>
      <w:tr w14:paraId="3D2D9D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198" w:type="pct"/>
            <w:gridSpan w:val="7"/>
            <w:tcMar>
              <w:top w:w="15" w:type="dxa"/>
              <w:left w:w="15" w:type="dxa"/>
              <w:bottom w:w="0" w:type="dxa"/>
              <w:right w:w="15" w:type="dxa"/>
            </w:tcMar>
            <w:vAlign w:val="center"/>
          </w:tcPr>
          <w:p w14:paraId="678297EC">
            <w:pPr>
              <w:widowControl w:val="0"/>
              <w:adjustRightInd w:val="0"/>
              <w:snapToGrid w:val="0"/>
              <w:spacing w:beforeLines="50" w:afterLines="50" w:line="276" w:lineRule="auto"/>
              <w:jc w:val="center"/>
              <w:rPr>
                <w:rFonts w:cs="Times New Roman"/>
                <w:color w:val="auto"/>
                <w:kern w:val="2"/>
                <w:szCs w:val="21"/>
                <w:highlight w:val="none"/>
                <w:lang w:eastAsia="zh-CN"/>
              </w:rPr>
            </w:pPr>
            <w:r>
              <w:rPr>
                <w:rFonts w:hint="eastAsia" w:cs="Times New Roman"/>
                <w:color w:val="auto"/>
                <w:kern w:val="2"/>
                <w:szCs w:val="21"/>
                <w:highlight w:val="none"/>
                <w:lang w:eastAsia="zh-CN"/>
              </w:rPr>
              <w:t>合计</w:t>
            </w:r>
          </w:p>
        </w:tc>
        <w:tc>
          <w:tcPr>
            <w:tcW w:w="374" w:type="pct"/>
            <w:tcMar>
              <w:top w:w="15" w:type="dxa"/>
              <w:left w:w="15" w:type="dxa"/>
              <w:bottom w:w="0" w:type="dxa"/>
              <w:right w:w="15" w:type="dxa"/>
            </w:tcMar>
            <w:vAlign w:val="center"/>
          </w:tcPr>
          <w:p w14:paraId="4D0E92AB">
            <w:pPr>
              <w:widowControl w:val="0"/>
              <w:adjustRightInd w:val="0"/>
              <w:snapToGrid w:val="0"/>
              <w:spacing w:beforeLines="50" w:afterLines="50" w:line="276" w:lineRule="auto"/>
              <w:jc w:val="center"/>
              <w:rPr>
                <w:rFonts w:cs="Times New Roman"/>
                <w:color w:val="auto"/>
                <w:kern w:val="2"/>
                <w:szCs w:val="21"/>
                <w:highlight w:val="none"/>
                <w:lang w:eastAsia="zh-CN"/>
              </w:rPr>
            </w:pPr>
          </w:p>
        </w:tc>
        <w:tc>
          <w:tcPr>
            <w:tcW w:w="428" w:type="pct"/>
            <w:tcMar>
              <w:top w:w="15" w:type="dxa"/>
              <w:left w:w="15" w:type="dxa"/>
              <w:bottom w:w="0" w:type="dxa"/>
              <w:right w:w="15" w:type="dxa"/>
            </w:tcMar>
            <w:vAlign w:val="center"/>
          </w:tcPr>
          <w:p w14:paraId="31BEACB3">
            <w:pPr>
              <w:widowControl w:val="0"/>
              <w:adjustRightInd w:val="0"/>
              <w:snapToGrid w:val="0"/>
              <w:spacing w:beforeLines="50" w:afterLines="50" w:line="276" w:lineRule="auto"/>
              <w:jc w:val="center"/>
              <w:rPr>
                <w:rFonts w:cs="Times New Roman"/>
                <w:color w:val="auto"/>
                <w:kern w:val="2"/>
                <w:szCs w:val="21"/>
                <w:highlight w:val="none"/>
                <w:lang w:eastAsia="zh-CN"/>
              </w:rPr>
            </w:pPr>
          </w:p>
        </w:tc>
      </w:tr>
    </w:tbl>
    <w:p w14:paraId="06D8DC5C">
      <w:pPr>
        <w:widowControl w:val="0"/>
        <w:tabs>
          <w:tab w:val="left" w:pos="600"/>
        </w:tabs>
        <w:adjustRightInd w:val="0"/>
        <w:snapToGrid w:val="0"/>
        <w:spacing w:after="200" w:line="360" w:lineRule="auto"/>
        <w:ind w:firstLine="420" w:firstLineChars="200"/>
        <w:rPr>
          <w:rFonts w:hint="eastAsia" w:cs="Times New Roman"/>
          <w:color w:val="auto"/>
          <w:kern w:val="2"/>
          <w:szCs w:val="21"/>
          <w:highlight w:val="none"/>
          <w:lang w:val="zh-CN" w:eastAsia="zh-CN"/>
        </w:rPr>
      </w:pPr>
      <w:r>
        <w:rPr>
          <w:rFonts w:hint="eastAsia" w:cs="Times New Roman"/>
          <w:color w:val="auto"/>
          <w:kern w:val="2"/>
          <w:szCs w:val="21"/>
          <w:highlight w:val="none"/>
          <w:lang w:val="zh-CN" w:eastAsia="zh-CN"/>
        </w:rPr>
        <w:t>投标人负责三年“三包”，终身保修。</w:t>
      </w:r>
    </w:p>
    <w:p w14:paraId="257C766C">
      <w:pPr>
        <w:widowControl w:val="0"/>
        <w:tabs>
          <w:tab w:val="left" w:pos="600"/>
        </w:tabs>
        <w:adjustRightInd w:val="0"/>
        <w:snapToGrid w:val="0"/>
        <w:spacing w:after="0" w:line="360" w:lineRule="auto"/>
        <w:ind w:firstLine="480" w:firstLineChars="200"/>
        <w:rPr>
          <w:rFonts w:cs="Times New Roman"/>
          <w:color w:val="auto"/>
          <w:kern w:val="2"/>
          <w:sz w:val="24"/>
          <w:szCs w:val="24"/>
          <w:highlight w:val="none"/>
          <w:lang w:eastAsia="zh-CN"/>
        </w:rPr>
      </w:pPr>
      <w:r>
        <w:rPr>
          <w:rFonts w:hint="eastAsia" w:cs="Times New Roman"/>
          <w:color w:val="auto"/>
          <w:kern w:val="2"/>
          <w:sz w:val="24"/>
          <w:szCs w:val="24"/>
          <w:highlight w:val="none"/>
          <w:lang w:eastAsia="zh-CN"/>
        </w:rPr>
        <w:t>2.2.2 生产备品备件</w:t>
      </w:r>
    </w:p>
    <w:p w14:paraId="0871E269">
      <w:pPr>
        <w:widowControl w:val="0"/>
        <w:tabs>
          <w:tab w:val="left" w:pos="600"/>
        </w:tabs>
        <w:adjustRightInd w:val="0"/>
        <w:snapToGrid w:val="0"/>
        <w:spacing w:after="200" w:line="360" w:lineRule="auto"/>
        <w:jc w:val="center"/>
        <w:rPr>
          <w:rFonts w:cs="Times New Roman"/>
          <w:color w:val="auto"/>
          <w:kern w:val="2"/>
          <w:szCs w:val="21"/>
          <w:highlight w:val="none"/>
          <w:lang w:eastAsia="zh-CN"/>
        </w:rPr>
      </w:pPr>
      <w:r>
        <w:rPr>
          <w:rFonts w:hint="eastAsia" w:cs="Times New Roman"/>
          <w:color w:val="auto"/>
          <w:kern w:val="2"/>
          <w:szCs w:val="21"/>
          <w:highlight w:val="none"/>
          <w:lang w:eastAsia="zh-CN"/>
        </w:rPr>
        <w:t>附表2C 招标人要求的生产备品备件表</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753"/>
        <w:gridCol w:w="1250"/>
        <w:gridCol w:w="1135"/>
        <w:gridCol w:w="709"/>
        <w:gridCol w:w="709"/>
        <w:gridCol w:w="1419"/>
        <w:gridCol w:w="566"/>
        <w:gridCol w:w="568"/>
        <w:gridCol w:w="954"/>
        <w:gridCol w:w="642"/>
      </w:tblGrid>
      <w:tr w14:paraId="49B6AD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1" w:hRule="atLeast"/>
          <w:jc w:val="center"/>
        </w:trPr>
        <w:tc>
          <w:tcPr>
            <w:tcW w:w="433" w:type="pct"/>
            <w:tcMar>
              <w:top w:w="15" w:type="dxa"/>
              <w:left w:w="15" w:type="dxa"/>
              <w:bottom w:w="0" w:type="dxa"/>
              <w:right w:w="15" w:type="dxa"/>
            </w:tcMar>
            <w:vAlign w:val="center"/>
          </w:tcPr>
          <w:p w14:paraId="2B1DA8E0">
            <w:pPr>
              <w:widowControl w:val="0"/>
              <w:adjustRightInd w:val="0"/>
              <w:snapToGrid w:val="0"/>
              <w:spacing w:beforeLines="50" w:afterLines="50" w:line="276" w:lineRule="auto"/>
              <w:jc w:val="center"/>
              <w:rPr>
                <w:rFonts w:cs="Times New Roman"/>
                <w:color w:val="auto"/>
                <w:kern w:val="2"/>
                <w:szCs w:val="21"/>
                <w:highlight w:val="none"/>
                <w:lang w:eastAsia="zh-CN"/>
              </w:rPr>
            </w:pPr>
            <w:r>
              <w:rPr>
                <w:rFonts w:hint="eastAsia" w:cs="Times New Roman"/>
                <w:color w:val="auto"/>
                <w:kern w:val="2"/>
                <w:szCs w:val="21"/>
                <w:highlight w:val="none"/>
                <w:lang w:eastAsia="zh-CN"/>
              </w:rPr>
              <w:t>序号</w:t>
            </w:r>
          </w:p>
        </w:tc>
        <w:tc>
          <w:tcPr>
            <w:tcW w:w="718" w:type="pct"/>
            <w:tcMar>
              <w:top w:w="15" w:type="dxa"/>
              <w:left w:w="15" w:type="dxa"/>
              <w:bottom w:w="0" w:type="dxa"/>
              <w:right w:w="15" w:type="dxa"/>
            </w:tcMar>
            <w:vAlign w:val="center"/>
          </w:tcPr>
          <w:p w14:paraId="44094F9E">
            <w:pPr>
              <w:widowControl w:val="0"/>
              <w:adjustRightInd w:val="0"/>
              <w:snapToGrid w:val="0"/>
              <w:spacing w:beforeLines="50" w:afterLines="50" w:line="276" w:lineRule="auto"/>
              <w:jc w:val="center"/>
              <w:rPr>
                <w:rFonts w:cs="Times New Roman"/>
                <w:color w:val="auto"/>
                <w:kern w:val="2"/>
                <w:szCs w:val="21"/>
                <w:highlight w:val="none"/>
                <w:lang w:eastAsia="zh-CN"/>
              </w:rPr>
            </w:pPr>
            <w:r>
              <w:rPr>
                <w:rFonts w:hint="eastAsia" w:cs="Times New Roman"/>
                <w:color w:val="auto"/>
                <w:kern w:val="2"/>
                <w:szCs w:val="21"/>
                <w:highlight w:val="none"/>
                <w:lang w:eastAsia="zh-CN"/>
              </w:rPr>
              <w:t>名  称</w:t>
            </w:r>
          </w:p>
        </w:tc>
        <w:tc>
          <w:tcPr>
            <w:tcW w:w="652" w:type="pct"/>
            <w:tcMar>
              <w:top w:w="15" w:type="dxa"/>
              <w:left w:w="15" w:type="dxa"/>
              <w:bottom w:w="0" w:type="dxa"/>
              <w:right w:w="15" w:type="dxa"/>
            </w:tcMar>
            <w:vAlign w:val="center"/>
          </w:tcPr>
          <w:p w14:paraId="40F4C877">
            <w:pPr>
              <w:widowControl w:val="0"/>
              <w:adjustRightInd w:val="0"/>
              <w:snapToGrid w:val="0"/>
              <w:spacing w:beforeLines="50" w:afterLines="50" w:line="276" w:lineRule="auto"/>
              <w:jc w:val="center"/>
              <w:rPr>
                <w:rFonts w:cs="Times New Roman"/>
                <w:color w:val="auto"/>
                <w:kern w:val="2"/>
                <w:szCs w:val="21"/>
                <w:highlight w:val="none"/>
                <w:lang w:eastAsia="zh-CN"/>
              </w:rPr>
            </w:pPr>
            <w:r>
              <w:rPr>
                <w:rFonts w:hint="eastAsia" w:cs="Times New Roman"/>
                <w:color w:val="auto"/>
                <w:kern w:val="2"/>
                <w:szCs w:val="21"/>
                <w:highlight w:val="none"/>
                <w:lang w:eastAsia="zh-CN"/>
              </w:rPr>
              <w:t>规格型号</w:t>
            </w:r>
          </w:p>
        </w:tc>
        <w:tc>
          <w:tcPr>
            <w:tcW w:w="407" w:type="pct"/>
            <w:tcMar>
              <w:top w:w="15" w:type="dxa"/>
              <w:left w:w="15" w:type="dxa"/>
              <w:bottom w:w="0" w:type="dxa"/>
              <w:right w:w="15" w:type="dxa"/>
            </w:tcMar>
            <w:vAlign w:val="center"/>
          </w:tcPr>
          <w:p w14:paraId="547FBE01">
            <w:pPr>
              <w:widowControl w:val="0"/>
              <w:adjustRightInd w:val="0"/>
              <w:snapToGrid w:val="0"/>
              <w:spacing w:beforeLines="50" w:afterLines="50" w:line="276" w:lineRule="auto"/>
              <w:jc w:val="center"/>
              <w:rPr>
                <w:rFonts w:cs="Times New Roman"/>
                <w:color w:val="auto"/>
                <w:kern w:val="2"/>
                <w:szCs w:val="21"/>
                <w:highlight w:val="none"/>
                <w:lang w:eastAsia="zh-CN"/>
              </w:rPr>
            </w:pPr>
            <w:r>
              <w:rPr>
                <w:rFonts w:hint="eastAsia" w:cs="Times New Roman"/>
                <w:color w:val="auto"/>
                <w:kern w:val="2"/>
                <w:szCs w:val="21"/>
                <w:highlight w:val="none"/>
                <w:lang w:eastAsia="zh-CN"/>
              </w:rPr>
              <w:t>单位</w:t>
            </w:r>
          </w:p>
        </w:tc>
        <w:tc>
          <w:tcPr>
            <w:tcW w:w="407" w:type="pct"/>
            <w:tcMar>
              <w:top w:w="15" w:type="dxa"/>
              <w:left w:w="15" w:type="dxa"/>
              <w:bottom w:w="0" w:type="dxa"/>
              <w:right w:w="15" w:type="dxa"/>
            </w:tcMar>
            <w:vAlign w:val="center"/>
          </w:tcPr>
          <w:p w14:paraId="7C884CB0">
            <w:pPr>
              <w:widowControl w:val="0"/>
              <w:adjustRightInd w:val="0"/>
              <w:snapToGrid w:val="0"/>
              <w:spacing w:beforeLines="50" w:afterLines="50" w:line="276" w:lineRule="auto"/>
              <w:jc w:val="center"/>
              <w:rPr>
                <w:rFonts w:cs="Times New Roman"/>
                <w:color w:val="auto"/>
                <w:kern w:val="2"/>
                <w:szCs w:val="21"/>
                <w:highlight w:val="none"/>
                <w:lang w:eastAsia="zh-CN"/>
              </w:rPr>
            </w:pPr>
            <w:r>
              <w:rPr>
                <w:rFonts w:hint="eastAsia" w:cs="Times New Roman"/>
                <w:color w:val="auto"/>
                <w:kern w:val="2"/>
                <w:szCs w:val="21"/>
                <w:highlight w:val="none"/>
                <w:lang w:eastAsia="zh-CN"/>
              </w:rPr>
              <w:t>数量</w:t>
            </w:r>
          </w:p>
        </w:tc>
        <w:tc>
          <w:tcPr>
            <w:tcW w:w="815" w:type="pct"/>
            <w:tcMar>
              <w:top w:w="15" w:type="dxa"/>
              <w:left w:w="15" w:type="dxa"/>
              <w:bottom w:w="0" w:type="dxa"/>
              <w:right w:w="15" w:type="dxa"/>
            </w:tcMar>
            <w:vAlign w:val="center"/>
          </w:tcPr>
          <w:p w14:paraId="743F14C9">
            <w:pPr>
              <w:widowControl w:val="0"/>
              <w:adjustRightInd w:val="0"/>
              <w:snapToGrid w:val="0"/>
              <w:spacing w:beforeLines="50" w:afterLines="50" w:line="276" w:lineRule="auto"/>
              <w:jc w:val="center"/>
              <w:rPr>
                <w:rFonts w:cs="Times New Roman"/>
                <w:color w:val="auto"/>
                <w:kern w:val="2"/>
                <w:szCs w:val="21"/>
                <w:highlight w:val="none"/>
                <w:lang w:eastAsia="zh-CN"/>
              </w:rPr>
            </w:pPr>
            <w:r>
              <w:rPr>
                <w:rFonts w:hint="eastAsia" w:cs="Times New Roman"/>
                <w:color w:val="auto"/>
                <w:kern w:val="2"/>
                <w:szCs w:val="21"/>
                <w:highlight w:val="none"/>
                <w:lang w:eastAsia="zh-CN"/>
              </w:rPr>
              <w:t>产地/制造商</w:t>
            </w:r>
          </w:p>
        </w:tc>
        <w:tc>
          <w:tcPr>
            <w:tcW w:w="325" w:type="pct"/>
            <w:tcMar>
              <w:top w:w="15" w:type="dxa"/>
              <w:left w:w="15" w:type="dxa"/>
              <w:bottom w:w="0" w:type="dxa"/>
              <w:right w:w="15" w:type="dxa"/>
            </w:tcMar>
            <w:vAlign w:val="center"/>
          </w:tcPr>
          <w:p w14:paraId="2CFECCB8">
            <w:pPr>
              <w:widowControl w:val="0"/>
              <w:adjustRightInd w:val="0"/>
              <w:snapToGrid w:val="0"/>
              <w:spacing w:beforeLines="50" w:afterLines="50" w:line="276" w:lineRule="auto"/>
              <w:jc w:val="center"/>
              <w:rPr>
                <w:rFonts w:cs="Times New Roman"/>
                <w:color w:val="auto"/>
                <w:kern w:val="2"/>
                <w:szCs w:val="21"/>
                <w:highlight w:val="none"/>
                <w:lang w:eastAsia="zh-CN"/>
              </w:rPr>
            </w:pPr>
            <w:r>
              <w:rPr>
                <w:rFonts w:hint="eastAsia" w:cs="Times New Roman"/>
                <w:color w:val="auto"/>
                <w:kern w:val="2"/>
                <w:szCs w:val="21"/>
                <w:highlight w:val="none"/>
                <w:lang w:eastAsia="zh-CN"/>
              </w:rPr>
              <w:t>单价</w:t>
            </w:r>
          </w:p>
        </w:tc>
        <w:tc>
          <w:tcPr>
            <w:tcW w:w="326" w:type="pct"/>
            <w:tcMar>
              <w:top w:w="15" w:type="dxa"/>
              <w:left w:w="15" w:type="dxa"/>
              <w:bottom w:w="0" w:type="dxa"/>
              <w:right w:w="15" w:type="dxa"/>
            </w:tcMar>
            <w:vAlign w:val="center"/>
          </w:tcPr>
          <w:p w14:paraId="72C10D33">
            <w:pPr>
              <w:widowControl w:val="0"/>
              <w:adjustRightInd w:val="0"/>
              <w:snapToGrid w:val="0"/>
              <w:spacing w:beforeLines="50" w:afterLines="50" w:line="276" w:lineRule="auto"/>
              <w:jc w:val="center"/>
              <w:rPr>
                <w:rFonts w:cs="Times New Roman"/>
                <w:color w:val="auto"/>
                <w:kern w:val="2"/>
                <w:szCs w:val="21"/>
                <w:highlight w:val="none"/>
                <w:lang w:eastAsia="zh-CN"/>
              </w:rPr>
            </w:pPr>
            <w:r>
              <w:rPr>
                <w:rFonts w:hint="eastAsia" w:cs="Times New Roman"/>
                <w:color w:val="auto"/>
                <w:kern w:val="2"/>
                <w:szCs w:val="21"/>
                <w:highlight w:val="none"/>
                <w:lang w:eastAsia="zh-CN"/>
              </w:rPr>
              <w:t>合价</w:t>
            </w:r>
          </w:p>
        </w:tc>
        <w:tc>
          <w:tcPr>
            <w:tcW w:w="548" w:type="pct"/>
            <w:vAlign w:val="center"/>
          </w:tcPr>
          <w:p w14:paraId="007E86FA">
            <w:pPr>
              <w:widowControl w:val="0"/>
              <w:adjustRightInd w:val="0"/>
              <w:snapToGrid w:val="0"/>
              <w:spacing w:beforeLines="50" w:afterLines="50" w:line="276" w:lineRule="auto"/>
              <w:jc w:val="center"/>
              <w:rPr>
                <w:rFonts w:cs="Times New Roman"/>
                <w:color w:val="auto"/>
                <w:kern w:val="2"/>
                <w:szCs w:val="21"/>
                <w:highlight w:val="none"/>
                <w:lang w:eastAsia="zh-CN"/>
              </w:rPr>
            </w:pPr>
            <w:r>
              <w:rPr>
                <w:rFonts w:hint="eastAsia" w:cs="Times New Roman"/>
                <w:color w:val="auto"/>
                <w:kern w:val="2"/>
                <w:szCs w:val="21"/>
                <w:highlight w:val="none"/>
                <w:lang w:eastAsia="zh-CN"/>
              </w:rPr>
              <w:t>供货周期</w:t>
            </w:r>
          </w:p>
        </w:tc>
        <w:tc>
          <w:tcPr>
            <w:tcW w:w="369" w:type="pct"/>
            <w:tcMar>
              <w:top w:w="15" w:type="dxa"/>
              <w:left w:w="15" w:type="dxa"/>
              <w:bottom w:w="0" w:type="dxa"/>
              <w:right w:w="15" w:type="dxa"/>
            </w:tcMar>
            <w:vAlign w:val="center"/>
          </w:tcPr>
          <w:p w14:paraId="3C352D47">
            <w:pPr>
              <w:widowControl w:val="0"/>
              <w:adjustRightInd w:val="0"/>
              <w:snapToGrid w:val="0"/>
              <w:spacing w:beforeLines="50" w:afterLines="50" w:line="276" w:lineRule="auto"/>
              <w:jc w:val="center"/>
              <w:rPr>
                <w:rFonts w:cs="Times New Roman"/>
                <w:color w:val="auto"/>
                <w:kern w:val="2"/>
                <w:szCs w:val="21"/>
                <w:highlight w:val="none"/>
                <w:lang w:eastAsia="zh-CN"/>
              </w:rPr>
            </w:pPr>
            <w:r>
              <w:rPr>
                <w:rFonts w:hint="eastAsia" w:cs="Times New Roman"/>
                <w:color w:val="auto"/>
                <w:kern w:val="2"/>
                <w:szCs w:val="21"/>
                <w:highlight w:val="none"/>
                <w:lang w:eastAsia="zh-CN"/>
              </w:rPr>
              <w:t>备注</w:t>
            </w:r>
          </w:p>
        </w:tc>
      </w:tr>
      <w:tr w14:paraId="22A7BB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7" w:hRule="atLeast"/>
          <w:jc w:val="center"/>
        </w:trPr>
        <w:tc>
          <w:tcPr>
            <w:tcW w:w="433" w:type="pct"/>
            <w:tcMar>
              <w:top w:w="15" w:type="dxa"/>
              <w:left w:w="15" w:type="dxa"/>
              <w:bottom w:w="0" w:type="dxa"/>
              <w:right w:w="15" w:type="dxa"/>
            </w:tcMar>
            <w:vAlign w:val="center"/>
          </w:tcPr>
          <w:p w14:paraId="43D1BFCA">
            <w:pPr>
              <w:widowControl w:val="0"/>
              <w:adjustRightInd w:val="0"/>
              <w:snapToGrid w:val="0"/>
              <w:spacing w:beforeLines="50" w:afterLines="50" w:line="276" w:lineRule="auto"/>
              <w:jc w:val="center"/>
              <w:rPr>
                <w:rFonts w:cs="Times New Roman"/>
                <w:color w:val="auto"/>
                <w:kern w:val="2"/>
                <w:szCs w:val="21"/>
                <w:highlight w:val="none"/>
                <w:lang w:eastAsia="zh-CN"/>
              </w:rPr>
            </w:pPr>
            <w:r>
              <w:rPr>
                <w:rFonts w:hint="eastAsia" w:cs="Times New Roman"/>
                <w:color w:val="auto"/>
                <w:kern w:val="2"/>
                <w:szCs w:val="21"/>
                <w:highlight w:val="none"/>
                <w:lang w:eastAsia="zh-CN"/>
              </w:rPr>
              <w:t>1</w:t>
            </w:r>
          </w:p>
        </w:tc>
        <w:tc>
          <w:tcPr>
            <w:tcW w:w="718" w:type="pct"/>
            <w:tcMar>
              <w:top w:w="15" w:type="dxa"/>
              <w:left w:w="15" w:type="dxa"/>
              <w:bottom w:w="0" w:type="dxa"/>
              <w:right w:w="15" w:type="dxa"/>
            </w:tcMar>
            <w:vAlign w:val="center"/>
          </w:tcPr>
          <w:p w14:paraId="70BC398C">
            <w:pPr>
              <w:widowControl w:val="0"/>
              <w:adjustRightInd w:val="0"/>
              <w:snapToGrid w:val="0"/>
              <w:spacing w:beforeLines="50" w:afterLines="50" w:line="276" w:lineRule="auto"/>
              <w:jc w:val="center"/>
              <w:rPr>
                <w:rFonts w:cs="Times New Roman"/>
                <w:color w:val="auto"/>
                <w:kern w:val="2"/>
                <w:szCs w:val="21"/>
                <w:highlight w:val="none"/>
                <w:lang w:eastAsia="zh-CN"/>
              </w:rPr>
            </w:pPr>
          </w:p>
        </w:tc>
        <w:tc>
          <w:tcPr>
            <w:tcW w:w="652" w:type="pct"/>
            <w:tcMar>
              <w:top w:w="15" w:type="dxa"/>
              <w:left w:w="15" w:type="dxa"/>
              <w:bottom w:w="0" w:type="dxa"/>
              <w:right w:w="15" w:type="dxa"/>
            </w:tcMar>
            <w:vAlign w:val="center"/>
          </w:tcPr>
          <w:p w14:paraId="1D1EC935">
            <w:pPr>
              <w:widowControl w:val="0"/>
              <w:adjustRightInd w:val="0"/>
              <w:snapToGrid w:val="0"/>
              <w:spacing w:beforeLines="50" w:afterLines="50" w:line="276" w:lineRule="auto"/>
              <w:jc w:val="center"/>
              <w:rPr>
                <w:rFonts w:cs="Times New Roman"/>
                <w:color w:val="auto"/>
                <w:kern w:val="2"/>
                <w:szCs w:val="21"/>
                <w:highlight w:val="none"/>
                <w:lang w:eastAsia="zh-CN"/>
              </w:rPr>
            </w:pPr>
          </w:p>
        </w:tc>
        <w:tc>
          <w:tcPr>
            <w:tcW w:w="407" w:type="pct"/>
            <w:tcMar>
              <w:top w:w="15" w:type="dxa"/>
              <w:left w:w="15" w:type="dxa"/>
              <w:bottom w:w="0" w:type="dxa"/>
              <w:right w:w="15" w:type="dxa"/>
            </w:tcMar>
            <w:vAlign w:val="center"/>
          </w:tcPr>
          <w:p w14:paraId="1923C897">
            <w:pPr>
              <w:widowControl w:val="0"/>
              <w:adjustRightInd w:val="0"/>
              <w:snapToGrid w:val="0"/>
              <w:spacing w:beforeLines="50" w:afterLines="50" w:line="276" w:lineRule="auto"/>
              <w:jc w:val="center"/>
              <w:rPr>
                <w:rFonts w:cs="Times New Roman"/>
                <w:color w:val="auto"/>
                <w:kern w:val="2"/>
                <w:szCs w:val="21"/>
                <w:highlight w:val="none"/>
                <w:lang w:eastAsia="zh-CN"/>
              </w:rPr>
            </w:pPr>
          </w:p>
        </w:tc>
        <w:tc>
          <w:tcPr>
            <w:tcW w:w="407" w:type="pct"/>
            <w:tcMar>
              <w:top w:w="15" w:type="dxa"/>
              <w:left w:w="15" w:type="dxa"/>
              <w:bottom w:w="0" w:type="dxa"/>
              <w:right w:w="15" w:type="dxa"/>
            </w:tcMar>
            <w:vAlign w:val="center"/>
          </w:tcPr>
          <w:p w14:paraId="77B1B43A">
            <w:pPr>
              <w:widowControl w:val="0"/>
              <w:adjustRightInd w:val="0"/>
              <w:snapToGrid w:val="0"/>
              <w:spacing w:beforeLines="50" w:afterLines="50" w:line="276" w:lineRule="auto"/>
              <w:jc w:val="center"/>
              <w:rPr>
                <w:rFonts w:cs="Times New Roman"/>
                <w:color w:val="auto"/>
                <w:kern w:val="2"/>
                <w:szCs w:val="21"/>
                <w:highlight w:val="none"/>
                <w:lang w:eastAsia="zh-CN"/>
              </w:rPr>
            </w:pPr>
          </w:p>
        </w:tc>
        <w:tc>
          <w:tcPr>
            <w:tcW w:w="815" w:type="pct"/>
            <w:tcMar>
              <w:top w:w="15" w:type="dxa"/>
              <w:left w:w="15" w:type="dxa"/>
              <w:bottom w:w="0" w:type="dxa"/>
              <w:right w:w="15" w:type="dxa"/>
            </w:tcMar>
            <w:vAlign w:val="center"/>
          </w:tcPr>
          <w:p w14:paraId="4DF3CF7D">
            <w:pPr>
              <w:widowControl w:val="0"/>
              <w:adjustRightInd w:val="0"/>
              <w:snapToGrid w:val="0"/>
              <w:spacing w:beforeLines="50" w:afterLines="50" w:line="276" w:lineRule="auto"/>
              <w:jc w:val="center"/>
              <w:rPr>
                <w:rFonts w:cs="Times New Roman"/>
                <w:color w:val="auto"/>
                <w:kern w:val="2"/>
                <w:szCs w:val="21"/>
                <w:highlight w:val="none"/>
                <w:lang w:eastAsia="zh-CN"/>
              </w:rPr>
            </w:pPr>
          </w:p>
        </w:tc>
        <w:tc>
          <w:tcPr>
            <w:tcW w:w="325" w:type="pct"/>
            <w:tcMar>
              <w:top w:w="15" w:type="dxa"/>
              <w:left w:w="15" w:type="dxa"/>
              <w:bottom w:w="0" w:type="dxa"/>
              <w:right w:w="15" w:type="dxa"/>
            </w:tcMar>
            <w:vAlign w:val="center"/>
          </w:tcPr>
          <w:p w14:paraId="3082EEC2">
            <w:pPr>
              <w:widowControl w:val="0"/>
              <w:adjustRightInd w:val="0"/>
              <w:snapToGrid w:val="0"/>
              <w:spacing w:beforeLines="50" w:afterLines="50" w:line="276" w:lineRule="auto"/>
              <w:jc w:val="center"/>
              <w:rPr>
                <w:rFonts w:cs="Times New Roman"/>
                <w:color w:val="auto"/>
                <w:kern w:val="2"/>
                <w:szCs w:val="21"/>
                <w:highlight w:val="none"/>
                <w:lang w:eastAsia="zh-CN"/>
              </w:rPr>
            </w:pPr>
          </w:p>
        </w:tc>
        <w:tc>
          <w:tcPr>
            <w:tcW w:w="326" w:type="pct"/>
            <w:tcMar>
              <w:top w:w="15" w:type="dxa"/>
              <w:left w:w="15" w:type="dxa"/>
              <w:bottom w:w="0" w:type="dxa"/>
              <w:right w:w="15" w:type="dxa"/>
            </w:tcMar>
            <w:vAlign w:val="center"/>
          </w:tcPr>
          <w:p w14:paraId="6659C7F9">
            <w:pPr>
              <w:widowControl w:val="0"/>
              <w:adjustRightInd w:val="0"/>
              <w:snapToGrid w:val="0"/>
              <w:spacing w:beforeLines="50" w:afterLines="50" w:line="276" w:lineRule="auto"/>
              <w:jc w:val="center"/>
              <w:rPr>
                <w:rFonts w:cs="Times New Roman"/>
                <w:color w:val="auto"/>
                <w:kern w:val="2"/>
                <w:szCs w:val="21"/>
                <w:highlight w:val="none"/>
                <w:lang w:eastAsia="zh-CN"/>
              </w:rPr>
            </w:pPr>
          </w:p>
        </w:tc>
        <w:tc>
          <w:tcPr>
            <w:tcW w:w="548" w:type="pct"/>
          </w:tcPr>
          <w:p w14:paraId="62A1651C">
            <w:pPr>
              <w:widowControl w:val="0"/>
              <w:adjustRightInd w:val="0"/>
              <w:snapToGrid w:val="0"/>
              <w:spacing w:beforeLines="50" w:afterLines="50" w:line="276" w:lineRule="auto"/>
              <w:jc w:val="center"/>
              <w:rPr>
                <w:rFonts w:cs="Times New Roman"/>
                <w:color w:val="auto"/>
                <w:kern w:val="2"/>
                <w:szCs w:val="21"/>
                <w:highlight w:val="none"/>
                <w:lang w:eastAsia="zh-CN"/>
              </w:rPr>
            </w:pPr>
          </w:p>
        </w:tc>
        <w:tc>
          <w:tcPr>
            <w:tcW w:w="369" w:type="pct"/>
            <w:tcMar>
              <w:top w:w="15" w:type="dxa"/>
              <w:left w:w="15" w:type="dxa"/>
              <w:bottom w:w="0" w:type="dxa"/>
              <w:right w:w="15" w:type="dxa"/>
            </w:tcMar>
            <w:vAlign w:val="center"/>
          </w:tcPr>
          <w:p w14:paraId="782D3FEB">
            <w:pPr>
              <w:widowControl w:val="0"/>
              <w:adjustRightInd w:val="0"/>
              <w:snapToGrid w:val="0"/>
              <w:spacing w:beforeLines="50" w:afterLines="50" w:line="276" w:lineRule="auto"/>
              <w:jc w:val="center"/>
              <w:rPr>
                <w:rFonts w:cs="Times New Roman"/>
                <w:color w:val="auto"/>
                <w:kern w:val="2"/>
                <w:szCs w:val="21"/>
                <w:highlight w:val="none"/>
                <w:lang w:eastAsia="zh-CN"/>
              </w:rPr>
            </w:pPr>
          </w:p>
        </w:tc>
      </w:tr>
      <w:tr w14:paraId="34CD6F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1" w:hRule="atLeast"/>
          <w:jc w:val="center"/>
        </w:trPr>
        <w:tc>
          <w:tcPr>
            <w:tcW w:w="433" w:type="pct"/>
            <w:tcMar>
              <w:top w:w="15" w:type="dxa"/>
              <w:left w:w="15" w:type="dxa"/>
              <w:bottom w:w="0" w:type="dxa"/>
              <w:right w:w="15" w:type="dxa"/>
            </w:tcMar>
            <w:vAlign w:val="center"/>
          </w:tcPr>
          <w:p w14:paraId="309977E7">
            <w:pPr>
              <w:widowControl w:val="0"/>
              <w:adjustRightInd w:val="0"/>
              <w:snapToGrid w:val="0"/>
              <w:spacing w:beforeLines="50" w:afterLines="50" w:line="276" w:lineRule="auto"/>
              <w:jc w:val="center"/>
              <w:rPr>
                <w:rFonts w:cs="Times New Roman"/>
                <w:color w:val="auto"/>
                <w:kern w:val="2"/>
                <w:szCs w:val="21"/>
                <w:highlight w:val="none"/>
                <w:lang w:eastAsia="zh-CN"/>
              </w:rPr>
            </w:pPr>
            <w:r>
              <w:rPr>
                <w:rFonts w:hint="eastAsia" w:cs="Times New Roman"/>
                <w:color w:val="auto"/>
                <w:kern w:val="2"/>
                <w:szCs w:val="21"/>
                <w:highlight w:val="none"/>
                <w:lang w:eastAsia="zh-CN"/>
              </w:rPr>
              <w:t>2</w:t>
            </w:r>
          </w:p>
        </w:tc>
        <w:tc>
          <w:tcPr>
            <w:tcW w:w="718" w:type="pct"/>
            <w:tcMar>
              <w:top w:w="15" w:type="dxa"/>
              <w:left w:w="15" w:type="dxa"/>
              <w:bottom w:w="0" w:type="dxa"/>
              <w:right w:w="15" w:type="dxa"/>
            </w:tcMar>
            <w:vAlign w:val="center"/>
          </w:tcPr>
          <w:p w14:paraId="68B78494">
            <w:pPr>
              <w:widowControl w:val="0"/>
              <w:adjustRightInd w:val="0"/>
              <w:snapToGrid w:val="0"/>
              <w:spacing w:beforeLines="50" w:afterLines="50" w:line="276" w:lineRule="auto"/>
              <w:jc w:val="center"/>
              <w:rPr>
                <w:rFonts w:cs="Times New Roman"/>
                <w:color w:val="auto"/>
                <w:kern w:val="2"/>
                <w:szCs w:val="21"/>
                <w:highlight w:val="none"/>
                <w:lang w:eastAsia="zh-CN"/>
              </w:rPr>
            </w:pPr>
          </w:p>
        </w:tc>
        <w:tc>
          <w:tcPr>
            <w:tcW w:w="652" w:type="pct"/>
            <w:tcMar>
              <w:top w:w="15" w:type="dxa"/>
              <w:left w:w="15" w:type="dxa"/>
              <w:bottom w:w="0" w:type="dxa"/>
              <w:right w:w="15" w:type="dxa"/>
            </w:tcMar>
            <w:vAlign w:val="center"/>
          </w:tcPr>
          <w:p w14:paraId="18CFF053">
            <w:pPr>
              <w:widowControl w:val="0"/>
              <w:adjustRightInd w:val="0"/>
              <w:snapToGrid w:val="0"/>
              <w:spacing w:beforeLines="50" w:afterLines="50" w:line="276" w:lineRule="auto"/>
              <w:jc w:val="center"/>
              <w:rPr>
                <w:rFonts w:cs="Times New Roman"/>
                <w:color w:val="auto"/>
                <w:kern w:val="2"/>
                <w:szCs w:val="21"/>
                <w:highlight w:val="none"/>
                <w:lang w:eastAsia="zh-CN"/>
              </w:rPr>
            </w:pPr>
          </w:p>
        </w:tc>
        <w:tc>
          <w:tcPr>
            <w:tcW w:w="407" w:type="pct"/>
            <w:tcMar>
              <w:top w:w="15" w:type="dxa"/>
              <w:left w:w="15" w:type="dxa"/>
              <w:bottom w:w="0" w:type="dxa"/>
              <w:right w:w="15" w:type="dxa"/>
            </w:tcMar>
            <w:vAlign w:val="center"/>
          </w:tcPr>
          <w:p w14:paraId="7A0C708F">
            <w:pPr>
              <w:widowControl w:val="0"/>
              <w:adjustRightInd w:val="0"/>
              <w:snapToGrid w:val="0"/>
              <w:spacing w:beforeLines="50" w:afterLines="50" w:line="276" w:lineRule="auto"/>
              <w:jc w:val="center"/>
              <w:rPr>
                <w:rFonts w:cs="Times New Roman"/>
                <w:color w:val="auto"/>
                <w:kern w:val="2"/>
                <w:szCs w:val="21"/>
                <w:highlight w:val="none"/>
                <w:lang w:eastAsia="zh-CN"/>
              </w:rPr>
            </w:pPr>
          </w:p>
        </w:tc>
        <w:tc>
          <w:tcPr>
            <w:tcW w:w="407" w:type="pct"/>
            <w:tcMar>
              <w:top w:w="15" w:type="dxa"/>
              <w:left w:w="15" w:type="dxa"/>
              <w:bottom w:w="0" w:type="dxa"/>
              <w:right w:w="15" w:type="dxa"/>
            </w:tcMar>
            <w:vAlign w:val="center"/>
          </w:tcPr>
          <w:p w14:paraId="37C98E75">
            <w:pPr>
              <w:widowControl w:val="0"/>
              <w:adjustRightInd w:val="0"/>
              <w:snapToGrid w:val="0"/>
              <w:spacing w:beforeLines="50" w:afterLines="50" w:line="276" w:lineRule="auto"/>
              <w:jc w:val="center"/>
              <w:rPr>
                <w:rFonts w:cs="Times New Roman"/>
                <w:color w:val="auto"/>
                <w:kern w:val="2"/>
                <w:szCs w:val="21"/>
                <w:highlight w:val="none"/>
                <w:lang w:eastAsia="zh-CN"/>
              </w:rPr>
            </w:pPr>
          </w:p>
        </w:tc>
        <w:tc>
          <w:tcPr>
            <w:tcW w:w="815" w:type="pct"/>
            <w:tcMar>
              <w:top w:w="15" w:type="dxa"/>
              <w:left w:w="15" w:type="dxa"/>
              <w:bottom w:w="0" w:type="dxa"/>
              <w:right w:w="15" w:type="dxa"/>
            </w:tcMar>
            <w:vAlign w:val="center"/>
          </w:tcPr>
          <w:p w14:paraId="5DDB2CEA">
            <w:pPr>
              <w:widowControl w:val="0"/>
              <w:adjustRightInd w:val="0"/>
              <w:snapToGrid w:val="0"/>
              <w:spacing w:beforeLines="50" w:afterLines="50" w:line="276" w:lineRule="auto"/>
              <w:jc w:val="center"/>
              <w:rPr>
                <w:rFonts w:cs="Times New Roman"/>
                <w:color w:val="auto"/>
                <w:kern w:val="2"/>
                <w:szCs w:val="21"/>
                <w:highlight w:val="none"/>
                <w:lang w:eastAsia="zh-CN"/>
              </w:rPr>
            </w:pPr>
          </w:p>
        </w:tc>
        <w:tc>
          <w:tcPr>
            <w:tcW w:w="325" w:type="pct"/>
            <w:tcMar>
              <w:top w:w="15" w:type="dxa"/>
              <w:left w:w="15" w:type="dxa"/>
              <w:bottom w:w="0" w:type="dxa"/>
              <w:right w:w="15" w:type="dxa"/>
            </w:tcMar>
            <w:vAlign w:val="center"/>
          </w:tcPr>
          <w:p w14:paraId="2B2A40B0">
            <w:pPr>
              <w:widowControl w:val="0"/>
              <w:adjustRightInd w:val="0"/>
              <w:snapToGrid w:val="0"/>
              <w:spacing w:beforeLines="50" w:afterLines="50" w:line="276" w:lineRule="auto"/>
              <w:jc w:val="center"/>
              <w:rPr>
                <w:rFonts w:cs="Times New Roman"/>
                <w:color w:val="auto"/>
                <w:kern w:val="2"/>
                <w:szCs w:val="21"/>
                <w:highlight w:val="none"/>
                <w:lang w:eastAsia="zh-CN"/>
              </w:rPr>
            </w:pPr>
          </w:p>
        </w:tc>
        <w:tc>
          <w:tcPr>
            <w:tcW w:w="326" w:type="pct"/>
            <w:tcMar>
              <w:top w:w="15" w:type="dxa"/>
              <w:left w:w="15" w:type="dxa"/>
              <w:bottom w:w="0" w:type="dxa"/>
              <w:right w:w="15" w:type="dxa"/>
            </w:tcMar>
            <w:vAlign w:val="center"/>
          </w:tcPr>
          <w:p w14:paraId="68A98D65">
            <w:pPr>
              <w:widowControl w:val="0"/>
              <w:adjustRightInd w:val="0"/>
              <w:snapToGrid w:val="0"/>
              <w:spacing w:beforeLines="50" w:afterLines="50" w:line="276" w:lineRule="auto"/>
              <w:jc w:val="center"/>
              <w:rPr>
                <w:rFonts w:cs="Times New Roman"/>
                <w:color w:val="auto"/>
                <w:kern w:val="2"/>
                <w:szCs w:val="21"/>
                <w:highlight w:val="none"/>
                <w:lang w:eastAsia="zh-CN"/>
              </w:rPr>
            </w:pPr>
          </w:p>
        </w:tc>
        <w:tc>
          <w:tcPr>
            <w:tcW w:w="548" w:type="pct"/>
          </w:tcPr>
          <w:p w14:paraId="7ED20F74">
            <w:pPr>
              <w:widowControl w:val="0"/>
              <w:adjustRightInd w:val="0"/>
              <w:snapToGrid w:val="0"/>
              <w:spacing w:beforeLines="50" w:afterLines="50" w:line="276" w:lineRule="auto"/>
              <w:jc w:val="center"/>
              <w:rPr>
                <w:rFonts w:cs="Times New Roman"/>
                <w:color w:val="auto"/>
                <w:kern w:val="2"/>
                <w:szCs w:val="21"/>
                <w:highlight w:val="none"/>
                <w:lang w:eastAsia="zh-CN"/>
              </w:rPr>
            </w:pPr>
          </w:p>
        </w:tc>
        <w:tc>
          <w:tcPr>
            <w:tcW w:w="369" w:type="pct"/>
            <w:tcMar>
              <w:top w:w="15" w:type="dxa"/>
              <w:left w:w="15" w:type="dxa"/>
              <w:bottom w:w="0" w:type="dxa"/>
              <w:right w:w="15" w:type="dxa"/>
            </w:tcMar>
            <w:vAlign w:val="center"/>
          </w:tcPr>
          <w:p w14:paraId="74130B03">
            <w:pPr>
              <w:widowControl w:val="0"/>
              <w:adjustRightInd w:val="0"/>
              <w:snapToGrid w:val="0"/>
              <w:spacing w:beforeLines="50" w:afterLines="50" w:line="276" w:lineRule="auto"/>
              <w:jc w:val="center"/>
              <w:rPr>
                <w:rFonts w:cs="Times New Roman"/>
                <w:color w:val="auto"/>
                <w:kern w:val="2"/>
                <w:szCs w:val="21"/>
                <w:highlight w:val="none"/>
                <w:lang w:eastAsia="zh-CN"/>
              </w:rPr>
            </w:pPr>
          </w:p>
        </w:tc>
      </w:tr>
      <w:tr w14:paraId="032CF1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6" w:hRule="atLeast"/>
          <w:jc w:val="center"/>
        </w:trPr>
        <w:tc>
          <w:tcPr>
            <w:tcW w:w="433" w:type="pct"/>
            <w:tcMar>
              <w:top w:w="15" w:type="dxa"/>
              <w:left w:w="15" w:type="dxa"/>
              <w:bottom w:w="0" w:type="dxa"/>
              <w:right w:w="15" w:type="dxa"/>
            </w:tcMar>
            <w:vAlign w:val="center"/>
          </w:tcPr>
          <w:p w14:paraId="046360D6">
            <w:pPr>
              <w:widowControl w:val="0"/>
              <w:adjustRightInd w:val="0"/>
              <w:snapToGrid w:val="0"/>
              <w:spacing w:beforeLines="50" w:afterLines="50" w:line="276" w:lineRule="auto"/>
              <w:jc w:val="center"/>
              <w:rPr>
                <w:rFonts w:cs="Times New Roman"/>
                <w:color w:val="auto"/>
                <w:kern w:val="2"/>
                <w:szCs w:val="21"/>
                <w:highlight w:val="none"/>
                <w:lang w:eastAsia="zh-CN"/>
              </w:rPr>
            </w:pPr>
            <w:r>
              <w:rPr>
                <w:rFonts w:hint="eastAsia" w:cs="Times New Roman"/>
                <w:color w:val="auto"/>
                <w:kern w:val="2"/>
                <w:szCs w:val="21"/>
                <w:highlight w:val="none"/>
                <w:lang w:eastAsia="zh-CN"/>
              </w:rPr>
              <w:t>3</w:t>
            </w:r>
          </w:p>
        </w:tc>
        <w:tc>
          <w:tcPr>
            <w:tcW w:w="718" w:type="pct"/>
            <w:tcMar>
              <w:top w:w="15" w:type="dxa"/>
              <w:left w:w="15" w:type="dxa"/>
              <w:bottom w:w="0" w:type="dxa"/>
              <w:right w:w="15" w:type="dxa"/>
            </w:tcMar>
            <w:vAlign w:val="center"/>
          </w:tcPr>
          <w:p w14:paraId="27B92212">
            <w:pPr>
              <w:widowControl w:val="0"/>
              <w:adjustRightInd w:val="0"/>
              <w:snapToGrid w:val="0"/>
              <w:spacing w:beforeLines="50" w:afterLines="50" w:line="276" w:lineRule="auto"/>
              <w:jc w:val="center"/>
              <w:rPr>
                <w:rFonts w:cs="Times New Roman"/>
                <w:color w:val="auto"/>
                <w:kern w:val="2"/>
                <w:szCs w:val="21"/>
                <w:highlight w:val="none"/>
                <w:lang w:eastAsia="zh-CN"/>
              </w:rPr>
            </w:pPr>
          </w:p>
        </w:tc>
        <w:tc>
          <w:tcPr>
            <w:tcW w:w="652" w:type="pct"/>
            <w:tcMar>
              <w:top w:w="15" w:type="dxa"/>
              <w:left w:w="15" w:type="dxa"/>
              <w:bottom w:w="0" w:type="dxa"/>
              <w:right w:w="15" w:type="dxa"/>
            </w:tcMar>
            <w:vAlign w:val="center"/>
          </w:tcPr>
          <w:p w14:paraId="460F1EBA">
            <w:pPr>
              <w:widowControl w:val="0"/>
              <w:adjustRightInd w:val="0"/>
              <w:snapToGrid w:val="0"/>
              <w:spacing w:beforeLines="50" w:afterLines="50" w:line="276" w:lineRule="auto"/>
              <w:jc w:val="center"/>
              <w:rPr>
                <w:rFonts w:cs="Times New Roman"/>
                <w:color w:val="auto"/>
                <w:kern w:val="2"/>
                <w:szCs w:val="21"/>
                <w:highlight w:val="none"/>
                <w:lang w:eastAsia="zh-CN"/>
              </w:rPr>
            </w:pPr>
          </w:p>
        </w:tc>
        <w:tc>
          <w:tcPr>
            <w:tcW w:w="407" w:type="pct"/>
            <w:tcMar>
              <w:top w:w="15" w:type="dxa"/>
              <w:left w:w="15" w:type="dxa"/>
              <w:bottom w:w="0" w:type="dxa"/>
              <w:right w:w="15" w:type="dxa"/>
            </w:tcMar>
            <w:vAlign w:val="center"/>
          </w:tcPr>
          <w:p w14:paraId="7A3EA6EB">
            <w:pPr>
              <w:widowControl w:val="0"/>
              <w:adjustRightInd w:val="0"/>
              <w:snapToGrid w:val="0"/>
              <w:spacing w:beforeLines="50" w:afterLines="50" w:line="276" w:lineRule="auto"/>
              <w:jc w:val="center"/>
              <w:rPr>
                <w:rFonts w:cs="Times New Roman"/>
                <w:color w:val="auto"/>
                <w:kern w:val="2"/>
                <w:szCs w:val="21"/>
                <w:highlight w:val="none"/>
                <w:lang w:eastAsia="zh-CN"/>
              </w:rPr>
            </w:pPr>
          </w:p>
        </w:tc>
        <w:tc>
          <w:tcPr>
            <w:tcW w:w="407" w:type="pct"/>
            <w:tcMar>
              <w:top w:w="15" w:type="dxa"/>
              <w:left w:w="15" w:type="dxa"/>
              <w:bottom w:w="0" w:type="dxa"/>
              <w:right w:w="15" w:type="dxa"/>
            </w:tcMar>
            <w:vAlign w:val="center"/>
          </w:tcPr>
          <w:p w14:paraId="0CFB741E">
            <w:pPr>
              <w:widowControl w:val="0"/>
              <w:adjustRightInd w:val="0"/>
              <w:snapToGrid w:val="0"/>
              <w:spacing w:beforeLines="50" w:afterLines="50" w:line="276" w:lineRule="auto"/>
              <w:jc w:val="center"/>
              <w:rPr>
                <w:rFonts w:cs="Times New Roman"/>
                <w:color w:val="auto"/>
                <w:kern w:val="2"/>
                <w:szCs w:val="21"/>
                <w:highlight w:val="none"/>
                <w:lang w:eastAsia="zh-CN"/>
              </w:rPr>
            </w:pPr>
          </w:p>
        </w:tc>
        <w:tc>
          <w:tcPr>
            <w:tcW w:w="815" w:type="pct"/>
            <w:tcMar>
              <w:top w:w="15" w:type="dxa"/>
              <w:left w:w="15" w:type="dxa"/>
              <w:bottom w:w="0" w:type="dxa"/>
              <w:right w:w="15" w:type="dxa"/>
            </w:tcMar>
            <w:vAlign w:val="center"/>
          </w:tcPr>
          <w:p w14:paraId="3B840E57">
            <w:pPr>
              <w:widowControl w:val="0"/>
              <w:adjustRightInd w:val="0"/>
              <w:snapToGrid w:val="0"/>
              <w:spacing w:beforeLines="50" w:afterLines="50" w:line="276" w:lineRule="auto"/>
              <w:jc w:val="center"/>
              <w:rPr>
                <w:rFonts w:cs="Times New Roman"/>
                <w:color w:val="auto"/>
                <w:kern w:val="2"/>
                <w:szCs w:val="21"/>
                <w:highlight w:val="none"/>
                <w:lang w:eastAsia="zh-CN"/>
              </w:rPr>
            </w:pPr>
          </w:p>
        </w:tc>
        <w:tc>
          <w:tcPr>
            <w:tcW w:w="325" w:type="pct"/>
            <w:tcMar>
              <w:top w:w="15" w:type="dxa"/>
              <w:left w:w="15" w:type="dxa"/>
              <w:bottom w:w="0" w:type="dxa"/>
              <w:right w:w="15" w:type="dxa"/>
            </w:tcMar>
            <w:vAlign w:val="center"/>
          </w:tcPr>
          <w:p w14:paraId="2E562E99">
            <w:pPr>
              <w:widowControl w:val="0"/>
              <w:adjustRightInd w:val="0"/>
              <w:snapToGrid w:val="0"/>
              <w:spacing w:beforeLines="50" w:afterLines="50" w:line="276" w:lineRule="auto"/>
              <w:jc w:val="center"/>
              <w:rPr>
                <w:rFonts w:cs="Times New Roman"/>
                <w:color w:val="auto"/>
                <w:kern w:val="2"/>
                <w:szCs w:val="21"/>
                <w:highlight w:val="none"/>
                <w:lang w:eastAsia="zh-CN"/>
              </w:rPr>
            </w:pPr>
          </w:p>
        </w:tc>
        <w:tc>
          <w:tcPr>
            <w:tcW w:w="326" w:type="pct"/>
            <w:tcMar>
              <w:top w:w="15" w:type="dxa"/>
              <w:left w:w="15" w:type="dxa"/>
              <w:bottom w:w="0" w:type="dxa"/>
              <w:right w:w="15" w:type="dxa"/>
            </w:tcMar>
            <w:vAlign w:val="center"/>
          </w:tcPr>
          <w:p w14:paraId="03DB193E">
            <w:pPr>
              <w:widowControl w:val="0"/>
              <w:adjustRightInd w:val="0"/>
              <w:snapToGrid w:val="0"/>
              <w:spacing w:beforeLines="50" w:afterLines="50" w:line="276" w:lineRule="auto"/>
              <w:jc w:val="center"/>
              <w:rPr>
                <w:rFonts w:cs="Times New Roman"/>
                <w:color w:val="auto"/>
                <w:kern w:val="2"/>
                <w:szCs w:val="21"/>
                <w:highlight w:val="none"/>
                <w:lang w:eastAsia="zh-CN"/>
              </w:rPr>
            </w:pPr>
          </w:p>
        </w:tc>
        <w:tc>
          <w:tcPr>
            <w:tcW w:w="548" w:type="pct"/>
          </w:tcPr>
          <w:p w14:paraId="7A550520">
            <w:pPr>
              <w:widowControl w:val="0"/>
              <w:adjustRightInd w:val="0"/>
              <w:snapToGrid w:val="0"/>
              <w:spacing w:beforeLines="50" w:afterLines="50" w:line="276" w:lineRule="auto"/>
              <w:jc w:val="center"/>
              <w:rPr>
                <w:rFonts w:cs="Times New Roman"/>
                <w:color w:val="auto"/>
                <w:kern w:val="2"/>
                <w:szCs w:val="21"/>
                <w:highlight w:val="none"/>
                <w:lang w:eastAsia="zh-CN"/>
              </w:rPr>
            </w:pPr>
          </w:p>
        </w:tc>
        <w:tc>
          <w:tcPr>
            <w:tcW w:w="369" w:type="pct"/>
            <w:tcMar>
              <w:top w:w="15" w:type="dxa"/>
              <w:left w:w="15" w:type="dxa"/>
              <w:bottom w:w="0" w:type="dxa"/>
              <w:right w:w="15" w:type="dxa"/>
            </w:tcMar>
            <w:vAlign w:val="center"/>
          </w:tcPr>
          <w:p w14:paraId="27EA0411">
            <w:pPr>
              <w:widowControl w:val="0"/>
              <w:adjustRightInd w:val="0"/>
              <w:snapToGrid w:val="0"/>
              <w:spacing w:beforeLines="50" w:afterLines="50" w:line="276" w:lineRule="auto"/>
              <w:jc w:val="center"/>
              <w:rPr>
                <w:rFonts w:cs="Times New Roman"/>
                <w:color w:val="auto"/>
                <w:kern w:val="2"/>
                <w:szCs w:val="21"/>
                <w:highlight w:val="none"/>
                <w:lang w:eastAsia="zh-CN"/>
              </w:rPr>
            </w:pPr>
          </w:p>
        </w:tc>
      </w:tr>
      <w:tr w14:paraId="49C84D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4" w:hRule="atLeast"/>
          <w:jc w:val="center"/>
        </w:trPr>
        <w:tc>
          <w:tcPr>
            <w:tcW w:w="433" w:type="pct"/>
            <w:tcMar>
              <w:top w:w="15" w:type="dxa"/>
              <w:left w:w="15" w:type="dxa"/>
              <w:bottom w:w="0" w:type="dxa"/>
              <w:right w:w="15" w:type="dxa"/>
            </w:tcMar>
            <w:vAlign w:val="center"/>
          </w:tcPr>
          <w:p w14:paraId="44F8BC19">
            <w:pPr>
              <w:widowControl w:val="0"/>
              <w:adjustRightInd w:val="0"/>
              <w:snapToGrid w:val="0"/>
              <w:spacing w:beforeLines="50" w:afterLines="50" w:line="276" w:lineRule="auto"/>
              <w:jc w:val="center"/>
              <w:rPr>
                <w:rFonts w:cs="Times New Roman"/>
                <w:color w:val="auto"/>
                <w:kern w:val="2"/>
                <w:szCs w:val="21"/>
                <w:highlight w:val="none"/>
                <w:lang w:eastAsia="zh-CN"/>
              </w:rPr>
            </w:pPr>
            <w:r>
              <w:rPr>
                <w:rFonts w:hint="eastAsia" w:cs="Times New Roman"/>
                <w:color w:val="auto"/>
                <w:kern w:val="2"/>
                <w:szCs w:val="21"/>
                <w:highlight w:val="none"/>
                <w:lang w:eastAsia="zh-CN"/>
              </w:rPr>
              <w:t>…</w:t>
            </w:r>
          </w:p>
        </w:tc>
        <w:tc>
          <w:tcPr>
            <w:tcW w:w="718" w:type="pct"/>
            <w:tcMar>
              <w:top w:w="15" w:type="dxa"/>
              <w:left w:w="15" w:type="dxa"/>
              <w:bottom w:w="0" w:type="dxa"/>
              <w:right w:w="15" w:type="dxa"/>
            </w:tcMar>
            <w:vAlign w:val="center"/>
          </w:tcPr>
          <w:p w14:paraId="42AFE99C">
            <w:pPr>
              <w:widowControl w:val="0"/>
              <w:adjustRightInd w:val="0"/>
              <w:snapToGrid w:val="0"/>
              <w:spacing w:beforeLines="50" w:afterLines="50" w:line="276" w:lineRule="auto"/>
              <w:jc w:val="center"/>
              <w:rPr>
                <w:rFonts w:cs="Times New Roman"/>
                <w:color w:val="auto"/>
                <w:kern w:val="2"/>
                <w:szCs w:val="21"/>
                <w:highlight w:val="none"/>
                <w:lang w:eastAsia="zh-CN"/>
              </w:rPr>
            </w:pPr>
          </w:p>
        </w:tc>
        <w:tc>
          <w:tcPr>
            <w:tcW w:w="652" w:type="pct"/>
            <w:tcMar>
              <w:top w:w="15" w:type="dxa"/>
              <w:left w:w="15" w:type="dxa"/>
              <w:bottom w:w="0" w:type="dxa"/>
              <w:right w:w="15" w:type="dxa"/>
            </w:tcMar>
            <w:vAlign w:val="center"/>
          </w:tcPr>
          <w:p w14:paraId="4C265266">
            <w:pPr>
              <w:widowControl w:val="0"/>
              <w:adjustRightInd w:val="0"/>
              <w:snapToGrid w:val="0"/>
              <w:spacing w:beforeLines="50" w:afterLines="50" w:line="276" w:lineRule="auto"/>
              <w:jc w:val="center"/>
              <w:rPr>
                <w:rFonts w:cs="Times New Roman"/>
                <w:color w:val="auto"/>
                <w:kern w:val="2"/>
                <w:szCs w:val="21"/>
                <w:highlight w:val="none"/>
                <w:lang w:eastAsia="zh-CN"/>
              </w:rPr>
            </w:pPr>
          </w:p>
        </w:tc>
        <w:tc>
          <w:tcPr>
            <w:tcW w:w="407" w:type="pct"/>
            <w:tcMar>
              <w:top w:w="15" w:type="dxa"/>
              <w:left w:w="15" w:type="dxa"/>
              <w:bottom w:w="0" w:type="dxa"/>
              <w:right w:w="15" w:type="dxa"/>
            </w:tcMar>
            <w:vAlign w:val="center"/>
          </w:tcPr>
          <w:p w14:paraId="60BC756E">
            <w:pPr>
              <w:widowControl w:val="0"/>
              <w:adjustRightInd w:val="0"/>
              <w:snapToGrid w:val="0"/>
              <w:spacing w:beforeLines="50" w:afterLines="50" w:line="276" w:lineRule="auto"/>
              <w:jc w:val="center"/>
              <w:rPr>
                <w:rFonts w:cs="Times New Roman"/>
                <w:color w:val="auto"/>
                <w:kern w:val="2"/>
                <w:szCs w:val="21"/>
                <w:highlight w:val="none"/>
                <w:lang w:eastAsia="zh-CN"/>
              </w:rPr>
            </w:pPr>
          </w:p>
        </w:tc>
        <w:tc>
          <w:tcPr>
            <w:tcW w:w="407" w:type="pct"/>
            <w:tcMar>
              <w:top w:w="15" w:type="dxa"/>
              <w:left w:w="15" w:type="dxa"/>
              <w:bottom w:w="0" w:type="dxa"/>
              <w:right w:w="15" w:type="dxa"/>
            </w:tcMar>
            <w:vAlign w:val="center"/>
          </w:tcPr>
          <w:p w14:paraId="2531716A">
            <w:pPr>
              <w:widowControl w:val="0"/>
              <w:adjustRightInd w:val="0"/>
              <w:snapToGrid w:val="0"/>
              <w:spacing w:beforeLines="50" w:afterLines="50" w:line="276" w:lineRule="auto"/>
              <w:jc w:val="center"/>
              <w:rPr>
                <w:rFonts w:cs="Times New Roman"/>
                <w:color w:val="auto"/>
                <w:kern w:val="2"/>
                <w:szCs w:val="21"/>
                <w:highlight w:val="none"/>
                <w:lang w:eastAsia="zh-CN"/>
              </w:rPr>
            </w:pPr>
          </w:p>
        </w:tc>
        <w:tc>
          <w:tcPr>
            <w:tcW w:w="815" w:type="pct"/>
            <w:tcMar>
              <w:top w:w="15" w:type="dxa"/>
              <w:left w:w="15" w:type="dxa"/>
              <w:bottom w:w="0" w:type="dxa"/>
              <w:right w:w="15" w:type="dxa"/>
            </w:tcMar>
            <w:vAlign w:val="center"/>
          </w:tcPr>
          <w:p w14:paraId="23ECF6C0">
            <w:pPr>
              <w:widowControl w:val="0"/>
              <w:adjustRightInd w:val="0"/>
              <w:snapToGrid w:val="0"/>
              <w:spacing w:beforeLines="50" w:afterLines="50" w:line="276" w:lineRule="auto"/>
              <w:jc w:val="center"/>
              <w:rPr>
                <w:rFonts w:cs="Times New Roman"/>
                <w:color w:val="auto"/>
                <w:kern w:val="2"/>
                <w:szCs w:val="21"/>
                <w:highlight w:val="none"/>
                <w:lang w:eastAsia="zh-CN"/>
              </w:rPr>
            </w:pPr>
          </w:p>
        </w:tc>
        <w:tc>
          <w:tcPr>
            <w:tcW w:w="325" w:type="pct"/>
            <w:tcMar>
              <w:top w:w="15" w:type="dxa"/>
              <w:left w:w="15" w:type="dxa"/>
              <w:bottom w:w="0" w:type="dxa"/>
              <w:right w:w="15" w:type="dxa"/>
            </w:tcMar>
            <w:vAlign w:val="center"/>
          </w:tcPr>
          <w:p w14:paraId="057D0E2A">
            <w:pPr>
              <w:widowControl w:val="0"/>
              <w:adjustRightInd w:val="0"/>
              <w:snapToGrid w:val="0"/>
              <w:spacing w:beforeLines="50" w:afterLines="50" w:line="276" w:lineRule="auto"/>
              <w:jc w:val="center"/>
              <w:rPr>
                <w:rFonts w:cs="Times New Roman"/>
                <w:color w:val="auto"/>
                <w:kern w:val="2"/>
                <w:szCs w:val="21"/>
                <w:highlight w:val="none"/>
                <w:lang w:eastAsia="zh-CN"/>
              </w:rPr>
            </w:pPr>
          </w:p>
        </w:tc>
        <w:tc>
          <w:tcPr>
            <w:tcW w:w="326" w:type="pct"/>
            <w:tcMar>
              <w:top w:w="15" w:type="dxa"/>
              <w:left w:w="15" w:type="dxa"/>
              <w:bottom w:w="0" w:type="dxa"/>
              <w:right w:w="15" w:type="dxa"/>
            </w:tcMar>
            <w:vAlign w:val="center"/>
          </w:tcPr>
          <w:p w14:paraId="717A85E5">
            <w:pPr>
              <w:widowControl w:val="0"/>
              <w:adjustRightInd w:val="0"/>
              <w:snapToGrid w:val="0"/>
              <w:spacing w:beforeLines="50" w:afterLines="50" w:line="276" w:lineRule="auto"/>
              <w:jc w:val="center"/>
              <w:rPr>
                <w:rFonts w:cs="Times New Roman"/>
                <w:color w:val="auto"/>
                <w:kern w:val="2"/>
                <w:szCs w:val="21"/>
                <w:highlight w:val="none"/>
                <w:lang w:eastAsia="zh-CN"/>
              </w:rPr>
            </w:pPr>
          </w:p>
        </w:tc>
        <w:tc>
          <w:tcPr>
            <w:tcW w:w="548" w:type="pct"/>
          </w:tcPr>
          <w:p w14:paraId="31027196">
            <w:pPr>
              <w:widowControl w:val="0"/>
              <w:adjustRightInd w:val="0"/>
              <w:snapToGrid w:val="0"/>
              <w:spacing w:beforeLines="50" w:afterLines="50" w:line="276" w:lineRule="auto"/>
              <w:jc w:val="center"/>
              <w:rPr>
                <w:rFonts w:cs="Times New Roman"/>
                <w:color w:val="auto"/>
                <w:kern w:val="2"/>
                <w:szCs w:val="21"/>
                <w:highlight w:val="none"/>
                <w:lang w:eastAsia="zh-CN"/>
              </w:rPr>
            </w:pPr>
          </w:p>
        </w:tc>
        <w:tc>
          <w:tcPr>
            <w:tcW w:w="369" w:type="pct"/>
            <w:tcMar>
              <w:top w:w="15" w:type="dxa"/>
              <w:left w:w="15" w:type="dxa"/>
              <w:bottom w:w="0" w:type="dxa"/>
              <w:right w:w="15" w:type="dxa"/>
            </w:tcMar>
            <w:vAlign w:val="center"/>
          </w:tcPr>
          <w:p w14:paraId="0C95CAF9">
            <w:pPr>
              <w:widowControl w:val="0"/>
              <w:adjustRightInd w:val="0"/>
              <w:snapToGrid w:val="0"/>
              <w:spacing w:beforeLines="50" w:afterLines="50" w:line="276" w:lineRule="auto"/>
              <w:jc w:val="center"/>
              <w:rPr>
                <w:rFonts w:cs="Times New Roman"/>
                <w:color w:val="auto"/>
                <w:kern w:val="2"/>
                <w:szCs w:val="21"/>
                <w:highlight w:val="none"/>
                <w:lang w:eastAsia="zh-CN"/>
              </w:rPr>
            </w:pPr>
          </w:p>
        </w:tc>
      </w:tr>
      <w:tr w14:paraId="5BEE02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4" w:hRule="atLeast"/>
          <w:jc w:val="center"/>
        </w:trPr>
        <w:tc>
          <w:tcPr>
            <w:tcW w:w="3757" w:type="pct"/>
            <w:gridSpan w:val="7"/>
            <w:tcMar>
              <w:top w:w="15" w:type="dxa"/>
              <w:left w:w="15" w:type="dxa"/>
              <w:bottom w:w="0" w:type="dxa"/>
              <w:right w:w="15" w:type="dxa"/>
            </w:tcMar>
            <w:vAlign w:val="center"/>
          </w:tcPr>
          <w:p w14:paraId="0D34E723">
            <w:pPr>
              <w:widowControl w:val="0"/>
              <w:adjustRightInd w:val="0"/>
              <w:snapToGrid w:val="0"/>
              <w:spacing w:beforeLines="50" w:afterLines="50" w:line="276" w:lineRule="auto"/>
              <w:jc w:val="center"/>
              <w:rPr>
                <w:rFonts w:cs="Times New Roman"/>
                <w:color w:val="auto"/>
                <w:kern w:val="2"/>
                <w:szCs w:val="21"/>
                <w:highlight w:val="none"/>
                <w:lang w:eastAsia="zh-CN"/>
              </w:rPr>
            </w:pPr>
            <w:r>
              <w:rPr>
                <w:rFonts w:hint="eastAsia" w:cs="Times New Roman"/>
                <w:color w:val="auto"/>
                <w:kern w:val="2"/>
                <w:szCs w:val="21"/>
                <w:highlight w:val="none"/>
                <w:lang w:eastAsia="zh-CN"/>
              </w:rPr>
              <w:t>合计</w:t>
            </w:r>
          </w:p>
        </w:tc>
        <w:tc>
          <w:tcPr>
            <w:tcW w:w="326" w:type="pct"/>
            <w:tcMar>
              <w:top w:w="15" w:type="dxa"/>
              <w:left w:w="15" w:type="dxa"/>
              <w:bottom w:w="0" w:type="dxa"/>
              <w:right w:w="15" w:type="dxa"/>
            </w:tcMar>
            <w:vAlign w:val="center"/>
          </w:tcPr>
          <w:p w14:paraId="389B943D">
            <w:pPr>
              <w:widowControl w:val="0"/>
              <w:adjustRightInd w:val="0"/>
              <w:snapToGrid w:val="0"/>
              <w:spacing w:beforeLines="50" w:afterLines="50" w:line="276" w:lineRule="auto"/>
              <w:jc w:val="center"/>
              <w:rPr>
                <w:rFonts w:cs="Times New Roman"/>
                <w:color w:val="auto"/>
                <w:kern w:val="2"/>
                <w:szCs w:val="21"/>
                <w:highlight w:val="none"/>
                <w:lang w:eastAsia="zh-CN"/>
              </w:rPr>
            </w:pPr>
          </w:p>
        </w:tc>
        <w:tc>
          <w:tcPr>
            <w:tcW w:w="548" w:type="pct"/>
          </w:tcPr>
          <w:p w14:paraId="0CD70966">
            <w:pPr>
              <w:widowControl w:val="0"/>
              <w:adjustRightInd w:val="0"/>
              <w:snapToGrid w:val="0"/>
              <w:spacing w:beforeLines="50" w:afterLines="50" w:line="276" w:lineRule="auto"/>
              <w:jc w:val="center"/>
              <w:rPr>
                <w:rFonts w:cs="Times New Roman"/>
                <w:color w:val="auto"/>
                <w:kern w:val="2"/>
                <w:szCs w:val="21"/>
                <w:highlight w:val="none"/>
                <w:lang w:eastAsia="zh-CN"/>
              </w:rPr>
            </w:pPr>
          </w:p>
        </w:tc>
        <w:tc>
          <w:tcPr>
            <w:tcW w:w="369" w:type="pct"/>
            <w:tcMar>
              <w:top w:w="15" w:type="dxa"/>
              <w:left w:w="15" w:type="dxa"/>
              <w:bottom w:w="0" w:type="dxa"/>
              <w:right w:w="15" w:type="dxa"/>
            </w:tcMar>
            <w:vAlign w:val="center"/>
          </w:tcPr>
          <w:p w14:paraId="010B4D9E">
            <w:pPr>
              <w:widowControl w:val="0"/>
              <w:adjustRightInd w:val="0"/>
              <w:snapToGrid w:val="0"/>
              <w:spacing w:beforeLines="50" w:afterLines="50" w:line="276" w:lineRule="auto"/>
              <w:jc w:val="center"/>
              <w:rPr>
                <w:rFonts w:cs="Times New Roman"/>
                <w:color w:val="auto"/>
                <w:kern w:val="2"/>
                <w:szCs w:val="21"/>
                <w:highlight w:val="none"/>
                <w:lang w:eastAsia="zh-CN"/>
              </w:rPr>
            </w:pPr>
          </w:p>
        </w:tc>
      </w:tr>
    </w:tbl>
    <w:p w14:paraId="07989CDD">
      <w:pPr>
        <w:widowControl w:val="0"/>
        <w:spacing w:after="200" w:line="276" w:lineRule="auto"/>
        <w:rPr>
          <w:rFonts w:cs="宋体"/>
          <w:bCs/>
          <w:color w:val="auto"/>
          <w:kern w:val="2"/>
          <w:szCs w:val="21"/>
          <w:highlight w:val="none"/>
          <w:lang w:eastAsia="zh-CN"/>
        </w:rPr>
      </w:pPr>
    </w:p>
    <w:p w14:paraId="7A942D9A">
      <w:pPr>
        <w:widowControl w:val="0"/>
        <w:adjustRightInd/>
        <w:snapToGrid/>
        <w:spacing w:after="200" w:line="276" w:lineRule="auto"/>
        <w:jc w:val="center"/>
        <w:rPr>
          <w:rFonts w:cs="Times New Roman"/>
          <w:color w:val="auto"/>
          <w:kern w:val="2"/>
          <w:szCs w:val="21"/>
          <w:highlight w:val="none"/>
          <w:lang w:eastAsia="zh-CN"/>
        </w:rPr>
      </w:pPr>
      <w:r>
        <w:rPr>
          <w:rFonts w:hint="eastAsia" w:cs="Times New Roman"/>
          <w:color w:val="auto"/>
          <w:kern w:val="2"/>
          <w:szCs w:val="21"/>
          <w:highlight w:val="none"/>
          <w:lang w:eastAsia="zh-CN"/>
        </w:rPr>
        <w:t>附表2D 投标人推荐的生产备品备件表</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753"/>
        <w:gridCol w:w="1250"/>
        <w:gridCol w:w="1135"/>
        <w:gridCol w:w="709"/>
        <w:gridCol w:w="709"/>
        <w:gridCol w:w="1419"/>
        <w:gridCol w:w="566"/>
        <w:gridCol w:w="568"/>
        <w:gridCol w:w="954"/>
        <w:gridCol w:w="642"/>
      </w:tblGrid>
      <w:tr w14:paraId="4E8CFE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1" w:hRule="atLeast"/>
          <w:jc w:val="center"/>
        </w:trPr>
        <w:tc>
          <w:tcPr>
            <w:tcW w:w="433" w:type="pct"/>
            <w:tcMar>
              <w:top w:w="15" w:type="dxa"/>
              <w:left w:w="15" w:type="dxa"/>
              <w:bottom w:w="0" w:type="dxa"/>
              <w:right w:w="15" w:type="dxa"/>
            </w:tcMar>
            <w:vAlign w:val="center"/>
          </w:tcPr>
          <w:p w14:paraId="18F2FD0B">
            <w:pPr>
              <w:widowControl w:val="0"/>
              <w:adjustRightInd w:val="0"/>
              <w:snapToGrid w:val="0"/>
              <w:spacing w:beforeLines="50" w:afterLines="50" w:line="276" w:lineRule="auto"/>
              <w:jc w:val="center"/>
              <w:rPr>
                <w:rFonts w:cs="Times New Roman"/>
                <w:color w:val="auto"/>
                <w:kern w:val="2"/>
                <w:szCs w:val="21"/>
                <w:highlight w:val="none"/>
                <w:lang w:eastAsia="zh-CN"/>
              </w:rPr>
            </w:pPr>
            <w:r>
              <w:rPr>
                <w:rFonts w:hint="eastAsia" w:cs="Times New Roman"/>
                <w:color w:val="auto"/>
                <w:kern w:val="2"/>
                <w:szCs w:val="21"/>
                <w:highlight w:val="none"/>
                <w:lang w:eastAsia="zh-CN"/>
              </w:rPr>
              <w:t>序号</w:t>
            </w:r>
          </w:p>
        </w:tc>
        <w:tc>
          <w:tcPr>
            <w:tcW w:w="718" w:type="pct"/>
            <w:tcMar>
              <w:top w:w="15" w:type="dxa"/>
              <w:left w:w="15" w:type="dxa"/>
              <w:bottom w:w="0" w:type="dxa"/>
              <w:right w:w="15" w:type="dxa"/>
            </w:tcMar>
            <w:vAlign w:val="center"/>
          </w:tcPr>
          <w:p w14:paraId="2E0B6BAB">
            <w:pPr>
              <w:widowControl w:val="0"/>
              <w:adjustRightInd w:val="0"/>
              <w:snapToGrid w:val="0"/>
              <w:spacing w:beforeLines="50" w:afterLines="50" w:line="276" w:lineRule="auto"/>
              <w:jc w:val="center"/>
              <w:rPr>
                <w:rFonts w:cs="Times New Roman"/>
                <w:color w:val="auto"/>
                <w:kern w:val="2"/>
                <w:szCs w:val="21"/>
                <w:highlight w:val="none"/>
                <w:lang w:eastAsia="zh-CN"/>
              </w:rPr>
            </w:pPr>
            <w:r>
              <w:rPr>
                <w:rFonts w:hint="eastAsia" w:cs="Times New Roman"/>
                <w:color w:val="auto"/>
                <w:kern w:val="2"/>
                <w:szCs w:val="21"/>
                <w:highlight w:val="none"/>
                <w:lang w:eastAsia="zh-CN"/>
              </w:rPr>
              <w:t>名  称</w:t>
            </w:r>
          </w:p>
        </w:tc>
        <w:tc>
          <w:tcPr>
            <w:tcW w:w="652" w:type="pct"/>
            <w:tcMar>
              <w:top w:w="15" w:type="dxa"/>
              <w:left w:w="15" w:type="dxa"/>
              <w:bottom w:w="0" w:type="dxa"/>
              <w:right w:w="15" w:type="dxa"/>
            </w:tcMar>
            <w:vAlign w:val="center"/>
          </w:tcPr>
          <w:p w14:paraId="0B373C78">
            <w:pPr>
              <w:widowControl w:val="0"/>
              <w:adjustRightInd w:val="0"/>
              <w:snapToGrid w:val="0"/>
              <w:spacing w:beforeLines="50" w:afterLines="50" w:line="276" w:lineRule="auto"/>
              <w:jc w:val="center"/>
              <w:rPr>
                <w:rFonts w:cs="Times New Roman"/>
                <w:color w:val="auto"/>
                <w:kern w:val="2"/>
                <w:szCs w:val="21"/>
                <w:highlight w:val="none"/>
                <w:lang w:eastAsia="zh-CN"/>
              </w:rPr>
            </w:pPr>
            <w:r>
              <w:rPr>
                <w:rFonts w:hint="eastAsia" w:cs="Times New Roman"/>
                <w:color w:val="auto"/>
                <w:kern w:val="2"/>
                <w:szCs w:val="21"/>
                <w:highlight w:val="none"/>
                <w:lang w:eastAsia="zh-CN"/>
              </w:rPr>
              <w:t>规格型号</w:t>
            </w:r>
          </w:p>
        </w:tc>
        <w:tc>
          <w:tcPr>
            <w:tcW w:w="407" w:type="pct"/>
            <w:tcMar>
              <w:top w:w="15" w:type="dxa"/>
              <w:left w:w="15" w:type="dxa"/>
              <w:bottom w:w="0" w:type="dxa"/>
              <w:right w:w="15" w:type="dxa"/>
            </w:tcMar>
            <w:vAlign w:val="center"/>
          </w:tcPr>
          <w:p w14:paraId="50534C66">
            <w:pPr>
              <w:widowControl w:val="0"/>
              <w:adjustRightInd w:val="0"/>
              <w:snapToGrid w:val="0"/>
              <w:spacing w:beforeLines="50" w:afterLines="50" w:line="276" w:lineRule="auto"/>
              <w:jc w:val="center"/>
              <w:rPr>
                <w:rFonts w:cs="Times New Roman"/>
                <w:color w:val="auto"/>
                <w:kern w:val="2"/>
                <w:szCs w:val="21"/>
                <w:highlight w:val="none"/>
                <w:lang w:eastAsia="zh-CN"/>
              </w:rPr>
            </w:pPr>
            <w:r>
              <w:rPr>
                <w:rFonts w:hint="eastAsia" w:cs="Times New Roman"/>
                <w:color w:val="auto"/>
                <w:kern w:val="2"/>
                <w:szCs w:val="21"/>
                <w:highlight w:val="none"/>
                <w:lang w:eastAsia="zh-CN"/>
              </w:rPr>
              <w:t>单位</w:t>
            </w:r>
          </w:p>
        </w:tc>
        <w:tc>
          <w:tcPr>
            <w:tcW w:w="407" w:type="pct"/>
            <w:tcMar>
              <w:top w:w="15" w:type="dxa"/>
              <w:left w:w="15" w:type="dxa"/>
              <w:bottom w:w="0" w:type="dxa"/>
              <w:right w:w="15" w:type="dxa"/>
            </w:tcMar>
            <w:vAlign w:val="center"/>
          </w:tcPr>
          <w:p w14:paraId="211E651C">
            <w:pPr>
              <w:widowControl w:val="0"/>
              <w:adjustRightInd w:val="0"/>
              <w:snapToGrid w:val="0"/>
              <w:spacing w:beforeLines="50" w:afterLines="50" w:line="276" w:lineRule="auto"/>
              <w:jc w:val="center"/>
              <w:rPr>
                <w:rFonts w:cs="Times New Roman"/>
                <w:color w:val="auto"/>
                <w:kern w:val="2"/>
                <w:szCs w:val="21"/>
                <w:highlight w:val="none"/>
                <w:lang w:eastAsia="zh-CN"/>
              </w:rPr>
            </w:pPr>
            <w:r>
              <w:rPr>
                <w:rFonts w:hint="eastAsia" w:cs="Times New Roman"/>
                <w:color w:val="auto"/>
                <w:kern w:val="2"/>
                <w:szCs w:val="21"/>
                <w:highlight w:val="none"/>
                <w:lang w:eastAsia="zh-CN"/>
              </w:rPr>
              <w:t>数量</w:t>
            </w:r>
          </w:p>
        </w:tc>
        <w:tc>
          <w:tcPr>
            <w:tcW w:w="815" w:type="pct"/>
            <w:tcMar>
              <w:top w:w="15" w:type="dxa"/>
              <w:left w:w="15" w:type="dxa"/>
              <w:bottom w:w="0" w:type="dxa"/>
              <w:right w:w="15" w:type="dxa"/>
            </w:tcMar>
            <w:vAlign w:val="center"/>
          </w:tcPr>
          <w:p w14:paraId="0A26717B">
            <w:pPr>
              <w:widowControl w:val="0"/>
              <w:adjustRightInd w:val="0"/>
              <w:snapToGrid w:val="0"/>
              <w:spacing w:beforeLines="50" w:afterLines="50" w:line="276" w:lineRule="auto"/>
              <w:jc w:val="center"/>
              <w:rPr>
                <w:rFonts w:cs="Times New Roman"/>
                <w:color w:val="auto"/>
                <w:kern w:val="2"/>
                <w:szCs w:val="21"/>
                <w:highlight w:val="none"/>
                <w:lang w:eastAsia="zh-CN"/>
              </w:rPr>
            </w:pPr>
            <w:r>
              <w:rPr>
                <w:rFonts w:hint="eastAsia" w:cs="Times New Roman"/>
                <w:color w:val="auto"/>
                <w:kern w:val="2"/>
                <w:szCs w:val="21"/>
                <w:highlight w:val="none"/>
                <w:lang w:eastAsia="zh-CN"/>
              </w:rPr>
              <w:t>产地/制造商</w:t>
            </w:r>
          </w:p>
        </w:tc>
        <w:tc>
          <w:tcPr>
            <w:tcW w:w="325" w:type="pct"/>
            <w:tcMar>
              <w:top w:w="15" w:type="dxa"/>
              <w:left w:w="15" w:type="dxa"/>
              <w:bottom w:w="0" w:type="dxa"/>
              <w:right w:w="15" w:type="dxa"/>
            </w:tcMar>
            <w:vAlign w:val="center"/>
          </w:tcPr>
          <w:p w14:paraId="058D0E43">
            <w:pPr>
              <w:widowControl w:val="0"/>
              <w:adjustRightInd w:val="0"/>
              <w:snapToGrid w:val="0"/>
              <w:spacing w:beforeLines="50" w:afterLines="50" w:line="276" w:lineRule="auto"/>
              <w:jc w:val="center"/>
              <w:rPr>
                <w:rFonts w:cs="Times New Roman"/>
                <w:color w:val="auto"/>
                <w:kern w:val="2"/>
                <w:szCs w:val="21"/>
                <w:highlight w:val="none"/>
                <w:lang w:eastAsia="zh-CN"/>
              </w:rPr>
            </w:pPr>
            <w:r>
              <w:rPr>
                <w:rFonts w:hint="eastAsia" w:cs="Times New Roman"/>
                <w:color w:val="auto"/>
                <w:kern w:val="2"/>
                <w:szCs w:val="21"/>
                <w:highlight w:val="none"/>
                <w:lang w:eastAsia="zh-CN"/>
              </w:rPr>
              <w:t>单价</w:t>
            </w:r>
          </w:p>
        </w:tc>
        <w:tc>
          <w:tcPr>
            <w:tcW w:w="326" w:type="pct"/>
            <w:tcMar>
              <w:top w:w="15" w:type="dxa"/>
              <w:left w:w="15" w:type="dxa"/>
              <w:bottom w:w="0" w:type="dxa"/>
              <w:right w:w="15" w:type="dxa"/>
            </w:tcMar>
            <w:vAlign w:val="center"/>
          </w:tcPr>
          <w:p w14:paraId="63F45AC4">
            <w:pPr>
              <w:widowControl w:val="0"/>
              <w:adjustRightInd w:val="0"/>
              <w:snapToGrid w:val="0"/>
              <w:spacing w:beforeLines="50" w:afterLines="50" w:line="276" w:lineRule="auto"/>
              <w:jc w:val="center"/>
              <w:rPr>
                <w:rFonts w:cs="Times New Roman"/>
                <w:color w:val="auto"/>
                <w:kern w:val="2"/>
                <w:szCs w:val="21"/>
                <w:highlight w:val="none"/>
                <w:lang w:eastAsia="zh-CN"/>
              </w:rPr>
            </w:pPr>
            <w:r>
              <w:rPr>
                <w:rFonts w:hint="eastAsia" w:cs="Times New Roman"/>
                <w:color w:val="auto"/>
                <w:kern w:val="2"/>
                <w:szCs w:val="21"/>
                <w:highlight w:val="none"/>
                <w:lang w:eastAsia="zh-CN"/>
              </w:rPr>
              <w:t>合价</w:t>
            </w:r>
          </w:p>
        </w:tc>
        <w:tc>
          <w:tcPr>
            <w:tcW w:w="548" w:type="pct"/>
            <w:vAlign w:val="center"/>
          </w:tcPr>
          <w:p w14:paraId="1118BAD4">
            <w:pPr>
              <w:widowControl w:val="0"/>
              <w:adjustRightInd w:val="0"/>
              <w:snapToGrid w:val="0"/>
              <w:spacing w:beforeLines="50" w:afterLines="50" w:line="276" w:lineRule="auto"/>
              <w:jc w:val="center"/>
              <w:rPr>
                <w:rFonts w:cs="Times New Roman"/>
                <w:color w:val="auto"/>
                <w:kern w:val="2"/>
                <w:szCs w:val="21"/>
                <w:highlight w:val="none"/>
                <w:lang w:eastAsia="zh-CN"/>
              </w:rPr>
            </w:pPr>
            <w:r>
              <w:rPr>
                <w:rFonts w:hint="eastAsia" w:cs="Times New Roman"/>
                <w:color w:val="auto"/>
                <w:kern w:val="2"/>
                <w:szCs w:val="21"/>
                <w:highlight w:val="none"/>
                <w:lang w:eastAsia="zh-CN"/>
              </w:rPr>
              <w:t>供货周期</w:t>
            </w:r>
          </w:p>
        </w:tc>
        <w:tc>
          <w:tcPr>
            <w:tcW w:w="369" w:type="pct"/>
            <w:tcMar>
              <w:top w:w="15" w:type="dxa"/>
              <w:left w:w="15" w:type="dxa"/>
              <w:bottom w:w="0" w:type="dxa"/>
              <w:right w:w="15" w:type="dxa"/>
            </w:tcMar>
            <w:vAlign w:val="center"/>
          </w:tcPr>
          <w:p w14:paraId="6F459787">
            <w:pPr>
              <w:widowControl w:val="0"/>
              <w:adjustRightInd w:val="0"/>
              <w:snapToGrid w:val="0"/>
              <w:spacing w:beforeLines="50" w:afterLines="50" w:line="276" w:lineRule="auto"/>
              <w:jc w:val="center"/>
              <w:rPr>
                <w:rFonts w:cs="Times New Roman"/>
                <w:color w:val="auto"/>
                <w:kern w:val="2"/>
                <w:szCs w:val="21"/>
                <w:highlight w:val="none"/>
                <w:lang w:eastAsia="zh-CN"/>
              </w:rPr>
            </w:pPr>
            <w:r>
              <w:rPr>
                <w:rFonts w:hint="eastAsia" w:cs="Times New Roman"/>
                <w:color w:val="auto"/>
                <w:kern w:val="2"/>
                <w:szCs w:val="21"/>
                <w:highlight w:val="none"/>
                <w:lang w:eastAsia="zh-CN"/>
              </w:rPr>
              <w:t>备注</w:t>
            </w:r>
          </w:p>
        </w:tc>
      </w:tr>
      <w:tr w14:paraId="31856E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7" w:hRule="atLeast"/>
          <w:jc w:val="center"/>
        </w:trPr>
        <w:tc>
          <w:tcPr>
            <w:tcW w:w="433" w:type="pct"/>
            <w:tcMar>
              <w:top w:w="15" w:type="dxa"/>
              <w:left w:w="15" w:type="dxa"/>
              <w:bottom w:w="0" w:type="dxa"/>
              <w:right w:w="15" w:type="dxa"/>
            </w:tcMar>
            <w:vAlign w:val="center"/>
          </w:tcPr>
          <w:p w14:paraId="7A1335CA">
            <w:pPr>
              <w:widowControl w:val="0"/>
              <w:adjustRightInd w:val="0"/>
              <w:snapToGrid w:val="0"/>
              <w:spacing w:beforeLines="50" w:afterLines="50" w:line="276" w:lineRule="auto"/>
              <w:jc w:val="center"/>
              <w:rPr>
                <w:rFonts w:cs="Times New Roman"/>
                <w:color w:val="auto"/>
                <w:kern w:val="2"/>
                <w:szCs w:val="21"/>
                <w:highlight w:val="none"/>
                <w:lang w:eastAsia="zh-CN"/>
              </w:rPr>
            </w:pPr>
            <w:r>
              <w:rPr>
                <w:rFonts w:hint="eastAsia" w:cs="Times New Roman"/>
                <w:color w:val="auto"/>
                <w:kern w:val="2"/>
                <w:szCs w:val="21"/>
                <w:highlight w:val="none"/>
                <w:lang w:eastAsia="zh-CN"/>
              </w:rPr>
              <w:t>1</w:t>
            </w:r>
          </w:p>
        </w:tc>
        <w:tc>
          <w:tcPr>
            <w:tcW w:w="718" w:type="pct"/>
            <w:tcMar>
              <w:top w:w="15" w:type="dxa"/>
              <w:left w:w="15" w:type="dxa"/>
              <w:bottom w:w="0" w:type="dxa"/>
              <w:right w:w="15" w:type="dxa"/>
            </w:tcMar>
            <w:vAlign w:val="center"/>
          </w:tcPr>
          <w:p w14:paraId="39F00BD9">
            <w:pPr>
              <w:widowControl w:val="0"/>
              <w:adjustRightInd w:val="0"/>
              <w:snapToGrid w:val="0"/>
              <w:spacing w:beforeLines="50" w:afterLines="50" w:line="276" w:lineRule="auto"/>
              <w:jc w:val="center"/>
              <w:rPr>
                <w:rFonts w:cs="Times New Roman"/>
                <w:color w:val="auto"/>
                <w:kern w:val="2"/>
                <w:szCs w:val="21"/>
                <w:highlight w:val="none"/>
                <w:lang w:eastAsia="zh-CN"/>
              </w:rPr>
            </w:pPr>
          </w:p>
        </w:tc>
        <w:tc>
          <w:tcPr>
            <w:tcW w:w="652" w:type="pct"/>
            <w:tcMar>
              <w:top w:w="15" w:type="dxa"/>
              <w:left w:w="15" w:type="dxa"/>
              <w:bottom w:w="0" w:type="dxa"/>
              <w:right w:w="15" w:type="dxa"/>
            </w:tcMar>
            <w:vAlign w:val="center"/>
          </w:tcPr>
          <w:p w14:paraId="6AA722D0">
            <w:pPr>
              <w:widowControl w:val="0"/>
              <w:adjustRightInd w:val="0"/>
              <w:snapToGrid w:val="0"/>
              <w:spacing w:beforeLines="50" w:afterLines="50" w:line="276" w:lineRule="auto"/>
              <w:jc w:val="center"/>
              <w:rPr>
                <w:rFonts w:cs="Times New Roman"/>
                <w:color w:val="auto"/>
                <w:kern w:val="2"/>
                <w:szCs w:val="21"/>
                <w:highlight w:val="none"/>
                <w:lang w:eastAsia="zh-CN"/>
              </w:rPr>
            </w:pPr>
          </w:p>
        </w:tc>
        <w:tc>
          <w:tcPr>
            <w:tcW w:w="407" w:type="pct"/>
            <w:tcMar>
              <w:top w:w="15" w:type="dxa"/>
              <w:left w:w="15" w:type="dxa"/>
              <w:bottom w:w="0" w:type="dxa"/>
              <w:right w:w="15" w:type="dxa"/>
            </w:tcMar>
            <w:vAlign w:val="center"/>
          </w:tcPr>
          <w:p w14:paraId="363B323E">
            <w:pPr>
              <w:widowControl w:val="0"/>
              <w:adjustRightInd w:val="0"/>
              <w:snapToGrid w:val="0"/>
              <w:spacing w:beforeLines="50" w:afterLines="50" w:line="276" w:lineRule="auto"/>
              <w:jc w:val="center"/>
              <w:rPr>
                <w:rFonts w:cs="Times New Roman"/>
                <w:color w:val="auto"/>
                <w:kern w:val="2"/>
                <w:szCs w:val="21"/>
                <w:highlight w:val="none"/>
                <w:lang w:eastAsia="zh-CN"/>
              </w:rPr>
            </w:pPr>
          </w:p>
        </w:tc>
        <w:tc>
          <w:tcPr>
            <w:tcW w:w="407" w:type="pct"/>
            <w:tcMar>
              <w:top w:w="15" w:type="dxa"/>
              <w:left w:w="15" w:type="dxa"/>
              <w:bottom w:w="0" w:type="dxa"/>
              <w:right w:w="15" w:type="dxa"/>
            </w:tcMar>
            <w:vAlign w:val="center"/>
          </w:tcPr>
          <w:p w14:paraId="6FEAB9F9">
            <w:pPr>
              <w:widowControl w:val="0"/>
              <w:adjustRightInd w:val="0"/>
              <w:snapToGrid w:val="0"/>
              <w:spacing w:beforeLines="50" w:afterLines="50" w:line="276" w:lineRule="auto"/>
              <w:jc w:val="center"/>
              <w:rPr>
                <w:rFonts w:cs="Times New Roman"/>
                <w:color w:val="auto"/>
                <w:kern w:val="2"/>
                <w:szCs w:val="21"/>
                <w:highlight w:val="none"/>
                <w:lang w:eastAsia="zh-CN"/>
              </w:rPr>
            </w:pPr>
          </w:p>
        </w:tc>
        <w:tc>
          <w:tcPr>
            <w:tcW w:w="815" w:type="pct"/>
            <w:tcMar>
              <w:top w:w="15" w:type="dxa"/>
              <w:left w:w="15" w:type="dxa"/>
              <w:bottom w:w="0" w:type="dxa"/>
              <w:right w:w="15" w:type="dxa"/>
            </w:tcMar>
            <w:vAlign w:val="center"/>
          </w:tcPr>
          <w:p w14:paraId="315AF84E">
            <w:pPr>
              <w:widowControl w:val="0"/>
              <w:adjustRightInd w:val="0"/>
              <w:snapToGrid w:val="0"/>
              <w:spacing w:beforeLines="50" w:afterLines="50" w:line="276" w:lineRule="auto"/>
              <w:jc w:val="center"/>
              <w:rPr>
                <w:rFonts w:cs="Times New Roman"/>
                <w:color w:val="auto"/>
                <w:kern w:val="2"/>
                <w:szCs w:val="21"/>
                <w:highlight w:val="none"/>
                <w:lang w:eastAsia="zh-CN"/>
              </w:rPr>
            </w:pPr>
          </w:p>
        </w:tc>
        <w:tc>
          <w:tcPr>
            <w:tcW w:w="325" w:type="pct"/>
            <w:tcMar>
              <w:top w:w="15" w:type="dxa"/>
              <w:left w:w="15" w:type="dxa"/>
              <w:bottom w:w="0" w:type="dxa"/>
              <w:right w:w="15" w:type="dxa"/>
            </w:tcMar>
            <w:vAlign w:val="center"/>
          </w:tcPr>
          <w:p w14:paraId="26DFA328">
            <w:pPr>
              <w:widowControl w:val="0"/>
              <w:adjustRightInd w:val="0"/>
              <w:snapToGrid w:val="0"/>
              <w:spacing w:beforeLines="50" w:afterLines="50" w:line="276" w:lineRule="auto"/>
              <w:jc w:val="center"/>
              <w:rPr>
                <w:rFonts w:cs="Times New Roman"/>
                <w:color w:val="auto"/>
                <w:kern w:val="2"/>
                <w:szCs w:val="21"/>
                <w:highlight w:val="none"/>
                <w:lang w:eastAsia="zh-CN"/>
              </w:rPr>
            </w:pPr>
          </w:p>
        </w:tc>
        <w:tc>
          <w:tcPr>
            <w:tcW w:w="326" w:type="pct"/>
            <w:tcMar>
              <w:top w:w="15" w:type="dxa"/>
              <w:left w:w="15" w:type="dxa"/>
              <w:bottom w:w="0" w:type="dxa"/>
              <w:right w:w="15" w:type="dxa"/>
            </w:tcMar>
            <w:vAlign w:val="center"/>
          </w:tcPr>
          <w:p w14:paraId="64D60EB3">
            <w:pPr>
              <w:widowControl w:val="0"/>
              <w:adjustRightInd w:val="0"/>
              <w:snapToGrid w:val="0"/>
              <w:spacing w:beforeLines="50" w:afterLines="50" w:line="276" w:lineRule="auto"/>
              <w:jc w:val="center"/>
              <w:rPr>
                <w:rFonts w:cs="Times New Roman"/>
                <w:color w:val="auto"/>
                <w:kern w:val="2"/>
                <w:szCs w:val="21"/>
                <w:highlight w:val="none"/>
                <w:lang w:eastAsia="zh-CN"/>
              </w:rPr>
            </w:pPr>
          </w:p>
        </w:tc>
        <w:tc>
          <w:tcPr>
            <w:tcW w:w="548" w:type="pct"/>
          </w:tcPr>
          <w:p w14:paraId="3120A2BB">
            <w:pPr>
              <w:widowControl w:val="0"/>
              <w:adjustRightInd w:val="0"/>
              <w:snapToGrid w:val="0"/>
              <w:spacing w:beforeLines="50" w:afterLines="50" w:line="276" w:lineRule="auto"/>
              <w:jc w:val="center"/>
              <w:rPr>
                <w:rFonts w:cs="Times New Roman"/>
                <w:color w:val="auto"/>
                <w:kern w:val="2"/>
                <w:szCs w:val="21"/>
                <w:highlight w:val="none"/>
                <w:lang w:eastAsia="zh-CN"/>
              </w:rPr>
            </w:pPr>
          </w:p>
        </w:tc>
        <w:tc>
          <w:tcPr>
            <w:tcW w:w="369" w:type="pct"/>
            <w:tcMar>
              <w:top w:w="15" w:type="dxa"/>
              <w:left w:w="15" w:type="dxa"/>
              <w:bottom w:w="0" w:type="dxa"/>
              <w:right w:w="15" w:type="dxa"/>
            </w:tcMar>
            <w:vAlign w:val="center"/>
          </w:tcPr>
          <w:p w14:paraId="25077E8F">
            <w:pPr>
              <w:widowControl w:val="0"/>
              <w:adjustRightInd w:val="0"/>
              <w:snapToGrid w:val="0"/>
              <w:spacing w:beforeLines="50" w:afterLines="50" w:line="276" w:lineRule="auto"/>
              <w:jc w:val="center"/>
              <w:rPr>
                <w:rFonts w:cs="Times New Roman"/>
                <w:color w:val="auto"/>
                <w:kern w:val="2"/>
                <w:szCs w:val="21"/>
                <w:highlight w:val="none"/>
                <w:lang w:eastAsia="zh-CN"/>
              </w:rPr>
            </w:pPr>
          </w:p>
        </w:tc>
      </w:tr>
      <w:tr w14:paraId="0918C0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1" w:hRule="atLeast"/>
          <w:jc w:val="center"/>
        </w:trPr>
        <w:tc>
          <w:tcPr>
            <w:tcW w:w="433" w:type="pct"/>
            <w:tcMar>
              <w:top w:w="15" w:type="dxa"/>
              <w:left w:w="15" w:type="dxa"/>
              <w:bottom w:w="0" w:type="dxa"/>
              <w:right w:w="15" w:type="dxa"/>
            </w:tcMar>
            <w:vAlign w:val="center"/>
          </w:tcPr>
          <w:p w14:paraId="38315E0C">
            <w:pPr>
              <w:widowControl w:val="0"/>
              <w:adjustRightInd w:val="0"/>
              <w:snapToGrid w:val="0"/>
              <w:spacing w:beforeLines="50" w:afterLines="50" w:line="276" w:lineRule="auto"/>
              <w:jc w:val="center"/>
              <w:rPr>
                <w:rFonts w:cs="Times New Roman"/>
                <w:color w:val="auto"/>
                <w:kern w:val="2"/>
                <w:szCs w:val="21"/>
                <w:highlight w:val="none"/>
                <w:lang w:eastAsia="zh-CN"/>
              </w:rPr>
            </w:pPr>
            <w:r>
              <w:rPr>
                <w:rFonts w:hint="eastAsia" w:cs="Times New Roman"/>
                <w:color w:val="auto"/>
                <w:kern w:val="2"/>
                <w:szCs w:val="21"/>
                <w:highlight w:val="none"/>
                <w:lang w:eastAsia="zh-CN"/>
              </w:rPr>
              <w:t>2</w:t>
            </w:r>
          </w:p>
        </w:tc>
        <w:tc>
          <w:tcPr>
            <w:tcW w:w="718" w:type="pct"/>
            <w:tcMar>
              <w:top w:w="15" w:type="dxa"/>
              <w:left w:w="15" w:type="dxa"/>
              <w:bottom w:w="0" w:type="dxa"/>
              <w:right w:w="15" w:type="dxa"/>
            </w:tcMar>
            <w:vAlign w:val="center"/>
          </w:tcPr>
          <w:p w14:paraId="61638398">
            <w:pPr>
              <w:widowControl w:val="0"/>
              <w:adjustRightInd w:val="0"/>
              <w:snapToGrid w:val="0"/>
              <w:spacing w:beforeLines="50" w:afterLines="50" w:line="276" w:lineRule="auto"/>
              <w:jc w:val="center"/>
              <w:rPr>
                <w:rFonts w:cs="Times New Roman"/>
                <w:color w:val="auto"/>
                <w:kern w:val="2"/>
                <w:szCs w:val="21"/>
                <w:highlight w:val="none"/>
                <w:lang w:eastAsia="zh-CN"/>
              </w:rPr>
            </w:pPr>
          </w:p>
        </w:tc>
        <w:tc>
          <w:tcPr>
            <w:tcW w:w="652" w:type="pct"/>
            <w:tcMar>
              <w:top w:w="15" w:type="dxa"/>
              <w:left w:w="15" w:type="dxa"/>
              <w:bottom w:w="0" w:type="dxa"/>
              <w:right w:w="15" w:type="dxa"/>
            </w:tcMar>
            <w:vAlign w:val="center"/>
          </w:tcPr>
          <w:p w14:paraId="06593B4F">
            <w:pPr>
              <w:widowControl w:val="0"/>
              <w:adjustRightInd w:val="0"/>
              <w:snapToGrid w:val="0"/>
              <w:spacing w:beforeLines="50" w:afterLines="50" w:line="276" w:lineRule="auto"/>
              <w:jc w:val="center"/>
              <w:rPr>
                <w:rFonts w:cs="Times New Roman"/>
                <w:color w:val="auto"/>
                <w:kern w:val="2"/>
                <w:szCs w:val="21"/>
                <w:highlight w:val="none"/>
                <w:lang w:eastAsia="zh-CN"/>
              </w:rPr>
            </w:pPr>
          </w:p>
        </w:tc>
        <w:tc>
          <w:tcPr>
            <w:tcW w:w="407" w:type="pct"/>
            <w:tcMar>
              <w:top w:w="15" w:type="dxa"/>
              <w:left w:w="15" w:type="dxa"/>
              <w:bottom w:w="0" w:type="dxa"/>
              <w:right w:w="15" w:type="dxa"/>
            </w:tcMar>
            <w:vAlign w:val="center"/>
          </w:tcPr>
          <w:p w14:paraId="1FCE1E7C">
            <w:pPr>
              <w:widowControl w:val="0"/>
              <w:adjustRightInd w:val="0"/>
              <w:snapToGrid w:val="0"/>
              <w:spacing w:beforeLines="50" w:afterLines="50" w:line="276" w:lineRule="auto"/>
              <w:jc w:val="center"/>
              <w:rPr>
                <w:rFonts w:cs="Times New Roman"/>
                <w:color w:val="auto"/>
                <w:kern w:val="2"/>
                <w:szCs w:val="21"/>
                <w:highlight w:val="none"/>
                <w:lang w:eastAsia="zh-CN"/>
              </w:rPr>
            </w:pPr>
          </w:p>
        </w:tc>
        <w:tc>
          <w:tcPr>
            <w:tcW w:w="407" w:type="pct"/>
            <w:tcMar>
              <w:top w:w="15" w:type="dxa"/>
              <w:left w:w="15" w:type="dxa"/>
              <w:bottom w:w="0" w:type="dxa"/>
              <w:right w:w="15" w:type="dxa"/>
            </w:tcMar>
            <w:vAlign w:val="center"/>
          </w:tcPr>
          <w:p w14:paraId="2CBF4CB2">
            <w:pPr>
              <w:widowControl w:val="0"/>
              <w:adjustRightInd w:val="0"/>
              <w:snapToGrid w:val="0"/>
              <w:spacing w:beforeLines="50" w:afterLines="50" w:line="276" w:lineRule="auto"/>
              <w:jc w:val="center"/>
              <w:rPr>
                <w:rFonts w:cs="Times New Roman"/>
                <w:color w:val="auto"/>
                <w:kern w:val="2"/>
                <w:szCs w:val="21"/>
                <w:highlight w:val="none"/>
                <w:lang w:eastAsia="zh-CN"/>
              </w:rPr>
            </w:pPr>
          </w:p>
        </w:tc>
        <w:tc>
          <w:tcPr>
            <w:tcW w:w="815" w:type="pct"/>
            <w:tcMar>
              <w:top w:w="15" w:type="dxa"/>
              <w:left w:w="15" w:type="dxa"/>
              <w:bottom w:w="0" w:type="dxa"/>
              <w:right w:w="15" w:type="dxa"/>
            </w:tcMar>
            <w:vAlign w:val="center"/>
          </w:tcPr>
          <w:p w14:paraId="2C6866D3">
            <w:pPr>
              <w:widowControl w:val="0"/>
              <w:adjustRightInd w:val="0"/>
              <w:snapToGrid w:val="0"/>
              <w:spacing w:beforeLines="50" w:afterLines="50" w:line="276" w:lineRule="auto"/>
              <w:jc w:val="center"/>
              <w:rPr>
                <w:rFonts w:cs="Times New Roman"/>
                <w:color w:val="auto"/>
                <w:kern w:val="2"/>
                <w:szCs w:val="21"/>
                <w:highlight w:val="none"/>
                <w:lang w:eastAsia="zh-CN"/>
              </w:rPr>
            </w:pPr>
          </w:p>
        </w:tc>
        <w:tc>
          <w:tcPr>
            <w:tcW w:w="325" w:type="pct"/>
            <w:tcMar>
              <w:top w:w="15" w:type="dxa"/>
              <w:left w:w="15" w:type="dxa"/>
              <w:bottom w:w="0" w:type="dxa"/>
              <w:right w:w="15" w:type="dxa"/>
            </w:tcMar>
            <w:vAlign w:val="center"/>
          </w:tcPr>
          <w:p w14:paraId="4474D8E9">
            <w:pPr>
              <w:widowControl w:val="0"/>
              <w:adjustRightInd w:val="0"/>
              <w:snapToGrid w:val="0"/>
              <w:spacing w:beforeLines="50" w:afterLines="50" w:line="276" w:lineRule="auto"/>
              <w:jc w:val="center"/>
              <w:rPr>
                <w:rFonts w:cs="Times New Roman"/>
                <w:color w:val="auto"/>
                <w:kern w:val="2"/>
                <w:szCs w:val="21"/>
                <w:highlight w:val="none"/>
                <w:lang w:eastAsia="zh-CN"/>
              </w:rPr>
            </w:pPr>
          </w:p>
        </w:tc>
        <w:tc>
          <w:tcPr>
            <w:tcW w:w="326" w:type="pct"/>
            <w:tcMar>
              <w:top w:w="15" w:type="dxa"/>
              <w:left w:w="15" w:type="dxa"/>
              <w:bottom w:w="0" w:type="dxa"/>
              <w:right w:w="15" w:type="dxa"/>
            </w:tcMar>
            <w:vAlign w:val="center"/>
          </w:tcPr>
          <w:p w14:paraId="1CB0F7EE">
            <w:pPr>
              <w:widowControl w:val="0"/>
              <w:adjustRightInd w:val="0"/>
              <w:snapToGrid w:val="0"/>
              <w:spacing w:beforeLines="50" w:afterLines="50" w:line="276" w:lineRule="auto"/>
              <w:jc w:val="center"/>
              <w:rPr>
                <w:rFonts w:cs="Times New Roman"/>
                <w:color w:val="auto"/>
                <w:kern w:val="2"/>
                <w:szCs w:val="21"/>
                <w:highlight w:val="none"/>
                <w:lang w:eastAsia="zh-CN"/>
              </w:rPr>
            </w:pPr>
          </w:p>
        </w:tc>
        <w:tc>
          <w:tcPr>
            <w:tcW w:w="548" w:type="pct"/>
          </w:tcPr>
          <w:p w14:paraId="02891F2D">
            <w:pPr>
              <w:widowControl w:val="0"/>
              <w:adjustRightInd w:val="0"/>
              <w:snapToGrid w:val="0"/>
              <w:spacing w:beforeLines="50" w:afterLines="50" w:line="276" w:lineRule="auto"/>
              <w:jc w:val="center"/>
              <w:rPr>
                <w:rFonts w:cs="Times New Roman"/>
                <w:color w:val="auto"/>
                <w:kern w:val="2"/>
                <w:szCs w:val="21"/>
                <w:highlight w:val="none"/>
                <w:lang w:eastAsia="zh-CN"/>
              </w:rPr>
            </w:pPr>
          </w:p>
        </w:tc>
        <w:tc>
          <w:tcPr>
            <w:tcW w:w="369" w:type="pct"/>
            <w:tcMar>
              <w:top w:w="15" w:type="dxa"/>
              <w:left w:w="15" w:type="dxa"/>
              <w:bottom w:w="0" w:type="dxa"/>
              <w:right w:w="15" w:type="dxa"/>
            </w:tcMar>
            <w:vAlign w:val="center"/>
          </w:tcPr>
          <w:p w14:paraId="1F93E825">
            <w:pPr>
              <w:widowControl w:val="0"/>
              <w:adjustRightInd w:val="0"/>
              <w:snapToGrid w:val="0"/>
              <w:spacing w:beforeLines="50" w:afterLines="50" w:line="276" w:lineRule="auto"/>
              <w:jc w:val="center"/>
              <w:rPr>
                <w:rFonts w:cs="Times New Roman"/>
                <w:color w:val="auto"/>
                <w:kern w:val="2"/>
                <w:szCs w:val="21"/>
                <w:highlight w:val="none"/>
                <w:lang w:eastAsia="zh-CN"/>
              </w:rPr>
            </w:pPr>
          </w:p>
        </w:tc>
      </w:tr>
      <w:tr w14:paraId="6D6DA3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6" w:hRule="atLeast"/>
          <w:jc w:val="center"/>
        </w:trPr>
        <w:tc>
          <w:tcPr>
            <w:tcW w:w="433" w:type="pct"/>
            <w:tcMar>
              <w:top w:w="15" w:type="dxa"/>
              <w:left w:w="15" w:type="dxa"/>
              <w:bottom w:w="0" w:type="dxa"/>
              <w:right w:w="15" w:type="dxa"/>
            </w:tcMar>
            <w:vAlign w:val="center"/>
          </w:tcPr>
          <w:p w14:paraId="3778876A">
            <w:pPr>
              <w:widowControl w:val="0"/>
              <w:adjustRightInd w:val="0"/>
              <w:snapToGrid w:val="0"/>
              <w:spacing w:beforeLines="50" w:afterLines="50" w:line="276" w:lineRule="auto"/>
              <w:jc w:val="center"/>
              <w:rPr>
                <w:rFonts w:cs="Times New Roman"/>
                <w:color w:val="auto"/>
                <w:kern w:val="2"/>
                <w:szCs w:val="21"/>
                <w:highlight w:val="none"/>
                <w:lang w:eastAsia="zh-CN"/>
              </w:rPr>
            </w:pPr>
            <w:r>
              <w:rPr>
                <w:rFonts w:hint="eastAsia" w:cs="Times New Roman"/>
                <w:color w:val="auto"/>
                <w:kern w:val="2"/>
                <w:szCs w:val="21"/>
                <w:highlight w:val="none"/>
                <w:lang w:eastAsia="zh-CN"/>
              </w:rPr>
              <w:t>3</w:t>
            </w:r>
          </w:p>
        </w:tc>
        <w:tc>
          <w:tcPr>
            <w:tcW w:w="718" w:type="pct"/>
            <w:tcMar>
              <w:top w:w="15" w:type="dxa"/>
              <w:left w:w="15" w:type="dxa"/>
              <w:bottom w:w="0" w:type="dxa"/>
              <w:right w:w="15" w:type="dxa"/>
            </w:tcMar>
            <w:vAlign w:val="center"/>
          </w:tcPr>
          <w:p w14:paraId="6C78EB5C">
            <w:pPr>
              <w:widowControl w:val="0"/>
              <w:adjustRightInd w:val="0"/>
              <w:snapToGrid w:val="0"/>
              <w:spacing w:beforeLines="50" w:afterLines="50" w:line="276" w:lineRule="auto"/>
              <w:jc w:val="center"/>
              <w:rPr>
                <w:rFonts w:cs="Times New Roman"/>
                <w:color w:val="auto"/>
                <w:kern w:val="2"/>
                <w:szCs w:val="21"/>
                <w:highlight w:val="none"/>
                <w:lang w:eastAsia="zh-CN"/>
              </w:rPr>
            </w:pPr>
          </w:p>
        </w:tc>
        <w:tc>
          <w:tcPr>
            <w:tcW w:w="652" w:type="pct"/>
            <w:tcMar>
              <w:top w:w="15" w:type="dxa"/>
              <w:left w:w="15" w:type="dxa"/>
              <w:bottom w:w="0" w:type="dxa"/>
              <w:right w:w="15" w:type="dxa"/>
            </w:tcMar>
            <w:vAlign w:val="center"/>
          </w:tcPr>
          <w:p w14:paraId="44A9F415">
            <w:pPr>
              <w:widowControl w:val="0"/>
              <w:adjustRightInd w:val="0"/>
              <w:snapToGrid w:val="0"/>
              <w:spacing w:beforeLines="50" w:afterLines="50" w:line="276" w:lineRule="auto"/>
              <w:jc w:val="center"/>
              <w:rPr>
                <w:rFonts w:cs="Times New Roman"/>
                <w:color w:val="auto"/>
                <w:kern w:val="2"/>
                <w:szCs w:val="21"/>
                <w:highlight w:val="none"/>
                <w:lang w:eastAsia="zh-CN"/>
              </w:rPr>
            </w:pPr>
          </w:p>
        </w:tc>
        <w:tc>
          <w:tcPr>
            <w:tcW w:w="407" w:type="pct"/>
            <w:tcMar>
              <w:top w:w="15" w:type="dxa"/>
              <w:left w:w="15" w:type="dxa"/>
              <w:bottom w:w="0" w:type="dxa"/>
              <w:right w:w="15" w:type="dxa"/>
            </w:tcMar>
            <w:vAlign w:val="center"/>
          </w:tcPr>
          <w:p w14:paraId="6ABF9A56">
            <w:pPr>
              <w:widowControl w:val="0"/>
              <w:adjustRightInd w:val="0"/>
              <w:snapToGrid w:val="0"/>
              <w:spacing w:beforeLines="50" w:afterLines="50" w:line="276" w:lineRule="auto"/>
              <w:jc w:val="center"/>
              <w:rPr>
                <w:rFonts w:cs="Times New Roman"/>
                <w:color w:val="auto"/>
                <w:kern w:val="2"/>
                <w:szCs w:val="21"/>
                <w:highlight w:val="none"/>
                <w:lang w:eastAsia="zh-CN"/>
              </w:rPr>
            </w:pPr>
          </w:p>
        </w:tc>
        <w:tc>
          <w:tcPr>
            <w:tcW w:w="407" w:type="pct"/>
            <w:tcMar>
              <w:top w:w="15" w:type="dxa"/>
              <w:left w:w="15" w:type="dxa"/>
              <w:bottom w:w="0" w:type="dxa"/>
              <w:right w:w="15" w:type="dxa"/>
            </w:tcMar>
            <w:vAlign w:val="center"/>
          </w:tcPr>
          <w:p w14:paraId="3ED1512B">
            <w:pPr>
              <w:widowControl w:val="0"/>
              <w:adjustRightInd w:val="0"/>
              <w:snapToGrid w:val="0"/>
              <w:spacing w:beforeLines="50" w:afterLines="50" w:line="276" w:lineRule="auto"/>
              <w:jc w:val="center"/>
              <w:rPr>
                <w:rFonts w:cs="Times New Roman"/>
                <w:color w:val="auto"/>
                <w:kern w:val="2"/>
                <w:szCs w:val="21"/>
                <w:highlight w:val="none"/>
                <w:lang w:eastAsia="zh-CN"/>
              </w:rPr>
            </w:pPr>
          </w:p>
        </w:tc>
        <w:tc>
          <w:tcPr>
            <w:tcW w:w="815" w:type="pct"/>
            <w:tcMar>
              <w:top w:w="15" w:type="dxa"/>
              <w:left w:w="15" w:type="dxa"/>
              <w:bottom w:w="0" w:type="dxa"/>
              <w:right w:w="15" w:type="dxa"/>
            </w:tcMar>
            <w:vAlign w:val="center"/>
          </w:tcPr>
          <w:p w14:paraId="78A714CF">
            <w:pPr>
              <w:widowControl w:val="0"/>
              <w:adjustRightInd w:val="0"/>
              <w:snapToGrid w:val="0"/>
              <w:spacing w:beforeLines="50" w:afterLines="50" w:line="276" w:lineRule="auto"/>
              <w:jc w:val="center"/>
              <w:rPr>
                <w:rFonts w:cs="Times New Roman"/>
                <w:color w:val="auto"/>
                <w:kern w:val="2"/>
                <w:szCs w:val="21"/>
                <w:highlight w:val="none"/>
                <w:lang w:eastAsia="zh-CN"/>
              </w:rPr>
            </w:pPr>
          </w:p>
        </w:tc>
        <w:tc>
          <w:tcPr>
            <w:tcW w:w="325" w:type="pct"/>
            <w:tcMar>
              <w:top w:w="15" w:type="dxa"/>
              <w:left w:w="15" w:type="dxa"/>
              <w:bottom w:w="0" w:type="dxa"/>
              <w:right w:w="15" w:type="dxa"/>
            </w:tcMar>
            <w:vAlign w:val="center"/>
          </w:tcPr>
          <w:p w14:paraId="7E11B4B5">
            <w:pPr>
              <w:widowControl w:val="0"/>
              <w:adjustRightInd w:val="0"/>
              <w:snapToGrid w:val="0"/>
              <w:spacing w:beforeLines="50" w:afterLines="50" w:line="276" w:lineRule="auto"/>
              <w:jc w:val="center"/>
              <w:rPr>
                <w:rFonts w:cs="Times New Roman"/>
                <w:color w:val="auto"/>
                <w:kern w:val="2"/>
                <w:szCs w:val="21"/>
                <w:highlight w:val="none"/>
                <w:lang w:eastAsia="zh-CN"/>
              </w:rPr>
            </w:pPr>
          </w:p>
        </w:tc>
        <w:tc>
          <w:tcPr>
            <w:tcW w:w="326" w:type="pct"/>
            <w:tcMar>
              <w:top w:w="15" w:type="dxa"/>
              <w:left w:w="15" w:type="dxa"/>
              <w:bottom w:w="0" w:type="dxa"/>
              <w:right w:w="15" w:type="dxa"/>
            </w:tcMar>
            <w:vAlign w:val="center"/>
          </w:tcPr>
          <w:p w14:paraId="128929A2">
            <w:pPr>
              <w:widowControl w:val="0"/>
              <w:adjustRightInd w:val="0"/>
              <w:snapToGrid w:val="0"/>
              <w:spacing w:beforeLines="50" w:afterLines="50" w:line="276" w:lineRule="auto"/>
              <w:jc w:val="center"/>
              <w:rPr>
                <w:rFonts w:cs="Times New Roman"/>
                <w:color w:val="auto"/>
                <w:kern w:val="2"/>
                <w:szCs w:val="21"/>
                <w:highlight w:val="none"/>
                <w:lang w:eastAsia="zh-CN"/>
              </w:rPr>
            </w:pPr>
          </w:p>
        </w:tc>
        <w:tc>
          <w:tcPr>
            <w:tcW w:w="548" w:type="pct"/>
          </w:tcPr>
          <w:p w14:paraId="3F458521">
            <w:pPr>
              <w:widowControl w:val="0"/>
              <w:adjustRightInd w:val="0"/>
              <w:snapToGrid w:val="0"/>
              <w:spacing w:beforeLines="50" w:afterLines="50" w:line="276" w:lineRule="auto"/>
              <w:jc w:val="center"/>
              <w:rPr>
                <w:rFonts w:cs="Times New Roman"/>
                <w:color w:val="auto"/>
                <w:kern w:val="2"/>
                <w:szCs w:val="21"/>
                <w:highlight w:val="none"/>
                <w:lang w:eastAsia="zh-CN"/>
              </w:rPr>
            </w:pPr>
          </w:p>
        </w:tc>
        <w:tc>
          <w:tcPr>
            <w:tcW w:w="369" w:type="pct"/>
            <w:tcMar>
              <w:top w:w="15" w:type="dxa"/>
              <w:left w:w="15" w:type="dxa"/>
              <w:bottom w:w="0" w:type="dxa"/>
              <w:right w:w="15" w:type="dxa"/>
            </w:tcMar>
            <w:vAlign w:val="center"/>
          </w:tcPr>
          <w:p w14:paraId="39786E3C">
            <w:pPr>
              <w:widowControl w:val="0"/>
              <w:adjustRightInd w:val="0"/>
              <w:snapToGrid w:val="0"/>
              <w:spacing w:beforeLines="50" w:afterLines="50" w:line="276" w:lineRule="auto"/>
              <w:jc w:val="center"/>
              <w:rPr>
                <w:rFonts w:cs="Times New Roman"/>
                <w:color w:val="auto"/>
                <w:kern w:val="2"/>
                <w:szCs w:val="21"/>
                <w:highlight w:val="none"/>
                <w:lang w:eastAsia="zh-CN"/>
              </w:rPr>
            </w:pPr>
          </w:p>
        </w:tc>
      </w:tr>
      <w:tr w14:paraId="2E6848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4" w:hRule="atLeast"/>
          <w:jc w:val="center"/>
        </w:trPr>
        <w:tc>
          <w:tcPr>
            <w:tcW w:w="433" w:type="pct"/>
            <w:tcMar>
              <w:top w:w="15" w:type="dxa"/>
              <w:left w:w="15" w:type="dxa"/>
              <w:bottom w:w="0" w:type="dxa"/>
              <w:right w:w="15" w:type="dxa"/>
            </w:tcMar>
            <w:vAlign w:val="center"/>
          </w:tcPr>
          <w:p w14:paraId="199DC814">
            <w:pPr>
              <w:widowControl w:val="0"/>
              <w:adjustRightInd w:val="0"/>
              <w:snapToGrid w:val="0"/>
              <w:spacing w:beforeLines="50" w:afterLines="50" w:line="276" w:lineRule="auto"/>
              <w:jc w:val="center"/>
              <w:rPr>
                <w:rFonts w:cs="Times New Roman"/>
                <w:color w:val="auto"/>
                <w:kern w:val="2"/>
                <w:szCs w:val="21"/>
                <w:highlight w:val="none"/>
                <w:lang w:eastAsia="zh-CN"/>
              </w:rPr>
            </w:pPr>
            <w:r>
              <w:rPr>
                <w:rFonts w:hint="eastAsia" w:cs="Times New Roman"/>
                <w:color w:val="auto"/>
                <w:kern w:val="2"/>
                <w:szCs w:val="21"/>
                <w:highlight w:val="none"/>
                <w:lang w:eastAsia="zh-CN"/>
              </w:rPr>
              <w:t>…</w:t>
            </w:r>
          </w:p>
        </w:tc>
        <w:tc>
          <w:tcPr>
            <w:tcW w:w="718" w:type="pct"/>
            <w:tcMar>
              <w:top w:w="15" w:type="dxa"/>
              <w:left w:w="15" w:type="dxa"/>
              <w:bottom w:w="0" w:type="dxa"/>
              <w:right w:w="15" w:type="dxa"/>
            </w:tcMar>
            <w:vAlign w:val="center"/>
          </w:tcPr>
          <w:p w14:paraId="260C5F31">
            <w:pPr>
              <w:widowControl w:val="0"/>
              <w:adjustRightInd w:val="0"/>
              <w:snapToGrid w:val="0"/>
              <w:spacing w:beforeLines="50" w:afterLines="50" w:line="276" w:lineRule="auto"/>
              <w:jc w:val="center"/>
              <w:rPr>
                <w:rFonts w:cs="Times New Roman"/>
                <w:color w:val="auto"/>
                <w:kern w:val="2"/>
                <w:szCs w:val="21"/>
                <w:highlight w:val="none"/>
                <w:lang w:eastAsia="zh-CN"/>
              </w:rPr>
            </w:pPr>
          </w:p>
        </w:tc>
        <w:tc>
          <w:tcPr>
            <w:tcW w:w="652" w:type="pct"/>
            <w:tcMar>
              <w:top w:w="15" w:type="dxa"/>
              <w:left w:w="15" w:type="dxa"/>
              <w:bottom w:w="0" w:type="dxa"/>
              <w:right w:w="15" w:type="dxa"/>
            </w:tcMar>
            <w:vAlign w:val="center"/>
          </w:tcPr>
          <w:p w14:paraId="4E75C6D8">
            <w:pPr>
              <w:widowControl w:val="0"/>
              <w:adjustRightInd w:val="0"/>
              <w:snapToGrid w:val="0"/>
              <w:spacing w:beforeLines="50" w:afterLines="50" w:line="276" w:lineRule="auto"/>
              <w:jc w:val="center"/>
              <w:rPr>
                <w:rFonts w:cs="Times New Roman"/>
                <w:color w:val="auto"/>
                <w:kern w:val="2"/>
                <w:szCs w:val="21"/>
                <w:highlight w:val="none"/>
                <w:lang w:eastAsia="zh-CN"/>
              </w:rPr>
            </w:pPr>
          </w:p>
        </w:tc>
        <w:tc>
          <w:tcPr>
            <w:tcW w:w="407" w:type="pct"/>
            <w:tcMar>
              <w:top w:w="15" w:type="dxa"/>
              <w:left w:w="15" w:type="dxa"/>
              <w:bottom w:w="0" w:type="dxa"/>
              <w:right w:w="15" w:type="dxa"/>
            </w:tcMar>
            <w:vAlign w:val="center"/>
          </w:tcPr>
          <w:p w14:paraId="09CB6655">
            <w:pPr>
              <w:widowControl w:val="0"/>
              <w:adjustRightInd w:val="0"/>
              <w:snapToGrid w:val="0"/>
              <w:spacing w:beforeLines="50" w:afterLines="50" w:line="276" w:lineRule="auto"/>
              <w:jc w:val="center"/>
              <w:rPr>
                <w:rFonts w:cs="Times New Roman"/>
                <w:color w:val="auto"/>
                <w:kern w:val="2"/>
                <w:szCs w:val="21"/>
                <w:highlight w:val="none"/>
                <w:lang w:eastAsia="zh-CN"/>
              </w:rPr>
            </w:pPr>
          </w:p>
        </w:tc>
        <w:tc>
          <w:tcPr>
            <w:tcW w:w="407" w:type="pct"/>
            <w:tcMar>
              <w:top w:w="15" w:type="dxa"/>
              <w:left w:w="15" w:type="dxa"/>
              <w:bottom w:w="0" w:type="dxa"/>
              <w:right w:w="15" w:type="dxa"/>
            </w:tcMar>
            <w:vAlign w:val="center"/>
          </w:tcPr>
          <w:p w14:paraId="057262F5">
            <w:pPr>
              <w:widowControl w:val="0"/>
              <w:adjustRightInd w:val="0"/>
              <w:snapToGrid w:val="0"/>
              <w:spacing w:beforeLines="50" w:afterLines="50" w:line="276" w:lineRule="auto"/>
              <w:jc w:val="center"/>
              <w:rPr>
                <w:rFonts w:cs="Times New Roman"/>
                <w:color w:val="auto"/>
                <w:kern w:val="2"/>
                <w:szCs w:val="21"/>
                <w:highlight w:val="none"/>
                <w:lang w:eastAsia="zh-CN"/>
              </w:rPr>
            </w:pPr>
          </w:p>
        </w:tc>
        <w:tc>
          <w:tcPr>
            <w:tcW w:w="815" w:type="pct"/>
            <w:tcMar>
              <w:top w:w="15" w:type="dxa"/>
              <w:left w:w="15" w:type="dxa"/>
              <w:bottom w:w="0" w:type="dxa"/>
              <w:right w:w="15" w:type="dxa"/>
            </w:tcMar>
            <w:vAlign w:val="center"/>
          </w:tcPr>
          <w:p w14:paraId="00D764D0">
            <w:pPr>
              <w:widowControl w:val="0"/>
              <w:adjustRightInd w:val="0"/>
              <w:snapToGrid w:val="0"/>
              <w:spacing w:beforeLines="50" w:afterLines="50" w:line="276" w:lineRule="auto"/>
              <w:jc w:val="center"/>
              <w:rPr>
                <w:rFonts w:cs="Times New Roman"/>
                <w:color w:val="auto"/>
                <w:kern w:val="2"/>
                <w:szCs w:val="21"/>
                <w:highlight w:val="none"/>
                <w:lang w:eastAsia="zh-CN"/>
              </w:rPr>
            </w:pPr>
          </w:p>
        </w:tc>
        <w:tc>
          <w:tcPr>
            <w:tcW w:w="325" w:type="pct"/>
            <w:tcMar>
              <w:top w:w="15" w:type="dxa"/>
              <w:left w:w="15" w:type="dxa"/>
              <w:bottom w:w="0" w:type="dxa"/>
              <w:right w:w="15" w:type="dxa"/>
            </w:tcMar>
            <w:vAlign w:val="center"/>
          </w:tcPr>
          <w:p w14:paraId="534FE5AD">
            <w:pPr>
              <w:widowControl w:val="0"/>
              <w:adjustRightInd w:val="0"/>
              <w:snapToGrid w:val="0"/>
              <w:spacing w:beforeLines="50" w:afterLines="50" w:line="276" w:lineRule="auto"/>
              <w:jc w:val="center"/>
              <w:rPr>
                <w:rFonts w:cs="Times New Roman"/>
                <w:color w:val="auto"/>
                <w:kern w:val="2"/>
                <w:szCs w:val="21"/>
                <w:highlight w:val="none"/>
                <w:lang w:eastAsia="zh-CN"/>
              </w:rPr>
            </w:pPr>
          </w:p>
        </w:tc>
        <w:tc>
          <w:tcPr>
            <w:tcW w:w="326" w:type="pct"/>
            <w:tcMar>
              <w:top w:w="15" w:type="dxa"/>
              <w:left w:w="15" w:type="dxa"/>
              <w:bottom w:w="0" w:type="dxa"/>
              <w:right w:w="15" w:type="dxa"/>
            </w:tcMar>
            <w:vAlign w:val="center"/>
          </w:tcPr>
          <w:p w14:paraId="103B5A8B">
            <w:pPr>
              <w:widowControl w:val="0"/>
              <w:adjustRightInd w:val="0"/>
              <w:snapToGrid w:val="0"/>
              <w:spacing w:beforeLines="50" w:afterLines="50" w:line="276" w:lineRule="auto"/>
              <w:jc w:val="center"/>
              <w:rPr>
                <w:rFonts w:cs="Times New Roman"/>
                <w:color w:val="auto"/>
                <w:kern w:val="2"/>
                <w:szCs w:val="21"/>
                <w:highlight w:val="none"/>
                <w:lang w:eastAsia="zh-CN"/>
              </w:rPr>
            </w:pPr>
          </w:p>
        </w:tc>
        <w:tc>
          <w:tcPr>
            <w:tcW w:w="548" w:type="pct"/>
          </w:tcPr>
          <w:p w14:paraId="32D5A7EC">
            <w:pPr>
              <w:widowControl w:val="0"/>
              <w:adjustRightInd w:val="0"/>
              <w:snapToGrid w:val="0"/>
              <w:spacing w:beforeLines="50" w:afterLines="50" w:line="276" w:lineRule="auto"/>
              <w:jc w:val="center"/>
              <w:rPr>
                <w:rFonts w:cs="Times New Roman"/>
                <w:color w:val="auto"/>
                <w:kern w:val="2"/>
                <w:szCs w:val="21"/>
                <w:highlight w:val="none"/>
                <w:lang w:eastAsia="zh-CN"/>
              </w:rPr>
            </w:pPr>
          </w:p>
        </w:tc>
        <w:tc>
          <w:tcPr>
            <w:tcW w:w="369" w:type="pct"/>
            <w:tcMar>
              <w:top w:w="15" w:type="dxa"/>
              <w:left w:w="15" w:type="dxa"/>
              <w:bottom w:w="0" w:type="dxa"/>
              <w:right w:w="15" w:type="dxa"/>
            </w:tcMar>
            <w:vAlign w:val="center"/>
          </w:tcPr>
          <w:p w14:paraId="75522795">
            <w:pPr>
              <w:widowControl w:val="0"/>
              <w:adjustRightInd w:val="0"/>
              <w:snapToGrid w:val="0"/>
              <w:spacing w:beforeLines="50" w:afterLines="50" w:line="276" w:lineRule="auto"/>
              <w:jc w:val="center"/>
              <w:rPr>
                <w:rFonts w:cs="Times New Roman"/>
                <w:color w:val="auto"/>
                <w:kern w:val="2"/>
                <w:szCs w:val="21"/>
                <w:highlight w:val="none"/>
                <w:lang w:eastAsia="zh-CN"/>
              </w:rPr>
            </w:pPr>
          </w:p>
        </w:tc>
      </w:tr>
      <w:tr w14:paraId="30BAA3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4" w:hRule="atLeast"/>
          <w:jc w:val="center"/>
        </w:trPr>
        <w:tc>
          <w:tcPr>
            <w:tcW w:w="3757" w:type="pct"/>
            <w:gridSpan w:val="7"/>
            <w:tcMar>
              <w:top w:w="15" w:type="dxa"/>
              <w:left w:w="15" w:type="dxa"/>
              <w:bottom w:w="0" w:type="dxa"/>
              <w:right w:w="15" w:type="dxa"/>
            </w:tcMar>
            <w:vAlign w:val="center"/>
          </w:tcPr>
          <w:p w14:paraId="599F095B">
            <w:pPr>
              <w:widowControl w:val="0"/>
              <w:adjustRightInd w:val="0"/>
              <w:snapToGrid w:val="0"/>
              <w:spacing w:beforeLines="50" w:afterLines="50" w:line="276" w:lineRule="auto"/>
              <w:jc w:val="center"/>
              <w:rPr>
                <w:rFonts w:cs="Times New Roman"/>
                <w:color w:val="auto"/>
                <w:kern w:val="2"/>
                <w:szCs w:val="21"/>
                <w:highlight w:val="none"/>
                <w:lang w:eastAsia="zh-CN"/>
              </w:rPr>
            </w:pPr>
            <w:r>
              <w:rPr>
                <w:rFonts w:hint="eastAsia" w:cs="Times New Roman"/>
                <w:color w:val="auto"/>
                <w:kern w:val="2"/>
                <w:szCs w:val="21"/>
                <w:highlight w:val="none"/>
                <w:lang w:eastAsia="zh-CN"/>
              </w:rPr>
              <w:t>合计</w:t>
            </w:r>
          </w:p>
        </w:tc>
        <w:tc>
          <w:tcPr>
            <w:tcW w:w="326" w:type="pct"/>
            <w:tcMar>
              <w:top w:w="15" w:type="dxa"/>
              <w:left w:w="15" w:type="dxa"/>
              <w:bottom w:w="0" w:type="dxa"/>
              <w:right w:w="15" w:type="dxa"/>
            </w:tcMar>
            <w:vAlign w:val="center"/>
          </w:tcPr>
          <w:p w14:paraId="5B931843">
            <w:pPr>
              <w:widowControl w:val="0"/>
              <w:adjustRightInd w:val="0"/>
              <w:snapToGrid w:val="0"/>
              <w:spacing w:beforeLines="50" w:afterLines="50" w:line="276" w:lineRule="auto"/>
              <w:jc w:val="center"/>
              <w:rPr>
                <w:rFonts w:cs="Times New Roman"/>
                <w:color w:val="auto"/>
                <w:kern w:val="2"/>
                <w:szCs w:val="21"/>
                <w:highlight w:val="none"/>
                <w:lang w:eastAsia="zh-CN"/>
              </w:rPr>
            </w:pPr>
          </w:p>
        </w:tc>
        <w:tc>
          <w:tcPr>
            <w:tcW w:w="548" w:type="pct"/>
          </w:tcPr>
          <w:p w14:paraId="15B1E43F">
            <w:pPr>
              <w:widowControl w:val="0"/>
              <w:adjustRightInd w:val="0"/>
              <w:snapToGrid w:val="0"/>
              <w:spacing w:beforeLines="50" w:afterLines="50" w:line="276" w:lineRule="auto"/>
              <w:jc w:val="center"/>
              <w:rPr>
                <w:rFonts w:cs="Times New Roman"/>
                <w:color w:val="auto"/>
                <w:kern w:val="2"/>
                <w:szCs w:val="21"/>
                <w:highlight w:val="none"/>
                <w:lang w:eastAsia="zh-CN"/>
              </w:rPr>
            </w:pPr>
          </w:p>
        </w:tc>
        <w:tc>
          <w:tcPr>
            <w:tcW w:w="369" w:type="pct"/>
            <w:tcMar>
              <w:top w:w="15" w:type="dxa"/>
              <w:left w:w="15" w:type="dxa"/>
              <w:bottom w:w="0" w:type="dxa"/>
              <w:right w:w="15" w:type="dxa"/>
            </w:tcMar>
            <w:vAlign w:val="center"/>
          </w:tcPr>
          <w:p w14:paraId="46C4E8BD">
            <w:pPr>
              <w:widowControl w:val="0"/>
              <w:adjustRightInd w:val="0"/>
              <w:snapToGrid w:val="0"/>
              <w:spacing w:beforeLines="50" w:afterLines="50" w:line="276" w:lineRule="auto"/>
              <w:jc w:val="center"/>
              <w:rPr>
                <w:rFonts w:cs="Times New Roman"/>
                <w:color w:val="auto"/>
                <w:kern w:val="2"/>
                <w:szCs w:val="21"/>
                <w:highlight w:val="none"/>
                <w:lang w:eastAsia="zh-CN"/>
              </w:rPr>
            </w:pPr>
          </w:p>
        </w:tc>
      </w:tr>
    </w:tbl>
    <w:p w14:paraId="761DE9EC">
      <w:pPr>
        <w:widowControl w:val="0"/>
        <w:spacing w:after="200" w:line="276" w:lineRule="auto"/>
        <w:rPr>
          <w:rFonts w:cs="宋体"/>
          <w:bCs/>
          <w:color w:val="auto"/>
          <w:kern w:val="2"/>
          <w:szCs w:val="21"/>
          <w:highlight w:val="none"/>
          <w:lang w:eastAsia="zh-CN"/>
        </w:rPr>
      </w:pPr>
    </w:p>
    <w:p w14:paraId="7502E9EB">
      <w:pPr>
        <w:widowControl w:val="0"/>
        <w:tabs>
          <w:tab w:val="left" w:pos="600"/>
        </w:tabs>
        <w:adjustRightInd w:val="0"/>
        <w:snapToGrid w:val="0"/>
        <w:spacing w:after="200" w:line="360" w:lineRule="auto"/>
        <w:ind w:firstLine="420" w:firstLineChars="200"/>
        <w:rPr>
          <w:rFonts w:cs="Times New Roman"/>
          <w:color w:val="auto"/>
          <w:kern w:val="2"/>
          <w:szCs w:val="21"/>
          <w:highlight w:val="none"/>
          <w:lang w:eastAsia="zh-CN"/>
        </w:rPr>
      </w:pPr>
      <w:r>
        <w:rPr>
          <w:rFonts w:hint="eastAsia" w:cs="Times New Roman"/>
          <w:color w:val="auto"/>
          <w:kern w:val="2"/>
          <w:szCs w:val="21"/>
          <w:highlight w:val="none"/>
          <w:lang w:eastAsia="zh-CN"/>
        </w:rPr>
        <w:t>2.3专用工具和仪器仪表</w:t>
      </w:r>
    </w:p>
    <w:tbl>
      <w:tblPr>
        <w:tblStyle w:val="42"/>
        <w:tblW w:w="50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28" w:type="dxa"/>
          <w:bottom w:w="0" w:type="dxa"/>
          <w:right w:w="28" w:type="dxa"/>
        </w:tblCellMar>
      </w:tblPr>
      <w:tblGrid>
        <w:gridCol w:w="509"/>
        <w:gridCol w:w="1115"/>
        <w:gridCol w:w="1376"/>
        <w:gridCol w:w="687"/>
        <w:gridCol w:w="687"/>
        <w:gridCol w:w="771"/>
        <w:gridCol w:w="1189"/>
        <w:gridCol w:w="974"/>
        <w:gridCol w:w="1423"/>
      </w:tblGrid>
      <w:tr w14:paraId="6499CB2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trHeight w:val="430" w:hRule="atLeast"/>
          <w:jc w:val="center"/>
        </w:trPr>
        <w:tc>
          <w:tcPr>
            <w:tcW w:w="292" w:type="pct"/>
            <w:vAlign w:val="center"/>
          </w:tcPr>
          <w:p w14:paraId="0FD2E8DE">
            <w:pPr>
              <w:widowControl w:val="0"/>
              <w:adjustRightInd w:val="0"/>
              <w:snapToGrid w:val="0"/>
              <w:spacing w:beforeLines="50" w:afterLines="50" w:line="276" w:lineRule="auto"/>
              <w:jc w:val="center"/>
              <w:rPr>
                <w:rFonts w:cs="Times New Roman"/>
                <w:color w:val="auto"/>
                <w:kern w:val="2"/>
                <w:szCs w:val="21"/>
                <w:highlight w:val="none"/>
                <w:lang w:eastAsia="zh-CN"/>
              </w:rPr>
            </w:pPr>
            <w:r>
              <w:rPr>
                <w:rFonts w:hint="eastAsia" w:cs="Times New Roman"/>
                <w:color w:val="auto"/>
                <w:kern w:val="2"/>
                <w:szCs w:val="21"/>
                <w:highlight w:val="none"/>
                <w:lang w:eastAsia="zh-CN"/>
              </w:rPr>
              <w:t>序号</w:t>
            </w:r>
          </w:p>
        </w:tc>
        <w:tc>
          <w:tcPr>
            <w:tcW w:w="638" w:type="pct"/>
            <w:vAlign w:val="center"/>
          </w:tcPr>
          <w:p w14:paraId="3E145EC8">
            <w:pPr>
              <w:widowControl w:val="0"/>
              <w:adjustRightInd w:val="0"/>
              <w:snapToGrid w:val="0"/>
              <w:spacing w:beforeLines="50" w:afterLines="50" w:line="276" w:lineRule="auto"/>
              <w:jc w:val="center"/>
              <w:rPr>
                <w:rFonts w:cs="Times New Roman"/>
                <w:color w:val="auto"/>
                <w:kern w:val="2"/>
                <w:szCs w:val="21"/>
                <w:highlight w:val="none"/>
                <w:lang w:eastAsia="zh-CN"/>
              </w:rPr>
            </w:pPr>
            <w:r>
              <w:rPr>
                <w:rFonts w:hint="eastAsia" w:cs="Times New Roman"/>
                <w:color w:val="auto"/>
                <w:kern w:val="2"/>
                <w:szCs w:val="21"/>
                <w:highlight w:val="none"/>
                <w:lang w:eastAsia="zh-CN"/>
              </w:rPr>
              <w:t>名称</w:t>
            </w:r>
          </w:p>
        </w:tc>
        <w:tc>
          <w:tcPr>
            <w:tcW w:w="787" w:type="pct"/>
            <w:vAlign w:val="center"/>
          </w:tcPr>
          <w:p w14:paraId="6DEE978F">
            <w:pPr>
              <w:widowControl w:val="0"/>
              <w:adjustRightInd w:val="0"/>
              <w:snapToGrid w:val="0"/>
              <w:spacing w:beforeLines="50" w:afterLines="50" w:line="276" w:lineRule="auto"/>
              <w:jc w:val="center"/>
              <w:rPr>
                <w:rFonts w:cs="Times New Roman"/>
                <w:color w:val="auto"/>
                <w:kern w:val="2"/>
                <w:szCs w:val="21"/>
                <w:highlight w:val="none"/>
                <w:lang w:eastAsia="zh-CN"/>
              </w:rPr>
            </w:pPr>
            <w:r>
              <w:rPr>
                <w:rFonts w:hint="eastAsia" w:cs="Times New Roman"/>
                <w:color w:val="auto"/>
                <w:kern w:val="2"/>
                <w:szCs w:val="21"/>
                <w:highlight w:val="none"/>
                <w:lang w:eastAsia="zh-CN"/>
              </w:rPr>
              <w:t>规格和型号</w:t>
            </w:r>
          </w:p>
        </w:tc>
        <w:tc>
          <w:tcPr>
            <w:tcW w:w="393" w:type="pct"/>
            <w:vAlign w:val="center"/>
          </w:tcPr>
          <w:p w14:paraId="7C4A0ECB">
            <w:pPr>
              <w:widowControl w:val="0"/>
              <w:adjustRightInd w:val="0"/>
              <w:snapToGrid w:val="0"/>
              <w:spacing w:beforeLines="50" w:afterLines="50" w:line="276" w:lineRule="auto"/>
              <w:jc w:val="center"/>
              <w:rPr>
                <w:rFonts w:cs="Times New Roman"/>
                <w:color w:val="auto"/>
                <w:kern w:val="2"/>
                <w:szCs w:val="21"/>
                <w:highlight w:val="none"/>
                <w:lang w:eastAsia="zh-CN"/>
              </w:rPr>
            </w:pPr>
            <w:r>
              <w:rPr>
                <w:rFonts w:hint="eastAsia" w:cs="Times New Roman"/>
                <w:color w:val="auto"/>
                <w:kern w:val="2"/>
                <w:szCs w:val="21"/>
                <w:highlight w:val="none"/>
                <w:lang w:eastAsia="zh-CN"/>
              </w:rPr>
              <w:t>单位</w:t>
            </w:r>
          </w:p>
        </w:tc>
        <w:tc>
          <w:tcPr>
            <w:tcW w:w="393" w:type="pct"/>
            <w:vAlign w:val="center"/>
          </w:tcPr>
          <w:p w14:paraId="0EB75700">
            <w:pPr>
              <w:widowControl w:val="0"/>
              <w:adjustRightInd w:val="0"/>
              <w:snapToGrid w:val="0"/>
              <w:spacing w:beforeLines="50" w:afterLines="50" w:line="276" w:lineRule="auto"/>
              <w:jc w:val="center"/>
              <w:rPr>
                <w:rFonts w:cs="Times New Roman"/>
                <w:color w:val="auto"/>
                <w:kern w:val="2"/>
                <w:szCs w:val="21"/>
                <w:highlight w:val="none"/>
                <w:lang w:eastAsia="zh-CN"/>
              </w:rPr>
            </w:pPr>
            <w:r>
              <w:rPr>
                <w:rFonts w:hint="eastAsia" w:cs="Times New Roman"/>
                <w:color w:val="auto"/>
                <w:kern w:val="2"/>
                <w:szCs w:val="21"/>
                <w:highlight w:val="none"/>
                <w:lang w:eastAsia="zh-CN"/>
              </w:rPr>
              <w:t>数量</w:t>
            </w:r>
          </w:p>
        </w:tc>
        <w:tc>
          <w:tcPr>
            <w:tcW w:w="441" w:type="pct"/>
            <w:vAlign w:val="center"/>
          </w:tcPr>
          <w:p w14:paraId="68E1E373">
            <w:pPr>
              <w:widowControl w:val="0"/>
              <w:adjustRightInd w:val="0"/>
              <w:snapToGrid w:val="0"/>
              <w:spacing w:beforeLines="50" w:afterLines="50" w:line="276" w:lineRule="auto"/>
              <w:jc w:val="center"/>
              <w:rPr>
                <w:rFonts w:cs="Times New Roman"/>
                <w:color w:val="auto"/>
                <w:kern w:val="2"/>
                <w:szCs w:val="21"/>
                <w:highlight w:val="none"/>
                <w:lang w:eastAsia="zh-CN"/>
              </w:rPr>
            </w:pPr>
            <w:r>
              <w:rPr>
                <w:rFonts w:hint="eastAsia" w:cs="Times New Roman"/>
                <w:color w:val="auto"/>
                <w:kern w:val="2"/>
                <w:szCs w:val="21"/>
                <w:highlight w:val="none"/>
                <w:lang w:eastAsia="zh-CN"/>
              </w:rPr>
              <w:t>产地</w:t>
            </w:r>
          </w:p>
        </w:tc>
        <w:tc>
          <w:tcPr>
            <w:tcW w:w="680" w:type="pct"/>
            <w:vAlign w:val="center"/>
          </w:tcPr>
          <w:p w14:paraId="2F700B77">
            <w:pPr>
              <w:widowControl w:val="0"/>
              <w:adjustRightInd w:val="0"/>
              <w:snapToGrid w:val="0"/>
              <w:spacing w:beforeLines="50" w:afterLines="50" w:line="276" w:lineRule="auto"/>
              <w:jc w:val="center"/>
              <w:rPr>
                <w:rFonts w:cs="Times New Roman"/>
                <w:color w:val="auto"/>
                <w:kern w:val="2"/>
                <w:szCs w:val="21"/>
                <w:highlight w:val="none"/>
                <w:lang w:eastAsia="zh-CN"/>
              </w:rPr>
            </w:pPr>
            <w:r>
              <w:rPr>
                <w:rFonts w:hint="eastAsia" w:cs="Times New Roman"/>
                <w:color w:val="auto"/>
                <w:kern w:val="2"/>
                <w:szCs w:val="21"/>
                <w:highlight w:val="none"/>
                <w:lang w:eastAsia="zh-CN"/>
              </w:rPr>
              <w:t>生产厂家</w:t>
            </w:r>
          </w:p>
        </w:tc>
        <w:tc>
          <w:tcPr>
            <w:tcW w:w="557" w:type="pct"/>
            <w:vAlign w:val="center"/>
          </w:tcPr>
          <w:p w14:paraId="34FBFA5C">
            <w:pPr>
              <w:widowControl w:val="0"/>
              <w:adjustRightInd w:val="0"/>
              <w:snapToGrid w:val="0"/>
              <w:spacing w:beforeLines="50" w:afterLines="50" w:line="276" w:lineRule="auto"/>
              <w:jc w:val="center"/>
              <w:rPr>
                <w:rFonts w:cs="Times New Roman"/>
                <w:color w:val="auto"/>
                <w:kern w:val="2"/>
                <w:szCs w:val="21"/>
                <w:highlight w:val="none"/>
                <w:lang w:eastAsia="zh-CN"/>
              </w:rPr>
            </w:pPr>
            <w:r>
              <w:rPr>
                <w:rFonts w:hint="eastAsia" w:cs="Times New Roman"/>
                <w:color w:val="auto"/>
                <w:kern w:val="2"/>
                <w:szCs w:val="21"/>
                <w:highlight w:val="none"/>
                <w:lang w:eastAsia="zh-CN"/>
              </w:rPr>
              <w:t>价格</w:t>
            </w:r>
          </w:p>
        </w:tc>
        <w:tc>
          <w:tcPr>
            <w:tcW w:w="814" w:type="pct"/>
            <w:vAlign w:val="center"/>
          </w:tcPr>
          <w:p w14:paraId="777BC819">
            <w:pPr>
              <w:widowControl w:val="0"/>
              <w:adjustRightInd w:val="0"/>
              <w:snapToGrid w:val="0"/>
              <w:spacing w:beforeLines="50" w:afterLines="50" w:line="276" w:lineRule="auto"/>
              <w:jc w:val="center"/>
              <w:rPr>
                <w:rFonts w:cs="Times New Roman"/>
                <w:color w:val="auto"/>
                <w:kern w:val="2"/>
                <w:szCs w:val="21"/>
                <w:highlight w:val="none"/>
                <w:lang w:eastAsia="zh-CN"/>
              </w:rPr>
            </w:pPr>
            <w:r>
              <w:rPr>
                <w:rFonts w:hint="eastAsia" w:cs="Times New Roman"/>
                <w:color w:val="auto"/>
                <w:kern w:val="2"/>
                <w:szCs w:val="21"/>
                <w:highlight w:val="none"/>
                <w:lang w:eastAsia="zh-CN"/>
              </w:rPr>
              <w:t>备注</w:t>
            </w:r>
          </w:p>
        </w:tc>
      </w:tr>
      <w:tr w14:paraId="01A6798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jc w:val="center"/>
        </w:trPr>
        <w:tc>
          <w:tcPr>
            <w:tcW w:w="292" w:type="pct"/>
            <w:vAlign w:val="center"/>
          </w:tcPr>
          <w:p w14:paraId="01984993">
            <w:pPr>
              <w:widowControl w:val="0"/>
              <w:adjustRightInd w:val="0"/>
              <w:snapToGrid w:val="0"/>
              <w:spacing w:beforeLines="50" w:afterLines="50" w:line="276" w:lineRule="auto"/>
              <w:jc w:val="center"/>
              <w:rPr>
                <w:rFonts w:hint="default" w:cs="Times New Roman"/>
                <w:color w:val="auto"/>
                <w:kern w:val="2"/>
                <w:szCs w:val="21"/>
                <w:highlight w:val="none"/>
                <w:lang w:val="en-US" w:eastAsia="zh-CN"/>
              </w:rPr>
            </w:pPr>
            <w:r>
              <w:rPr>
                <w:rFonts w:hint="eastAsia" w:cs="Times New Roman"/>
                <w:color w:val="auto"/>
                <w:kern w:val="2"/>
                <w:szCs w:val="21"/>
                <w:highlight w:val="none"/>
                <w:lang w:val="en-US" w:eastAsia="zh-CN"/>
              </w:rPr>
              <w:t>1</w:t>
            </w:r>
          </w:p>
        </w:tc>
        <w:tc>
          <w:tcPr>
            <w:tcW w:w="638" w:type="pct"/>
            <w:vAlign w:val="center"/>
          </w:tcPr>
          <w:p w14:paraId="59FEF438">
            <w:pPr>
              <w:spacing w:line="240" w:lineRule="auto"/>
              <w:rPr>
                <w:color w:val="auto"/>
                <w:highlight w:val="none"/>
                <w:lang w:eastAsia="zh-CN"/>
              </w:rPr>
            </w:pPr>
            <w:r>
              <w:rPr>
                <w:rFonts w:hint="eastAsia" w:cstheme="minorBidi"/>
                <w:color w:val="auto"/>
                <w:sz w:val="21"/>
                <w:highlight w:val="none"/>
              </w:rPr>
              <w:t>调试专用通信连接线</w:t>
            </w:r>
          </w:p>
        </w:tc>
        <w:tc>
          <w:tcPr>
            <w:tcW w:w="787" w:type="pct"/>
            <w:vAlign w:val="center"/>
          </w:tcPr>
          <w:p w14:paraId="5DA9FA31">
            <w:pPr>
              <w:spacing w:line="240" w:lineRule="auto"/>
              <w:rPr>
                <w:color w:val="auto"/>
                <w:highlight w:val="none"/>
              </w:rPr>
            </w:pPr>
          </w:p>
        </w:tc>
        <w:tc>
          <w:tcPr>
            <w:tcW w:w="393" w:type="pct"/>
            <w:vAlign w:val="center"/>
          </w:tcPr>
          <w:p w14:paraId="3513A5A8">
            <w:pPr>
              <w:spacing w:line="240" w:lineRule="auto"/>
              <w:jc w:val="center"/>
              <w:rPr>
                <w:color w:val="auto"/>
                <w:highlight w:val="none"/>
                <w:lang w:eastAsia="zh-CN"/>
              </w:rPr>
            </w:pPr>
            <w:r>
              <w:rPr>
                <w:rFonts w:hint="eastAsia" w:cstheme="minorBidi"/>
                <w:color w:val="auto"/>
                <w:sz w:val="21"/>
                <w:highlight w:val="none"/>
              </w:rPr>
              <w:t>套</w:t>
            </w:r>
          </w:p>
        </w:tc>
        <w:tc>
          <w:tcPr>
            <w:tcW w:w="393" w:type="pct"/>
            <w:vAlign w:val="center"/>
          </w:tcPr>
          <w:p w14:paraId="74F4FCE0">
            <w:pPr>
              <w:adjustRightInd/>
              <w:spacing w:line="300" w:lineRule="auto"/>
              <w:jc w:val="center"/>
              <w:textAlignment w:val="auto"/>
              <w:rPr>
                <w:color w:val="auto"/>
                <w:highlight w:val="none"/>
              </w:rPr>
            </w:pPr>
            <w:r>
              <w:rPr>
                <w:rFonts w:cs="宋体"/>
                <w:color w:val="auto"/>
                <w:kern w:val="2"/>
                <w:highlight w:val="none"/>
              </w:rPr>
              <w:t>1</w:t>
            </w:r>
          </w:p>
        </w:tc>
        <w:tc>
          <w:tcPr>
            <w:tcW w:w="441" w:type="pct"/>
            <w:vAlign w:val="center"/>
          </w:tcPr>
          <w:p w14:paraId="5C4F11D6">
            <w:pPr>
              <w:rPr>
                <w:rFonts w:cs="宋体"/>
                <w:color w:val="auto"/>
                <w:szCs w:val="21"/>
                <w:highlight w:val="none"/>
                <w:lang w:eastAsia="zh-CN"/>
              </w:rPr>
            </w:pPr>
          </w:p>
        </w:tc>
        <w:tc>
          <w:tcPr>
            <w:tcW w:w="680" w:type="pct"/>
            <w:vAlign w:val="center"/>
          </w:tcPr>
          <w:p w14:paraId="59F03865">
            <w:pPr>
              <w:widowControl w:val="0"/>
              <w:adjustRightInd w:val="0"/>
              <w:snapToGrid w:val="0"/>
              <w:spacing w:beforeLines="50" w:afterLines="50" w:line="276" w:lineRule="auto"/>
              <w:jc w:val="center"/>
              <w:rPr>
                <w:rFonts w:cs="Times New Roman"/>
                <w:color w:val="auto"/>
                <w:kern w:val="2"/>
                <w:szCs w:val="21"/>
                <w:highlight w:val="none"/>
                <w:lang w:eastAsia="zh-CN"/>
              </w:rPr>
            </w:pPr>
          </w:p>
        </w:tc>
        <w:tc>
          <w:tcPr>
            <w:tcW w:w="557" w:type="pct"/>
            <w:vAlign w:val="center"/>
          </w:tcPr>
          <w:p w14:paraId="12663E2E">
            <w:pPr>
              <w:widowControl w:val="0"/>
              <w:adjustRightInd w:val="0"/>
              <w:snapToGrid w:val="0"/>
              <w:spacing w:beforeLines="50" w:afterLines="50" w:line="276" w:lineRule="auto"/>
              <w:jc w:val="center"/>
              <w:rPr>
                <w:rFonts w:cs="Times New Roman"/>
                <w:color w:val="auto"/>
                <w:kern w:val="2"/>
                <w:szCs w:val="21"/>
                <w:highlight w:val="none"/>
                <w:lang w:eastAsia="zh-CN"/>
              </w:rPr>
            </w:pPr>
          </w:p>
        </w:tc>
        <w:tc>
          <w:tcPr>
            <w:tcW w:w="814" w:type="pct"/>
            <w:vAlign w:val="center"/>
          </w:tcPr>
          <w:p w14:paraId="52D2E94A">
            <w:pPr>
              <w:widowControl w:val="0"/>
              <w:adjustRightInd w:val="0"/>
              <w:snapToGrid w:val="0"/>
              <w:spacing w:beforeLines="50" w:afterLines="50" w:line="276" w:lineRule="auto"/>
              <w:jc w:val="center"/>
              <w:rPr>
                <w:rFonts w:cs="Times New Roman"/>
                <w:color w:val="auto"/>
                <w:kern w:val="2"/>
                <w:szCs w:val="21"/>
                <w:highlight w:val="none"/>
                <w:lang w:eastAsia="zh-CN"/>
              </w:rPr>
            </w:pPr>
          </w:p>
        </w:tc>
      </w:tr>
      <w:tr w14:paraId="062BB9E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jc w:val="center"/>
        </w:trPr>
        <w:tc>
          <w:tcPr>
            <w:tcW w:w="292" w:type="pct"/>
            <w:vAlign w:val="center"/>
          </w:tcPr>
          <w:p w14:paraId="5837CD96">
            <w:pPr>
              <w:widowControl w:val="0"/>
              <w:adjustRightInd w:val="0"/>
              <w:snapToGrid w:val="0"/>
              <w:spacing w:beforeLines="50" w:afterLines="50" w:line="276" w:lineRule="auto"/>
              <w:jc w:val="center"/>
              <w:rPr>
                <w:rFonts w:hint="default" w:cs="Times New Roman"/>
                <w:color w:val="auto"/>
                <w:kern w:val="2"/>
                <w:szCs w:val="21"/>
                <w:highlight w:val="none"/>
                <w:lang w:val="en-US" w:eastAsia="zh-CN"/>
              </w:rPr>
            </w:pPr>
            <w:r>
              <w:rPr>
                <w:rFonts w:hint="eastAsia" w:cs="Times New Roman"/>
                <w:color w:val="auto"/>
                <w:kern w:val="2"/>
                <w:szCs w:val="21"/>
                <w:highlight w:val="none"/>
                <w:lang w:val="en-US" w:eastAsia="zh-CN"/>
              </w:rPr>
              <w:t>2</w:t>
            </w:r>
          </w:p>
        </w:tc>
        <w:tc>
          <w:tcPr>
            <w:tcW w:w="638" w:type="pct"/>
            <w:vAlign w:val="center"/>
          </w:tcPr>
          <w:p w14:paraId="5BFCABFF">
            <w:pPr>
              <w:spacing w:line="240" w:lineRule="auto"/>
              <w:rPr>
                <w:color w:val="auto"/>
                <w:highlight w:val="none"/>
                <w:lang w:eastAsia="zh-CN"/>
              </w:rPr>
            </w:pPr>
            <w:r>
              <w:rPr>
                <w:rFonts w:hint="eastAsia" w:cstheme="minorBidi"/>
                <w:color w:val="auto"/>
                <w:sz w:val="21"/>
                <w:highlight w:val="none"/>
              </w:rPr>
              <w:t>配套专用工具</w:t>
            </w:r>
          </w:p>
        </w:tc>
        <w:tc>
          <w:tcPr>
            <w:tcW w:w="787" w:type="pct"/>
            <w:vAlign w:val="center"/>
          </w:tcPr>
          <w:p w14:paraId="5B34EF54">
            <w:pPr>
              <w:spacing w:line="240" w:lineRule="auto"/>
              <w:rPr>
                <w:color w:val="auto"/>
                <w:highlight w:val="none"/>
              </w:rPr>
            </w:pPr>
          </w:p>
        </w:tc>
        <w:tc>
          <w:tcPr>
            <w:tcW w:w="393" w:type="pct"/>
            <w:vAlign w:val="center"/>
          </w:tcPr>
          <w:p w14:paraId="23BC1E19">
            <w:pPr>
              <w:spacing w:line="240" w:lineRule="auto"/>
              <w:jc w:val="center"/>
              <w:rPr>
                <w:color w:val="auto"/>
                <w:highlight w:val="none"/>
                <w:lang w:eastAsia="zh-CN"/>
              </w:rPr>
            </w:pPr>
            <w:r>
              <w:rPr>
                <w:rFonts w:hint="eastAsia" w:cstheme="minorBidi"/>
                <w:color w:val="auto"/>
                <w:sz w:val="21"/>
                <w:highlight w:val="none"/>
              </w:rPr>
              <w:t>套</w:t>
            </w:r>
          </w:p>
        </w:tc>
        <w:tc>
          <w:tcPr>
            <w:tcW w:w="393" w:type="pct"/>
            <w:vAlign w:val="center"/>
          </w:tcPr>
          <w:p w14:paraId="28BA04CB">
            <w:pPr>
              <w:spacing w:line="240" w:lineRule="auto"/>
              <w:jc w:val="center"/>
              <w:rPr>
                <w:color w:val="auto"/>
                <w:highlight w:val="none"/>
                <w:lang w:eastAsia="zh-CN"/>
              </w:rPr>
            </w:pPr>
            <w:r>
              <w:rPr>
                <w:rFonts w:cstheme="minorBidi"/>
                <w:color w:val="auto"/>
                <w:sz w:val="21"/>
                <w:highlight w:val="none"/>
              </w:rPr>
              <w:t>1</w:t>
            </w:r>
          </w:p>
        </w:tc>
        <w:tc>
          <w:tcPr>
            <w:tcW w:w="441" w:type="pct"/>
            <w:vAlign w:val="center"/>
          </w:tcPr>
          <w:p w14:paraId="0BDE2803">
            <w:pPr>
              <w:rPr>
                <w:rFonts w:cs="宋体"/>
                <w:color w:val="auto"/>
                <w:szCs w:val="21"/>
                <w:highlight w:val="none"/>
                <w:lang w:eastAsia="zh-CN"/>
              </w:rPr>
            </w:pPr>
          </w:p>
        </w:tc>
        <w:tc>
          <w:tcPr>
            <w:tcW w:w="680" w:type="pct"/>
            <w:vAlign w:val="center"/>
          </w:tcPr>
          <w:p w14:paraId="768BF24B">
            <w:pPr>
              <w:widowControl w:val="0"/>
              <w:adjustRightInd w:val="0"/>
              <w:snapToGrid w:val="0"/>
              <w:spacing w:beforeLines="50" w:afterLines="50" w:line="276" w:lineRule="auto"/>
              <w:jc w:val="center"/>
              <w:rPr>
                <w:rFonts w:cs="Times New Roman"/>
                <w:color w:val="auto"/>
                <w:kern w:val="2"/>
                <w:szCs w:val="21"/>
                <w:highlight w:val="none"/>
                <w:lang w:eastAsia="zh-CN"/>
              </w:rPr>
            </w:pPr>
          </w:p>
        </w:tc>
        <w:tc>
          <w:tcPr>
            <w:tcW w:w="557" w:type="pct"/>
            <w:vAlign w:val="center"/>
          </w:tcPr>
          <w:p w14:paraId="23AABB7A">
            <w:pPr>
              <w:widowControl w:val="0"/>
              <w:adjustRightInd w:val="0"/>
              <w:snapToGrid w:val="0"/>
              <w:spacing w:beforeLines="50" w:afterLines="50" w:line="276" w:lineRule="auto"/>
              <w:jc w:val="center"/>
              <w:rPr>
                <w:rFonts w:cs="Times New Roman"/>
                <w:color w:val="auto"/>
                <w:kern w:val="2"/>
                <w:szCs w:val="21"/>
                <w:highlight w:val="none"/>
                <w:lang w:eastAsia="zh-CN"/>
              </w:rPr>
            </w:pPr>
          </w:p>
        </w:tc>
        <w:tc>
          <w:tcPr>
            <w:tcW w:w="814" w:type="pct"/>
            <w:vAlign w:val="center"/>
          </w:tcPr>
          <w:p w14:paraId="396FE48B">
            <w:pPr>
              <w:widowControl w:val="0"/>
              <w:adjustRightInd w:val="0"/>
              <w:snapToGrid w:val="0"/>
              <w:spacing w:beforeLines="50" w:afterLines="50" w:line="276" w:lineRule="auto"/>
              <w:jc w:val="center"/>
              <w:rPr>
                <w:rFonts w:cs="Times New Roman"/>
                <w:color w:val="auto"/>
                <w:kern w:val="2"/>
                <w:szCs w:val="21"/>
                <w:highlight w:val="none"/>
                <w:lang w:eastAsia="zh-CN"/>
              </w:rPr>
            </w:pPr>
            <w:r>
              <w:rPr>
                <w:rFonts w:hint="eastAsia" w:cs="Times New Roman"/>
                <w:color w:val="auto"/>
                <w:kern w:val="2"/>
                <w:szCs w:val="21"/>
                <w:highlight w:val="none"/>
                <w:lang w:eastAsia="zh-CN"/>
              </w:rPr>
              <w:t>如有</w:t>
            </w:r>
          </w:p>
        </w:tc>
      </w:tr>
      <w:tr w14:paraId="5762E98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jc w:val="center"/>
        </w:trPr>
        <w:tc>
          <w:tcPr>
            <w:tcW w:w="292" w:type="pct"/>
            <w:vAlign w:val="center"/>
          </w:tcPr>
          <w:p w14:paraId="127A0FAA">
            <w:pPr>
              <w:widowControl w:val="0"/>
              <w:adjustRightInd w:val="0"/>
              <w:snapToGrid w:val="0"/>
              <w:spacing w:beforeLines="50" w:afterLines="50" w:line="276" w:lineRule="auto"/>
              <w:jc w:val="center"/>
              <w:rPr>
                <w:rFonts w:hint="default" w:cs="Times New Roman"/>
                <w:color w:val="auto"/>
                <w:kern w:val="2"/>
                <w:szCs w:val="21"/>
                <w:highlight w:val="none"/>
                <w:lang w:val="en-US" w:eastAsia="zh-CN"/>
              </w:rPr>
            </w:pPr>
            <w:r>
              <w:rPr>
                <w:rFonts w:hint="eastAsia" w:cs="Times New Roman"/>
                <w:color w:val="auto"/>
                <w:kern w:val="2"/>
                <w:szCs w:val="21"/>
                <w:highlight w:val="none"/>
                <w:lang w:val="en-US" w:eastAsia="zh-CN"/>
              </w:rPr>
              <w:t>3</w:t>
            </w:r>
          </w:p>
        </w:tc>
        <w:tc>
          <w:tcPr>
            <w:tcW w:w="638" w:type="pct"/>
            <w:vAlign w:val="center"/>
          </w:tcPr>
          <w:p w14:paraId="46066CE2">
            <w:pPr>
              <w:spacing w:line="240" w:lineRule="auto"/>
              <w:rPr>
                <w:rFonts w:hint="default"/>
                <w:color w:val="auto"/>
                <w:highlight w:val="none"/>
                <w:lang w:val="en-US" w:eastAsia="zh-CN"/>
              </w:rPr>
            </w:pPr>
            <w:r>
              <w:rPr>
                <w:rFonts w:hint="eastAsia"/>
                <w:color w:val="auto"/>
                <w:highlight w:val="none"/>
                <w:lang w:val="en-US" w:eastAsia="zh-CN"/>
              </w:rPr>
              <w:t>调试软件</w:t>
            </w:r>
          </w:p>
        </w:tc>
        <w:tc>
          <w:tcPr>
            <w:tcW w:w="787" w:type="pct"/>
            <w:vAlign w:val="center"/>
          </w:tcPr>
          <w:p w14:paraId="67B34383">
            <w:pPr>
              <w:spacing w:line="240" w:lineRule="auto"/>
              <w:rPr>
                <w:color w:val="auto"/>
                <w:highlight w:val="none"/>
              </w:rPr>
            </w:pPr>
          </w:p>
        </w:tc>
        <w:tc>
          <w:tcPr>
            <w:tcW w:w="393" w:type="pct"/>
            <w:vAlign w:val="center"/>
          </w:tcPr>
          <w:p w14:paraId="43FD1AC5">
            <w:pPr>
              <w:spacing w:line="240" w:lineRule="auto"/>
              <w:jc w:val="center"/>
              <w:rPr>
                <w:color w:val="auto"/>
                <w:highlight w:val="none"/>
                <w:lang w:eastAsia="zh-CN"/>
              </w:rPr>
            </w:pPr>
            <w:r>
              <w:rPr>
                <w:rFonts w:hint="eastAsia" w:cstheme="minorBidi"/>
                <w:color w:val="auto"/>
                <w:sz w:val="21"/>
                <w:highlight w:val="none"/>
              </w:rPr>
              <w:t>套</w:t>
            </w:r>
          </w:p>
        </w:tc>
        <w:tc>
          <w:tcPr>
            <w:tcW w:w="393" w:type="pct"/>
            <w:vAlign w:val="center"/>
          </w:tcPr>
          <w:p w14:paraId="67A87270">
            <w:pPr>
              <w:spacing w:line="240" w:lineRule="auto"/>
              <w:jc w:val="center"/>
              <w:rPr>
                <w:color w:val="auto"/>
                <w:highlight w:val="none"/>
                <w:lang w:eastAsia="zh-CN"/>
              </w:rPr>
            </w:pPr>
            <w:r>
              <w:rPr>
                <w:rFonts w:cstheme="minorBidi"/>
                <w:color w:val="auto"/>
                <w:sz w:val="21"/>
                <w:highlight w:val="none"/>
              </w:rPr>
              <w:t>1</w:t>
            </w:r>
          </w:p>
        </w:tc>
        <w:tc>
          <w:tcPr>
            <w:tcW w:w="441" w:type="pct"/>
            <w:vAlign w:val="center"/>
          </w:tcPr>
          <w:p w14:paraId="4C11CF64">
            <w:pPr>
              <w:rPr>
                <w:rFonts w:cs="宋体"/>
                <w:color w:val="auto"/>
                <w:szCs w:val="21"/>
                <w:highlight w:val="none"/>
                <w:lang w:eastAsia="zh-CN"/>
              </w:rPr>
            </w:pPr>
          </w:p>
        </w:tc>
        <w:tc>
          <w:tcPr>
            <w:tcW w:w="680" w:type="pct"/>
            <w:vAlign w:val="center"/>
          </w:tcPr>
          <w:p w14:paraId="7DE9F0D2">
            <w:pPr>
              <w:widowControl w:val="0"/>
              <w:adjustRightInd w:val="0"/>
              <w:snapToGrid w:val="0"/>
              <w:spacing w:beforeLines="50" w:afterLines="50" w:line="276" w:lineRule="auto"/>
              <w:jc w:val="center"/>
              <w:rPr>
                <w:rFonts w:cs="Times New Roman"/>
                <w:color w:val="auto"/>
                <w:kern w:val="2"/>
                <w:szCs w:val="21"/>
                <w:highlight w:val="none"/>
                <w:lang w:eastAsia="zh-CN"/>
              </w:rPr>
            </w:pPr>
          </w:p>
        </w:tc>
        <w:tc>
          <w:tcPr>
            <w:tcW w:w="557" w:type="pct"/>
            <w:vAlign w:val="center"/>
          </w:tcPr>
          <w:p w14:paraId="24140D04">
            <w:pPr>
              <w:widowControl w:val="0"/>
              <w:adjustRightInd w:val="0"/>
              <w:snapToGrid w:val="0"/>
              <w:spacing w:beforeLines="50" w:afterLines="50" w:line="276" w:lineRule="auto"/>
              <w:jc w:val="center"/>
              <w:rPr>
                <w:rFonts w:cs="Times New Roman"/>
                <w:color w:val="auto"/>
                <w:kern w:val="2"/>
                <w:szCs w:val="21"/>
                <w:highlight w:val="none"/>
                <w:lang w:eastAsia="zh-CN"/>
              </w:rPr>
            </w:pPr>
          </w:p>
        </w:tc>
        <w:tc>
          <w:tcPr>
            <w:tcW w:w="814" w:type="pct"/>
            <w:vAlign w:val="center"/>
          </w:tcPr>
          <w:p w14:paraId="6525C104">
            <w:pPr>
              <w:widowControl w:val="0"/>
              <w:adjustRightInd w:val="0"/>
              <w:snapToGrid w:val="0"/>
              <w:spacing w:beforeLines="50" w:afterLines="50" w:line="276" w:lineRule="auto"/>
              <w:jc w:val="center"/>
              <w:rPr>
                <w:rFonts w:cs="Times New Roman"/>
                <w:color w:val="auto"/>
                <w:kern w:val="2"/>
                <w:szCs w:val="21"/>
                <w:highlight w:val="none"/>
                <w:lang w:eastAsia="zh-CN"/>
              </w:rPr>
            </w:pPr>
          </w:p>
        </w:tc>
      </w:tr>
      <w:tr w14:paraId="17E1D00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jc w:val="center"/>
        </w:trPr>
        <w:tc>
          <w:tcPr>
            <w:tcW w:w="292" w:type="pct"/>
            <w:vAlign w:val="center"/>
          </w:tcPr>
          <w:p w14:paraId="6BEC4975">
            <w:pPr>
              <w:widowControl w:val="0"/>
              <w:adjustRightInd w:val="0"/>
              <w:snapToGrid w:val="0"/>
              <w:spacing w:beforeLines="50" w:afterLines="50" w:line="276" w:lineRule="auto"/>
              <w:jc w:val="center"/>
              <w:rPr>
                <w:rFonts w:cs="Times New Roman"/>
                <w:color w:val="auto"/>
                <w:kern w:val="2"/>
                <w:szCs w:val="21"/>
                <w:highlight w:val="none"/>
                <w:lang w:eastAsia="zh-CN"/>
              </w:rPr>
            </w:pPr>
          </w:p>
        </w:tc>
        <w:tc>
          <w:tcPr>
            <w:tcW w:w="638" w:type="pct"/>
            <w:vAlign w:val="center"/>
          </w:tcPr>
          <w:p w14:paraId="69B19B62">
            <w:pPr>
              <w:spacing w:line="240" w:lineRule="auto"/>
              <w:rPr>
                <w:color w:val="auto"/>
                <w:highlight w:val="none"/>
                <w:lang w:eastAsia="zh-CN"/>
              </w:rPr>
            </w:pPr>
          </w:p>
        </w:tc>
        <w:tc>
          <w:tcPr>
            <w:tcW w:w="787" w:type="pct"/>
            <w:vAlign w:val="center"/>
          </w:tcPr>
          <w:p w14:paraId="03F56B1A">
            <w:pPr>
              <w:spacing w:line="240" w:lineRule="auto"/>
              <w:rPr>
                <w:color w:val="auto"/>
                <w:highlight w:val="none"/>
              </w:rPr>
            </w:pPr>
          </w:p>
        </w:tc>
        <w:tc>
          <w:tcPr>
            <w:tcW w:w="393" w:type="pct"/>
            <w:vAlign w:val="center"/>
          </w:tcPr>
          <w:p w14:paraId="193FAB21">
            <w:pPr>
              <w:spacing w:line="240" w:lineRule="auto"/>
              <w:jc w:val="center"/>
              <w:rPr>
                <w:color w:val="auto"/>
                <w:highlight w:val="none"/>
                <w:lang w:eastAsia="zh-CN"/>
              </w:rPr>
            </w:pPr>
          </w:p>
        </w:tc>
        <w:tc>
          <w:tcPr>
            <w:tcW w:w="393" w:type="pct"/>
            <w:vAlign w:val="center"/>
          </w:tcPr>
          <w:p w14:paraId="0DAF069B">
            <w:pPr>
              <w:spacing w:line="240" w:lineRule="auto"/>
              <w:jc w:val="center"/>
              <w:rPr>
                <w:color w:val="auto"/>
                <w:highlight w:val="none"/>
                <w:lang w:eastAsia="zh-CN"/>
              </w:rPr>
            </w:pPr>
          </w:p>
        </w:tc>
        <w:tc>
          <w:tcPr>
            <w:tcW w:w="441" w:type="pct"/>
            <w:vAlign w:val="center"/>
          </w:tcPr>
          <w:p w14:paraId="2A43A810">
            <w:pPr>
              <w:rPr>
                <w:rFonts w:cs="宋体"/>
                <w:color w:val="auto"/>
                <w:szCs w:val="21"/>
                <w:highlight w:val="none"/>
                <w:lang w:eastAsia="zh-CN"/>
              </w:rPr>
            </w:pPr>
          </w:p>
        </w:tc>
        <w:tc>
          <w:tcPr>
            <w:tcW w:w="680" w:type="pct"/>
            <w:vAlign w:val="center"/>
          </w:tcPr>
          <w:p w14:paraId="7996F72E">
            <w:pPr>
              <w:widowControl w:val="0"/>
              <w:adjustRightInd w:val="0"/>
              <w:snapToGrid w:val="0"/>
              <w:spacing w:beforeLines="50" w:afterLines="50" w:line="276" w:lineRule="auto"/>
              <w:jc w:val="center"/>
              <w:rPr>
                <w:rFonts w:cs="Times New Roman"/>
                <w:color w:val="auto"/>
                <w:kern w:val="2"/>
                <w:szCs w:val="21"/>
                <w:highlight w:val="none"/>
                <w:lang w:eastAsia="zh-CN"/>
              </w:rPr>
            </w:pPr>
          </w:p>
        </w:tc>
        <w:tc>
          <w:tcPr>
            <w:tcW w:w="557" w:type="pct"/>
            <w:vAlign w:val="center"/>
          </w:tcPr>
          <w:p w14:paraId="58AC1045">
            <w:pPr>
              <w:widowControl w:val="0"/>
              <w:adjustRightInd w:val="0"/>
              <w:snapToGrid w:val="0"/>
              <w:spacing w:beforeLines="50" w:afterLines="50" w:line="276" w:lineRule="auto"/>
              <w:jc w:val="center"/>
              <w:rPr>
                <w:rFonts w:cs="Times New Roman"/>
                <w:color w:val="auto"/>
                <w:kern w:val="2"/>
                <w:szCs w:val="21"/>
                <w:highlight w:val="none"/>
                <w:lang w:eastAsia="zh-CN"/>
              </w:rPr>
            </w:pPr>
          </w:p>
        </w:tc>
        <w:tc>
          <w:tcPr>
            <w:tcW w:w="814" w:type="pct"/>
            <w:vAlign w:val="center"/>
          </w:tcPr>
          <w:p w14:paraId="37D930A3">
            <w:pPr>
              <w:widowControl w:val="0"/>
              <w:adjustRightInd w:val="0"/>
              <w:snapToGrid w:val="0"/>
              <w:spacing w:beforeLines="50" w:afterLines="50" w:line="276" w:lineRule="auto"/>
              <w:jc w:val="center"/>
              <w:rPr>
                <w:rFonts w:cs="Times New Roman"/>
                <w:color w:val="auto"/>
                <w:kern w:val="2"/>
                <w:szCs w:val="21"/>
                <w:highlight w:val="none"/>
                <w:lang w:eastAsia="zh-CN"/>
              </w:rPr>
            </w:pPr>
          </w:p>
        </w:tc>
      </w:tr>
    </w:tbl>
    <w:p w14:paraId="7FE689F5">
      <w:pPr>
        <w:widowControl w:val="0"/>
        <w:spacing w:before="120" w:after="160" w:line="360" w:lineRule="auto"/>
        <w:jc w:val="both"/>
        <w:rPr>
          <w:rFonts w:cs="宋体"/>
          <w:color w:val="auto"/>
          <w:kern w:val="2"/>
          <w:szCs w:val="21"/>
          <w:highlight w:val="none"/>
          <w:lang w:eastAsia="zh-CN"/>
        </w:rPr>
      </w:pPr>
      <w:r>
        <w:rPr>
          <w:rFonts w:hint="eastAsia" w:cs="宋体"/>
          <w:color w:val="auto"/>
          <w:kern w:val="2"/>
          <w:szCs w:val="21"/>
          <w:highlight w:val="none"/>
          <w:lang w:eastAsia="zh-CN"/>
        </w:rPr>
        <w:t>（注：价格一项在商务报价中填写）</w:t>
      </w:r>
    </w:p>
    <w:p w14:paraId="0FC0CAF6">
      <w:pPr>
        <w:ind w:left="0" w:leftChars="0" w:firstLineChars="0"/>
        <w:rPr>
          <w:rFonts w:hint="eastAsia" w:ascii="宋体" w:hAnsi="宋体" w:eastAsia="宋体" w:cs="宋体"/>
          <w:b/>
          <w:bCs/>
          <w:color w:val="auto"/>
          <w:sz w:val="28"/>
          <w:szCs w:val="28"/>
          <w:highlight w:val="none"/>
          <w:lang w:val="en-US" w:eastAsia="zh-CN"/>
        </w:rPr>
      </w:pPr>
      <w:bookmarkStart w:id="20" w:name="_Toc8991"/>
      <w:bookmarkStart w:id="21" w:name="_Toc415140555"/>
      <w:bookmarkStart w:id="22" w:name="_Toc5370780"/>
      <w:bookmarkStart w:id="23" w:name="_Toc380835212"/>
      <w:r>
        <w:rPr>
          <w:rFonts w:hint="eastAsia" w:ascii="宋体" w:hAnsi="宋体" w:eastAsia="宋体" w:cs="宋体"/>
          <w:b/>
          <w:bCs/>
          <w:color w:val="auto"/>
          <w:sz w:val="28"/>
          <w:szCs w:val="28"/>
          <w:highlight w:val="none"/>
          <w:lang w:val="en-US" w:eastAsia="zh-CN"/>
        </w:rPr>
        <w:br w:type="page"/>
      </w:r>
    </w:p>
    <w:p w14:paraId="12A4F79B">
      <w:pPr>
        <w:pStyle w:val="181"/>
        <w:numPr>
          <w:ilvl w:val="-1"/>
          <w:numId w:val="0"/>
        </w:numPr>
        <w:spacing w:before="0" w:after="0"/>
        <w:ind w:left="0" w:leftChars="0" w:firstLine="0" w:firstLineChars="0"/>
        <w:rPr>
          <w:rFonts w:hint="eastAsia" w:ascii="宋体" w:hAnsi="宋体" w:eastAsia="宋体" w:cs="宋体"/>
          <w:b/>
          <w:bCs/>
          <w:color w:val="auto"/>
          <w:sz w:val="30"/>
          <w:szCs w:val="30"/>
          <w:highlight w:val="none"/>
        </w:rPr>
      </w:pPr>
      <w:r>
        <w:rPr>
          <w:rFonts w:hint="eastAsia" w:ascii="宋体" w:hAnsi="宋体" w:eastAsia="宋体" w:cs="宋体"/>
          <w:b/>
          <w:color w:val="auto"/>
          <w:sz w:val="30"/>
          <w:szCs w:val="30"/>
          <w:highlight w:val="none"/>
        </w:rPr>
        <w:t>附件3技术资料和交付进度</w:t>
      </w:r>
      <w:bookmarkEnd w:id="20"/>
      <w:bookmarkEnd w:id="21"/>
      <w:bookmarkEnd w:id="22"/>
      <w:bookmarkEnd w:id="23"/>
      <w:bookmarkStart w:id="24" w:name="_Toc376852589"/>
      <w:bookmarkStart w:id="25" w:name="_Toc376848520"/>
      <w:bookmarkStart w:id="26" w:name="_Toc5370781"/>
      <w:bookmarkStart w:id="27" w:name="_Toc380835213"/>
    </w:p>
    <w:p w14:paraId="0B78314F">
      <w:pPr>
        <w:spacing w:line="360" w:lineRule="auto"/>
        <w:ind w:firstLineChars="0"/>
        <w:rPr>
          <w:rFonts w:ascii="宋体"/>
          <w:b/>
          <w:color w:val="auto"/>
          <w:sz w:val="28"/>
          <w:szCs w:val="28"/>
          <w:highlight w:val="none"/>
        </w:rPr>
      </w:pPr>
      <w:r>
        <w:rPr>
          <w:rFonts w:hint="eastAsia" w:ascii="宋体"/>
          <w:b/>
          <w:color w:val="auto"/>
          <w:sz w:val="28"/>
          <w:szCs w:val="28"/>
          <w:highlight w:val="none"/>
        </w:rPr>
        <w:t>1. 一般要求</w:t>
      </w:r>
    </w:p>
    <w:p w14:paraId="436403D7">
      <w:pPr>
        <w:spacing w:line="360" w:lineRule="auto"/>
        <w:ind w:firstLine="420" w:firstLineChars="175"/>
        <w:rPr>
          <w:rFonts w:ascii="宋体" w:hAnsi="宋体"/>
          <w:color w:val="auto"/>
          <w:sz w:val="24"/>
          <w:szCs w:val="24"/>
          <w:highlight w:val="none"/>
        </w:rPr>
      </w:pPr>
      <w:bookmarkStart w:id="28" w:name="OLE_LINK2"/>
      <w:r>
        <w:rPr>
          <w:rFonts w:hint="eastAsia" w:ascii="宋体" w:hAnsi="宋体"/>
          <w:color w:val="auto"/>
          <w:sz w:val="24"/>
          <w:szCs w:val="24"/>
          <w:highlight w:val="none"/>
        </w:rPr>
        <w:t>1</w:t>
      </w:r>
      <w:r>
        <w:rPr>
          <w:rFonts w:ascii="宋体" w:hAnsi="宋体"/>
          <w:color w:val="auto"/>
          <w:sz w:val="24"/>
          <w:szCs w:val="24"/>
          <w:highlight w:val="none"/>
        </w:rPr>
        <w:t>.</w:t>
      </w:r>
      <w:r>
        <w:rPr>
          <w:rFonts w:hint="eastAsia" w:ascii="宋体" w:hAnsi="宋体"/>
          <w:color w:val="auto"/>
          <w:sz w:val="24"/>
          <w:szCs w:val="24"/>
          <w:highlight w:val="none"/>
        </w:rPr>
        <w:t>1 投标人提供的资料应使用国家法定单位制 (语言为中文) ，进口部件的外文图纸及文件应由投标人免费翻译成中文。图纸资料除提供书面文件外还应提供光盘形式电子文件。图纸应为AutoCAD格式，文本文件应为Word/Excel格式。</w:t>
      </w:r>
    </w:p>
    <w:p w14:paraId="0E1F5FEC">
      <w:pPr>
        <w:spacing w:line="360" w:lineRule="auto"/>
        <w:ind w:firstLine="420" w:firstLineChars="175"/>
        <w:rPr>
          <w:rFonts w:ascii="宋体" w:hAnsi="宋体"/>
          <w:color w:val="auto"/>
          <w:sz w:val="24"/>
          <w:szCs w:val="24"/>
          <w:highlight w:val="none"/>
        </w:rPr>
      </w:pPr>
      <w:r>
        <w:rPr>
          <w:rFonts w:hint="eastAsia" w:ascii="宋体" w:hAnsi="宋体"/>
          <w:color w:val="auto"/>
          <w:sz w:val="24"/>
          <w:szCs w:val="24"/>
          <w:highlight w:val="none"/>
        </w:rPr>
        <w:t>1.2 资料的组织结构清晰、逻辑性强。资料内容正确、准确、一致、清晰完整，满足工程要求。</w:t>
      </w:r>
    </w:p>
    <w:p w14:paraId="3A6C6190">
      <w:pPr>
        <w:spacing w:line="360" w:lineRule="auto"/>
        <w:ind w:firstLine="420" w:firstLineChars="175"/>
        <w:rPr>
          <w:rFonts w:ascii="宋体" w:hAnsi="宋体"/>
          <w:color w:val="auto"/>
          <w:sz w:val="24"/>
          <w:szCs w:val="24"/>
          <w:highlight w:val="none"/>
        </w:rPr>
      </w:pPr>
      <w:r>
        <w:rPr>
          <w:rFonts w:hint="eastAsia" w:ascii="宋体" w:hAnsi="宋体"/>
          <w:color w:val="auto"/>
          <w:sz w:val="24"/>
          <w:szCs w:val="24"/>
          <w:highlight w:val="none"/>
        </w:rPr>
        <w:t>1</w:t>
      </w:r>
      <w:r>
        <w:rPr>
          <w:rFonts w:ascii="宋体" w:hAnsi="宋体"/>
          <w:color w:val="auto"/>
          <w:sz w:val="24"/>
          <w:szCs w:val="24"/>
          <w:highlight w:val="none"/>
        </w:rPr>
        <w:t>.</w:t>
      </w:r>
      <w:r>
        <w:rPr>
          <w:rFonts w:hint="eastAsia" w:ascii="宋体" w:hAnsi="宋体"/>
          <w:color w:val="auto"/>
          <w:sz w:val="24"/>
          <w:szCs w:val="24"/>
          <w:highlight w:val="none"/>
        </w:rPr>
        <w:t>3 投标人资料的提交应及时、充分，正确，满足工程进度要求。在合同签订后</w:t>
      </w:r>
      <w:r>
        <w:rPr>
          <w:rFonts w:ascii="宋体" w:hAnsi="宋体"/>
          <w:color w:val="auto"/>
          <w:sz w:val="24"/>
          <w:szCs w:val="24"/>
          <w:highlight w:val="none"/>
        </w:rPr>
        <w:t xml:space="preserve"> 5 </w:t>
      </w:r>
      <w:r>
        <w:rPr>
          <w:rFonts w:hint="eastAsia" w:ascii="宋体" w:hAnsi="宋体"/>
          <w:color w:val="auto"/>
          <w:sz w:val="24"/>
          <w:szCs w:val="24"/>
          <w:highlight w:val="none"/>
        </w:rPr>
        <w:t>天内给出配合工程设计的全部技术资料和交付进度清单，并经招标人确认。</w:t>
      </w:r>
    </w:p>
    <w:p w14:paraId="31027CE6">
      <w:pPr>
        <w:spacing w:line="360" w:lineRule="auto"/>
        <w:ind w:firstLine="420" w:firstLineChars="175"/>
        <w:rPr>
          <w:rFonts w:ascii="宋体" w:hAnsi="宋体"/>
          <w:color w:val="auto"/>
          <w:sz w:val="24"/>
          <w:szCs w:val="24"/>
          <w:highlight w:val="none"/>
        </w:rPr>
      </w:pPr>
      <w:r>
        <w:rPr>
          <w:rFonts w:hint="eastAsia" w:ascii="宋体" w:hAnsi="宋体"/>
          <w:color w:val="auto"/>
          <w:sz w:val="24"/>
          <w:szCs w:val="24"/>
          <w:highlight w:val="none"/>
        </w:rPr>
        <w:t>1</w:t>
      </w:r>
      <w:r>
        <w:rPr>
          <w:rFonts w:ascii="宋体" w:hAnsi="宋体"/>
          <w:color w:val="auto"/>
          <w:sz w:val="24"/>
          <w:szCs w:val="24"/>
          <w:highlight w:val="none"/>
        </w:rPr>
        <w:t>.</w:t>
      </w:r>
      <w:r>
        <w:rPr>
          <w:rFonts w:hint="eastAsia" w:ascii="宋体" w:hAnsi="宋体"/>
          <w:color w:val="auto"/>
          <w:sz w:val="24"/>
          <w:szCs w:val="24"/>
          <w:highlight w:val="none"/>
        </w:rPr>
        <w:t>4 投标人提供的技术资料分为投标阶段，配合设计阶段，设备监造检验、施工调试试运、性能试验验收和运行维护等四个方面。投标人须满足以上四个方面的具体要求。</w:t>
      </w:r>
    </w:p>
    <w:p w14:paraId="647536FC">
      <w:pPr>
        <w:spacing w:line="360" w:lineRule="auto"/>
        <w:ind w:firstLine="420" w:firstLineChars="175"/>
        <w:rPr>
          <w:rFonts w:ascii="宋体" w:hAnsi="宋体"/>
          <w:color w:val="auto"/>
          <w:sz w:val="24"/>
          <w:szCs w:val="24"/>
          <w:highlight w:val="none"/>
        </w:rPr>
      </w:pPr>
      <w:r>
        <w:rPr>
          <w:rFonts w:hint="eastAsia" w:ascii="宋体" w:hAnsi="宋体"/>
          <w:color w:val="auto"/>
          <w:sz w:val="24"/>
          <w:szCs w:val="24"/>
          <w:highlight w:val="none"/>
        </w:rPr>
        <w:t>1.5 对于其它没有列入合同技术资料清单，却是工程所必需文件和资料，一经发现，投标人应及时免费提供。本期工程为多台设备构成，如后续设备有改进时，投标人也应及时免费提供新的技术资料。</w:t>
      </w:r>
    </w:p>
    <w:p w14:paraId="0A741BAE">
      <w:pPr>
        <w:spacing w:line="360" w:lineRule="auto"/>
        <w:ind w:firstLine="420" w:firstLineChars="175"/>
        <w:rPr>
          <w:rFonts w:ascii="宋体" w:hAnsi="宋体"/>
          <w:color w:val="auto"/>
          <w:sz w:val="24"/>
          <w:szCs w:val="24"/>
          <w:highlight w:val="none"/>
        </w:rPr>
      </w:pPr>
      <w:r>
        <w:rPr>
          <w:rFonts w:hint="eastAsia" w:ascii="宋体" w:hAnsi="宋体"/>
          <w:color w:val="auto"/>
          <w:sz w:val="24"/>
          <w:szCs w:val="24"/>
          <w:highlight w:val="none"/>
        </w:rPr>
        <w:t>1.6 招标人要及时提供与合同设备设计制造有关的资料。</w:t>
      </w:r>
    </w:p>
    <w:p w14:paraId="23E41512">
      <w:pPr>
        <w:spacing w:line="360" w:lineRule="auto"/>
        <w:ind w:firstLine="420" w:firstLineChars="175"/>
        <w:rPr>
          <w:rFonts w:ascii="宋体" w:hAnsi="宋体"/>
          <w:color w:val="auto"/>
          <w:sz w:val="24"/>
          <w:szCs w:val="24"/>
          <w:highlight w:val="none"/>
          <w:u w:val="single"/>
        </w:rPr>
      </w:pPr>
      <w:r>
        <w:rPr>
          <w:rFonts w:ascii="宋体" w:hAnsi="宋体"/>
          <w:color w:val="auto"/>
          <w:sz w:val="24"/>
          <w:szCs w:val="24"/>
          <w:highlight w:val="none"/>
        </w:rPr>
        <w:t>1.7</w:t>
      </w:r>
      <w:r>
        <w:rPr>
          <w:rFonts w:hint="eastAsia" w:ascii="宋体" w:hAnsi="宋体"/>
          <w:color w:val="auto"/>
          <w:sz w:val="24"/>
          <w:szCs w:val="24"/>
          <w:highlight w:val="none"/>
        </w:rPr>
        <w:t xml:space="preserve"> 投标人应在合同签订后15天内，向招标人提供满足设计院初步设计需要的资料共</w:t>
      </w:r>
      <w:r>
        <w:rPr>
          <w:rFonts w:hint="eastAsia" w:ascii="宋体" w:hAnsi="宋体"/>
          <w:color w:val="auto"/>
          <w:sz w:val="24"/>
          <w:szCs w:val="24"/>
          <w:highlight w:val="none"/>
          <w:u w:val="single"/>
        </w:rPr>
        <w:t>10套（其中设计院3套，业主方7套），另加2套电子文档（设计院和业主方各1套）。</w:t>
      </w:r>
    </w:p>
    <w:p w14:paraId="377EA849">
      <w:pPr>
        <w:spacing w:line="360" w:lineRule="auto"/>
        <w:ind w:firstLine="420" w:firstLineChars="175"/>
        <w:rPr>
          <w:rFonts w:ascii="宋体" w:hAnsi="宋体"/>
          <w:color w:val="auto"/>
          <w:sz w:val="24"/>
          <w:szCs w:val="24"/>
          <w:highlight w:val="none"/>
        </w:rPr>
      </w:pPr>
      <w:r>
        <w:rPr>
          <w:rFonts w:hint="eastAsia" w:ascii="宋体" w:hAnsi="宋体"/>
          <w:color w:val="auto"/>
          <w:sz w:val="24"/>
          <w:szCs w:val="24"/>
          <w:highlight w:val="none"/>
        </w:rPr>
        <w:t>1.8 合同签订后六个月投标人提供的与设备设计、制造、监造、检验、施工、安装、调试、验收等有关的技术资料，</w:t>
      </w:r>
      <w:r>
        <w:rPr>
          <w:rFonts w:hint="eastAsia" w:ascii="宋体" w:hAnsi="宋体"/>
          <w:color w:val="auto"/>
          <w:sz w:val="24"/>
          <w:szCs w:val="24"/>
          <w:highlight w:val="none"/>
          <w:u w:val="single"/>
        </w:rPr>
        <w:t>为</w:t>
      </w:r>
      <w:r>
        <w:rPr>
          <w:rFonts w:ascii="宋体" w:hAnsi="宋体"/>
          <w:color w:val="auto"/>
          <w:sz w:val="24"/>
          <w:szCs w:val="24"/>
          <w:highlight w:val="none"/>
          <w:u w:val="single"/>
        </w:rPr>
        <w:t>1</w:t>
      </w:r>
      <w:r>
        <w:rPr>
          <w:rFonts w:hint="eastAsia" w:ascii="宋体" w:hAnsi="宋体"/>
          <w:color w:val="auto"/>
          <w:sz w:val="24"/>
          <w:szCs w:val="24"/>
          <w:highlight w:val="none"/>
          <w:u w:val="single"/>
        </w:rPr>
        <w:t>8套纸质文件（随机</w:t>
      </w:r>
      <w:r>
        <w:rPr>
          <w:rFonts w:ascii="宋体" w:hAnsi="宋体"/>
          <w:color w:val="auto"/>
          <w:sz w:val="24"/>
          <w:szCs w:val="24"/>
          <w:highlight w:val="none"/>
          <w:u w:val="single"/>
        </w:rPr>
        <w:t>2</w:t>
      </w:r>
      <w:r>
        <w:rPr>
          <w:rFonts w:hint="eastAsia" w:ascii="宋体" w:hAnsi="宋体"/>
          <w:color w:val="auto"/>
          <w:sz w:val="24"/>
          <w:szCs w:val="24"/>
          <w:highlight w:val="none"/>
          <w:u w:val="single"/>
        </w:rPr>
        <w:t>套，设计院4套，招标人12套），电子文件每台机组5套（设计院2套，招标人3套）</w:t>
      </w:r>
      <w:r>
        <w:rPr>
          <w:rFonts w:hint="eastAsia" w:ascii="宋体" w:hAnsi="宋体"/>
          <w:color w:val="auto"/>
          <w:sz w:val="24"/>
          <w:szCs w:val="24"/>
          <w:highlight w:val="none"/>
        </w:rPr>
        <w:t>。</w:t>
      </w:r>
    </w:p>
    <w:p w14:paraId="1AAA5F72">
      <w:pPr>
        <w:spacing w:line="360" w:lineRule="auto"/>
        <w:ind w:firstLine="420" w:firstLineChars="175"/>
        <w:rPr>
          <w:rFonts w:ascii="宋体" w:hAnsi="宋体"/>
          <w:color w:val="auto"/>
          <w:sz w:val="24"/>
          <w:szCs w:val="24"/>
          <w:highlight w:val="none"/>
        </w:rPr>
      </w:pPr>
      <w:r>
        <w:rPr>
          <w:rFonts w:hint="eastAsia" w:ascii="宋体" w:hAnsi="宋体"/>
          <w:color w:val="auto"/>
          <w:sz w:val="24"/>
          <w:szCs w:val="24"/>
          <w:highlight w:val="none"/>
        </w:rPr>
        <w:t>1.9设备安装调试完毕后，投</w:t>
      </w:r>
      <w:r>
        <w:rPr>
          <w:rFonts w:hint="eastAsia" w:ascii="宋体" w:hAnsi="宋体"/>
          <w:color w:val="auto"/>
          <w:sz w:val="24"/>
          <w:szCs w:val="24"/>
          <w:highlight w:val="none"/>
          <w:u w:val="single"/>
        </w:rPr>
        <w:t>标人应提供6套（设计院1套，招标人5套）完整的设备竣工图，另加3套电子版。</w:t>
      </w:r>
    </w:p>
    <w:p w14:paraId="3545B77F">
      <w:pPr>
        <w:spacing w:line="360" w:lineRule="auto"/>
        <w:ind w:firstLine="420" w:firstLineChars="175"/>
        <w:rPr>
          <w:rFonts w:ascii="宋体" w:hAnsi="宋体"/>
          <w:color w:val="auto"/>
          <w:sz w:val="24"/>
          <w:szCs w:val="24"/>
          <w:highlight w:val="none"/>
          <w:u w:val="single"/>
        </w:rPr>
      </w:pPr>
      <w:r>
        <w:rPr>
          <w:rFonts w:hint="eastAsia" w:ascii="宋体" w:hAnsi="宋体"/>
          <w:color w:val="auto"/>
          <w:sz w:val="24"/>
          <w:szCs w:val="24"/>
          <w:highlight w:val="none"/>
        </w:rPr>
        <w:t>1.10投标人提供运行和维护手册、培训手册</w:t>
      </w:r>
      <w:r>
        <w:rPr>
          <w:rFonts w:hint="eastAsia" w:ascii="宋体" w:hAnsi="宋体"/>
          <w:color w:val="auto"/>
          <w:sz w:val="24"/>
          <w:szCs w:val="24"/>
          <w:highlight w:val="none"/>
          <w:u w:val="single"/>
        </w:rPr>
        <w:t>18 套纸质文件，另加2套电子版。其它资料（标准规范、质量计划等）提供6套。</w:t>
      </w:r>
    </w:p>
    <w:p w14:paraId="2E32C4D2">
      <w:pPr>
        <w:spacing w:line="460" w:lineRule="exact"/>
        <w:ind w:firstLine="420" w:firstLineChars="175"/>
        <w:rPr>
          <w:rFonts w:ascii="宋体" w:hAnsi="宋体"/>
          <w:color w:val="auto"/>
          <w:sz w:val="24"/>
          <w:szCs w:val="24"/>
          <w:highlight w:val="none"/>
        </w:rPr>
      </w:pPr>
      <w:r>
        <w:rPr>
          <w:rFonts w:hint="eastAsia" w:ascii="宋体" w:hAnsi="宋体"/>
          <w:color w:val="auto"/>
          <w:sz w:val="24"/>
          <w:szCs w:val="24"/>
          <w:highlight w:val="none"/>
        </w:rPr>
        <w:t>1</w:t>
      </w:r>
      <w:r>
        <w:rPr>
          <w:rFonts w:ascii="宋体" w:hAnsi="宋体"/>
          <w:color w:val="auto"/>
          <w:sz w:val="24"/>
          <w:szCs w:val="24"/>
          <w:highlight w:val="none"/>
        </w:rPr>
        <w:t>.</w:t>
      </w:r>
      <w:r>
        <w:rPr>
          <w:rFonts w:hint="eastAsia" w:ascii="宋体" w:hAnsi="宋体"/>
          <w:color w:val="auto"/>
          <w:sz w:val="24"/>
          <w:szCs w:val="24"/>
          <w:highlight w:val="none"/>
        </w:rPr>
        <w:t>11投标人提供的图纸应清晰，不得提供缩微复印的图纸。</w:t>
      </w:r>
    </w:p>
    <w:p w14:paraId="0840743A">
      <w:pPr>
        <w:spacing w:line="460" w:lineRule="exact"/>
        <w:ind w:firstLine="420" w:firstLineChars="175"/>
        <w:rPr>
          <w:rFonts w:ascii="宋体" w:hAnsi="宋体"/>
          <w:color w:val="auto"/>
          <w:sz w:val="24"/>
          <w:szCs w:val="24"/>
          <w:highlight w:val="none"/>
        </w:rPr>
      </w:pPr>
      <w:r>
        <w:rPr>
          <w:rFonts w:hint="eastAsia" w:ascii="宋体" w:hAnsi="宋体"/>
          <w:color w:val="auto"/>
          <w:sz w:val="24"/>
          <w:szCs w:val="24"/>
          <w:highlight w:val="none"/>
        </w:rPr>
        <w:t>1.12投标人提供的所有资料（包括图纸）均应有本工程专用标识，即盖有“</w:t>
      </w:r>
      <w:r>
        <w:rPr>
          <w:rFonts w:hint="eastAsia" w:ascii="宋体" w:hAnsi="宋体" w:eastAsia="宋体" w:cs="Times New Roman"/>
          <w:color w:val="auto"/>
          <w:sz w:val="24"/>
          <w:szCs w:val="24"/>
          <w:highlight w:val="none"/>
        </w:rPr>
        <w:t>浙能武威2×1000MW调峰火电机组</w:t>
      </w:r>
      <w:r>
        <w:rPr>
          <w:rFonts w:hint="eastAsia" w:ascii="宋体" w:hAnsi="宋体" w:eastAsia="宋体" w:cs="Times New Roman"/>
          <w:color w:val="auto"/>
          <w:sz w:val="24"/>
          <w:szCs w:val="24"/>
          <w:highlight w:val="none"/>
          <w:lang w:val="en-US" w:eastAsia="zh-CN"/>
        </w:rPr>
        <w:t>工程</w:t>
      </w:r>
      <w:r>
        <w:rPr>
          <w:rFonts w:hint="eastAsia" w:ascii="宋体" w:hAnsi="宋体" w:eastAsia="宋体" w:cs="Times New Roman"/>
          <w:color w:val="auto"/>
          <w:sz w:val="24"/>
          <w:szCs w:val="24"/>
          <w:highlight w:val="none"/>
        </w:rPr>
        <w:t>专用</w:t>
      </w:r>
      <w:r>
        <w:rPr>
          <w:rFonts w:hint="eastAsia" w:ascii="宋体" w:hAnsi="宋体"/>
          <w:color w:val="auto"/>
          <w:sz w:val="24"/>
          <w:szCs w:val="24"/>
          <w:highlight w:val="none"/>
        </w:rPr>
        <w:t>”图章，修改版资料对修改部分应有明显的标识或标注。</w:t>
      </w:r>
    </w:p>
    <w:p w14:paraId="4C3478BD">
      <w:pPr>
        <w:spacing w:line="460" w:lineRule="exact"/>
        <w:ind w:firstLine="420" w:firstLineChars="175"/>
        <w:rPr>
          <w:rFonts w:ascii="宋体" w:hAnsi="宋体"/>
          <w:color w:val="auto"/>
          <w:sz w:val="24"/>
          <w:szCs w:val="24"/>
          <w:highlight w:val="none"/>
        </w:rPr>
      </w:pPr>
      <w:r>
        <w:rPr>
          <w:rFonts w:hint="eastAsia" w:ascii="宋体" w:hAnsi="宋体"/>
          <w:color w:val="auto"/>
          <w:sz w:val="24"/>
          <w:szCs w:val="24"/>
          <w:highlight w:val="none"/>
        </w:rPr>
        <w:t>1.13 投标人按招标人的要求，编制所供设备的KKS编码。</w:t>
      </w:r>
    </w:p>
    <w:bookmarkEnd w:id="28"/>
    <w:p w14:paraId="0426B156">
      <w:pPr>
        <w:spacing w:line="400" w:lineRule="atLeast"/>
        <w:rPr>
          <w:rFonts w:ascii="宋体" w:hAnsi="宋体"/>
          <w:color w:val="auto"/>
          <w:sz w:val="24"/>
          <w:szCs w:val="24"/>
          <w:highlight w:val="none"/>
        </w:rPr>
      </w:pPr>
    </w:p>
    <w:p w14:paraId="24A4462C">
      <w:pPr>
        <w:spacing w:line="360" w:lineRule="auto"/>
        <w:rPr>
          <w:rFonts w:ascii="宋体" w:hAnsi="宋体"/>
          <w:b/>
          <w:color w:val="auto"/>
          <w:sz w:val="28"/>
          <w:szCs w:val="28"/>
          <w:highlight w:val="none"/>
        </w:rPr>
      </w:pPr>
      <w:r>
        <w:rPr>
          <w:rFonts w:hint="eastAsia" w:ascii="宋体" w:hAnsi="宋体"/>
          <w:b/>
          <w:color w:val="auto"/>
          <w:sz w:val="28"/>
          <w:szCs w:val="28"/>
          <w:highlight w:val="none"/>
        </w:rPr>
        <w:t>2. 资料提交的基本要求</w:t>
      </w:r>
    </w:p>
    <w:p w14:paraId="14220EE3">
      <w:pPr>
        <w:spacing w:line="360" w:lineRule="auto"/>
        <w:ind w:firstLine="420" w:firstLineChars="175"/>
        <w:rPr>
          <w:rFonts w:ascii="宋体"/>
          <w:color w:val="auto"/>
          <w:sz w:val="24"/>
          <w:szCs w:val="24"/>
          <w:highlight w:val="none"/>
        </w:rPr>
      </w:pPr>
      <w:r>
        <w:rPr>
          <w:rFonts w:hint="eastAsia" w:ascii="宋体" w:hAnsi="宋体"/>
          <w:color w:val="auto"/>
          <w:sz w:val="24"/>
          <w:szCs w:val="24"/>
          <w:highlight w:val="none"/>
        </w:rPr>
        <w:t>2.</w:t>
      </w:r>
      <w:r>
        <w:rPr>
          <w:rFonts w:ascii="宋体" w:hAnsi="宋体"/>
          <w:color w:val="auto"/>
          <w:sz w:val="24"/>
          <w:szCs w:val="24"/>
          <w:highlight w:val="none"/>
        </w:rPr>
        <w:t>1</w:t>
      </w:r>
      <w:r>
        <w:rPr>
          <w:rFonts w:hint="eastAsia" w:ascii="宋体"/>
          <w:color w:val="auto"/>
          <w:sz w:val="24"/>
          <w:szCs w:val="24"/>
          <w:highlight w:val="none"/>
        </w:rPr>
        <w:t>投标人随投标文件应提供的资料</w:t>
      </w:r>
    </w:p>
    <w:p w14:paraId="1E91D8D9">
      <w:pPr>
        <w:tabs>
          <w:tab w:val="left" w:pos="840"/>
        </w:tabs>
        <w:spacing w:line="360" w:lineRule="auto"/>
        <w:ind w:firstLine="420" w:firstLineChars="175"/>
        <w:rPr>
          <w:rFonts w:ascii="宋体"/>
          <w:color w:val="auto"/>
          <w:sz w:val="24"/>
          <w:szCs w:val="24"/>
          <w:highlight w:val="none"/>
        </w:rPr>
      </w:pPr>
      <w:r>
        <w:rPr>
          <w:rFonts w:hint="eastAsia" w:ascii="宋体"/>
          <w:color w:val="auto"/>
          <w:sz w:val="24"/>
          <w:szCs w:val="24"/>
          <w:highlight w:val="none"/>
        </w:rPr>
        <w:t>投标人应在投标文件中提供与本规范书有关的设备特性指标、设计、制造的图纸、文件和说明</w:t>
      </w:r>
      <w:r>
        <w:rPr>
          <w:rFonts w:ascii="宋体"/>
          <w:color w:val="auto"/>
          <w:sz w:val="24"/>
          <w:szCs w:val="24"/>
          <w:highlight w:val="none"/>
        </w:rPr>
        <w:t>(</w:t>
      </w:r>
      <w:r>
        <w:rPr>
          <w:rFonts w:hint="eastAsia" w:ascii="宋体"/>
          <w:color w:val="auto"/>
          <w:sz w:val="24"/>
          <w:szCs w:val="24"/>
          <w:highlight w:val="none"/>
        </w:rPr>
        <w:t>包括功能等</w:t>
      </w:r>
      <w:r>
        <w:rPr>
          <w:rFonts w:ascii="宋体"/>
          <w:color w:val="auto"/>
          <w:sz w:val="24"/>
          <w:szCs w:val="24"/>
          <w:highlight w:val="none"/>
        </w:rPr>
        <w:t>)</w:t>
      </w:r>
      <w:r>
        <w:rPr>
          <w:rFonts w:hint="eastAsia" w:ascii="宋体"/>
          <w:color w:val="auto"/>
          <w:sz w:val="24"/>
          <w:szCs w:val="24"/>
          <w:highlight w:val="none"/>
        </w:rPr>
        <w:t>手册，其中包括标准部件、各种逻辑回路、继电器、选择开关、信号灯等的技术资料以备招标人查核，资料中还应包括各种设备的额定值数据、接点数量及其数据、各元件性能、功率消耗</w:t>
      </w:r>
      <w:r>
        <w:rPr>
          <w:rFonts w:ascii="宋体"/>
          <w:color w:val="auto"/>
          <w:sz w:val="24"/>
          <w:szCs w:val="24"/>
          <w:highlight w:val="none"/>
        </w:rPr>
        <w:t>(</w:t>
      </w:r>
      <w:r>
        <w:rPr>
          <w:rFonts w:hint="eastAsia" w:ascii="宋体"/>
          <w:color w:val="auto"/>
          <w:sz w:val="24"/>
          <w:szCs w:val="24"/>
          <w:highlight w:val="none"/>
        </w:rPr>
        <w:t>包括交流及直流回路，正常及动作情况</w:t>
      </w:r>
      <w:r>
        <w:rPr>
          <w:rFonts w:ascii="宋体"/>
          <w:color w:val="auto"/>
          <w:sz w:val="24"/>
          <w:szCs w:val="24"/>
          <w:highlight w:val="none"/>
        </w:rPr>
        <w:t>)</w:t>
      </w:r>
      <w:r>
        <w:rPr>
          <w:rFonts w:hint="eastAsia" w:ascii="宋体"/>
          <w:color w:val="auto"/>
          <w:sz w:val="24"/>
          <w:szCs w:val="24"/>
          <w:highlight w:val="none"/>
        </w:rPr>
        <w:t>和使用说明等，并对其所提供的全部技术资料的准确性负责。投标人应在报价书中提供偏差文件，逐条提出是否满足本规范书的各条款，还应提供控制逻辑和控制回路供确认。</w:t>
      </w:r>
    </w:p>
    <w:p w14:paraId="3B81A3CE">
      <w:pPr>
        <w:tabs>
          <w:tab w:val="left" w:pos="840"/>
        </w:tabs>
        <w:spacing w:line="360" w:lineRule="auto"/>
        <w:ind w:firstLine="420" w:firstLineChars="175"/>
        <w:rPr>
          <w:rFonts w:ascii="宋体"/>
          <w:color w:val="auto"/>
          <w:kern w:val="0"/>
          <w:sz w:val="24"/>
          <w:szCs w:val="24"/>
          <w:highlight w:val="none"/>
        </w:rPr>
      </w:pPr>
      <w:r>
        <w:rPr>
          <w:rFonts w:hint="eastAsia" w:ascii="宋体"/>
          <w:color w:val="auto"/>
          <w:sz w:val="24"/>
          <w:szCs w:val="24"/>
          <w:highlight w:val="none"/>
        </w:rPr>
        <w:t>应提供下列足以证明设备性能的技术数据和所需的技术资料，但不限于下列资料。</w:t>
      </w:r>
    </w:p>
    <w:p w14:paraId="3FE0A383">
      <w:pPr>
        <w:widowControl/>
        <w:numPr>
          <w:ilvl w:val="0"/>
          <w:numId w:val="8"/>
        </w:numPr>
        <w:adjustRightInd/>
        <w:snapToGrid/>
        <w:spacing w:after="0" w:line="360" w:lineRule="auto"/>
        <w:ind w:firstLine="420" w:firstLineChars="175"/>
        <w:rPr>
          <w:rFonts w:hint="eastAsia" w:cstheme="minorBidi"/>
          <w:color w:val="auto"/>
          <w:kern w:val="0"/>
          <w:sz w:val="24"/>
          <w:szCs w:val="24"/>
          <w:highlight w:val="none"/>
          <w:lang w:eastAsia="zh-CN"/>
        </w:rPr>
      </w:pPr>
      <w:r>
        <w:rPr>
          <w:rFonts w:hint="eastAsia" w:cstheme="minorBidi"/>
          <w:color w:val="auto"/>
          <w:kern w:val="0"/>
          <w:sz w:val="24"/>
          <w:szCs w:val="24"/>
          <w:highlight w:val="none"/>
          <w:lang w:eastAsia="zh-CN"/>
        </w:rPr>
        <w:t>鉴定证书</w:t>
      </w:r>
    </w:p>
    <w:p w14:paraId="37087A6E">
      <w:pPr>
        <w:widowControl/>
        <w:numPr>
          <w:ilvl w:val="0"/>
          <w:numId w:val="8"/>
        </w:numPr>
        <w:adjustRightInd/>
        <w:snapToGrid/>
        <w:spacing w:after="0" w:line="360" w:lineRule="auto"/>
        <w:ind w:firstLine="420" w:firstLineChars="175"/>
        <w:rPr>
          <w:rFonts w:hint="eastAsia" w:cstheme="minorBidi"/>
          <w:color w:val="auto"/>
          <w:kern w:val="0"/>
          <w:sz w:val="24"/>
          <w:szCs w:val="24"/>
          <w:highlight w:val="none"/>
          <w:lang w:eastAsia="zh-CN"/>
        </w:rPr>
      </w:pPr>
      <w:r>
        <w:rPr>
          <w:rFonts w:hint="eastAsia" w:cstheme="minorBidi"/>
          <w:color w:val="auto"/>
          <w:kern w:val="0"/>
          <w:sz w:val="24"/>
          <w:szCs w:val="24"/>
          <w:highlight w:val="none"/>
          <w:lang w:eastAsia="zh-CN"/>
        </w:rPr>
        <w:t>报价书</w:t>
      </w:r>
    </w:p>
    <w:p w14:paraId="21205A99">
      <w:pPr>
        <w:widowControl/>
        <w:numPr>
          <w:ilvl w:val="0"/>
          <w:numId w:val="8"/>
        </w:numPr>
        <w:adjustRightInd/>
        <w:snapToGrid/>
        <w:spacing w:after="0" w:line="360" w:lineRule="auto"/>
        <w:ind w:firstLine="420" w:firstLineChars="175"/>
        <w:rPr>
          <w:rFonts w:hint="eastAsia" w:cstheme="minorBidi"/>
          <w:color w:val="auto"/>
          <w:kern w:val="0"/>
          <w:sz w:val="24"/>
          <w:szCs w:val="24"/>
          <w:highlight w:val="none"/>
          <w:lang w:eastAsia="zh-CN"/>
        </w:rPr>
      </w:pPr>
      <w:r>
        <w:rPr>
          <w:rFonts w:hint="eastAsia" w:cstheme="minorBidi"/>
          <w:color w:val="auto"/>
          <w:kern w:val="0"/>
          <w:sz w:val="24"/>
          <w:szCs w:val="24"/>
          <w:highlight w:val="none"/>
          <w:lang w:eastAsia="zh-CN"/>
        </w:rPr>
        <w:t>典型说明书</w:t>
      </w:r>
    </w:p>
    <w:p w14:paraId="36F901C9">
      <w:pPr>
        <w:widowControl/>
        <w:numPr>
          <w:ilvl w:val="0"/>
          <w:numId w:val="8"/>
        </w:numPr>
        <w:adjustRightInd/>
        <w:snapToGrid/>
        <w:spacing w:after="0" w:line="360" w:lineRule="auto"/>
        <w:ind w:firstLine="420" w:firstLineChars="175"/>
        <w:rPr>
          <w:rFonts w:hint="eastAsia" w:cstheme="minorBidi"/>
          <w:color w:val="auto"/>
          <w:kern w:val="0"/>
          <w:sz w:val="24"/>
          <w:szCs w:val="24"/>
          <w:highlight w:val="none"/>
          <w:lang w:eastAsia="zh-CN"/>
        </w:rPr>
      </w:pPr>
      <w:r>
        <w:rPr>
          <w:rFonts w:hint="eastAsia" w:cstheme="minorBidi"/>
          <w:color w:val="auto"/>
          <w:kern w:val="0"/>
          <w:sz w:val="24"/>
          <w:szCs w:val="24"/>
          <w:highlight w:val="none"/>
          <w:lang w:eastAsia="zh-CN"/>
        </w:rPr>
        <w:t>电气接线图</w:t>
      </w:r>
    </w:p>
    <w:p w14:paraId="474887BF">
      <w:pPr>
        <w:numPr>
          <w:ilvl w:val="0"/>
          <w:numId w:val="8"/>
        </w:numPr>
        <w:spacing w:line="360" w:lineRule="auto"/>
        <w:ind w:firstLine="420" w:firstLineChars="175"/>
        <w:rPr>
          <w:rFonts w:ascii="宋体"/>
          <w:color w:val="auto"/>
          <w:sz w:val="24"/>
          <w:szCs w:val="24"/>
          <w:highlight w:val="none"/>
        </w:rPr>
      </w:pPr>
      <w:r>
        <w:rPr>
          <w:rFonts w:hint="eastAsia" w:cstheme="minorBidi"/>
          <w:color w:val="auto"/>
          <w:kern w:val="0"/>
          <w:sz w:val="24"/>
          <w:szCs w:val="24"/>
          <w:highlight w:val="none"/>
          <w:lang w:eastAsia="zh-CN"/>
        </w:rPr>
        <w:t>平面布置图、断面图、气隔分布图</w:t>
      </w:r>
    </w:p>
    <w:p w14:paraId="2CBB0E8B">
      <w:pPr>
        <w:spacing w:line="360" w:lineRule="auto"/>
        <w:ind w:firstLine="420" w:firstLineChars="175"/>
        <w:rPr>
          <w:rFonts w:ascii="宋体"/>
          <w:color w:val="auto"/>
          <w:sz w:val="24"/>
          <w:szCs w:val="24"/>
          <w:highlight w:val="none"/>
        </w:rPr>
      </w:pPr>
      <w:r>
        <w:rPr>
          <w:rFonts w:hint="eastAsia" w:ascii="宋体"/>
          <w:color w:val="auto"/>
          <w:sz w:val="24"/>
          <w:szCs w:val="24"/>
          <w:highlight w:val="none"/>
        </w:rPr>
        <w:t>2.2 供确认和参考的图纸和资料</w:t>
      </w:r>
    </w:p>
    <w:p w14:paraId="219B45D7">
      <w:pPr>
        <w:spacing w:line="360" w:lineRule="auto"/>
        <w:ind w:firstLine="420" w:firstLineChars="175"/>
        <w:rPr>
          <w:rFonts w:ascii="宋体"/>
          <w:color w:val="auto"/>
          <w:kern w:val="0"/>
          <w:sz w:val="24"/>
          <w:szCs w:val="24"/>
          <w:highlight w:val="none"/>
        </w:rPr>
      </w:pPr>
      <w:r>
        <w:rPr>
          <w:rFonts w:hint="eastAsia" w:ascii="宋体"/>
          <w:color w:val="auto"/>
          <w:sz w:val="24"/>
          <w:szCs w:val="24"/>
          <w:highlight w:val="none"/>
        </w:rPr>
        <w:t>在合同生效后</w:t>
      </w:r>
      <w:r>
        <w:rPr>
          <w:rFonts w:ascii="宋体"/>
          <w:color w:val="auto"/>
          <w:sz w:val="24"/>
          <w:szCs w:val="24"/>
          <w:highlight w:val="none"/>
        </w:rPr>
        <w:t>4</w:t>
      </w:r>
      <w:r>
        <w:rPr>
          <w:rFonts w:hint="eastAsia" w:ascii="宋体"/>
          <w:color w:val="auto"/>
          <w:sz w:val="24"/>
          <w:szCs w:val="24"/>
          <w:highlight w:val="none"/>
        </w:rPr>
        <w:t>周内，投标人应提供下列供确认和参考的资料和图纸</w:t>
      </w:r>
      <w:r>
        <w:rPr>
          <w:rFonts w:ascii="宋体"/>
          <w:color w:val="auto"/>
          <w:sz w:val="24"/>
          <w:szCs w:val="24"/>
          <w:highlight w:val="none"/>
        </w:rPr>
        <w:t>(10</w:t>
      </w:r>
      <w:r>
        <w:rPr>
          <w:rFonts w:hint="eastAsia" w:ascii="宋体"/>
          <w:color w:val="auto"/>
          <w:sz w:val="24"/>
          <w:szCs w:val="24"/>
          <w:highlight w:val="none"/>
        </w:rPr>
        <w:t>套)，但不限于下列图纸：</w:t>
      </w:r>
    </w:p>
    <w:p w14:paraId="0DBC26EF">
      <w:pPr>
        <w:widowControl/>
        <w:numPr>
          <w:ilvl w:val="0"/>
          <w:numId w:val="9"/>
        </w:numPr>
        <w:adjustRightInd/>
        <w:snapToGrid/>
        <w:spacing w:after="0" w:line="360" w:lineRule="auto"/>
        <w:ind w:firstLine="420" w:firstLineChars="175"/>
        <w:rPr>
          <w:rFonts w:hint="eastAsia" w:cstheme="minorBidi"/>
          <w:color w:val="auto"/>
          <w:kern w:val="0"/>
          <w:sz w:val="24"/>
          <w:szCs w:val="24"/>
          <w:highlight w:val="none"/>
          <w:lang w:eastAsia="zh-CN"/>
        </w:rPr>
      </w:pPr>
      <w:r>
        <w:rPr>
          <w:rFonts w:hint="eastAsia" w:cstheme="minorBidi"/>
          <w:color w:val="auto"/>
          <w:kern w:val="0"/>
          <w:sz w:val="24"/>
          <w:szCs w:val="24"/>
          <w:highlight w:val="none"/>
          <w:lang w:eastAsia="zh-CN"/>
        </w:rPr>
        <w:t>原理接线图；</w:t>
      </w:r>
    </w:p>
    <w:p w14:paraId="17E9E990">
      <w:pPr>
        <w:widowControl/>
        <w:numPr>
          <w:ilvl w:val="0"/>
          <w:numId w:val="9"/>
        </w:numPr>
        <w:adjustRightInd/>
        <w:snapToGrid/>
        <w:spacing w:after="0" w:line="360" w:lineRule="auto"/>
        <w:ind w:firstLine="420" w:firstLineChars="175"/>
        <w:rPr>
          <w:rFonts w:hint="eastAsia" w:cstheme="minorBidi"/>
          <w:color w:val="auto"/>
          <w:kern w:val="0"/>
          <w:sz w:val="24"/>
          <w:szCs w:val="24"/>
          <w:highlight w:val="none"/>
          <w:lang w:eastAsia="zh-CN"/>
        </w:rPr>
      </w:pPr>
      <w:r>
        <w:rPr>
          <w:rFonts w:hint="eastAsia" w:cstheme="minorBidi"/>
          <w:color w:val="auto"/>
          <w:kern w:val="0"/>
          <w:sz w:val="24"/>
          <w:szCs w:val="24"/>
          <w:highlight w:val="none"/>
          <w:lang w:eastAsia="zh-CN"/>
        </w:rPr>
        <w:t>柜面布置图及分层面板布置图；</w:t>
      </w:r>
    </w:p>
    <w:p w14:paraId="576FF908">
      <w:pPr>
        <w:widowControl/>
        <w:numPr>
          <w:ilvl w:val="0"/>
          <w:numId w:val="9"/>
        </w:numPr>
        <w:adjustRightInd/>
        <w:snapToGrid/>
        <w:spacing w:after="0" w:line="360" w:lineRule="auto"/>
        <w:ind w:firstLine="420" w:firstLineChars="175"/>
        <w:rPr>
          <w:rFonts w:hint="eastAsia" w:cstheme="minorBidi"/>
          <w:color w:val="auto"/>
          <w:kern w:val="0"/>
          <w:sz w:val="24"/>
          <w:szCs w:val="24"/>
          <w:highlight w:val="none"/>
          <w:lang w:eastAsia="zh-CN"/>
        </w:rPr>
      </w:pPr>
      <w:r>
        <w:rPr>
          <w:rFonts w:hint="eastAsia" w:cstheme="minorBidi"/>
          <w:color w:val="auto"/>
          <w:kern w:val="0"/>
          <w:sz w:val="24"/>
          <w:szCs w:val="24"/>
          <w:highlight w:val="none"/>
          <w:lang w:eastAsia="zh-CN"/>
        </w:rPr>
        <w:t>端子排图或背板接线图及分层背板接线图；</w:t>
      </w:r>
    </w:p>
    <w:p w14:paraId="255DC59D">
      <w:pPr>
        <w:widowControl/>
        <w:numPr>
          <w:ilvl w:val="0"/>
          <w:numId w:val="9"/>
        </w:numPr>
        <w:adjustRightInd/>
        <w:snapToGrid/>
        <w:spacing w:after="0" w:line="360" w:lineRule="auto"/>
        <w:ind w:firstLine="420" w:firstLineChars="175"/>
        <w:rPr>
          <w:rFonts w:hint="eastAsia" w:cstheme="minorBidi"/>
          <w:color w:val="auto"/>
          <w:kern w:val="0"/>
          <w:sz w:val="24"/>
          <w:szCs w:val="24"/>
          <w:highlight w:val="none"/>
          <w:lang w:eastAsia="zh-CN"/>
        </w:rPr>
      </w:pPr>
      <w:r>
        <w:rPr>
          <w:rFonts w:hint="eastAsia" w:cstheme="minorBidi"/>
          <w:color w:val="auto"/>
          <w:kern w:val="0"/>
          <w:sz w:val="24"/>
          <w:szCs w:val="24"/>
          <w:highlight w:val="none"/>
          <w:lang w:eastAsia="zh-CN"/>
        </w:rPr>
        <w:t>柜的安装图、开孔图、重量；</w:t>
      </w:r>
    </w:p>
    <w:p w14:paraId="69411DE4">
      <w:pPr>
        <w:widowControl/>
        <w:numPr>
          <w:ilvl w:val="0"/>
          <w:numId w:val="9"/>
        </w:numPr>
        <w:adjustRightInd/>
        <w:snapToGrid/>
        <w:spacing w:after="0" w:line="360" w:lineRule="auto"/>
        <w:ind w:firstLine="420" w:firstLineChars="175"/>
        <w:rPr>
          <w:rFonts w:hint="eastAsia" w:cstheme="minorBidi"/>
          <w:color w:val="auto"/>
          <w:kern w:val="0"/>
          <w:sz w:val="24"/>
          <w:szCs w:val="24"/>
          <w:highlight w:val="none"/>
          <w:lang w:eastAsia="zh-CN"/>
        </w:rPr>
      </w:pPr>
      <w:r>
        <w:rPr>
          <w:rFonts w:hint="eastAsia" w:cstheme="minorBidi"/>
          <w:color w:val="auto"/>
          <w:kern w:val="0"/>
          <w:sz w:val="24"/>
          <w:szCs w:val="24"/>
          <w:highlight w:val="none"/>
          <w:lang w:eastAsia="zh-CN"/>
        </w:rPr>
        <w:t>保护跳闸出口逻辑框图；</w:t>
      </w:r>
    </w:p>
    <w:p w14:paraId="6889257F">
      <w:pPr>
        <w:widowControl/>
        <w:numPr>
          <w:ilvl w:val="0"/>
          <w:numId w:val="9"/>
        </w:numPr>
        <w:adjustRightInd/>
        <w:snapToGrid/>
        <w:spacing w:after="0" w:line="360" w:lineRule="auto"/>
        <w:ind w:firstLine="420" w:firstLineChars="175"/>
        <w:rPr>
          <w:rFonts w:hint="eastAsia" w:cstheme="minorBidi"/>
          <w:color w:val="auto"/>
          <w:kern w:val="0"/>
          <w:sz w:val="24"/>
          <w:szCs w:val="24"/>
          <w:highlight w:val="none"/>
          <w:lang w:eastAsia="zh-CN"/>
        </w:rPr>
      </w:pPr>
      <w:r>
        <w:rPr>
          <w:rFonts w:hint="eastAsia" w:cstheme="minorBidi"/>
          <w:color w:val="auto"/>
          <w:kern w:val="0"/>
          <w:sz w:val="24"/>
          <w:szCs w:val="24"/>
          <w:highlight w:val="none"/>
          <w:lang w:eastAsia="zh-CN"/>
        </w:rPr>
        <w:t>操作箱原理接线图</w:t>
      </w:r>
    </w:p>
    <w:p w14:paraId="1FB88E02">
      <w:pPr>
        <w:widowControl/>
        <w:numPr>
          <w:ilvl w:val="0"/>
          <w:numId w:val="9"/>
        </w:numPr>
        <w:adjustRightInd/>
        <w:snapToGrid/>
        <w:spacing w:after="0" w:line="360" w:lineRule="auto"/>
        <w:ind w:firstLine="420" w:firstLineChars="175"/>
        <w:rPr>
          <w:rFonts w:hint="eastAsia" w:cstheme="minorBidi"/>
          <w:color w:val="auto"/>
          <w:kern w:val="0"/>
          <w:sz w:val="24"/>
          <w:szCs w:val="24"/>
          <w:highlight w:val="none"/>
          <w:lang w:eastAsia="zh-CN"/>
        </w:rPr>
      </w:pPr>
      <w:r>
        <w:rPr>
          <w:rFonts w:hint="eastAsia" w:cstheme="minorBidi"/>
          <w:color w:val="auto"/>
          <w:kern w:val="0"/>
          <w:sz w:val="24"/>
          <w:szCs w:val="24"/>
          <w:highlight w:val="none"/>
          <w:lang w:eastAsia="zh-CN"/>
        </w:rPr>
        <w:t>设备材料表</w:t>
      </w:r>
    </w:p>
    <w:p w14:paraId="629459C9">
      <w:pPr>
        <w:widowControl/>
        <w:numPr>
          <w:ilvl w:val="0"/>
          <w:numId w:val="9"/>
        </w:numPr>
        <w:adjustRightInd/>
        <w:snapToGrid/>
        <w:spacing w:after="0" w:line="360" w:lineRule="auto"/>
        <w:ind w:firstLine="420" w:firstLineChars="175"/>
        <w:rPr>
          <w:rFonts w:hint="eastAsia" w:cstheme="minorBidi"/>
          <w:color w:val="auto"/>
          <w:kern w:val="0"/>
          <w:sz w:val="24"/>
          <w:szCs w:val="24"/>
          <w:highlight w:val="none"/>
          <w:lang w:eastAsia="zh-CN"/>
        </w:rPr>
      </w:pPr>
      <w:r>
        <w:rPr>
          <w:rFonts w:hint="eastAsia" w:cstheme="minorBidi"/>
          <w:color w:val="auto"/>
          <w:kern w:val="0"/>
          <w:sz w:val="24"/>
          <w:szCs w:val="24"/>
          <w:highlight w:val="none"/>
          <w:lang w:eastAsia="zh-CN"/>
        </w:rPr>
        <w:t>其他设计所需要的资料。</w:t>
      </w:r>
    </w:p>
    <w:p w14:paraId="7B420A08">
      <w:pPr>
        <w:spacing w:line="360" w:lineRule="auto"/>
        <w:ind w:firstLine="420" w:firstLineChars="175"/>
        <w:rPr>
          <w:rFonts w:ascii="宋体"/>
          <w:color w:val="auto"/>
          <w:sz w:val="24"/>
          <w:szCs w:val="24"/>
          <w:highlight w:val="none"/>
        </w:rPr>
      </w:pPr>
      <w:r>
        <w:rPr>
          <w:rFonts w:hint="eastAsia" w:ascii="宋体"/>
          <w:color w:val="auto"/>
          <w:sz w:val="24"/>
          <w:szCs w:val="24"/>
          <w:highlight w:val="none"/>
        </w:rPr>
        <w:t>招标人对图纸的确认并不能解除投标人对图纸的完整性与准确性应负的责任，产品应符合合同规范书的规定。</w:t>
      </w:r>
    </w:p>
    <w:p w14:paraId="0B817927">
      <w:pPr>
        <w:spacing w:line="360" w:lineRule="auto"/>
        <w:ind w:firstLine="420" w:firstLineChars="175"/>
        <w:rPr>
          <w:rFonts w:ascii="宋体"/>
          <w:color w:val="auto"/>
          <w:sz w:val="24"/>
          <w:szCs w:val="24"/>
          <w:highlight w:val="none"/>
        </w:rPr>
      </w:pPr>
      <w:r>
        <w:rPr>
          <w:rFonts w:hint="eastAsia" w:ascii="宋体"/>
          <w:color w:val="auto"/>
          <w:sz w:val="24"/>
          <w:szCs w:val="24"/>
          <w:highlight w:val="none"/>
        </w:rPr>
        <w:t>2.3 最终图纸</w:t>
      </w:r>
    </w:p>
    <w:p w14:paraId="1EA5C9FC">
      <w:pPr>
        <w:spacing w:line="360" w:lineRule="auto"/>
        <w:ind w:firstLine="420" w:firstLineChars="175"/>
        <w:rPr>
          <w:rFonts w:ascii="宋体"/>
          <w:color w:val="auto"/>
          <w:kern w:val="0"/>
          <w:sz w:val="24"/>
          <w:szCs w:val="24"/>
          <w:highlight w:val="none"/>
        </w:rPr>
      </w:pPr>
      <w:r>
        <w:rPr>
          <w:rFonts w:hint="eastAsia" w:ascii="宋体"/>
          <w:color w:val="auto"/>
          <w:sz w:val="24"/>
          <w:szCs w:val="24"/>
          <w:highlight w:val="none"/>
        </w:rPr>
        <w:t>投标人提供的文件和资料应能满足招标人进行系统维护和进一步开发的需要。投标人应提供最终图的</w:t>
      </w:r>
      <w:r>
        <w:rPr>
          <w:rFonts w:ascii="宋体"/>
          <w:color w:val="auto"/>
          <w:sz w:val="24"/>
          <w:szCs w:val="24"/>
          <w:highlight w:val="none"/>
        </w:rPr>
        <w:t>AutoCAD</w:t>
      </w:r>
      <w:r>
        <w:rPr>
          <w:rFonts w:hint="eastAsia" w:ascii="宋体"/>
          <w:color w:val="auto"/>
          <w:sz w:val="24"/>
          <w:szCs w:val="24"/>
          <w:highlight w:val="none"/>
        </w:rPr>
        <w:t>图形文件软盘，以及这些图形文件在</w:t>
      </w:r>
      <w:r>
        <w:rPr>
          <w:rFonts w:ascii="宋体"/>
          <w:color w:val="auto"/>
          <w:sz w:val="24"/>
          <w:szCs w:val="24"/>
          <w:highlight w:val="none"/>
        </w:rPr>
        <w:t>PC</w:t>
      </w:r>
      <w:r>
        <w:rPr>
          <w:rFonts w:hint="eastAsia" w:ascii="宋体"/>
          <w:color w:val="auto"/>
          <w:sz w:val="24"/>
          <w:szCs w:val="24"/>
          <w:highlight w:val="none"/>
        </w:rPr>
        <w:t>机上打开所需的其它相关软件或文件，提供的所有图形文件均应能被</w:t>
      </w:r>
      <w:r>
        <w:rPr>
          <w:rFonts w:ascii="宋体"/>
          <w:color w:val="auto"/>
          <w:sz w:val="24"/>
          <w:szCs w:val="24"/>
          <w:highlight w:val="none"/>
        </w:rPr>
        <w:t>Auto CAD 1</w:t>
      </w:r>
      <w:r>
        <w:rPr>
          <w:rFonts w:hint="eastAsia" w:ascii="宋体"/>
          <w:color w:val="auto"/>
          <w:sz w:val="24"/>
          <w:szCs w:val="24"/>
          <w:highlight w:val="none"/>
        </w:rPr>
        <w:t>4</w:t>
      </w:r>
      <w:r>
        <w:rPr>
          <w:rFonts w:ascii="宋体"/>
          <w:color w:val="auto"/>
          <w:sz w:val="24"/>
          <w:szCs w:val="24"/>
          <w:highlight w:val="none"/>
        </w:rPr>
        <w:t>.0 for Windows</w:t>
      </w:r>
      <w:r>
        <w:rPr>
          <w:rFonts w:hint="eastAsia" w:ascii="宋体"/>
          <w:color w:val="auto"/>
          <w:sz w:val="24"/>
          <w:szCs w:val="24"/>
          <w:highlight w:val="none"/>
        </w:rPr>
        <w:t>版本支持且能拷贝。</w:t>
      </w:r>
    </w:p>
    <w:p w14:paraId="7898F7DE">
      <w:pPr>
        <w:spacing w:line="360" w:lineRule="auto"/>
        <w:ind w:firstLine="420" w:firstLineChars="175"/>
        <w:rPr>
          <w:rFonts w:ascii="宋体"/>
          <w:color w:val="auto"/>
          <w:kern w:val="0"/>
          <w:sz w:val="24"/>
          <w:szCs w:val="24"/>
          <w:highlight w:val="none"/>
        </w:rPr>
      </w:pPr>
      <w:r>
        <w:rPr>
          <w:rFonts w:hint="eastAsia" w:ascii="宋体"/>
          <w:color w:val="auto"/>
          <w:sz w:val="24"/>
          <w:szCs w:val="24"/>
          <w:highlight w:val="none"/>
        </w:rPr>
        <w:t>投标人在最后一次设计联络会议结束后三周内，应提供下列供设计的最终图纸</w:t>
      </w:r>
    </w:p>
    <w:p w14:paraId="2C8A3477">
      <w:pPr>
        <w:spacing w:line="360" w:lineRule="auto"/>
        <w:ind w:firstLine="420" w:firstLineChars="175"/>
        <w:rPr>
          <w:rFonts w:ascii="宋体"/>
          <w:color w:val="auto"/>
          <w:sz w:val="24"/>
          <w:szCs w:val="24"/>
          <w:highlight w:val="none"/>
        </w:rPr>
      </w:pPr>
      <w:r>
        <w:rPr>
          <w:rFonts w:hint="eastAsia" w:ascii="宋体"/>
          <w:color w:val="auto"/>
          <w:sz w:val="24"/>
          <w:szCs w:val="24"/>
          <w:highlight w:val="none"/>
        </w:rPr>
        <w:t>2.4 其它资料和说明书（</w:t>
      </w:r>
      <w:r>
        <w:rPr>
          <w:rFonts w:ascii="宋体"/>
          <w:color w:val="auto"/>
          <w:sz w:val="24"/>
          <w:szCs w:val="24"/>
          <w:highlight w:val="none"/>
        </w:rPr>
        <w:t>20</w:t>
      </w:r>
      <w:r>
        <w:rPr>
          <w:rFonts w:hint="eastAsia" w:ascii="宋体"/>
          <w:color w:val="auto"/>
          <w:sz w:val="24"/>
          <w:szCs w:val="24"/>
          <w:highlight w:val="none"/>
        </w:rPr>
        <w:t>套）</w:t>
      </w:r>
    </w:p>
    <w:p w14:paraId="1B988762">
      <w:pPr>
        <w:numPr>
          <w:ilvl w:val="0"/>
          <w:numId w:val="10"/>
        </w:numPr>
        <w:spacing w:line="360" w:lineRule="auto"/>
        <w:ind w:firstLine="420" w:firstLineChars="175"/>
        <w:rPr>
          <w:rFonts w:ascii="宋体"/>
          <w:color w:val="auto"/>
          <w:sz w:val="24"/>
          <w:szCs w:val="24"/>
          <w:highlight w:val="none"/>
        </w:rPr>
      </w:pPr>
      <w:r>
        <w:rPr>
          <w:rFonts w:hint="eastAsia" w:ascii="宋体"/>
          <w:color w:val="auto"/>
          <w:sz w:val="24"/>
          <w:szCs w:val="24"/>
          <w:highlight w:val="none"/>
        </w:rPr>
        <w:t>投标人应提供给招标人装置投产前试验用的详细说明和技术要求，还应提供有关的重要设备和特殊试验仪器的使用说明书，投标人还应提供现有装置进行正常试验及运行维护、故障诊断的详细说明。</w:t>
      </w:r>
    </w:p>
    <w:p w14:paraId="463EBE9B">
      <w:pPr>
        <w:numPr>
          <w:ilvl w:val="0"/>
          <w:numId w:val="10"/>
        </w:numPr>
        <w:spacing w:line="360" w:lineRule="auto"/>
        <w:ind w:firstLine="420" w:firstLineChars="175"/>
        <w:rPr>
          <w:rFonts w:ascii="宋体"/>
          <w:color w:val="auto"/>
          <w:sz w:val="24"/>
          <w:szCs w:val="24"/>
          <w:highlight w:val="none"/>
        </w:rPr>
      </w:pPr>
      <w:r>
        <w:rPr>
          <w:rFonts w:hint="eastAsia" w:ascii="宋体"/>
          <w:color w:val="auto"/>
          <w:sz w:val="24"/>
          <w:szCs w:val="24"/>
          <w:highlight w:val="none"/>
        </w:rPr>
        <w:t>投标人应提供各装置进行工厂试验室试验和动态模拟试验的详细试验报告。</w:t>
      </w:r>
    </w:p>
    <w:p w14:paraId="296A1B7B">
      <w:pPr>
        <w:numPr>
          <w:ilvl w:val="0"/>
          <w:numId w:val="10"/>
        </w:numPr>
        <w:spacing w:line="360" w:lineRule="auto"/>
        <w:ind w:firstLine="420" w:firstLineChars="175"/>
        <w:rPr>
          <w:rFonts w:ascii="宋体"/>
          <w:color w:val="auto"/>
          <w:kern w:val="0"/>
          <w:sz w:val="24"/>
          <w:szCs w:val="24"/>
          <w:highlight w:val="none"/>
        </w:rPr>
      </w:pPr>
      <w:r>
        <w:rPr>
          <w:rFonts w:hint="eastAsia" w:ascii="宋体"/>
          <w:color w:val="auto"/>
          <w:sz w:val="24"/>
          <w:szCs w:val="24"/>
          <w:highlight w:val="none"/>
        </w:rPr>
        <w:t>专用工具和试验设备的说明。</w:t>
      </w:r>
    </w:p>
    <w:p w14:paraId="73ADF9F0">
      <w:pPr>
        <w:spacing w:line="360" w:lineRule="auto"/>
        <w:ind w:firstLine="420" w:firstLineChars="175"/>
        <w:rPr>
          <w:rFonts w:ascii="宋体"/>
          <w:color w:val="auto"/>
          <w:sz w:val="24"/>
          <w:szCs w:val="24"/>
          <w:highlight w:val="none"/>
        </w:rPr>
      </w:pPr>
      <w:r>
        <w:rPr>
          <w:rFonts w:hint="eastAsia" w:ascii="宋体"/>
          <w:color w:val="auto"/>
          <w:sz w:val="24"/>
          <w:szCs w:val="24"/>
          <w:highlight w:val="none"/>
        </w:rPr>
        <w:t>2.5说明手册</w:t>
      </w:r>
    </w:p>
    <w:p w14:paraId="1E5C9853">
      <w:pPr>
        <w:spacing w:line="360" w:lineRule="auto"/>
        <w:ind w:firstLine="420" w:firstLineChars="175"/>
        <w:rPr>
          <w:rFonts w:ascii="宋体"/>
          <w:color w:val="auto"/>
          <w:kern w:val="0"/>
          <w:sz w:val="24"/>
          <w:szCs w:val="24"/>
          <w:highlight w:val="none"/>
        </w:rPr>
      </w:pPr>
      <w:r>
        <w:rPr>
          <w:rFonts w:hint="eastAsia" w:ascii="宋体"/>
          <w:color w:val="auto"/>
          <w:sz w:val="24"/>
          <w:szCs w:val="24"/>
          <w:highlight w:val="none"/>
        </w:rPr>
        <w:t>说明手册应包括所有设备的装配、运行、检验、维护、零件清单、推荐的部件以及型号等方面的说明。说明手册还应包括软件总体说明、各软件设计说明等。</w:t>
      </w:r>
    </w:p>
    <w:p w14:paraId="053753B5">
      <w:pPr>
        <w:numPr>
          <w:ilvl w:val="0"/>
          <w:numId w:val="11"/>
        </w:numPr>
        <w:spacing w:line="360" w:lineRule="auto"/>
        <w:ind w:firstLine="420" w:firstLineChars="175"/>
        <w:rPr>
          <w:rFonts w:ascii="宋体"/>
          <w:color w:val="auto"/>
          <w:sz w:val="24"/>
          <w:szCs w:val="24"/>
          <w:highlight w:val="none"/>
        </w:rPr>
      </w:pPr>
      <w:r>
        <w:rPr>
          <w:rFonts w:hint="eastAsia" w:ascii="宋体"/>
          <w:color w:val="auto"/>
          <w:sz w:val="24"/>
          <w:szCs w:val="24"/>
          <w:highlight w:val="none"/>
        </w:rPr>
        <w:t>系统总体描述</w:t>
      </w:r>
    </w:p>
    <w:p w14:paraId="7ABDDBB1">
      <w:pPr>
        <w:numPr>
          <w:ilvl w:val="0"/>
          <w:numId w:val="11"/>
        </w:numPr>
        <w:spacing w:line="360" w:lineRule="auto"/>
        <w:ind w:firstLine="420" w:firstLineChars="175"/>
        <w:rPr>
          <w:rFonts w:ascii="宋体"/>
          <w:color w:val="auto"/>
          <w:sz w:val="24"/>
          <w:szCs w:val="24"/>
          <w:highlight w:val="none"/>
        </w:rPr>
      </w:pPr>
      <w:r>
        <w:rPr>
          <w:rFonts w:hint="eastAsia" w:ascii="宋体"/>
          <w:color w:val="auto"/>
          <w:sz w:val="24"/>
          <w:szCs w:val="24"/>
          <w:highlight w:val="none"/>
        </w:rPr>
        <w:t>系统的技术参数</w:t>
      </w:r>
    </w:p>
    <w:p w14:paraId="46DA4BB6">
      <w:pPr>
        <w:numPr>
          <w:ilvl w:val="0"/>
          <w:numId w:val="11"/>
        </w:numPr>
        <w:spacing w:line="360" w:lineRule="auto"/>
        <w:ind w:firstLine="420" w:firstLineChars="175"/>
        <w:rPr>
          <w:rFonts w:ascii="宋体"/>
          <w:color w:val="auto"/>
          <w:sz w:val="24"/>
          <w:szCs w:val="24"/>
          <w:highlight w:val="none"/>
        </w:rPr>
      </w:pPr>
      <w:r>
        <w:rPr>
          <w:rFonts w:hint="eastAsia" w:ascii="宋体"/>
          <w:color w:val="auto"/>
          <w:sz w:val="24"/>
          <w:szCs w:val="24"/>
          <w:highlight w:val="none"/>
        </w:rPr>
        <w:t>运行手册</w:t>
      </w:r>
    </w:p>
    <w:p w14:paraId="014762BE">
      <w:pPr>
        <w:numPr>
          <w:ilvl w:val="0"/>
          <w:numId w:val="11"/>
        </w:numPr>
        <w:spacing w:line="360" w:lineRule="auto"/>
        <w:ind w:firstLine="420" w:firstLineChars="175"/>
        <w:rPr>
          <w:rFonts w:ascii="宋体"/>
          <w:color w:val="auto"/>
          <w:sz w:val="24"/>
          <w:szCs w:val="24"/>
          <w:highlight w:val="none"/>
        </w:rPr>
      </w:pPr>
      <w:r>
        <w:rPr>
          <w:rFonts w:hint="eastAsia" w:ascii="宋体"/>
          <w:color w:val="auto"/>
          <w:sz w:val="24"/>
          <w:szCs w:val="24"/>
          <w:highlight w:val="none"/>
        </w:rPr>
        <w:t>维修手册</w:t>
      </w:r>
    </w:p>
    <w:p w14:paraId="70667917">
      <w:pPr>
        <w:numPr>
          <w:ilvl w:val="0"/>
          <w:numId w:val="11"/>
        </w:numPr>
        <w:spacing w:line="360" w:lineRule="auto"/>
        <w:ind w:firstLine="420" w:firstLineChars="175"/>
        <w:rPr>
          <w:rFonts w:ascii="宋体"/>
          <w:color w:val="auto"/>
          <w:sz w:val="24"/>
          <w:szCs w:val="24"/>
          <w:highlight w:val="none"/>
        </w:rPr>
      </w:pPr>
      <w:r>
        <w:rPr>
          <w:rFonts w:hint="eastAsia" w:ascii="宋体"/>
          <w:color w:val="auto"/>
          <w:sz w:val="24"/>
          <w:szCs w:val="24"/>
          <w:highlight w:val="none"/>
        </w:rPr>
        <w:t>装配、安装、布置说明</w:t>
      </w:r>
    </w:p>
    <w:p w14:paraId="216F173C">
      <w:pPr>
        <w:numPr>
          <w:ilvl w:val="0"/>
          <w:numId w:val="11"/>
        </w:numPr>
        <w:spacing w:line="360" w:lineRule="auto"/>
        <w:ind w:firstLine="420" w:firstLineChars="175"/>
        <w:rPr>
          <w:rFonts w:ascii="宋体"/>
          <w:color w:val="auto"/>
          <w:sz w:val="24"/>
          <w:szCs w:val="24"/>
          <w:highlight w:val="none"/>
        </w:rPr>
      </w:pPr>
      <w:r>
        <w:rPr>
          <w:rFonts w:hint="eastAsia" w:ascii="宋体"/>
          <w:color w:val="auto"/>
          <w:sz w:val="24"/>
          <w:szCs w:val="24"/>
          <w:highlight w:val="none"/>
        </w:rPr>
        <w:t>合同中全部设备之间的连接说明及合同设备与招标人设备系统之间的连接说明。</w:t>
      </w:r>
    </w:p>
    <w:p w14:paraId="605FD4A7">
      <w:pPr>
        <w:numPr>
          <w:ilvl w:val="0"/>
          <w:numId w:val="11"/>
        </w:numPr>
        <w:spacing w:line="360" w:lineRule="auto"/>
        <w:ind w:firstLine="420" w:firstLineChars="175"/>
        <w:rPr>
          <w:rFonts w:ascii="宋体"/>
          <w:color w:val="auto"/>
          <w:sz w:val="24"/>
          <w:szCs w:val="24"/>
          <w:highlight w:val="none"/>
        </w:rPr>
      </w:pPr>
      <w:r>
        <w:rPr>
          <w:rFonts w:hint="eastAsia" w:ascii="宋体"/>
          <w:color w:val="auto"/>
          <w:sz w:val="24"/>
          <w:szCs w:val="24"/>
          <w:highlight w:val="none"/>
        </w:rPr>
        <w:t>软件的总体说明。</w:t>
      </w:r>
    </w:p>
    <w:p w14:paraId="678B554E">
      <w:pPr>
        <w:numPr>
          <w:ilvl w:val="0"/>
          <w:numId w:val="11"/>
        </w:numPr>
        <w:spacing w:line="360" w:lineRule="auto"/>
        <w:ind w:firstLine="420" w:firstLineChars="175"/>
        <w:rPr>
          <w:rFonts w:ascii="宋体"/>
          <w:color w:val="auto"/>
          <w:sz w:val="24"/>
          <w:szCs w:val="24"/>
          <w:highlight w:val="none"/>
        </w:rPr>
      </w:pPr>
      <w:r>
        <w:rPr>
          <w:rFonts w:hint="eastAsia" w:ascii="宋体"/>
          <w:color w:val="auto"/>
          <w:sz w:val="24"/>
          <w:szCs w:val="24"/>
          <w:highlight w:val="none"/>
        </w:rPr>
        <w:t>全部软件功能的详细说明，以及软件的结构说明及流程图。同时，还应以磁介质或光盘方式提供两套全部软件。</w:t>
      </w:r>
    </w:p>
    <w:p w14:paraId="32F270B8">
      <w:pPr>
        <w:numPr>
          <w:ilvl w:val="0"/>
          <w:numId w:val="11"/>
        </w:numPr>
        <w:spacing w:line="360" w:lineRule="auto"/>
        <w:ind w:firstLine="420" w:firstLineChars="175"/>
        <w:rPr>
          <w:rFonts w:ascii="宋体"/>
          <w:color w:val="auto"/>
          <w:sz w:val="24"/>
          <w:szCs w:val="24"/>
          <w:highlight w:val="none"/>
        </w:rPr>
      </w:pPr>
      <w:r>
        <w:rPr>
          <w:rFonts w:hint="eastAsia" w:ascii="宋体"/>
          <w:color w:val="auto"/>
          <w:sz w:val="24"/>
          <w:szCs w:val="24"/>
          <w:highlight w:val="none"/>
        </w:rPr>
        <w:t>完整而又经确认的程序员指南手册。</w:t>
      </w:r>
    </w:p>
    <w:p w14:paraId="23DBCE97">
      <w:pPr>
        <w:keepNext/>
        <w:keepLines/>
        <w:widowControl w:val="0"/>
        <w:tabs>
          <w:tab w:val="left" w:pos="480"/>
          <w:tab w:val="left" w:pos="525"/>
        </w:tabs>
        <w:adjustRightInd w:val="0"/>
        <w:snapToGrid w:val="0"/>
        <w:spacing w:before="0" w:after="0" w:line="360" w:lineRule="auto"/>
        <w:ind w:firstLine="420" w:firstLineChars="175"/>
        <w:outlineLvl w:val="2"/>
        <w:rPr>
          <w:rFonts w:hint="eastAsia" w:ascii="宋体" w:hAnsi="宋体" w:eastAsia="宋体" w:cs="宋体"/>
          <w:b/>
          <w:bCs w:val="0"/>
          <w:color w:val="auto"/>
          <w:kern w:val="44"/>
          <w:sz w:val="28"/>
          <w:szCs w:val="28"/>
          <w:highlight w:val="none"/>
          <w:lang w:eastAsia="zh-CN"/>
        </w:rPr>
      </w:pPr>
      <w:r>
        <w:rPr>
          <w:rFonts w:hint="eastAsia" w:ascii="宋体"/>
          <w:color w:val="auto"/>
          <w:sz w:val="24"/>
          <w:szCs w:val="24"/>
          <w:highlight w:val="none"/>
        </w:rPr>
        <w:t>其他有关说明手册。</w:t>
      </w:r>
    </w:p>
    <w:p w14:paraId="28237D79">
      <w:pPr>
        <w:keepNext/>
        <w:keepLines/>
        <w:widowControl w:val="0"/>
        <w:tabs>
          <w:tab w:val="left" w:pos="480"/>
          <w:tab w:val="left" w:pos="525"/>
        </w:tabs>
        <w:adjustRightInd w:val="0"/>
        <w:snapToGrid w:val="0"/>
        <w:spacing w:before="0" w:after="0" w:line="360" w:lineRule="auto"/>
        <w:outlineLvl w:val="2"/>
        <w:rPr>
          <w:rFonts w:hint="eastAsia" w:ascii="宋体" w:hAnsi="宋体" w:eastAsia="宋体" w:cs="宋体"/>
          <w:b/>
          <w:bCs w:val="0"/>
          <w:color w:val="auto"/>
          <w:kern w:val="44"/>
          <w:sz w:val="28"/>
          <w:szCs w:val="28"/>
          <w:highlight w:val="none"/>
          <w:lang w:eastAsia="zh-CN"/>
        </w:rPr>
      </w:pPr>
    </w:p>
    <w:p w14:paraId="56D0F9C5">
      <w:pPr>
        <w:keepNext/>
        <w:keepLines/>
        <w:widowControl w:val="0"/>
        <w:tabs>
          <w:tab w:val="left" w:pos="480"/>
          <w:tab w:val="left" w:pos="525"/>
        </w:tabs>
        <w:adjustRightInd w:val="0"/>
        <w:snapToGrid w:val="0"/>
        <w:spacing w:before="0" w:after="0" w:line="360" w:lineRule="auto"/>
        <w:outlineLvl w:val="2"/>
        <w:rPr>
          <w:rFonts w:hint="eastAsia" w:ascii="宋体" w:hAnsi="宋体" w:eastAsia="宋体" w:cs="宋体"/>
          <w:b/>
          <w:bCs w:val="0"/>
          <w:color w:val="auto"/>
          <w:kern w:val="44"/>
          <w:sz w:val="28"/>
          <w:szCs w:val="28"/>
          <w:highlight w:val="none"/>
          <w:lang w:eastAsia="zh-CN"/>
        </w:rPr>
      </w:pPr>
    </w:p>
    <w:p w14:paraId="78BF83FE">
      <w:pPr>
        <w:keepNext/>
        <w:keepLines/>
        <w:widowControl w:val="0"/>
        <w:tabs>
          <w:tab w:val="left" w:pos="480"/>
          <w:tab w:val="left" w:pos="525"/>
        </w:tabs>
        <w:adjustRightInd w:val="0"/>
        <w:snapToGrid w:val="0"/>
        <w:spacing w:before="0" w:after="0" w:line="360" w:lineRule="auto"/>
        <w:outlineLvl w:val="2"/>
        <w:rPr>
          <w:rFonts w:hint="eastAsia" w:ascii="宋体" w:hAnsi="宋体" w:eastAsia="宋体" w:cs="宋体"/>
          <w:b/>
          <w:bCs w:val="0"/>
          <w:color w:val="auto"/>
          <w:kern w:val="44"/>
          <w:sz w:val="28"/>
          <w:szCs w:val="28"/>
          <w:highlight w:val="none"/>
          <w:lang w:eastAsia="zh-CN"/>
        </w:rPr>
      </w:pPr>
    </w:p>
    <w:p w14:paraId="2A7F6518">
      <w:pPr>
        <w:keepNext/>
        <w:keepLines/>
        <w:widowControl w:val="0"/>
        <w:tabs>
          <w:tab w:val="left" w:pos="480"/>
          <w:tab w:val="left" w:pos="525"/>
        </w:tabs>
        <w:adjustRightInd w:val="0"/>
        <w:snapToGrid w:val="0"/>
        <w:spacing w:before="0" w:after="0" w:line="360" w:lineRule="auto"/>
        <w:outlineLvl w:val="2"/>
        <w:rPr>
          <w:rFonts w:hint="eastAsia" w:ascii="宋体" w:hAnsi="宋体" w:eastAsia="宋体" w:cs="宋体"/>
          <w:b/>
          <w:bCs w:val="0"/>
          <w:color w:val="auto"/>
          <w:kern w:val="44"/>
          <w:sz w:val="28"/>
          <w:szCs w:val="28"/>
          <w:highlight w:val="none"/>
          <w:lang w:eastAsia="zh-CN"/>
        </w:rPr>
      </w:pPr>
    </w:p>
    <w:p w14:paraId="40BC464F">
      <w:pPr>
        <w:keepNext w:val="0"/>
        <w:keepLines w:val="0"/>
        <w:widowControl/>
        <w:adjustRightInd/>
        <w:snapToGrid/>
        <w:spacing w:before="0" w:after="0" w:line="240" w:lineRule="auto"/>
        <w:outlineLvl w:val="9"/>
        <w:rPr>
          <w:rFonts w:hint="eastAsia" w:ascii="宋体" w:hAnsi="宋体" w:eastAsia="宋体" w:cs="宋体"/>
          <w:b/>
          <w:bCs w:val="0"/>
          <w:color w:val="auto"/>
          <w:kern w:val="44"/>
          <w:sz w:val="28"/>
          <w:szCs w:val="28"/>
          <w:highlight w:val="none"/>
          <w:lang w:eastAsia="zh-CN"/>
        </w:rPr>
      </w:pPr>
      <w:r>
        <w:rPr>
          <w:rFonts w:hint="eastAsia" w:ascii="宋体" w:hAnsi="宋体" w:eastAsia="宋体" w:cs="宋体"/>
          <w:b/>
          <w:bCs w:val="0"/>
          <w:color w:val="auto"/>
          <w:kern w:val="44"/>
          <w:sz w:val="28"/>
          <w:szCs w:val="28"/>
          <w:highlight w:val="none"/>
          <w:lang w:eastAsia="zh-CN"/>
        </w:rPr>
        <w:br w:type="page"/>
      </w:r>
    </w:p>
    <w:bookmarkEnd w:id="24"/>
    <w:bookmarkEnd w:id="25"/>
    <w:p w14:paraId="7ADE43D0">
      <w:pPr>
        <w:spacing w:line="360" w:lineRule="auto"/>
        <w:outlineLvl w:val="0"/>
        <w:rPr>
          <w:rFonts w:ascii="宋体"/>
          <w:b/>
          <w:color w:val="auto"/>
          <w:sz w:val="30"/>
          <w:szCs w:val="30"/>
          <w:highlight w:val="none"/>
        </w:rPr>
      </w:pPr>
      <w:bookmarkStart w:id="29" w:name="_Toc28048"/>
      <w:bookmarkStart w:id="30" w:name="_Toc415140556"/>
      <w:r>
        <w:rPr>
          <w:rFonts w:hint="eastAsia" w:ascii="宋体"/>
          <w:b/>
          <w:color w:val="auto"/>
          <w:sz w:val="30"/>
          <w:szCs w:val="30"/>
          <w:highlight w:val="none"/>
        </w:rPr>
        <w:t>附件</w:t>
      </w:r>
      <w:r>
        <w:rPr>
          <w:rFonts w:ascii="宋体"/>
          <w:b/>
          <w:color w:val="auto"/>
          <w:sz w:val="30"/>
          <w:szCs w:val="30"/>
          <w:highlight w:val="none"/>
        </w:rPr>
        <w:t>4</w:t>
      </w:r>
      <w:r>
        <w:rPr>
          <w:rFonts w:hint="eastAsia" w:ascii="宋体"/>
          <w:b/>
          <w:color w:val="auto"/>
          <w:sz w:val="30"/>
          <w:szCs w:val="30"/>
          <w:highlight w:val="none"/>
        </w:rPr>
        <w:t>交货进度</w:t>
      </w:r>
    </w:p>
    <w:p w14:paraId="3224BA7A">
      <w:pPr>
        <w:pStyle w:val="6"/>
        <w:spacing w:line="360" w:lineRule="auto"/>
        <w:ind w:firstLine="480" w:firstLineChars="200"/>
        <w:rPr>
          <w:rFonts w:ascii="宋体" w:hAnsi="宋体"/>
          <w:color w:val="auto"/>
          <w:szCs w:val="24"/>
          <w:highlight w:val="none"/>
        </w:rPr>
      </w:pPr>
      <w:r>
        <w:rPr>
          <w:rFonts w:hint="eastAsia" w:ascii="宋体" w:hAnsi="宋体"/>
          <w:color w:val="auto"/>
          <w:szCs w:val="24"/>
          <w:highlight w:val="none"/>
        </w:rPr>
        <w:t>设备交货进度应按满足工程安装进度的要求，招标人要求的交货时间:</w:t>
      </w:r>
    </w:p>
    <w:p w14:paraId="5F746437">
      <w:pPr>
        <w:pStyle w:val="6"/>
        <w:spacing w:line="360" w:lineRule="auto"/>
        <w:ind w:firstLine="960" w:firstLineChars="400"/>
        <w:rPr>
          <w:rFonts w:ascii="宋体" w:hAnsi="宋体"/>
          <w:color w:val="auto"/>
          <w:szCs w:val="24"/>
          <w:highlight w:val="none"/>
        </w:rPr>
      </w:pPr>
      <w:r>
        <w:rPr>
          <w:rFonts w:hint="eastAsia" w:ascii="宋体" w:hAnsi="宋体"/>
          <w:color w:val="auto"/>
          <w:szCs w:val="24"/>
          <w:highlight w:val="none"/>
        </w:rPr>
        <w:t>交货进度表</w:t>
      </w:r>
      <w:r>
        <w:rPr>
          <w:rFonts w:ascii="宋体" w:hAnsi="宋体"/>
          <w:color w:val="auto"/>
          <w:szCs w:val="24"/>
          <w:highlight w:val="none"/>
        </w:rPr>
        <w:t>(</w:t>
      </w:r>
      <w:r>
        <w:rPr>
          <w:rFonts w:hint="eastAsia" w:ascii="宋体" w:hAnsi="宋体"/>
          <w:color w:val="auto"/>
          <w:szCs w:val="24"/>
          <w:highlight w:val="none"/>
        </w:rPr>
        <w:t>包括设备、备品备件、进口件及专用工具</w:t>
      </w:r>
      <w:r>
        <w:rPr>
          <w:rFonts w:ascii="宋体" w:hAnsi="宋体"/>
          <w:color w:val="auto"/>
          <w:szCs w:val="24"/>
          <w:highlight w:val="none"/>
        </w:rPr>
        <w:t>)</w:t>
      </w:r>
    </w:p>
    <w:tbl>
      <w:tblPr>
        <w:tblStyle w:val="42"/>
        <w:tblW w:w="4998" w:type="pct"/>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0" w:type="dxa"/>
          <w:left w:w="28" w:type="dxa"/>
          <w:bottom w:w="0" w:type="dxa"/>
          <w:right w:w="28" w:type="dxa"/>
        </w:tblCellMar>
      </w:tblPr>
      <w:tblGrid>
        <w:gridCol w:w="1076"/>
        <w:gridCol w:w="2879"/>
        <w:gridCol w:w="2446"/>
        <w:gridCol w:w="2327"/>
      </w:tblGrid>
      <w:tr w14:paraId="1B8EBCF3">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28" w:type="dxa"/>
          </w:tblCellMar>
        </w:tblPrEx>
        <w:trPr>
          <w:trHeight w:val="513" w:hRule="atLeast"/>
          <w:jc w:val="center"/>
        </w:trPr>
        <w:tc>
          <w:tcPr>
            <w:tcW w:w="616" w:type="pct"/>
            <w:tcBorders>
              <w:top w:val="single" w:color="auto" w:sz="6" w:space="0"/>
              <w:left w:val="single" w:color="auto" w:sz="6" w:space="0"/>
              <w:bottom w:val="single" w:color="auto" w:sz="4" w:space="0"/>
              <w:right w:val="single" w:color="auto" w:sz="6" w:space="0"/>
            </w:tcBorders>
            <w:vAlign w:val="center"/>
          </w:tcPr>
          <w:p w14:paraId="45AF9F56">
            <w:pPr>
              <w:spacing w:line="360" w:lineRule="auto"/>
              <w:jc w:val="center"/>
              <w:rPr>
                <w:snapToGrid w:val="0"/>
                <w:color w:val="auto"/>
                <w:sz w:val="24"/>
                <w:highlight w:val="none"/>
              </w:rPr>
            </w:pPr>
            <w:r>
              <w:rPr>
                <w:rFonts w:hint="eastAsia"/>
                <w:snapToGrid w:val="0"/>
                <w:color w:val="auto"/>
                <w:sz w:val="24"/>
                <w:highlight w:val="none"/>
              </w:rPr>
              <w:t>序号</w:t>
            </w:r>
          </w:p>
        </w:tc>
        <w:tc>
          <w:tcPr>
            <w:tcW w:w="1649" w:type="pct"/>
            <w:tcBorders>
              <w:top w:val="single" w:color="auto" w:sz="6" w:space="0"/>
              <w:left w:val="nil"/>
              <w:bottom w:val="single" w:color="auto" w:sz="4" w:space="0"/>
              <w:right w:val="single" w:color="auto" w:sz="6" w:space="0"/>
            </w:tcBorders>
            <w:vAlign w:val="center"/>
          </w:tcPr>
          <w:p w14:paraId="61DC8AF0">
            <w:pPr>
              <w:spacing w:line="360" w:lineRule="auto"/>
              <w:jc w:val="center"/>
              <w:rPr>
                <w:snapToGrid w:val="0"/>
                <w:color w:val="auto"/>
                <w:sz w:val="24"/>
                <w:highlight w:val="none"/>
              </w:rPr>
            </w:pPr>
            <w:r>
              <w:rPr>
                <w:rFonts w:hint="eastAsia"/>
                <w:snapToGrid w:val="0"/>
                <w:color w:val="auto"/>
                <w:sz w:val="24"/>
                <w:highlight w:val="none"/>
              </w:rPr>
              <w:t>设备</w:t>
            </w:r>
            <w:r>
              <w:rPr>
                <w:snapToGrid w:val="0"/>
                <w:color w:val="auto"/>
                <w:sz w:val="24"/>
                <w:highlight w:val="none"/>
              </w:rPr>
              <w:t>/</w:t>
            </w:r>
            <w:r>
              <w:rPr>
                <w:rFonts w:hint="eastAsia"/>
                <w:snapToGrid w:val="0"/>
                <w:color w:val="auto"/>
                <w:sz w:val="24"/>
                <w:highlight w:val="none"/>
              </w:rPr>
              <w:t>部件名称、型号</w:t>
            </w:r>
          </w:p>
        </w:tc>
        <w:tc>
          <w:tcPr>
            <w:tcW w:w="1401" w:type="pct"/>
            <w:tcBorders>
              <w:top w:val="single" w:color="auto" w:sz="6" w:space="0"/>
              <w:left w:val="nil"/>
              <w:bottom w:val="single" w:color="auto" w:sz="4" w:space="0"/>
              <w:right w:val="single" w:color="auto" w:sz="6" w:space="0"/>
            </w:tcBorders>
            <w:vAlign w:val="center"/>
          </w:tcPr>
          <w:p w14:paraId="4E658430">
            <w:pPr>
              <w:spacing w:line="360" w:lineRule="auto"/>
              <w:jc w:val="center"/>
              <w:rPr>
                <w:snapToGrid w:val="0"/>
                <w:color w:val="auto"/>
                <w:sz w:val="24"/>
                <w:highlight w:val="none"/>
              </w:rPr>
            </w:pPr>
            <w:r>
              <w:rPr>
                <w:rFonts w:hint="eastAsia"/>
                <w:snapToGrid w:val="0"/>
                <w:color w:val="auto"/>
                <w:sz w:val="24"/>
                <w:highlight w:val="none"/>
              </w:rPr>
              <w:t>交货地点</w:t>
            </w:r>
          </w:p>
        </w:tc>
        <w:tc>
          <w:tcPr>
            <w:tcW w:w="1332" w:type="pct"/>
            <w:tcBorders>
              <w:top w:val="single" w:color="auto" w:sz="6" w:space="0"/>
              <w:left w:val="nil"/>
              <w:bottom w:val="single" w:color="000000" w:sz="6" w:space="0"/>
              <w:right w:val="single" w:color="000000" w:sz="6" w:space="0"/>
            </w:tcBorders>
            <w:vAlign w:val="center"/>
          </w:tcPr>
          <w:p w14:paraId="544C9C3F">
            <w:pPr>
              <w:spacing w:line="360" w:lineRule="auto"/>
              <w:jc w:val="center"/>
              <w:rPr>
                <w:snapToGrid w:val="0"/>
                <w:color w:val="auto"/>
                <w:sz w:val="24"/>
                <w:highlight w:val="none"/>
              </w:rPr>
            </w:pPr>
            <w:r>
              <w:rPr>
                <w:rFonts w:hint="eastAsia"/>
                <w:snapToGrid w:val="0"/>
                <w:color w:val="auto"/>
                <w:sz w:val="24"/>
                <w:highlight w:val="none"/>
              </w:rPr>
              <w:t>交货时间</w:t>
            </w:r>
          </w:p>
        </w:tc>
      </w:tr>
      <w:tr w14:paraId="0AB824A6">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28" w:type="dxa"/>
          </w:tblCellMar>
        </w:tblPrEx>
        <w:trPr>
          <w:jc w:val="center"/>
        </w:trPr>
        <w:tc>
          <w:tcPr>
            <w:tcW w:w="616" w:type="pct"/>
            <w:tcBorders>
              <w:top w:val="nil"/>
              <w:left w:val="single" w:color="000000" w:sz="6" w:space="0"/>
              <w:bottom w:val="nil"/>
              <w:right w:val="single" w:color="000000" w:sz="6" w:space="0"/>
            </w:tcBorders>
            <w:vAlign w:val="center"/>
          </w:tcPr>
          <w:p w14:paraId="194CE9AD">
            <w:pPr>
              <w:spacing w:line="360" w:lineRule="auto"/>
              <w:jc w:val="center"/>
              <w:rPr>
                <w:snapToGrid w:val="0"/>
                <w:color w:val="auto"/>
                <w:sz w:val="24"/>
                <w:highlight w:val="none"/>
              </w:rPr>
            </w:pPr>
            <w:r>
              <w:rPr>
                <w:snapToGrid w:val="0"/>
                <w:color w:val="auto"/>
                <w:sz w:val="24"/>
                <w:highlight w:val="none"/>
              </w:rPr>
              <w:t>1</w:t>
            </w:r>
          </w:p>
        </w:tc>
        <w:tc>
          <w:tcPr>
            <w:tcW w:w="1649" w:type="pct"/>
            <w:tcBorders>
              <w:top w:val="nil"/>
              <w:left w:val="single" w:color="000000" w:sz="6" w:space="0"/>
              <w:bottom w:val="nil"/>
              <w:right w:val="single" w:color="000000" w:sz="6" w:space="0"/>
            </w:tcBorders>
            <w:vAlign w:val="center"/>
          </w:tcPr>
          <w:p w14:paraId="171FF847">
            <w:pPr>
              <w:spacing w:line="360" w:lineRule="auto"/>
              <w:jc w:val="center"/>
              <w:rPr>
                <w:snapToGrid w:val="0"/>
                <w:color w:val="auto"/>
                <w:sz w:val="24"/>
                <w:highlight w:val="none"/>
              </w:rPr>
            </w:pPr>
            <w:r>
              <w:rPr>
                <w:rFonts w:hint="eastAsia"/>
                <w:snapToGrid w:val="0"/>
                <w:color w:val="auto"/>
                <w:sz w:val="24"/>
                <w:highlight w:val="none"/>
              </w:rPr>
              <w:t>设备本体</w:t>
            </w:r>
          </w:p>
        </w:tc>
        <w:tc>
          <w:tcPr>
            <w:tcW w:w="1401" w:type="pct"/>
            <w:vMerge w:val="restart"/>
            <w:tcBorders>
              <w:top w:val="nil"/>
              <w:left w:val="single" w:color="000000" w:sz="6" w:space="0"/>
              <w:right w:val="single" w:color="000000" w:sz="6" w:space="0"/>
            </w:tcBorders>
            <w:vAlign w:val="center"/>
          </w:tcPr>
          <w:p w14:paraId="1B3551BB">
            <w:pPr>
              <w:rPr>
                <w:color w:val="auto"/>
                <w:highlight w:val="none"/>
              </w:rPr>
            </w:pPr>
            <w:r>
              <w:rPr>
                <w:rStyle w:val="142"/>
                <w:rFonts w:ascii="Times New Roman" w:hAnsi="Times New Roman" w:eastAsia="宋体" w:cs="Times New Roman"/>
                <w:color w:val="auto"/>
                <w:sz w:val="24"/>
                <w:highlight w:val="none"/>
              </w:rPr>
              <w:t>甘肃省武威市民勤县红砂岗镇能源化工工业集中区浙能路1号</w:t>
            </w:r>
          </w:p>
          <w:p w14:paraId="1DC9F466">
            <w:pPr>
              <w:rPr>
                <w:color w:val="auto"/>
                <w:highlight w:val="none"/>
              </w:rPr>
            </w:pPr>
          </w:p>
          <w:p w14:paraId="2AF11126">
            <w:pPr>
              <w:rPr>
                <w:color w:val="auto"/>
                <w:highlight w:val="none"/>
              </w:rPr>
            </w:pPr>
          </w:p>
          <w:p w14:paraId="31CDE0BD">
            <w:pPr>
              <w:spacing w:line="360" w:lineRule="auto"/>
              <w:jc w:val="center"/>
              <w:rPr>
                <w:snapToGrid w:val="0"/>
                <w:color w:val="auto"/>
                <w:sz w:val="24"/>
                <w:highlight w:val="none"/>
              </w:rPr>
            </w:pPr>
          </w:p>
        </w:tc>
        <w:tc>
          <w:tcPr>
            <w:tcW w:w="1332" w:type="pct"/>
            <w:vMerge w:val="restart"/>
            <w:tcBorders>
              <w:top w:val="single" w:color="000000" w:sz="6" w:space="0"/>
              <w:left w:val="single" w:color="000000" w:sz="6" w:space="0"/>
              <w:right w:val="single" w:color="000000" w:sz="6" w:space="0"/>
            </w:tcBorders>
            <w:vAlign w:val="center"/>
          </w:tcPr>
          <w:p w14:paraId="7A12062B">
            <w:pPr>
              <w:spacing w:line="360" w:lineRule="auto"/>
              <w:jc w:val="center"/>
              <w:rPr>
                <w:rFonts w:hint="default" w:eastAsia="宋体"/>
                <w:snapToGrid w:val="0"/>
                <w:color w:val="auto"/>
                <w:sz w:val="24"/>
                <w:highlight w:val="none"/>
                <w:lang w:val="en-US" w:eastAsia="zh-CN"/>
              </w:rPr>
            </w:pPr>
            <w:r>
              <w:rPr>
                <w:rFonts w:hint="eastAsia"/>
                <w:snapToGrid w:val="0"/>
                <w:color w:val="auto"/>
                <w:sz w:val="24"/>
                <w:highlight w:val="none"/>
                <w:lang w:val="en-US" w:eastAsia="zh-CN"/>
              </w:rPr>
              <w:t>2025年8月10日前</w:t>
            </w:r>
          </w:p>
        </w:tc>
      </w:tr>
      <w:tr w14:paraId="4FB497AB">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28" w:type="dxa"/>
          </w:tblCellMar>
        </w:tblPrEx>
        <w:trPr>
          <w:jc w:val="center"/>
        </w:trPr>
        <w:tc>
          <w:tcPr>
            <w:tcW w:w="616" w:type="pct"/>
            <w:tcBorders>
              <w:top w:val="single" w:color="auto" w:sz="6" w:space="0"/>
              <w:left w:val="single" w:color="000000" w:sz="6" w:space="0"/>
              <w:bottom w:val="single" w:color="auto" w:sz="6" w:space="0"/>
              <w:right w:val="single" w:color="000000" w:sz="6" w:space="0"/>
            </w:tcBorders>
            <w:vAlign w:val="center"/>
          </w:tcPr>
          <w:p w14:paraId="4FB985C8">
            <w:pPr>
              <w:spacing w:line="360" w:lineRule="auto"/>
              <w:jc w:val="center"/>
              <w:rPr>
                <w:snapToGrid w:val="0"/>
                <w:color w:val="auto"/>
                <w:sz w:val="24"/>
                <w:highlight w:val="none"/>
              </w:rPr>
            </w:pPr>
            <w:r>
              <w:rPr>
                <w:snapToGrid w:val="0"/>
                <w:color w:val="auto"/>
                <w:sz w:val="24"/>
                <w:highlight w:val="none"/>
              </w:rPr>
              <w:t>2</w:t>
            </w:r>
          </w:p>
        </w:tc>
        <w:tc>
          <w:tcPr>
            <w:tcW w:w="1649" w:type="pct"/>
            <w:tcBorders>
              <w:top w:val="single" w:color="auto" w:sz="6" w:space="0"/>
              <w:left w:val="single" w:color="000000" w:sz="6" w:space="0"/>
              <w:bottom w:val="single" w:color="auto" w:sz="6" w:space="0"/>
              <w:right w:val="single" w:color="000000" w:sz="6" w:space="0"/>
            </w:tcBorders>
            <w:vAlign w:val="center"/>
          </w:tcPr>
          <w:p w14:paraId="3732EC59">
            <w:pPr>
              <w:spacing w:line="360" w:lineRule="auto"/>
              <w:jc w:val="center"/>
              <w:rPr>
                <w:snapToGrid w:val="0"/>
                <w:color w:val="auto"/>
                <w:sz w:val="24"/>
                <w:highlight w:val="none"/>
              </w:rPr>
            </w:pPr>
            <w:r>
              <w:rPr>
                <w:rFonts w:hint="eastAsia"/>
                <w:snapToGrid w:val="0"/>
                <w:color w:val="auto"/>
                <w:sz w:val="24"/>
                <w:highlight w:val="none"/>
              </w:rPr>
              <w:t>备品备件</w:t>
            </w:r>
          </w:p>
        </w:tc>
        <w:tc>
          <w:tcPr>
            <w:tcW w:w="1401" w:type="pct"/>
            <w:vMerge w:val="continue"/>
            <w:tcBorders>
              <w:left w:val="single" w:color="000000" w:sz="6" w:space="0"/>
              <w:right w:val="single" w:color="000000" w:sz="6" w:space="0"/>
            </w:tcBorders>
            <w:vAlign w:val="center"/>
          </w:tcPr>
          <w:p w14:paraId="7316E471">
            <w:pPr>
              <w:spacing w:line="360" w:lineRule="auto"/>
              <w:jc w:val="center"/>
              <w:rPr>
                <w:snapToGrid w:val="0"/>
                <w:color w:val="auto"/>
                <w:sz w:val="24"/>
                <w:highlight w:val="none"/>
              </w:rPr>
            </w:pPr>
          </w:p>
        </w:tc>
        <w:tc>
          <w:tcPr>
            <w:tcW w:w="1332" w:type="pct"/>
            <w:vMerge w:val="continue"/>
            <w:tcBorders>
              <w:left w:val="single" w:color="000000" w:sz="6" w:space="0"/>
              <w:right w:val="single" w:color="000000" w:sz="6" w:space="0"/>
            </w:tcBorders>
            <w:vAlign w:val="center"/>
          </w:tcPr>
          <w:p w14:paraId="3B625B12">
            <w:pPr>
              <w:spacing w:line="360" w:lineRule="auto"/>
              <w:jc w:val="center"/>
              <w:rPr>
                <w:snapToGrid w:val="0"/>
                <w:color w:val="auto"/>
                <w:sz w:val="24"/>
                <w:highlight w:val="none"/>
              </w:rPr>
            </w:pPr>
          </w:p>
        </w:tc>
      </w:tr>
      <w:tr w14:paraId="3EF82374">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28" w:type="dxa"/>
          </w:tblCellMar>
        </w:tblPrEx>
        <w:trPr>
          <w:jc w:val="center"/>
        </w:trPr>
        <w:tc>
          <w:tcPr>
            <w:tcW w:w="616" w:type="pct"/>
            <w:tcBorders>
              <w:top w:val="single" w:color="auto" w:sz="6" w:space="0"/>
              <w:left w:val="single" w:color="000000" w:sz="6" w:space="0"/>
              <w:bottom w:val="single" w:color="auto" w:sz="6" w:space="0"/>
              <w:right w:val="single" w:color="000000" w:sz="6" w:space="0"/>
            </w:tcBorders>
            <w:vAlign w:val="center"/>
          </w:tcPr>
          <w:p w14:paraId="41D002D0">
            <w:pPr>
              <w:spacing w:line="360" w:lineRule="auto"/>
              <w:jc w:val="center"/>
              <w:rPr>
                <w:snapToGrid w:val="0"/>
                <w:color w:val="auto"/>
                <w:sz w:val="24"/>
                <w:highlight w:val="none"/>
              </w:rPr>
            </w:pPr>
            <w:r>
              <w:rPr>
                <w:snapToGrid w:val="0"/>
                <w:color w:val="auto"/>
                <w:sz w:val="24"/>
                <w:highlight w:val="none"/>
              </w:rPr>
              <w:t>3</w:t>
            </w:r>
          </w:p>
        </w:tc>
        <w:tc>
          <w:tcPr>
            <w:tcW w:w="1649" w:type="pct"/>
            <w:tcBorders>
              <w:top w:val="single" w:color="auto" w:sz="6" w:space="0"/>
              <w:left w:val="single" w:color="000000" w:sz="6" w:space="0"/>
              <w:bottom w:val="single" w:color="auto" w:sz="6" w:space="0"/>
              <w:right w:val="single" w:color="000000" w:sz="6" w:space="0"/>
            </w:tcBorders>
            <w:vAlign w:val="center"/>
          </w:tcPr>
          <w:p w14:paraId="17EAF827">
            <w:pPr>
              <w:spacing w:line="360" w:lineRule="auto"/>
              <w:jc w:val="center"/>
              <w:rPr>
                <w:snapToGrid w:val="0"/>
                <w:color w:val="auto"/>
                <w:sz w:val="24"/>
                <w:highlight w:val="none"/>
              </w:rPr>
            </w:pPr>
            <w:r>
              <w:rPr>
                <w:rFonts w:hint="eastAsia"/>
                <w:snapToGrid w:val="0"/>
                <w:color w:val="auto"/>
                <w:sz w:val="24"/>
                <w:highlight w:val="none"/>
              </w:rPr>
              <w:t>专用工具</w:t>
            </w:r>
          </w:p>
        </w:tc>
        <w:tc>
          <w:tcPr>
            <w:tcW w:w="1401" w:type="pct"/>
            <w:vMerge w:val="continue"/>
            <w:tcBorders>
              <w:left w:val="single" w:color="000000" w:sz="6" w:space="0"/>
              <w:right w:val="single" w:color="000000" w:sz="6" w:space="0"/>
            </w:tcBorders>
            <w:vAlign w:val="center"/>
          </w:tcPr>
          <w:p w14:paraId="6A9EE376">
            <w:pPr>
              <w:spacing w:line="360" w:lineRule="auto"/>
              <w:jc w:val="center"/>
              <w:rPr>
                <w:snapToGrid w:val="0"/>
                <w:color w:val="auto"/>
                <w:sz w:val="24"/>
                <w:highlight w:val="none"/>
              </w:rPr>
            </w:pPr>
          </w:p>
        </w:tc>
        <w:tc>
          <w:tcPr>
            <w:tcW w:w="1332" w:type="pct"/>
            <w:vMerge w:val="continue"/>
            <w:tcBorders>
              <w:left w:val="single" w:color="000000" w:sz="6" w:space="0"/>
              <w:right w:val="single" w:color="000000" w:sz="6" w:space="0"/>
            </w:tcBorders>
            <w:vAlign w:val="center"/>
          </w:tcPr>
          <w:p w14:paraId="533BD454">
            <w:pPr>
              <w:spacing w:line="360" w:lineRule="auto"/>
              <w:jc w:val="center"/>
              <w:rPr>
                <w:snapToGrid w:val="0"/>
                <w:color w:val="auto"/>
                <w:sz w:val="24"/>
                <w:highlight w:val="none"/>
              </w:rPr>
            </w:pPr>
          </w:p>
        </w:tc>
      </w:tr>
      <w:tr w14:paraId="4389379E">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28" w:type="dxa"/>
          </w:tblCellMar>
        </w:tblPrEx>
        <w:trPr>
          <w:jc w:val="center"/>
        </w:trPr>
        <w:tc>
          <w:tcPr>
            <w:tcW w:w="616" w:type="pct"/>
            <w:tcBorders>
              <w:top w:val="single" w:color="auto" w:sz="6" w:space="0"/>
              <w:left w:val="single" w:color="000000" w:sz="6" w:space="0"/>
              <w:bottom w:val="single" w:color="auto" w:sz="6" w:space="0"/>
              <w:right w:val="single" w:color="000000" w:sz="6" w:space="0"/>
            </w:tcBorders>
            <w:vAlign w:val="center"/>
          </w:tcPr>
          <w:p w14:paraId="2B15249C">
            <w:pPr>
              <w:spacing w:line="360" w:lineRule="auto"/>
              <w:jc w:val="center"/>
              <w:rPr>
                <w:snapToGrid w:val="0"/>
                <w:color w:val="auto"/>
                <w:sz w:val="24"/>
                <w:highlight w:val="none"/>
              </w:rPr>
            </w:pPr>
            <w:r>
              <w:rPr>
                <w:snapToGrid w:val="0"/>
                <w:color w:val="auto"/>
                <w:sz w:val="24"/>
                <w:highlight w:val="none"/>
              </w:rPr>
              <w:t>4</w:t>
            </w:r>
          </w:p>
        </w:tc>
        <w:tc>
          <w:tcPr>
            <w:tcW w:w="1649" w:type="pct"/>
            <w:tcBorders>
              <w:top w:val="single" w:color="auto" w:sz="6" w:space="0"/>
              <w:left w:val="single" w:color="000000" w:sz="6" w:space="0"/>
              <w:bottom w:val="single" w:color="auto" w:sz="6" w:space="0"/>
              <w:right w:val="single" w:color="000000" w:sz="6" w:space="0"/>
            </w:tcBorders>
            <w:vAlign w:val="center"/>
          </w:tcPr>
          <w:p w14:paraId="2711AB50">
            <w:pPr>
              <w:spacing w:line="360" w:lineRule="auto"/>
              <w:jc w:val="center"/>
              <w:rPr>
                <w:snapToGrid w:val="0"/>
                <w:color w:val="auto"/>
                <w:sz w:val="24"/>
                <w:highlight w:val="none"/>
              </w:rPr>
            </w:pPr>
            <w:r>
              <w:rPr>
                <w:rFonts w:hint="eastAsia"/>
                <w:snapToGrid w:val="0"/>
                <w:color w:val="auto"/>
                <w:sz w:val="24"/>
                <w:highlight w:val="none"/>
              </w:rPr>
              <w:t>其它</w:t>
            </w:r>
          </w:p>
        </w:tc>
        <w:tc>
          <w:tcPr>
            <w:tcW w:w="1401" w:type="pct"/>
            <w:vMerge w:val="continue"/>
            <w:tcBorders>
              <w:left w:val="single" w:color="000000" w:sz="6" w:space="0"/>
              <w:bottom w:val="single" w:color="auto" w:sz="6" w:space="0"/>
              <w:right w:val="single" w:color="000000" w:sz="6" w:space="0"/>
            </w:tcBorders>
            <w:vAlign w:val="center"/>
          </w:tcPr>
          <w:p w14:paraId="5B9C4E5C">
            <w:pPr>
              <w:spacing w:line="360" w:lineRule="auto"/>
              <w:jc w:val="center"/>
              <w:rPr>
                <w:snapToGrid w:val="0"/>
                <w:color w:val="auto"/>
                <w:sz w:val="24"/>
                <w:highlight w:val="none"/>
              </w:rPr>
            </w:pPr>
          </w:p>
        </w:tc>
        <w:tc>
          <w:tcPr>
            <w:tcW w:w="1332" w:type="pct"/>
            <w:vMerge w:val="continue"/>
            <w:tcBorders>
              <w:left w:val="single" w:color="000000" w:sz="6" w:space="0"/>
              <w:bottom w:val="single" w:color="000000" w:sz="6" w:space="0"/>
              <w:right w:val="single" w:color="000000" w:sz="6" w:space="0"/>
            </w:tcBorders>
            <w:vAlign w:val="center"/>
          </w:tcPr>
          <w:p w14:paraId="445ADFB4">
            <w:pPr>
              <w:spacing w:line="360" w:lineRule="auto"/>
              <w:jc w:val="center"/>
              <w:rPr>
                <w:snapToGrid w:val="0"/>
                <w:color w:val="auto"/>
                <w:sz w:val="24"/>
                <w:highlight w:val="none"/>
              </w:rPr>
            </w:pPr>
          </w:p>
        </w:tc>
      </w:tr>
    </w:tbl>
    <w:p w14:paraId="2C2E6E7A">
      <w:pPr>
        <w:autoSpaceDE w:val="0"/>
        <w:autoSpaceDN w:val="0"/>
        <w:spacing w:line="360" w:lineRule="auto"/>
        <w:textAlignment w:val="bottom"/>
        <w:rPr>
          <w:rFonts w:ascii="宋体" w:hAnsi="宋体"/>
          <w:color w:val="auto"/>
          <w:sz w:val="21"/>
          <w:szCs w:val="21"/>
          <w:highlight w:val="none"/>
        </w:rPr>
      </w:pPr>
      <w:r>
        <w:rPr>
          <w:rFonts w:hint="eastAsia" w:ascii="仿宋_GB2312" w:eastAsia="仿宋_GB2312"/>
          <w:color w:val="auto"/>
          <w:sz w:val="21"/>
          <w:szCs w:val="21"/>
          <w:highlight w:val="none"/>
          <w:lang w:val="de-DE"/>
        </w:rPr>
        <w:t>注：</w:t>
      </w:r>
      <w:r>
        <w:rPr>
          <w:rFonts w:hint="eastAsia" w:ascii="仿宋_GB2312" w:eastAsia="仿宋_GB2312"/>
          <w:color w:val="auto"/>
          <w:sz w:val="21"/>
          <w:szCs w:val="21"/>
          <w:highlight w:val="none"/>
          <w:lang w:val="en-US" w:eastAsia="zh-CN"/>
        </w:rPr>
        <w:t xml:space="preserve"> </w:t>
      </w:r>
      <w:r>
        <w:rPr>
          <w:rFonts w:hint="eastAsia" w:ascii="宋体" w:hAnsi="宋体"/>
          <w:color w:val="auto"/>
          <w:sz w:val="21"/>
          <w:szCs w:val="21"/>
          <w:highlight w:val="none"/>
        </w:rPr>
        <w:t>1）本交货时间为暂定计划，投标人承诺满足工程进度的要求。</w:t>
      </w:r>
    </w:p>
    <w:p w14:paraId="67DA8DD0">
      <w:pPr>
        <w:pStyle w:val="6"/>
        <w:spacing w:line="360" w:lineRule="auto"/>
        <w:ind w:firstLine="525" w:firstLineChars="250"/>
        <w:rPr>
          <w:rFonts w:ascii="宋体" w:hAnsi="宋体"/>
          <w:color w:val="auto"/>
          <w:sz w:val="21"/>
          <w:szCs w:val="21"/>
          <w:highlight w:val="none"/>
        </w:rPr>
      </w:pPr>
      <w:r>
        <w:rPr>
          <w:rFonts w:hint="eastAsia" w:ascii="宋体" w:hAnsi="宋体"/>
          <w:color w:val="auto"/>
          <w:sz w:val="21"/>
          <w:szCs w:val="21"/>
          <w:highlight w:val="none"/>
        </w:rPr>
        <w:t>2）如交货进度有变动，招标人提前3个月通知，投标人不产生额外费用。</w:t>
      </w:r>
    </w:p>
    <w:bookmarkEnd w:id="26"/>
    <w:bookmarkEnd w:id="27"/>
    <w:bookmarkEnd w:id="29"/>
    <w:bookmarkEnd w:id="30"/>
    <w:p w14:paraId="6426343F">
      <w:pPr>
        <w:rPr>
          <w:rFonts w:hint="eastAsia"/>
          <w:b/>
          <w:color w:val="auto"/>
          <w:sz w:val="30"/>
          <w:szCs w:val="30"/>
          <w:highlight w:val="none"/>
        </w:rPr>
      </w:pPr>
      <w:bookmarkStart w:id="31" w:name="_Toc334015524"/>
      <w:bookmarkStart w:id="32" w:name="_Toc316370449"/>
      <w:bookmarkStart w:id="33" w:name="_Toc304277669"/>
      <w:bookmarkStart w:id="34" w:name="_Toc304277656"/>
      <w:bookmarkStart w:id="35" w:name="_Toc415140557"/>
      <w:bookmarkStart w:id="36" w:name="_Toc380835214"/>
      <w:bookmarkStart w:id="37" w:name="_Toc19068"/>
      <w:r>
        <w:rPr>
          <w:rFonts w:hint="eastAsia"/>
          <w:b/>
          <w:color w:val="auto"/>
          <w:sz w:val="30"/>
          <w:szCs w:val="30"/>
          <w:highlight w:val="none"/>
        </w:rPr>
        <w:br w:type="page"/>
      </w:r>
    </w:p>
    <w:p w14:paraId="6177D038">
      <w:pPr>
        <w:pStyle w:val="181"/>
        <w:rPr>
          <w:rFonts w:hint="eastAsia" w:ascii="宋体" w:hAnsi="宋体" w:eastAsia="宋体" w:cs="宋体"/>
          <w:b/>
          <w:bCs/>
          <w:color w:val="auto"/>
          <w:sz w:val="30"/>
          <w:szCs w:val="30"/>
          <w:highlight w:val="none"/>
        </w:rPr>
      </w:pPr>
      <w:r>
        <w:rPr>
          <w:rFonts w:hint="eastAsia" w:ascii="宋体" w:hAnsi="宋体" w:eastAsia="宋体" w:cs="宋体"/>
          <w:b/>
          <w:color w:val="auto"/>
          <w:sz w:val="30"/>
          <w:szCs w:val="30"/>
          <w:highlight w:val="none"/>
        </w:rPr>
        <w:t>附件5设备监造、检查和性能验收试验</w:t>
      </w:r>
      <w:bookmarkEnd w:id="31"/>
      <w:bookmarkEnd w:id="32"/>
      <w:bookmarkEnd w:id="33"/>
      <w:bookmarkEnd w:id="34"/>
      <w:bookmarkEnd w:id="35"/>
      <w:bookmarkEnd w:id="36"/>
      <w:bookmarkEnd w:id="37"/>
    </w:p>
    <w:p w14:paraId="366BF9D2">
      <w:pPr>
        <w:keepNext/>
        <w:keepLines/>
        <w:widowControl w:val="0"/>
        <w:tabs>
          <w:tab w:val="left" w:pos="480"/>
          <w:tab w:val="left" w:pos="525"/>
        </w:tabs>
        <w:adjustRightInd w:val="0"/>
        <w:snapToGrid w:val="0"/>
        <w:spacing w:before="0" w:after="0" w:line="360" w:lineRule="auto"/>
        <w:outlineLvl w:val="2"/>
        <w:rPr>
          <w:rFonts w:hint="eastAsia" w:ascii="宋体" w:hAnsi="宋体" w:eastAsia="宋体" w:cs="宋体"/>
          <w:b/>
          <w:bCs w:val="0"/>
          <w:color w:val="auto"/>
          <w:kern w:val="44"/>
          <w:sz w:val="28"/>
          <w:szCs w:val="28"/>
          <w:highlight w:val="none"/>
          <w:lang w:eastAsia="zh-CN"/>
        </w:rPr>
      </w:pPr>
      <w:bookmarkStart w:id="38" w:name="_Toc520193300"/>
      <w:bookmarkStart w:id="39" w:name="_Toc366850270"/>
      <w:bookmarkStart w:id="40" w:name="_Toc63645259"/>
      <w:bookmarkStart w:id="41" w:name="_Toc58215126"/>
      <w:r>
        <w:rPr>
          <w:rFonts w:hint="eastAsia" w:ascii="宋体" w:hAnsi="宋体" w:eastAsia="宋体" w:cs="宋体"/>
          <w:b/>
          <w:bCs w:val="0"/>
          <w:color w:val="auto"/>
          <w:kern w:val="44"/>
          <w:sz w:val="28"/>
          <w:szCs w:val="28"/>
          <w:highlight w:val="none"/>
          <w:lang w:eastAsia="zh-CN"/>
        </w:rPr>
        <w:t>1 概述</w:t>
      </w:r>
      <w:bookmarkEnd w:id="38"/>
      <w:bookmarkEnd w:id="39"/>
      <w:bookmarkEnd w:id="40"/>
      <w:bookmarkEnd w:id="41"/>
    </w:p>
    <w:p w14:paraId="31BC869A">
      <w:pPr>
        <w:widowControl w:val="0"/>
        <w:tabs>
          <w:tab w:val="left" w:pos="600"/>
        </w:tabs>
        <w:adjustRightInd w:val="0"/>
        <w:snapToGrid w:val="0"/>
        <w:spacing w:after="0" w:line="360" w:lineRule="auto"/>
        <w:ind w:firstLine="480" w:firstLineChars="200"/>
        <w:rPr>
          <w:rFonts w:cs="Times New Roman"/>
          <w:color w:val="auto"/>
          <w:kern w:val="2"/>
          <w:sz w:val="24"/>
          <w:szCs w:val="24"/>
          <w:highlight w:val="none"/>
          <w:lang w:eastAsia="zh-CN"/>
        </w:rPr>
      </w:pPr>
      <w:r>
        <w:rPr>
          <w:rFonts w:hint="eastAsia" w:cs="Times New Roman"/>
          <w:color w:val="auto"/>
          <w:kern w:val="2"/>
          <w:sz w:val="24"/>
          <w:szCs w:val="24"/>
          <w:highlight w:val="none"/>
          <w:lang w:eastAsia="zh-CN"/>
        </w:rPr>
        <w:t>合同执行期间对投标人所提供的设备（包括对分包外购设备）进行检验、监造和性能验收试验，确保投标人所提供的设备符合技术规范规定的要求。</w:t>
      </w:r>
    </w:p>
    <w:p w14:paraId="641DFAC7">
      <w:pPr>
        <w:widowControl w:val="0"/>
        <w:tabs>
          <w:tab w:val="left" w:pos="600"/>
        </w:tabs>
        <w:adjustRightInd w:val="0"/>
        <w:snapToGrid w:val="0"/>
        <w:spacing w:after="0" w:line="360" w:lineRule="auto"/>
        <w:ind w:firstLine="480" w:firstLineChars="200"/>
        <w:rPr>
          <w:rFonts w:cs="Times New Roman"/>
          <w:color w:val="auto"/>
          <w:kern w:val="2"/>
          <w:sz w:val="24"/>
          <w:szCs w:val="24"/>
          <w:highlight w:val="none"/>
          <w:lang w:eastAsia="zh-CN"/>
        </w:rPr>
      </w:pPr>
      <w:r>
        <w:rPr>
          <w:rFonts w:hint="eastAsia" w:cs="Times New Roman"/>
          <w:color w:val="auto"/>
          <w:kern w:val="2"/>
          <w:sz w:val="24"/>
          <w:szCs w:val="24"/>
          <w:highlight w:val="none"/>
          <w:lang w:eastAsia="zh-CN"/>
        </w:rPr>
        <w:t>投标人须在合同生效后1个月内，向招标人提供与本合同设备有关的监造、检查和性能验收试验标准。有关标准须符合技术规范的规定。</w:t>
      </w:r>
    </w:p>
    <w:p w14:paraId="2DEC6D37">
      <w:pPr>
        <w:keepNext/>
        <w:keepLines/>
        <w:widowControl w:val="0"/>
        <w:tabs>
          <w:tab w:val="left" w:pos="480"/>
          <w:tab w:val="left" w:pos="525"/>
        </w:tabs>
        <w:adjustRightInd w:val="0"/>
        <w:snapToGrid w:val="0"/>
        <w:spacing w:before="0" w:after="0" w:line="360" w:lineRule="auto"/>
        <w:outlineLvl w:val="2"/>
        <w:rPr>
          <w:rFonts w:hint="eastAsia" w:ascii="宋体" w:hAnsi="宋体" w:eastAsia="宋体" w:cs="宋体"/>
          <w:b/>
          <w:bCs w:val="0"/>
          <w:color w:val="auto"/>
          <w:kern w:val="44"/>
          <w:sz w:val="28"/>
          <w:szCs w:val="28"/>
          <w:highlight w:val="none"/>
          <w:lang w:eastAsia="zh-CN"/>
        </w:rPr>
      </w:pPr>
      <w:bookmarkStart w:id="42" w:name="_Toc167544146"/>
      <w:bookmarkStart w:id="43" w:name="_Toc167538502"/>
      <w:bookmarkStart w:id="44" w:name="_Toc366850271"/>
      <w:bookmarkStart w:id="45" w:name="_Toc167188427"/>
      <w:r>
        <w:rPr>
          <w:rFonts w:hint="eastAsia" w:ascii="宋体" w:hAnsi="宋体" w:eastAsia="宋体" w:cs="宋体"/>
          <w:b/>
          <w:bCs w:val="0"/>
          <w:color w:val="auto"/>
          <w:kern w:val="44"/>
          <w:sz w:val="28"/>
          <w:szCs w:val="28"/>
          <w:highlight w:val="none"/>
          <w:lang w:eastAsia="zh-CN"/>
        </w:rPr>
        <w:t>2 工厂检查</w:t>
      </w:r>
      <w:bookmarkEnd w:id="42"/>
      <w:bookmarkEnd w:id="43"/>
      <w:bookmarkEnd w:id="44"/>
      <w:bookmarkEnd w:id="45"/>
    </w:p>
    <w:p w14:paraId="3214CAEE">
      <w:pPr>
        <w:widowControl w:val="0"/>
        <w:tabs>
          <w:tab w:val="left" w:pos="600"/>
        </w:tabs>
        <w:adjustRightInd w:val="0"/>
        <w:snapToGrid w:val="0"/>
        <w:spacing w:after="0" w:line="360" w:lineRule="auto"/>
        <w:ind w:firstLine="480" w:firstLineChars="200"/>
        <w:rPr>
          <w:rFonts w:cs="Times New Roman"/>
          <w:color w:val="auto"/>
          <w:kern w:val="2"/>
          <w:sz w:val="24"/>
          <w:szCs w:val="24"/>
          <w:highlight w:val="none"/>
          <w:lang w:eastAsia="zh-CN"/>
        </w:rPr>
      </w:pPr>
      <w:r>
        <w:rPr>
          <w:rFonts w:hint="eastAsia" w:cs="Times New Roman"/>
          <w:color w:val="auto"/>
          <w:kern w:val="2"/>
          <w:sz w:val="24"/>
          <w:szCs w:val="24"/>
          <w:highlight w:val="none"/>
          <w:lang w:eastAsia="zh-CN"/>
        </w:rPr>
        <w:t>工厂检查是质量控制的一个重要组成部分。投标人严格进行厂内各生产环节的检查和试验。投标人提供的合同设备须签发质量证明、检验记录和测试报告，并且作为交货时质量证明文件的组成部分。</w:t>
      </w:r>
    </w:p>
    <w:p w14:paraId="5CA33C89">
      <w:pPr>
        <w:widowControl w:val="0"/>
        <w:tabs>
          <w:tab w:val="left" w:pos="600"/>
        </w:tabs>
        <w:adjustRightInd w:val="0"/>
        <w:snapToGrid w:val="0"/>
        <w:spacing w:after="0" w:line="360" w:lineRule="auto"/>
        <w:ind w:firstLine="480" w:firstLineChars="200"/>
        <w:rPr>
          <w:rFonts w:cs="Times New Roman"/>
          <w:color w:val="auto"/>
          <w:kern w:val="2"/>
          <w:sz w:val="24"/>
          <w:szCs w:val="24"/>
          <w:highlight w:val="none"/>
          <w:lang w:eastAsia="zh-CN"/>
        </w:rPr>
      </w:pPr>
      <w:r>
        <w:rPr>
          <w:rFonts w:hint="eastAsia" w:cs="Times New Roman"/>
          <w:color w:val="auto"/>
          <w:kern w:val="2"/>
          <w:sz w:val="24"/>
          <w:szCs w:val="24"/>
          <w:highlight w:val="none"/>
          <w:lang w:eastAsia="zh-CN"/>
        </w:rPr>
        <w:t>检查的范围包括原材料和元器件的进厂，部件的加工、组装、试验、出厂试验。</w:t>
      </w:r>
    </w:p>
    <w:p w14:paraId="226238D6">
      <w:pPr>
        <w:widowControl w:val="0"/>
        <w:tabs>
          <w:tab w:val="left" w:pos="600"/>
        </w:tabs>
        <w:adjustRightInd w:val="0"/>
        <w:snapToGrid w:val="0"/>
        <w:spacing w:after="0" w:line="360" w:lineRule="auto"/>
        <w:ind w:firstLine="480" w:firstLineChars="200"/>
        <w:rPr>
          <w:rFonts w:cs="Times New Roman"/>
          <w:color w:val="auto"/>
          <w:kern w:val="2"/>
          <w:sz w:val="24"/>
          <w:szCs w:val="24"/>
          <w:highlight w:val="none"/>
          <w:lang w:eastAsia="zh-CN"/>
        </w:rPr>
      </w:pPr>
      <w:r>
        <w:rPr>
          <w:rFonts w:hint="eastAsia" w:cs="Times New Roman"/>
          <w:color w:val="auto"/>
          <w:kern w:val="2"/>
          <w:sz w:val="24"/>
          <w:szCs w:val="24"/>
          <w:highlight w:val="none"/>
          <w:lang w:eastAsia="zh-CN"/>
        </w:rPr>
        <w:t>在设备将要进行工厂检验及试验之前一个月，投标人应书面通知招标人具体的检验及试验的设备和内容，并在设备安装好后，投标人应指导招标人指派的人员完成验收试验。试验所用的全部测试仪器应进行常规校正，结果应由招标人检查。</w:t>
      </w:r>
    </w:p>
    <w:p w14:paraId="2E216392">
      <w:pPr>
        <w:widowControl w:val="0"/>
        <w:tabs>
          <w:tab w:val="left" w:pos="600"/>
        </w:tabs>
        <w:adjustRightInd w:val="0"/>
        <w:snapToGrid w:val="0"/>
        <w:spacing w:after="0" w:line="360" w:lineRule="auto"/>
        <w:ind w:firstLine="480" w:firstLineChars="200"/>
        <w:rPr>
          <w:rFonts w:cs="Times New Roman"/>
          <w:color w:val="auto"/>
          <w:kern w:val="2"/>
          <w:sz w:val="24"/>
          <w:szCs w:val="24"/>
          <w:highlight w:val="none"/>
          <w:lang w:eastAsia="zh-CN"/>
        </w:rPr>
      </w:pPr>
      <w:r>
        <w:rPr>
          <w:rFonts w:hint="eastAsia" w:cs="Times New Roman"/>
          <w:color w:val="auto"/>
          <w:kern w:val="2"/>
          <w:sz w:val="24"/>
          <w:szCs w:val="24"/>
          <w:highlight w:val="none"/>
          <w:lang w:eastAsia="zh-CN"/>
        </w:rPr>
        <w:t>投标人检查的结果应满足技术规范的要求，如有不符之处或达不到标准要求，投标人要采取措施处理直至满足要求，同时向招标人提交不一致性报告。</w:t>
      </w:r>
    </w:p>
    <w:p w14:paraId="78980C9E">
      <w:pPr>
        <w:widowControl w:val="0"/>
        <w:tabs>
          <w:tab w:val="left" w:pos="600"/>
        </w:tabs>
        <w:adjustRightInd w:val="0"/>
        <w:snapToGrid w:val="0"/>
        <w:spacing w:after="0" w:line="360" w:lineRule="auto"/>
        <w:ind w:firstLine="480" w:firstLineChars="200"/>
        <w:rPr>
          <w:rFonts w:cs="Times New Roman"/>
          <w:color w:val="auto"/>
          <w:kern w:val="2"/>
          <w:sz w:val="24"/>
          <w:szCs w:val="24"/>
          <w:highlight w:val="none"/>
          <w:lang w:eastAsia="zh-CN"/>
        </w:rPr>
      </w:pPr>
      <w:r>
        <w:rPr>
          <w:rFonts w:hint="eastAsia" w:cs="Times New Roman"/>
          <w:color w:val="auto"/>
          <w:kern w:val="2"/>
          <w:sz w:val="24"/>
          <w:szCs w:val="24"/>
          <w:highlight w:val="none"/>
          <w:lang w:eastAsia="zh-CN"/>
        </w:rPr>
        <w:t>投标人发生重大质量问题时须将情况及时通知招标人。</w:t>
      </w:r>
    </w:p>
    <w:p w14:paraId="4BF4E068">
      <w:pPr>
        <w:widowControl w:val="0"/>
        <w:tabs>
          <w:tab w:val="left" w:pos="600"/>
        </w:tabs>
        <w:adjustRightInd w:val="0"/>
        <w:snapToGrid w:val="0"/>
        <w:spacing w:after="0" w:line="360" w:lineRule="auto"/>
        <w:ind w:firstLine="480" w:firstLineChars="200"/>
        <w:rPr>
          <w:rFonts w:cs="Times New Roman"/>
          <w:color w:val="auto"/>
          <w:kern w:val="2"/>
          <w:sz w:val="24"/>
          <w:szCs w:val="24"/>
          <w:highlight w:val="none"/>
          <w:lang w:eastAsia="zh-CN"/>
        </w:rPr>
      </w:pPr>
      <w:r>
        <w:rPr>
          <w:rFonts w:hint="eastAsia" w:cs="Times New Roman"/>
          <w:color w:val="auto"/>
          <w:kern w:val="2"/>
          <w:sz w:val="24"/>
          <w:szCs w:val="24"/>
          <w:highlight w:val="none"/>
          <w:lang w:eastAsia="zh-CN"/>
        </w:rPr>
        <w:t>每个零部件都应进行生产厂检验测试，以便确定制造工艺和材料是否有缺欠以及设计和装配是否满足合同要求。</w:t>
      </w:r>
    </w:p>
    <w:p w14:paraId="3B86CCE6">
      <w:pPr>
        <w:widowControl w:val="0"/>
        <w:tabs>
          <w:tab w:val="left" w:pos="600"/>
        </w:tabs>
        <w:adjustRightInd w:val="0"/>
        <w:snapToGrid w:val="0"/>
        <w:spacing w:after="0" w:line="360" w:lineRule="auto"/>
        <w:ind w:firstLine="480" w:firstLineChars="200"/>
        <w:rPr>
          <w:rFonts w:cs="Times New Roman"/>
          <w:color w:val="auto"/>
          <w:kern w:val="2"/>
          <w:sz w:val="24"/>
          <w:szCs w:val="24"/>
          <w:highlight w:val="none"/>
          <w:lang w:eastAsia="zh-CN"/>
        </w:rPr>
      </w:pPr>
      <w:r>
        <w:rPr>
          <w:rFonts w:hint="eastAsia" w:cs="Times New Roman"/>
          <w:color w:val="auto"/>
          <w:kern w:val="2"/>
          <w:sz w:val="24"/>
          <w:szCs w:val="24"/>
          <w:highlight w:val="none"/>
          <w:lang w:eastAsia="zh-CN"/>
        </w:rPr>
        <w:t>工厂检验报告由投标人完成，但结果必须取得招标人的认可。</w:t>
      </w:r>
    </w:p>
    <w:p w14:paraId="55698DE8">
      <w:pPr>
        <w:keepNext/>
        <w:keepLines/>
        <w:widowControl w:val="0"/>
        <w:tabs>
          <w:tab w:val="left" w:pos="480"/>
          <w:tab w:val="left" w:pos="525"/>
        </w:tabs>
        <w:adjustRightInd w:val="0"/>
        <w:snapToGrid w:val="0"/>
        <w:spacing w:before="0" w:after="0" w:line="360" w:lineRule="auto"/>
        <w:outlineLvl w:val="2"/>
        <w:rPr>
          <w:rFonts w:hint="eastAsia" w:ascii="宋体" w:hAnsi="宋体" w:eastAsia="宋体" w:cs="宋体"/>
          <w:b/>
          <w:bCs w:val="0"/>
          <w:color w:val="auto"/>
          <w:kern w:val="44"/>
          <w:sz w:val="28"/>
          <w:szCs w:val="28"/>
          <w:highlight w:val="none"/>
          <w:lang w:eastAsia="zh-CN"/>
        </w:rPr>
      </w:pPr>
      <w:bookmarkStart w:id="46" w:name="_Toc167544147"/>
      <w:bookmarkStart w:id="47" w:name="_Toc366850272"/>
      <w:bookmarkStart w:id="48" w:name="_Toc167188428"/>
      <w:bookmarkStart w:id="49" w:name="_Toc167538503"/>
      <w:r>
        <w:rPr>
          <w:rFonts w:hint="eastAsia" w:ascii="宋体" w:hAnsi="宋体" w:eastAsia="宋体" w:cs="宋体"/>
          <w:b/>
          <w:bCs w:val="0"/>
          <w:color w:val="auto"/>
          <w:kern w:val="44"/>
          <w:sz w:val="28"/>
          <w:szCs w:val="28"/>
          <w:highlight w:val="none"/>
          <w:lang w:eastAsia="zh-CN"/>
        </w:rPr>
        <w:t>3 工厂测试</w:t>
      </w:r>
      <w:bookmarkEnd w:id="46"/>
      <w:bookmarkEnd w:id="47"/>
      <w:bookmarkEnd w:id="48"/>
      <w:bookmarkEnd w:id="49"/>
    </w:p>
    <w:p w14:paraId="63B799B0">
      <w:pPr>
        <w:widowControl w:val="0"/>
        <w:tabs>
          <w:tab w:val="left" w:pos="600"/>
        </w:tabs>
        <w:adjustRightInd w:val="0"/>
        <w:snapToGrid w:val="0"/>
        <w:spacing w:after="0" w:line="360" w:lineRule="auto"/>
        <w:ind w:firstLine="480" w:firstLineChars="200"/>
        <w:rPr>
          <w:rFonts w:cs="Times New Roman"/>
          <w:color w:val="auto"/>
          <w:kern w:val="2"/>
          <w:sz w:val="24"/>
          <w:szCs w:val="24"/>
          <w:highlight w:val="none"/>
          <w:lang w:eastAsia="zh-CN"/>
        </w:rPr>
      </w:pPr>
      <w:r>
        <w:rPr>
          <w:rFonts w:hint="eastAsia" w:cs="Times New Roman"/>
          <w:color w:val="auto"/>
          <w:kern w:val="2"/>
          <w:sz w:val="24"/>
          <w:szCs w:val="24"/>
          <w:highlight w:val="none"/>
          <w:lang w:eastAsia="zh-CN"/>
        </w:rPr>
        <w:t>投标人在制造厂按照国家相关规定的要求对设备进行运转测试。</w:t>
      </w:r>
    </w:p>
    <w:p w14:paraId="59AB1547">
      <w:pPr>
        <w:widowControl w:val="0"/>
        <w:tabs>
          <w:tab w:val="left" w:pos="600"/>
        </w:tabs>
        <w:adjustRightInd w:val="0"/>
        <w:snapToGrid w:val="0"/>
        <w:spacing w:after="0" w:line="360" w:lineRule="auto"/>
        <w:ind w:firstLine="480" w:firstLineChars="200"/>
        <w:rPr>
          <w:rFonts w:cs="Times New Roman"/>
          <w:color w:val="auto"/>
          <w:kern w:val="2"/>
          <w:sz w:val="24"/>
          <w:szCs w:val="24"/>
          <w:highlight w:val="none"/>
          <w:lang w:eastAsia="zh-CN"/>
        </w:rPr>
      </w:pPr>
      <w:r>
        <w:rPr>
          <w:rFonts w:hint="eastAsia" w:cs="Times New Roman"/>
          <w:color w:val="auto"/>
          <w:kern w:val="2"/>
          <w:sz w:val="24"/>
          <w:szCs w:val="24"/>
          <w:highlight w:val="none"/>
          <w:lang w:eastAsia="zh-CN"/>
        </w:rPr>
        <w:t>招标人有权检查产品制造过程和亲自参加设备的工厂检验。</w:t>
      </w:r>
    </w:p>
    <w:p w14:paraId="0D895DF7">
      <w:pPr>
        <w:widowControl w:val="0"/>
        <w:tabs>
          <w:tab w:val="left" w:pos="600"/>
        </w:tabs>
        <w:adjustRightInd w:val="0"/>
        <w:snapToGrid w:val="0"/>
        <w:spacing w:after="0" w:line="360" w:lineRule="auto"/>
        <w:ind w:firstLine="480" w:firstLineChars="200"/>
        <w:rPr>
          <w:rFonts w:cs="Times New Roman"/>
          <w:color w:val="auto"/>
          <w:kern w:val="2"/>
          <w:sz w:val="24"/>
          <w:szCs w:val="24"/>
          <w:highlight w:val="none"/>
          <w:lang w:eastAsia="zh-CN"/>
        </w:rPr>
      </w:pPr>
      <w:r>
        <w:rPr>
          <w:rFonts w:hint="eastAsia" w:cs="Times New Roman"/>
          <w:color w:val="auto"/>
          <w:kern w:val="2"/>
          <w:sz w:val="24"/>
          <w:szCs w:val="24"/>
          <w:highlight w:val="none"/>
          <w:lang w:eastAsia="zh-CN"/>
        </w:rPr>
        <w:t>在招标人来厂检验时，投标人应在进行工厂试验前一个月通知其日程安排，招标人在接到通知后10天内通知投标人，然后派出技术人员前往。</w:t>
      </w:r>
    </w:p>
    <w:p w14:paraId="02D18949">
      <w:pPr>
        <w:widowControl w:val="0"/>
        <w:tabs>
          <w:tab w:val="left" w:pos="600"/>
        </w:tabs>
        <w:adjustRightInd w:val="0"/>
        <w:snapToGrid w:val="0"/>
        <w:spacing w:after="0" w:line="360" w:lineRule="auto"/>
        <w:ind w:firstLine="480" w:firstLineChars="200"/>
        <w:rPr>
          <w:rFonts w:cs="Times New Roman"/>
          <w:color w:val="auto"/>
          <w:kern w:val="2"/>
          <w:sz w:val="24"/>
          <w:szCs w:val="24"/>
          <w:highlight w:val="none"/>
          <w:lang w:eastAsia="zh-CN"/>
        </w:rPr>
      </w:pPr>
      <w:r>
        <w:rPr>
          <w:rFonts w:hint="eastAsia" w:cs="Times New Roman"/>
          <w:color w:val="auto"/>
          <w:kern w:val="2"/>
          <w:sz w:val="24"/>
          <w:szCs w:val="24"/>
          <w:highlight w:val="none"/>
          <w:lang w:eastAsia="zh-CN"/>
        </w:rPr>
        <w:t>若发现任一货物的质量不符合合同规定的标准，或包装不满足要求，招标人代表有权发表意见，投标人应认真考虑其意见，并采取必要措施以确保待运合同设备的质量，现场验证检验程序由双方代表共同协商决定。若投标人在制造过程中发生可能影响设备质量的事件，都应立即如实通知招标人或招标人监造人员，并提出处理意见，征得招标人同意后才可进行下一步工作。</w:t>
      </w:r>
    </w:p>
    <w:p w14:paraId="6EA5EB10">
      <w:pPr>
        <w:widowControl w:val="0"/>
        <w:tabs>
          <w:tab w:val="left" w:pos="600"/>
        </w:tabs>
        <w:adjustRightInd w:val="0"/>
        <w:snapToGrid w:val="0"/>
        <w:spacing w:after="0" w:line="360" w:lineRule="auto"/>
        <w:ind w:firstLine="480" w:firstLineChars="200"/>
        <w:rPr>
          <w:rFonts w:cs="Times New Roman"/>
          <w:color w:val="auto"/>
          <w:kern w:val="2"/>
          <w:sz w:val="24"/>
          <w:szCs w:val="24"/>
          <w:highlight w:val="none"/>
          <w:lang w:eastAsia="zh-CN"/>
        </w:rPr>
      </w:pPr>
      <w:r>
        <w:rPr>
          <w:rFonts w:hint="eastAsia" w:cs="Times New Roman"/>
          <w:color w:val="auto"/>
          <w:kern w:val="2"/>
          <w:sz w:val="24"/>
          <w:szCs w:val="24"/>
          <w:highlight w:val="none"/>
          <w:lang w:eastAsia="zh-CN"/>
        </w:rPr>
        <w:t>若招标人不派代表参加上述试验，投标人应在接到通知后可自行组织检验，并将检验结果尽快通知并交付招标人。</w:t>
      </w:r>
    </w:p>
    <w:p w14:paraId="3C7DF64C">
      <w:pPr>
        <w:widowControl w:val="0"/>
        <w:tabs>
          <w:tab w:val="left" w:pos="600"/>
        </w:tabs>
        <w:adjustRightInd w:val="0"/>
        <w:snapToGrid w:val="0"/>
        <w:spacing w:after="0" w:line="360" w:lineRule="auto"/>
        <w:ind w:firstLine="480" w:firstLineChars="200"/>
        <w:rPr>
          <w:rFonts w:cs="Times New Roman"/>
          <w:color w:val="auto"/>
          <w:kern w:val="2"/>
          <w:sz w:val="24"/>
          <w:szCs w:val="24"/>
          <w:highlight w:val="none"/>
          <w:lang w:eastAsia="zh-CN"/>
        </w:rPr>
      </w:pPr>
      <w:r>
        <w:rPr>
          <w:rFonts w:hint="eastAsia" w:cs="Times New Roman"/>
          <w:color w:val="auto"/>
          <w:kern w:val="2"/>
          <w:sz w:val="24"/>
          <w:szCs w:val="24"/>
          <w:highlight w:val="none"/>
          <w:lang w:eastAsia="zh-CN"/>
        </w:rPr>
        <w:t>在谈判期间，投标人提出详细的检验计划供招标人确认或由招标人提出检验计划。在招标人访问工厂期间投标人应免费向招标人提供各种帮助。</w:t>
      </w:r>
    </w:p>
    <w:p w14:paraId="795F7B09">
      <w:pPr>
        <w:widowControl w:val="0"/>
        <w:tabs>
          <w:tab w:val="left" w:pos="600"/>
        </w:tabs>
        <w:adjustRightInd w:val="0"/>
        <w:snapToGrid w:val="0"/>
        <w:spacing w:after="0" w:line="360" w:lineRule="auto"/>
        <w:ind w:firstLine="480" w:firstLineChars="200"/>
        <w:rPr>
          <w:rFonts w:cs="Times New Roman"/>
          <w:color w:val="auto"/>
          <w:kern w:val="2"/>
          <w:sz w:val="24"/>
          <w:szCs w:val="24"/>
          <w:highlight w:val="none"/>
          <w:lang w:eastAsia="zh-CN"/>
        </w:rPr>
      </w:pPr>
      <w:r>
        <w:rPr>
          <w:rFonts w:hint="eastAsia" w:cs="Times New Roman"/>
          <w:color w:val="auto"/>
          <w:kern w:val="2"/>
          <w:sz w:val="24"/>
          <w:szCs w:val="24"/>
          <w:highlight w:val="none"/>
          <w:lang w:eastAsia="zh-CN"/>
        </w:rPr>
        <w:t>测试报告，投标人须向招标人提供所有测试报告包括型式试验报告。</w:t>
      </w:r>
    </w:p>
    <w:p w14:paraId="3DE8EAB1">
      <w:pPr>
        <w:keepNext/>
        <w:keepLines/>
        <w:widowControl w:val="0"/>
        <w:tabs>
          <w:tab w:val="left" w:pos="480"/>
          <w:tab w:val="left" w:pos="525"/>
        </w:tabs>
        <w:adjustRightInd w:val="0"/>
        <w:snapToGrid w:val="0"/>
        <w:spacing w:before="0" w:after="0" w:line="360" w:lineRule="auto"/>
        <w:outlineLvl w:val="2"/>
        <w:rPr>
          <w:rFonts w:hint="eastAsia" w:ascii="宋体" w:hAnsi="宋体" w:eastAsia="宋体" w:cs="宋体"/>
          <w:b/>
          <w:bCs w:val="0"/>
          <w:color w:val="auto"/>
          <w:kern w:val="44"/>
          <w:sz w:val="28"/>
          <w:szCs w:val="28"/>
          <w:highlight w:val="none"/>
          <w:lang w:eastAsia="zh-CN"/>
        </w:rPr>
      </w:pPr>
      <w:bookmarkStart w:id="50" w:name="_Toc167538504"/>
      <w:bookmarkStart w:id="51" w:name="_Toc366850273"/>
      <w:bookmarkStart w:id="52" w:name="_Toc167544148"/>
      <w:bookmarkStart w:id="53" w:name="_Toc167188429"/>
      <w:r>
        <w:rPr>
          <w:rFonts w:hint="eastAsia" w:ascii="宋体" w:hAnsi="宋体" w:eastAsia="宋体" w:cs="宋体"/>
          <w:b/>
          <w:bCs w:val="0"/>
          <w:color w:val="auto"/>
          <w:kern w:val="44"/>
          <w:sz w:val="28"/>
          <w:szCs w:val="28"/>
          <w:highlight w:val="none"/>
          <w:lang w:eastAsia="zh-CN"/>
        </w:rPr>
        <w:t>4 设备监造</w:t>
      </w:r>
      <w:bookmarkEnd w:id="50"/>
      <w:bookmarkEnd w:id="51"/>
      <w:bookmarkEnd w:id="52"/>
      <w:bookmarkEnd w:id="53"/>
    </w:p>
    <w:p w14:paraId="0261E965">
      <w:pPr>
        <w:widowControl w:val="0"/>
        <w:tabs>
          <w:tab w:val="left" w:pos="600"/>
        </w:tabs>
        <w:adjustRightInd w:val="0"/>
        <w:snapToGrid w:val="0"/>
        <w:spacing w:after="0" w:line="360" w:lineRule="auto"/>
        <w:ind w:firstLine="480" w:firstLineChars="200"/>
        <w:rPr>
          <w:rFonts w:cs="Times New Roman"/>
          <w:color w:val="auto"/>
          <w:kern w:val="2"/>
          <w:sz w:val="24"/>
          <w:szCs w:val="24"/>
          <w:highlight w:val="none"/>
          <w:lang w:eastAsia="zh-CN"/>
        </w:rPr>
      </w:pPr>
      <w:r>
        <w:rPr>
          <w:rFonts w:hint="eastAsia" w:cs="Times New Roman"/>
          <w:color w:val="auto"/>
          <w:kern w:val="2"/>
          <w:sz w:val="24"/>
          <w:szCs w:val="24"/>
          <w:highlight w:val="none"/>
          <w:lang w:eastAsia="zh-CN"/>
        </w:rPr>
        <w:t>4.1监造依据</w:t>
      </w:r>
    </w:p>
    <w:p w14:paraId="5F2F979F">
      <w:pPr>
        <w:widowControl w:val="0"/>
        <w:tabs>
          <w:tab w:val="left" w:pos="600"/>
        </w:tabs>
        <w:adjustRightInd w:val="0"/>
        <w:snapToGrid w:val="0"/>
        <w:spacing w:after="0" w:line="360" w:lineRule="auto"/>
        <w:ind w:firstLine="480" w:firstLineChars="200"/>
        <w:rPr>
          <w:rFonts w:cs="Times New Roman"/>
          <w:color w:val="auto"/>
          <w:kern w:val="2"/>
          <w:sz w:val="24"/>
          <w:szCs w:val="24"/>
          <w:highlight w:val="none"/>
          <w:lang w:eastAsia="zh-CN"/>
        </w:rPr>
      </w:pPr>
      <w:r>
        <w:rPr>
          <w:rFonts w:hint="eastAsia" w:cs="Times New Roman"/>
          <w:color w:val="auto"/>
          <w:kern w:val="2"/>
          <w:sz w:val="24"/>
          <w:szCs w:val="24"/>
          <w:highlight w:val="none"/>
          <w:lang w:eastAsia="zh-CN"/>
        </w:rPr>
        <w:t>根据原电力部机械工业部文件电办（1995）37号《大型电力设备质量监造暂行规定》和《驻大型电力设备制造厂总代表组工作条例》，以及国家有关部门规定。</w:t>
      </w:r>
    </w:p>
    <w:p w14:paraId="5FD4019F">
      <w:pPr>
        <w:widowControl w:val="0"/>
        <w:tabs>
          <w:tab w:val="left" w:pos="600"/>
        </w:tabs>
        <w:adjustRightInd w:val="0"/>
        <w:snapToGrid w:val="0"/>
        <w:spacing w:after="0" w:line="360" w:lineRule="auto"/>
        <w:ind w:firstLine="480" w:firstLineChars="200"/>
        <w:rPr>
          <w:rFonts w:cs="Times New Roman"/>
          <w:color w:val="auto"/>
          <w:kern w:val="2"/>
          <w:sz w:val="24"/>
          <w:szCs w:val="24"/>
          <w:highlight w:val="none"/>
          <w:lang w:eastAsia="zh-CN"/>
        </w:rPr>
      </w:pPr>
      <w:r>
        <w:rPr>
          <w:rFonts w:hint="eastAsia" w:cs="Times New Roman"/>
          <w:color w:val="auto"/>
          <w:kern w:val="2"/>
          <w:sz w:val="24"/>
          <w:szCs w:val="24"/>
          <w:highlight w:val="none"/>
          <w:lang w:eastAsia="zh-CN"/>
        </w:rPr>
        <w:t>4.2监造原则</w:t>
      </w:r>
    </w:p>
    <w:p w14:paraId="45FC1009">
      <w:pPr>
        <w:widowControl w:val="0"/>
        <w:tabs>
          <w:tab w:val="left" w:pos="600"/>
        </w:tabs>
        <w:adjustRightInd w:val="0"/>
        <w:snapToGrid w:val="0"/>
        <w:spacing w:after="0" w:line="360" w:lineRule="auto"/>
        <w:ind w:firstLine="480" w:firstLineChars="200"/>
        <w:rPr>
          <w:rFonts w:cs="Times New Roman"/>
          <w:color w:val="auto"/>
          <w:kern w:val="2"/>
          <w:sz w:val="24"/>
          <w:szCs w:val="24"/>
          <w:highlight w:val="none"/>
          <w:lang w:eastAsia="zh-CN"/>
        </w:rPr>
      </w:pPr>
      <w:r>
        <w:rPr>
          <w:rFonts w:hint="eastAsia" w:cs="Times New Roman"/>
          <w:color w:val="auto"/>
          <w:kern w:val="2"/>
          <w:sz w:val="24"/>
          <w:szCs w:val="24"/>
          <w:highlight w:val="none"/>
          <w:lang w:eastAsia="zh-CN"/>
        </w:rPr>
        <w:t>投标人必须确保交付产品的质量，招标人及业主有权负责设备的安装监督。投标人有配合招标人监造的义务并及时提供相关资料，并不由此发生任何费用，且须给招标人监造代表提供工作、生活方便。</w:t>
      </w:r>
    </w:p>
    <w:p w14:paraId="0DF128C4">
      <w:pPr>
        <w:widowControl w:val="0"/>
        <w:tabs>
          <w:tab w:val="left" w:pos="600"/>
        </w:tabs>
        <w:adjustRightInd w:val="0"/>
        <w:snapToGrid w:val="0"/>
        <w:spacing w:after="0" w:line="360" w:lineRule="auto"/>
        <w:ind w:firstLine="480" w:firstLineChars="200"/>
        <w:rPr>
          <w:rFonts w:cs="Times New Roman"/>
          <w:color w:val="auto"/>
          <w:kern w:val="2"/>
          <w:sz w:val="24"/>
          <w:szCs w:val="24"/>
          <w:highlight w:val="none"/>
          <w:lang w:eastAsia="zh-CN"/>
        </w:rPr>
      </w:pPr>
      <w:r>
        <w:rPr>
          <w:rFonts w:hint="eastAsia" w:cs="Times New Roman"/>
          <w:color w:val="auto"/>
          <w:kern w:val="2"/>
          <w:sz w:val="24"/>
          <w:szCs w:val="24"/>
          <w:highlight w:val="none"/>
          <w:lang w:eastAsia="zh-CN"/>
        </w:rPr>
        <w:t>投标人必须向招标人提交用于监督的图纸、控制计划、验收、合格证及指导书等，以便招标人授权；招标人监造代表有权查(借)阅与合同监造设备有关的技术资料，如招标人认为需要复印存档，投标人须提供方便。</w:t>
      </w:r>
    </w:p>
    <w:p w14:paraId="28D32305">
      <w:pPr>
        <w:widowControl w:val="0"/>
        <w:tabs>
          <w:tab w:val="left" w:pos="600"/>
        </w:tabs>
        <w:adjustRightInd w:val="0"/>
        <w:snapToGrid w:val="0"/>
        <w:spacing w:after="0" w:line="360" w:lineRule="auto"/>
        <w:ind w:firstLine="480" w:firstLineChars="200"/>
        <w:rPr>
          <w:rFonts w:cs="Times New Roman"/>
          <w:color w:val="auto"/>
          <w:kern w:val="2"/>
          <w:sz w:val="24"/>
          <w:szCs w:val="24"/>
          <w:highlight w:val="none"/>
          <w:lang w:eastAsia="zh-CN"/>
        </w:rPr>
      </w:pPr>
      <w:r>
        <w:rPr>
          <w:rFonts w:hint="eastAsia" w:cs="Times New Roman"/>
          <w:color w:val="auto"/>
          <w:kern w:val="2"/>
          <w:sz w:val="24"/>
          <w:szCs w:val="24"/>
          <w:highlight w:val="none"/>
          <w:lang w:eastAsia="zh-CN"/>
        </w:rPr>
        <w:t>投标人应提供检查和验收计划的各个控制点。对控制点，投标人应提前10天通知招标人。投标人还应制订控制点时间表，以避免拖延通知，或者必要的纠正措施。</w:t>
      </w:r>
    </w:p>
    <w:p w14:paraId="7E042C63">
      <w:pPr>
        <w:widowControl w:val="0"/>
        <w:tabs>
          <w:tab w:val="left" w:pos="600"/>
        </w:tabs>
        <w:adjustRightInd w:val="0"/>
        <w:snapToGrid w:val="0"/>
        <w:spacing w:after="0" w:line="360" w:lineRule="auto"/>
        <w:ind w:firstLine="480" w:firstLineChars="200"/>
        <w:rPr>
          <w:rFonts w:cs="Times New Roman"/>
          <w:color w:val="auto"/>
          <w:kern w:val="2"/>
          <w:sz w:val="24"/>
          <w:szCs w:val="24"/>
          <w:highlight w:val="none"/>
          <w:lang w:eastAsia="zh-CN"/>
        </w:rPr>
      </w:pPr>
      <w:r>
        <w:rPr>
          <w:rFonts w:hint="eastAsia" w:cs="Times New Roman"/>
          <w:color w:val="auto"/>
          <w:kern w:val="2"/>
          <w:sz w:val="24"/>
          <w:szCs w:val="24"/>
          <w:highlight w:val="none"/>
          <w:lang w:eastAsia="zh-CN"/>
        </w:rPr>
        <w:t>应进行制造监督，投标人的文件必须符相关标准规定，包括制造和安装期间用的材料。至少应满足中国的相关规范要求。</w:t>
      </w:r>
    </w:p>
    <w:p w14:paraId="70F21810">
      <w:pPr>
        <w:widowControl w:val="0"/>
        <w:tabs>
          <w:tab w:val="left" w:pos="600"/>
        </w:tabs>
        <w:adjustRightInd w:val="0"/>
        <w:snapToGrid w:val="0"/>
        <w:spacing w:after="0" w:line="360" w:lineRule="auto"/>
        <w:ind w:firstLine="480" w:firstLineChars="200"/>
        <w:rPr>
          <w:rFonts w:cs="Times New Roman"/>
          <w:color w:val="auto"/>
          <w:kern w:val="2"/>
          <w:sz w:val="24"/>
          <w:szCs w:val="24"/>
          <w:highlight w:val="none"/>
          <w:lang w:eastAsia="zh-CN"/>
        </w:rPr>
      </w:pPr>
      <w:r>
        <w:rPr>
          <w:rFonts w:hint="eastAsia" w:cs="Times New Roman"/>
          <w:color w:val="auto"/>
          <w:kern w:val="2"/>
          <w:sz w:val="24"/>
          <w:szCs w:val="24"/>
          <w:highlight w:val="none"/>
          <w:lang w:eastAsia="zh-CN"/>
        </w:rPr>
        <w:t>监造者有权到生产合同设备的车间和部门了解生产信息，并提出监造中发现的问题(如有)。</w:t>
      </w:r>
    </w:p>
    <w:p w14:paraId="2524D7DA">
      <w:pPr>
        <w:widowControl w:val="0"/>
        <w:tabs>
          <w:tab w:val="left" w:pos="600"/>
        </w:tabs>
        <w:adjustRightInd w:val="0"/>
        <w:snapToGrid w:val="0"/>
        <w:spacing w:after="0" w:line="360" w:lineRule="auto"/>
        <w:ind w:firstLine="480" w:firstLineChars="200"/>
        <w:rPr>
          <w:rFonts w:cs="Times New Roman"/>
          <w:color w:val="auto"/>
          <w:kern w:val="2"/>
          <w:sz w:val="24"/>
          <w:szCs w:val="24"/>
          <w:highlight w:val="none"/>
          <w:lang w:eastAsia="zh-CN"/>
        </w:rPr>
      </w:pPr>
      <w:r>
        <w:rPr>
          <w:rFonts w:hint="eastAsia" w:cs="Times New Roman"/>
          <w:color w:val="auto"/>
          <w:kern w:val="2"/>
          <w:sz w:val="24"/>
          <w:szCs w:val="24"/>
          <w:highlight w:val="none"/>
          <w:lang w:eastAsia="zh-CN"/>
        </w:rPr>
        <w:t>为避免重复验收，招标人也可参与检查清单的编制。</w:t>
      </w:r>
    </w:p>
    <w:p w14:paraId="16FED6A0">
      <w:pPr>
        <w:widowControl w:val="0"/>
        <w:tabs>
          <w:tab w:val="left" w:pos="600"/>
        </w:tabs>
        <w:adjustRightInd w:val="0"/>
        <w:snapToGrid w:val="0"/>
        <w:spacing w:after="0" w:line="360" w:lineRule="auto"/>
        <w:ind w:firstLine="480" w:firstLineChars="200"/>
        <w:rPr>
          <w:rFonts w:cs="Times New Roman"/>
          <w:color w:val="auto"/>
          <w:kern w:val="2"/>
          <w:sz w:val="24"/>
          <w:szCs w:val="24"/>
          <w:highlight w:val="none"/>
          <w:lang w:eastAsia="zh-CN"/>
        </w:rPr>
      </w:pPr>
      <w:r>
        <w:rPr>
          <w:rFonts w:hint="eastAsia" w:cs="Times New Roman"/>
          <w:color w:val="auto"/>
          <w:kern w:val="2"/>
          <w:sz w:val="24"/>
          <w:szCs w:val="24"/>
          <w:highlight w:val="none"/>
          <w:lang w:eastAsia="zh-CN"/>
        </w:rPr>
        <w:t>投标人须在见证后十天内将有关检查或试验记录或报告资料提供给招标人监造代表。</w:t>
      </w:r>
    </w:p>
    <w:p w14:paraId="771AE308">
      <w:pPr>
        <w:widowControl w:val="0"/>
        <w:tabs>
          <w:tab w:val="left" w:pos="600"/>
        </w:tabs>
        <w:adjustRightInd w:val="0"/>
        <w:snapToGrid w:val="0"/>
        <w:spacing w:after="0" w:line="360" w:lineRule="auto"/>
        <w:ind w:firstLine="480" w:firstLineChars="200"/>
        <w:rPr>
          <w:rFonts w:cs="Times New Roman"/>
          <w:color w:val="auto"/>
          <w:kern w:val="2"/>
          <w:sz w:val="24"/>
          <w:szCs w:val="24"/>
          <w:highlight w:val="none"/>
          <w:lang w:eastAsia="zh-CN"/>
        </w:rPr>
      </w:pPr>
      <w:r>
        <w:rPr>
          <w:rFonts w:hint="eastAsia" w:cs="Times New Roman"/>
          <w:color w:val="auto"/>
          <w:kern w:val="2"/>
          <w:sz w:val="24"/>
          <w:szCs w:val="24"/>
          <w:highlight w:val="none"/>
          <w:lang w:eastAsia="zh-CN"/>
        </w:rPr>
        <w:t>4.3监造范围</w:t>
      </w:r>
    </w:p>
    <w:p w14:paraId="0C183EE9">
      <w:pPr>
        <w:widowControl w:val="0"/>
        <w:tabs>
          <w:tab w:val="left" w:pos="600"/>
        </w:tabs>
        <w:adjustRightInd w:val="0"/>
        <w:snapToGrid w:val="0"/>
        <w:spacing w:after="0" w:line="360" w:lineRule="auto"/>
        <w:ind w:firstLine="480" w:firstLineChars="200"/>
        <w:rPr>
          <w:rFonts w:cs="Times New Roman"/>
          <w:color w:val="auto"/>
          <w:kern w:val="2"/>
          <w:sz w:val="24"/>
          <w:szCs w:val="24"/>
          <w:highlight w:val="none"/>
          <w:lang w:eastAsia="zh-CN"/>
        </w:rPr>
      </w:pPr>
      <w:r>
        <w:rPr>
          <w:rFonts w:hint="eastAsia" w:cs="Times New Roman"/>
          <w:color w:val="auto"/>
          <w:kern w:val="2"/>
          <w:sz w:val="24"/>
          <w:szCs w:val="24"/>
          <w:highlight w:val="none"/>
          <w:lang w:eastAsia="zh-CN"/>
        </w:rPr>
        <w:t>投标人在投标时按下表填写监造的项目。</w:t>
      </w:r>
    </w:p>
    <w:p w14:paraId="3DA71690">
      <w:pPr>
        <w:widowControl w:val="0"/>
        <w:tabs>
          <w:tab w:val="left" w:pos="600"/>
        </w:tabs>
        <w:adjustRightInd w:val="0"/>
        <w:snapToGrid w:val="0"/>
        <w:spacing w:after="0" w:line="360" w:lineRule="auto"/>
        <w:ind w:firstLine="480" w:firstLineChars="200"/>
        <w:rPr>
          <w:rFonts w:cs="Times New Roman"/>
          <w:color w:val="auto"/>
          <w:kern w:val="2"/>
          <w:sz w:val="24"/>
          <w:szCs w:val="24"/>
          <w:highlight w:val="none"/>
          <w:lang w:eastAsia="zh-CN"/>
        </w:rPr>
      </w:pPr>
      <w:r>
        <w:rPr>
          <w:rFonts w:hint="eastAsia" w:cs="Times New Roman"/>
          <w:color w:val="auto"/>
          <w:kern w:val="2"/>
          <w:sz w:val="24"/>
          <w:szCs w:val="24"/>
          <w:highlight w:val="none"/>
          <w:lang w:eastAsia="zh-CN"/>
        </w:rPr>
        <w:t>R 点：投标人应提供检验或试验记录或报告的项目，即文件见证。</w:t>
      </w:r>
    </w:p>
    <w:p w14:paraId="2F91A3F0">
      <w:pPr>
        <w:widowControl w:val="0"/>
        <w:tabs>
          <w:tab w:val="left" w:pos="600"/>
        </w:tabs>
        <w:adjustRightInd w:val="0"/>
        <w:snapToGrid w:val="0"/>
        <w:spacing w:after="0" w:line="360" w:lineRule="auto"/>
        <w:ind w:firstLine="480" w:firstLineChars="200"/>
        <w:rPr>
          <w:rFonts w:cs="Times New Roman"/>
          <w:color w:val="auto"/>
          <w:kern w:val="2"/>
          <w:sz w:val="24"/>
          <w:szCs w:val="24"/>
          <w:highlight w:val="none"/>
          <w:lang w:eastAsia="zh-CN"/>
        </w:rPr>
      </w:pPr>
      <w:r>
        <w:rPr>
          <w:rFonts w:hint="eastAsia" w:cs="Times New Roman"/>
          <w:color w:val="auto"/>
          <w:kern w:val="2"/>
          <w:sz w:val="24"/>
          <w:szCs w:val="24"/>
          <w:highlight w:val="none"/>
          <w:lang w:eastAsia="zh-CN"/>
        </w:rPr>
        <w:t>W 点：招标人监造代表参加的检验或试验项目，检验或试验后投标人提供检验或试验记录，即现场见证。</w:t>
      </w:r>
    </w:p>
    <w:p w14:paraId="42A2F376">
      <w:pPr>
        <w:widowControl w:val="0"/>
        <w:tabs>
          <w:tab w:val="left" w:pos="600"/>
        </w:tabs>
        <w:adjustRightInd w:val="0"/>
        <w:snapToGrid w:val="0"/>
        <w:spacing w:after="0" w:line="360" w:lineRule="auto"/>
        <w:ind w:firstLine="480" w:firstLineChars="200"/>
        <w:rPr>
          <w:rFonts w:cs="Times New Roman"/>
          <w:color w:val="auto"/>
          <w:kern w:val="2"/>
          <w:sz w:val="24"/>
          <w:szCs w:val="24"/>
          <w:highlight w:val="none"/>
          <w:lang w:eastAsia="zh-CN"/>
        </w:rPr>
      </w:pPr>
      <w:r>
        <w:rPr>
          <w:rFonts w:hint="eastAsia" w:cs="Times New Roman"/>
          <w:color w:val="auto"/>
          <w:kern w:val="2"/>
          <w:sz w:val="24"/>
          <w:szCs w:val="24"/>
          <w:highlight w:val="none"/>
          <w:lang w:eastAsia="zh-CN"/>
        </w:rPr>
        <w:t>H 点：投标人在进行至该点时必须停工等待招标人监造代表参加的检验或试验项目，检验或试验后投标人提供检验或试验记录，即停工待检。</w:t>
      </w:r>
    </w:p>
    <w:p w14:paraId="7B15F688">
      <w:pPr>
        <w:widowControl w:val="0"/>
        <w:tabs>
          <w:tab w:val="left" w:pos="600"/>
        </w:tabs>
        <w:adjustRightInd w:val="0"/>
        <w:snapToGrid w:val="0"/>
        <w:spacing w:after="0" w:line="360" w:lineRule="auto"/>
        <w:ind w:firstLine="480" w:firstLineChars="200"/>
        <w:rPr>
          <w:rFonts w:cs="Times New Roman"/>
          <w:color w:val="auto"/>
          <w:kern w:val="2"/>
          <w:sz w:val="24"/>
          <w:szCs w:val="24"/>
          <w:highlight w:val="none"/>
          <w:lang w:eastAsia="zh-CN"/>
        </w:rPr>
      </w:pPr>
      <w:r>
        <w:rPr>
          <w:rFonts w:hint="eastAsia" w:cs="Times New Roman"/>
          <w:color w:val="auto"/>
          <w:kern w:val="2"/>
          <w:sz w:val="24"/>
          <w:szCs w:val="24"/>
          <w:highlight w:val="none"/>
          <w:lang w:eastAsia="zh-CN"/>
        </w:rPr>
        <w:t>招标人接到质量见证通知后,应及时派代表到投标人参加现场见证。如果招标人代表不能按期参加，W点自动转为R点，但H点没有招标人书面通知同意转为R点时，投标人不得自行转入下道工序，应与招标人联系商定更改见证日期，如果更改时间后，招标人仍未按时到达，则H点自动转为R点。</w:t>
      </w:r>
    </w:p>
    <w:p w14:paraId="65CF5261">
      <w:pPr>
        <w:widowControl w:val="0"/>
        <w:tabs>
          <w:tab w:val="left" w:pos="600"/>
        </w:tabs>
        <w:adjustRightInd w:val="0"/>
        <w:snapToGrid w:val="0"/>
        <w:spacing w:after="0" w:line="360" w:lineRule="auto"/>
        <w:ind w:firstLine="480" w:firstLineChars="200"/>
        <w:rPr>
          <w:rFonts w:cs="Times New Roman"/>
          <w:color w:val="auto"/>
          <w:kern w:val="2"/>
          <w:sz w:val="24"/>
          <w:szCs w:val="24"/>
          <w:highlight w:val="none"/>
          <w:lang w:eastAsia="zh-CN"/>
        </w:rPr>
      </w:pPr>
      <w:r>
        <w:rPr>
          <w:rFonts w:hint="eastAsia" w:cs="Times New Roman"/>
          <w:color w:val="auto"/>
          <w:kern w:val="2"/>
          <w:sz w:val="24"/>
          <w:szCs w:val="24"/>
          <w:highlight w:val="none"/>
          <w:lang w:eastAsia="zh-CN"/>
        </w:rPr>
        <w:t>每次监造内容完成后，投标人和招标人监造代表均须在见证表上履行签字手续。投标人复印3份，交招标人监造代表1份。</w:t>
      </w:r>
    </w:p>
    <w:p w14:paraId="256A68C1">
      <w:pPr>
        <w:widowControl w:val="0"/>
        <w:tabs>
          <w:tab w:val="left" w:pos="600"/>
        </w:tabs>
        <w:adjustRightInd w:val="0"/>
        <w:snapToGrid w:val="0"/>
        <w:spacing w:after="0" w:line="360" w:lineRule="auto"/>
        <w:ind w:firstLine="480" w:firstLineChars="200"/>
        <w:rPr>
          <w:rFonts w:hint="eastAsia" w:cs="Times New Roman"/>
          <w:color w:val="auto"/>
          <w:kern w:val="2"/>
          <w:sz w:val="24"/>
          <w:szCs w:val="24"/>
          <w:highlight w:val="none"/>
          <w:lang w:eastAsia="zh-CN"/>
        </w:rPr>
      </w:pPr>
      <w:r>
        <w:rPr>
          <w:rFonts w:hint="eastAsia" w:cs="Times New Roman"/>
          <w:color w:val="auto"/>
          <w:kern w:val="2"/>
          <w:sz w:val="24"/>
          <w:szCs w:val="24"/>
          <w:highlight w:val="none"/>
          <w:lang w:eastAsia="zh-CN"/>
        </w:rPr>
        <w:t>监造内容见下表：（不限于此，根据需要添加或删减）</w:t>
      </w:r>
    </w:p>
    <w:tbl>
      <w:tblPr>
        <w:tblStyle w:val="42"/>
        <w:tblW w:w="0" w:type="auto"/>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628"/>
        <w:gridCol w:w="1238"/>
        <w:gridCol w:w="1802"/>
        <w:gridCol w:w="1174"/>
        <w:gridCol w:w="1174"/>
        <w:gridCol w:w="1174"/>
        <w:gridCol w:w="1174"/>
      </w:tblGrid>
      <w:tr w14:paraId="58C16B9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Pr>
        <w:tc>
          <w:tcPr>
            <w:tcW w:w="628" w:type="dxa"/>
            <w:vMerge w:val="restart"/>
            <w:tcBorders>
              <w:bottom w:val="nil"/>
            </w:tcBorders>
            <w:noWrap w:val="0"/>
            <w:vAlign w:val="center"/>
          </w:tcPr>
          <w:p w14:paraId="69761D77">
            <w:pPr>
              <w:jc w:val="center"/>
              <w:rPr>
                <w:rFonts w:ascii="宋体"/>
                <w:color w:val="auto"/>
                <w:highlight w:val="none"/>
              </w:rPr>
            </w:pPr>
            <w:r>
              <w:rPr>
                <w:rFonts w:hint="eastAsia" w:ascii="宋体"/>
                <w:color w:val="auto"/>
                <w:highlight w:val="none"/>
              </w:rPr>
              <w:t>序号</w:t>
            </w:r>
          </w:p>
        </w:tc>
        <w:tc>
          <w:tcPr>
            <w:tcW w:w="1238" w:type="dxa"/>
            <w:vMerge w:val="restart"/>
            <w:tcBorders>
              <w:bottom w:val="nil"/>
            </w:tcBorders>
            <w:noWrap w:val="0"/>
            <w:vAlign w:val="center"/>
          </w:tcPr>
          <w:p w14:paraId="2AE7CBE6">
            <w:pPr>
              <w:jc w:val="center"/>
              <w:rPr>
                <w:rFonts w:ascii="宋体"/>
                <w:color w:val="auto"/>
                <w:highlight w:val="none"/>
              </w:rPr>
            </w:pPr>
            <w:r>
              <w:rPr>
                <w:rFonts w:hint="eastAsia" w:ascii="宋体"/>
                <w:color w:val="auto"/>
                <w:highlight w:val="none"/>
              </w:rPr>
              <w:t>监造部套</w:t>
            </w:r>
          </w:p>
        </w:tc>
        <w:tc>
          <w:tcPr>
            <w:tcW w:w="1802" w:type="dxa"/>
            <w:vMerge w:val="restart"/>
            <w:tcBorders>
              <w:bottom w:val="nil"/>
            </w:tcBorders>
            <w:noWrap w:val="0"/>
            <w:vAlign w:val="center"/>
          </w:tcPr>
          <w:p w14:paraId="461D9EA9">
            <w:pPr>
              <w:jc w:val="center"/>
              <w:rPr>
                <w:rFonts w:ascii="宋体"/>
                <w:color w:val="auto"/>
                <w:highlight w:val="none"/>
              </w:rPr>
            </w:pPr>
            <w:r>
              <w:rPr>
                <w:rFonts w:hint="eastAsia" w:ascii="宋体"/>
                <w:color w:val="auto"/>
                <w:highlight w:val="none"/>
              </w:rPr>
              <w:t>监造内容</w:t>
            </w:r>
          </w:p>
        </w:tc>
        <w:tc>
          <w:tcPr>
            <w:tcW w:w="4696" w:type="dxa"/>
            <w:gridSpan w:val="4"/>
            <w:tcBorders>
              <w:right w:val="single" w:color="000000" w:sz="6" w:space="0"/>
            </w:tcBorders>
            <w:noWrap w:val="0"/>
            <w:vAlign w:val="center"/>
          </w:tcPr>
          <w:p w14:paraId="5DC88F80">
            <w:pPr>
              <w:pStyle w:val="185"/>
              <w:spacing w:line="360" w:lineRule="auto"/>
              <w:rPr>
                <w:color w:val="auto"/>
                <w:highlight w:val="none"/>
              </w:rPr>
            </w:pPr>
            <w:r>
              <w:rPr>
                <w:rFonts w:hint="eastAsia"/>
                <w:color w:val="auto"/>
                <w:highlight w:val="none"/>
              </w:rPr>
              <w:t>监造方式</w:t>
            </w:r>
          </w:p>
        </w:tc>
      </w:tr>
      <w:tr w14:paraId="292B509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Pr>
        <w:tc>
          <w:tcPr>
            <w:tcW w:w="628" w:type="dxa"/>
            <w:vMerge w:val="continue"/>
            <w:tcBorders>
              <w:top w:val="nil"/>
            </w:tcBorders>
            <w:noWrap w:val="0"/>
            <w:vAlign w:val="top"/>
          </w:tcPr>
          <w:p w14:paraId="0D3FE1AC">
            <w:pPr>
              <w:jc w:val="center"/>
              <w:rPr>
                <w:rFonts w:ascii="宋体"/>
                <w:color w:val="auto"/>
                <w:highlight w:val="none"/>
              </w:rPr>
            </w:pPr>
          </w:p>
        </w:tc>
        <w:tc>
          <w:tcPr>
            <w:tcW w:w="1238" w:type="dxa"/>
            <w:vMerge w:val="continue"/>
            <w:tcBorders>
              <w:top w:val="nil"/>
            </w:tcBorders>
            <w:noWrap w:val="0"/>
            <w:vAlign w:val="top"/>
          </w:tcPr>
          <w:p w14:paraId="0EF8B41C">
            <w:pPr>
              <w:jc w:val="center"/>
              <w:rPr>
                <w:rFonts w:ascii="宋体"/>
                <w:color w:val="auto"/>
                <w:highlight w:val="none"/>
              </w:rPr>
            </w:pPr>
          </w:p>
        </w:tc>
        <w:tc>
          <w:tcPr>
            <w:tcW w:w="1802" w:type="dxa"/>
            <w:vMerge w:val="continue"/>
            <w:tcBorders>
              <w:top w:val="nil"/>
            </w:tcBorders>
            <w:noWrap w:val="0"/>
            <w:vAlign w:val="top"/>
          </w:tcPr>
          <w:p w14:paraId="0A1D0101">
            <w:pPr>
              <w:jc w:val="center"/>
              <w:rPr>
                <w:rFonts w:ascii="宋体"/>
                <w:color w:val="auto"/>
                <w:highlight w:val="none"/>
              </w:rPr>
            </w:pPr>
          </w:p>
        </w:tc>
        <w:tc>
          <w:tcPr>
            <w:tcW w:w="1174" w:type="dxa"/>
            <w:noWrap w:val="0"/>
            <w:vAlign w:val="center"/>
          </w:tcPr>
          <w:p w14:paraId="48F5F477">
            <w:pPr>
              <w:pStyle w:val="185"/>
              <w:spacing w:line="360" w:lineRule="auto"/>
              <w:rPr>
                <w:color w:val="auto"/>
                <w:highlight w:val="none"/>
              </w:rPr>
            </w:pPr>
            <w:r>
              <w:rPr>
                <w:color w:val="auto"/>
                <w:highlight w:val="none"/>
              </w:rPr>
              <w:t>H</w:t>
            </w:r>
          </w:p>
        </w:tc>
        <w:tc>
          <w:tcPr>
            <w:tcW w:w="1174" w:type="dxa"/>
            <w:noWrap w:val="0"/>
            <w:vAlign w:val="center"/>
          </w:tcPr>
          <w:p w14:paraId="79D42479">
            <w:pPr>
              <w:jc w:val="center"/>
              <w:rPr>
                <w:rFonts w:ascii="宋体"/>
                <w:color w:val="auto"/>
                <w:highlight w:val="none"/>
              </w:rPr>
            </w:pPr>
            <w:r>
              <w:rPr>
                <w:rFonts w:ascii="宋体"/>
                <w:color w:val="auto"/>
                <w:highlight w:val="none"/>
              </w:rPr>
              <w:t>W</w:t>
            </w:r>
          </w:p>
        </w:tc>
        <w:tc>
          <w:tcPr>
            <w:tcW w:w="1174" w:type="dxa"/>
            <w:noWrap w:val="0"/>
            <w:vAlign w:val="center"/>
          </w:tcPr>
          <w:p w14:paraId="40CFA26B">
            <w:pPr>
              <w:jc w:val="center"/>
              <w:rPr>
                <w:rFonts w:ascii="宋体"/>
                <w:color w:val="auto"/>
                <w:highlight w:val="none"/>
              </w:rPr>
            </w:pPr>
            <w:r>
              <w:rPr>
                <w:rFonts w:ascii="宋体"/>
                <w:color w:val="auto"/>
                <w:highlight w:val="none"/>
              </w:rPr>
              <w:t>R</w:t>
            </w:r>
          </w:p>
        </w:tc>
        <w:tc>
          <w:tcPr>
            <w:tcW w:w="1174" w:type="dxa"/>
            <w:noWrap w:val="0"/>
            <w:vAlign w:val="center"/>
          </w:tcPr>
          <w:p w14:paraId="79AA427A">
            <w:pPr>
              <w:jc w:val="center"/>
              <w:rPr>
                <w:rFonts w:ascii="宋体"/>
                <w:color w:val="auto"/>
                <w:highlight w:val="none"/>
              </w:rPr>
            </w:pPr>
            <w:r>
              <w:rPr>
                <w:rFonts w:hint="eastAsia" w:ascii="宋体"/>
                <w:color w:val="auto"/>
                <w:highlight w:val="none"/>
              </w:rPr>
              <w:t>数量</w:t>
            </w:r>
          </w:p>
        </w:tc>
      </w:tr>
      <w:tr w14:paraId="49C7A95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628" w:type="dxa"/>
            <w:noWrap w:val="0"/>
            <w:vAlign w:val="top"/>
          </w:tcPr>
          <w:p w14:paraId="0B18412F">
            <w:pPr>
              <w:rPr>
                <w:rFonts w:ascii="宋体"/>
                <w:color w:val="auto"/>
                <w:highlight w:val="none"/>
              </w:rPr>
            </w:pPr>
          </w:p>
        </w:tc>
        <w:tc>
          <w:tcPr>
            <w:tcW w:w="1238" w:type="dxa"/>
            <w:noWrap w:val="0"/>
            <w:vAlign w:val="top"/>
          </w:tcPr>
          <w:p w14:paraId="68342B4D">
            <w:pPr>
              <w:rPr>
                <w:rFonts w:ascii="宋体"/>
                <w:color w:val="auto"/>
                <w:highlight w:val="none"/>
              </w:rPr>
            </w:pPr>
          </w:p>
        </w:tc>
        <w:tc>
          <w:tcPr>
            <w:tcW w:w="1802" w:type="dxa"/>
            <w:noWrap w:val="0"/>
            <w:vAlign w:val="top"/>
          </w:tcPr>
          <w:p w14:paraId="1BB99F22">
            <w:pPr>
              <w:rPr>
                <w:rFonts w:ascii="宋体"/>
                <w:color w:val="auto"/>
                <w:spacing w:val="5"/>
                <w:highlight w:val="none"/>
              </w:rPr>
            </w:pPr>
          </w:p>
        </w:tc>
        <w:tc>
          <w:tcPr>
            <w:tcW w:w="1174" w:type="dxa"/>
            <w:noWrap w:val="0"/>
            <w:vAlign w:val="top"/>
          </w:tcPr>
          <w:p w14:paraId="6B21C6E6">
            <w:pPr>
              <w:rPr>
                <w:rFonts w:ascii="宋体"/>
                <w:color w:val="auto"/>
                <w:highlight w:val="none"/>
              </w:rPr>
            </w:pPr>
          </w:p>
        </w:tc>
        <w:tc>
          <w:tcPr>
            <w:tcW w:w="1174" w:type="dxa"/>
            <w:noWrap w:val="0"/>
            <w:vAlign w:val="top"/>
          </w:tcPr>
          <w:p w14:paraId="5E8A1A8E">
            <w:pPr>
              <w:rPr>
                <w:rFonts w:ascii="宋体"/>
                <w:color w:val="auto"/>
                <w:highlight w:val="none"/>
              </w:rPr>
            </w:pPr>
          </w:p>
        </w:tc>
        <w:tc>
          <w:tcPr>
            <w:tcW w:w="1174" w:type="dxa"/>
            <w:noWrap w:val="0"/>
            <w:vAlign w:val="top"/>
          </w:tcPr>
          <w:p w14:paraId="110E6F6A">
            <w:pPr>
              <w:rPr>
                <w:rFonts w:ascii="宋体"/>
                <w:color w:val="auto"/>
                <w:highlight w:val="none"/>
              </w:rPr>
            </w:pPr>
          </w:p>
        </w:tc>
        <w:tc>
          <w:tcPr>
            <w:tcW w:w="1174" w:type="dxa"/>
            <w:noWrap w:val="0"/>
            <w:vAlign w:val="top"/>
          </w:tcPr>
          <w:p w14:paraId="109A6A20">
            <w:pPr>
              <w:rPr>
                <w:rFonts w:ascii="宋体"/>
                <w:color w:val="auto"/>
                <w:highlight w:val="none"/>
              </w:rPr>
            </w:pPr>
          </w:p>
        </w:tc>
      </w:tr>
      <w:tr w14:paraId="42011E3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628" w:type="dxa"/>
            <w:noWrap w:val="0"/>
            <w:vAlign w:val="top"/>
          </w:tcPr>
          <w:p w14:paraId="37E8987D">
            <w:pPr>
              <w:rPr>
                <w:rFonts w:ascii="宋体"/>
                <w:color w:val="auto"/>
                <w:highlight w:val="none"/>
              </w:rPr>
            </w:pPr>
          </w:p>
        </w:tc>
        <w:tc>
          <w:tcPr>
            <w:tcW w:w="1238" w:type="dxa"/>
            <w:noWrap w:val="0"/>
            <w:vAlign w:val="top"/>
          </w:tcPr>
          <w:p w14:paraId="4D090A0F">
            <w:pPr>
              <w:rPr>
                <w:rFonts w:ascii="宋体"/>
                <w:color w:val="auto"/>
                <w:highlight w:val="none"/>
              </w:rPr>
            </w:pPr>
          </w:p>
        </w:tc>
        <w:tc>
          <w:tcPr>
            <w:tcW w:w="1802" w:type="dxa"/>
            <w:noWrap w:val="0"/>
            <w:vAlign w:val="top"/>
          </w:tcPr>
          <w:p w14:paraId="57279572">
            <w:pPr>
              <w:rPr>
                <w:rFonts w:ascii="宋体"/>
                <w:color w:val="auto"/>
                <w:spacing w:val="5"/>
                <w:highlight w:val="none"/>
              </w:rPr>
            </w:pPr>
          </w:p>
        </w:tc>
        <w:tc>
          <w:tcPr>
            <w:tcW w:w="1174" w:type="dxa"/>
            <w:noWrap w:val="0"/>
            <w:vAlign w:val="top"/>
          </w:tcPr>
          <w:p w14:paraId="6E3BAD08">
            <w:pPr>
              <w:rPr>
                <w:rFonts w:ascii="宋体"/>
                <w:color w:val="auto"/>
                <w:highlight w:val="none"/>
              </w:rPr>
            </w:pPr>
          </w:p>
        </w:tc>
        <w:tc>
          <w:tcPr>
            <w:tcW w:w="1174" w:type="dxa"/>
            <w:noWrap w:val="0"/>
            <w:vAlign w:val="top"/>
          </w:tcPr>
          <w:p w14:paraId="43CDEB79">
            <w:pPr>
              <w:rPr>
                <w:rFonts w:ascii="宋体"/>
                <w:color w:val="auto"/>
                <w:highlight w:val="none"/>
              </w:rPr>
            </w:pPr>
          </w:p>
        </w:tc>
        <w:tc>
          <w:tcPr>
            <w:tcW w:w="1174" w:type="dxa"/>
            <w:noWrap w:val="0"/>
            <w:vAlign w:val="top"/>
          </w:tcPr>
          <w:p w14:paraId="3DD5D55B">
            <w:pPr>
              <w:rPr>
                <w:rFonts w:ascii="宋体"/>
                <w:color w:val="auto"/>
                <w:highlight w:val="none"/>
              </w:rPr>
            </w:pPr>
          </w:p>
        </w:tc>
        <w:tc>
          <w:tcPr>
            <w:tcW w:w="1174" w:type="dxa"/>
            <w:noWrap w:val="0"/>
            <w:vAlign w:val="top"/>
          </w:tcPr>
          <w:p w14:paraId="70599D91">
            <w:pPr>
              <w:rPr>
                <w:rFonts w:ascii="宋体"/>
                <w:color w:val="auto"/>
                <w:highlight w:val="none"/>
              </w:rPr>
            </w:pPr>
          </w:p>
        </w:tc>
      </w:tr>
      <w:tr w14:paraId="338F130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628" w:type="dxa"/>
            <w:noWrap w:val="0"/>
            <w:vAlign w:val="top"/>
          </w:tcPr>
          <w:p w14:paraId="3C585A71">
            <w:pPr>
              <w:rPr>
                <w:rFonts w:ascii="宋体"/>
                <w:color w:val="auto"/>
                <w:highlight w:val="none"/>
              </w:rPr>
            </w:pPr>
          </w:p>
        </w:tc>
        <w:tc>
          <w:tcPr>
            <w:tcW w:w="1238" w:type="dxa"/>
            <w:noWrap w:val="0"/>
            <w:vAlign w:val="top"/>
          </w:tcPr>
          <w:p w14:paraId="5DE6F448">
            <w:pPr>
              <w:rPr>
                <w:rFonts w:ascii="宋体"/>
                <w:color w:val="auto"/>
                <w:highlight w:val="none"/>
              </w:rPr>
            </w:pPr>
          </w:p>
        </w:tc>
        <w:tc>
          <w:tcPr>
            <w:tcW w:w="1802" w:type="dxa"/>
            <w:noWrap w:val="0"/>
            <w:vAlign w:val="top"/>
          </w:tcPr>
          <w:p w14:paraId="6932F2F5">
            <w:pPr>
              <w:rPr>
                <w:rFonts w:ascii="宋体"/>
                <w:color w:val="auto"/>
                <w:spacing w:val="5"/>
                <w:highlight w:val="none"/>
              </w:rPr>
            </w:pPr>
          </w:p>
        </w:tc>
        <w:tc>
          <w:tcPr>
            <w:tcW w:w="1174" w:type="dxa"/>
            <w:noWrap w:val="0"/>
            <w:vAlign w:val="top"/>
          </w:tcPr>
          <w:p w14:paraId="17090B7D">
            <w:pPr>
              <w:rPr>
                <w:rFonts w:ascii="宋体"/>
                <w:color w:val="auto"/>
                <w:highlight w:val="none"/>
              </w:rPr>
            </w:pPr>
          </w:p>
        </w:tc>
        <w:tc>
          <w:tcPr>
            <w:tcW w:w="1174" w:type="dxa"/>
            <w:noWrap w:val="0"/>
            <w:vAlign w:val="top"/>
          </w:tcPr>
          <w:p w14:paraId="0E5DFBBF">
            <w:pPr>
              <w:rPr>
                <w:rFonts w:ascii="宋体"/>
                <w:color w:val="auto"/>
                <w:highlight w:val="none"/>
              </w:rPr>
            </w:pPr>
          </w:p>
        </w:tc>
        <w:tc>
          <w:tcPr>
            <w:tcW w:w="1174" w:type="dxa"/>
            <w:noWrap w:val="0"/>
            <w:vAlign w:val="top"/>
          </w:tcPr>
          <w:p w14:paraId="75B6C5AF">
            <w:pPr>
              <w:rPr>
                <w:rFonts w:ascii="宋体"/>
                <w:color w:val="auto"/>
                <w:highlight w:val="none"/>
              </w:rPr>
            </w:pPr>
          </w:p>
        </w:tc>
        <w:tc>
          <w:tcPr>
            <w:tcW w:w="1174" w:type="dxa"/>
            <w:noWrap w:val="0"/>
            <w:vAlign w:val="top"/>
          </w:tcPr>
          <w:p w14:paraId="65E15BC5">
            <w:pPr>
              <w:rPr>
                <w:rFonts w:ascii="宋体"/>
                <w:color w:val="auto"/>
                <w:highlight w:val="none"/>
              </w:rPr>
            </w:pPr>
          </w:p>
        </w:tc>
      </w:tr>
      <w:tr w14:paraId="1D719EF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8364" w:type="dxa"/>
            <w:gridSpan w:val="7"/>
            <w:noWrap w:val="0"/>
            <w:vAlign w:val="top"/>
          </w:tcPr>
          <w:p w14:paraId="5B949EBC">
            <w:pPr>
              <w:rPr>
                <w:rFonts w:ascii="宋体"/>
                <w:color w:val="auto"/>
                <w:highlight w:val="none"/>
              </w:rPr>
            </w:pPr>
            <w:r>
              <w:rPr>
                <w:rFonts w:hint="eastAsia" w:ascii="宋体"/>
                <w:color w:val="auto"/>
                <w:highlight w:val="none"/>
              </w:rPr>
              <w:t>注：</w:t>
            </w:r>
            <w:r>
              <w:rPr>
                <w:rFonts w:ascii="宋体"/>
                <w:color w:val="auto"/>
                <w:highlight w:val="none"/>
              </w:rPr>
              <w:t>H</w:t>
            </w:r>
            <w:r>
              <w:rPr>
                <w:rFonts w:hint="eastAsia" w:ascii="宋体"/>
                <w:color w:val="auto"/>
                <w:highlight w:val="none"/>
              </w:rPr>
              <w:t>—停工待检，</w:t>
            </w:r>
            <w:r>
              <w:rPr>
                <w:rFonts w:ascii="宋体"/>
                <w:color w:val="auto"/>
                <w:highlight w:val="none"/>
              </w:rPr>
              <w:t>W</w:t>
            </w:r>
            <w:r>
              <w:rPr>
                <w:rFonts w:hint="eastAsia" w:ascii="宋体"/>
                <w:color w:val="auto"/>
                <w:highlight w:val="none"/>
              </w:rPr>
              <w:t>—现场见证，</w:t>
            </w:r>
            <w:r>
              <w:rPr>
                <w:rFonts w:ascii="宋体"/>
                <w:color w:val="auto"/>
                <w:highlight w:val="none"/>
              </w:rPr>
              <w:t>R</w:t>
            </w:r>
            <w:r>
              <w:rPr>
                <w:rFonts w:hint="eastAsia" w:ascii="宋体"/>
                <w:color w:val="auto"/>
                <w:highlight w:val="none"/>
              </w:rPr>
              <w:t>—文件见证，数量—检验数量</w:t>
            </w:r>
          </w:p>
        </w:tc>
      </w:tr>
    </w:tbl>
    <w:p w14:paraId="3A1AEEA9">
      <w:pPr>
        <w:keepNext/>
        <w:keepLines/>
        <w:widowControl w:val="0"/>
        <w:tabs>
          <w:tab w:val="left" w:pos="480"/>
          <w:tab w:val="left" w:pos="525"/>
        </w:tabs>
        <w:adjustRightInd w:val="0"/>
        <w:snapToGrid w:val="0"/>
        <w:spacing w:before="0" w:after="0" w:line="360" w:lineRule="auto"/>
        <w:outlineLvl w:val="2"/>
        <w:rPr>
          <w:rFonts w:hint="eastAsia" w:ascii="宋体" w:hAnsi="宋体" w:eastAsia="宋体" w:cs="宋体"/>
          <w:b/>
          <w:bCs w:val="0"/>
          <w:color w:val="auto"/>
          <w:kern w:val="44"/>
          <w:sz w:val="28"/>
          <w:szCs w:val="28"/>
          <w:highlight w:val="none"/>
          <w:lang w:eastAsia="zh-CN"/>
        </w:rPr>
      </w:pPr>
      <w:bookmarkStart w:id="54" w:name="_Toc366850274"/>
      <w:r>
        <w:rPr>
          <w:rFonts w:hint="eastAsia" w:ascii="宋体" w:hAnsi="宋体" w:eastAsia="宋体" w:cs="宋体"/>
          <w:b/>
          <w:bCs w:val="0"/>
          <w:color w:val="auto"/>
          <w:kern w:val="44"/>
          <w:sz w:val="28"/>
          <w:szCs w:val="28"/>
          <w:highlight w:val="none"/>
          <w:lang w:eastAsia="zh-CN"/>
        </w:rPr>
        <w:t>5 设备试验</w:t>
      </w:r>
      <w:bookmarkEnd w:id="54"/>
    </w:p>
    <w:p w14:paraId="3713B2AF">
      <w:pPr>
        <w:widowControl w:val="0"/>
        <w:tabs>
          <w:tab w:val="left" w:pos="600"/>
        </w:tabs>
        <w:adjustRightInd w:val="0"/>
        <w:snapToGrid w:val="0"/>
        <w:spacing w:after="0" w:line="360" w:lineRule="auto"/>
        <w:ind w:firstLine="480" w:firstLineChars="200"/>
        <w:rPr>
          <w:rFonts w:cs="Times New Roman"/>
          <w:color w:val="auto"/>
          <w:kern w:val="2"/>
          <w:sz w:val="24"/>
          <w:szCs w:val="24"/>
          <w:highlight w:val="none"/>
          <w:lang w:eastAsia="zh-CN"/>
        </w:rPr>
      </w:pPr>
      <w:r>
        <w:rPr>
          <w:rFonts w:hint="eastAsia" w:cs="Times New Roman"/>
          <w:color w:val="auto"/>
          <w:kern w:val="2"/>
          <w:sz w:val="24"/>
          <w:szCs w:val="24"/>
          <w:highlight w:val="none"/>
          <w:lang w:eastAsia="zh-CN"/>
        </w:rPr>
        <w:t>5.1 质量保证</w:t>
      </w:r>
    </w:p>
    <w:p w14:paraId="5399A7DD">
      <w:pPr>
        <w:widowControl w:val="0"/>
        <w:tabs>
          <w:tab w:val="left" w:pos="600"/>
        </w:tabs>
        <w:adjustRightInd w:val="0"/>
        <w:snapToGrid w:val="0"/>
        <w:spacing w:after="0" w:line="360" w:lineRule="auto"/>
        <w:ind w:firstLine="480" w:firstLineChars="200"/>
        <w:rPr>
          <w:rFonts w:cs="Times New Roman"/>
          <w:color w:val="auto"/>
          <w:kern w:val="2"/>
          <w:sz w:val="24"/>
          <w:szCs w:val="24"/>
          <w:highlight w:val="none"/>
          <w:lang w:eastAsia="zh-CN"/>
        </w:rPr>
      </w:pPr>
      <w:r>
        <w:rPr>
          <w:rFonts w:hint="eastAsia" w:cs="Times New Roman"/>
          <w:color w:val="auto"/>
          <w:kern w:val="2"/>
          <w:sz w:val="24"/>
          <w:szCs w:val="24"/>
          <w:highlight w:val="none"/>
          <w:lang w:eastAsia="zh-CN"/>
        </w:rPr>
        <w:t>5.1.1 订购的新产品除应满足本规范书外，投标人还应提供产品的鉴定证书。</w:t>
      </w:r>
    </w:p>
    <w:p w14:paraId="09A05189">
      <w:pPr>
        <w:widowControl w:val="0"/>
        <w:tabs>
          <w:tab w:val="left" w:pos="600"/>
        </w:tabs>
        <w:adjustRightInd w:val="0"/>
        <w:snapToGrid w:val="0"/>
        <w:spacing w:after="0" w:line="360" w:lineRule="auto"/>
        <w:ind w:firstLine="480" w:firstLineChars="200"/>
        <w:rPr>
          <w:rFonts w:cs="Times New Roman"/>
          <w:color w:val="auto"/>
          <w:kern w:val="2"/>
          <w:sz w:val="24"/>
          <w:szCs w:val="24"/>
          <w:highlight w:val="none"/>
          <w:lang w:eastAsia="zh-CN"/>
        </w:rPr>
      </w:pPr>
      <w:r>
        <w:rPr>
          <w:rFonts w:hint="eastAsia" w:cs="Times New Roman"/>
          <w:color w:val="auto"/>
          <w:kern w:val="2"/>
          <w:sz w:val="24"/>
          <w:szCs w:val="24"/>
          <w:highlight w:val="none"/>
          <w:lang w:eastAsia="zh-CN"/>
        </w:rPr>
        <w:t>5.1.2 投标人应保证制造过程中的所有工艺、材料等（包括投标人的外购件在内）均应符合规范书的规定。若招标人根据运行经验指定投标人提供某种外购零部件，投标人应积极配合。</w:t>
      </w:r>
    </w:p>
    <w:p w14:paraId="6EE1DAEB">
      <w:pPr>
        <w:widowControl w:val="0"/>
        <w:tabs>
          <w:tab w:val="left" w:pos="600"/>
        </w:tabs>
        <w:adjustRightInd w:val="0"/>
        <w:snapToGrid w:val="0"/>
        <w:spacing w:after="0" w:line="360" w:lineRule="auto"/>
        <w:ind w:firstLine="480" w:firstLineChars="200"/>
        <w:rPr>
          <w:rFonts w:cs="Times New Roman"/>
          <w:color w:val="auto"/>
          <w:kern w:val="2"/>
          <w:sz w:val="24"/>
          <w:szCs w:val="24"/>
          <w:highlight w:val="none"/>
          <w:lang w:eastAsia="zh-CN"/>
        </w:rPr>
      </w:pPr>
      <w:r>
        <w:rPr>
          <w:rFonts w:hint="eastAsia" w:cs="Times New Roman"/>
          <w:color w:val="auto"/>
          <w:kern w:val="2"/>
          <w:sz w:val="24"/>
          <w:szCs w:val="24"/>
          <w:highlight w:val="none"/>
          <w:lang w:eastAsia="zh-CN"/>
        </w:rPr>
        <w:t>5.1.3 投标人应遵守本规范书中各条款和工作项目的ISO900   GB/T1900_1_质量保证体系，该质量保证体系经过国家认证和正常运转。</w:t>
      </w:r>
    </w:p>
    <w:p w14:paraId="59A5427E">
      <w:pPr>
        <w:widowControl w:val="0"/>
        <w:tabs>
          <w:tab w:val="left" w:pos="600"/>
        </w:tabs>
        <w:adjustRightInd w:val="0"/>
        <w:snapToGrid w:val="0"/>
        <w:spacing w:after="0" w:line="360" w:lineRule="auto"/>
        <w:ind w:firstLine="480" w:firstLineChars="200"/>
        <w:rPr>
          <w:rFonts w:cs="Times New Roman"/>
          <w:color w:val="auto"/>
          <w:kern w:val="2"/>
          <w:sz w:val="24"/>
          <w:szCs w:val="24"/>
          <w:highlight w:val="none"/>
          <w:lang w:eastAsia="zh-CN"/>
        </w:rPr>
      </w:pPr>
      <w:r>
        <w:rPr>
          <w:rFonts w:hint="eastAsia" w:cs="Times New Roman"/>
          <w:color w:val="auto"/>
          <w:kern w:val="2"/>
          <w:sz w:val="24"/>
          <w:szCs w:val="24"/>
          <w:highlight w:val="none"/>
          <w:lang w:eastAsia="zh-CN"/>
        </w:rPr>
        <w:t>5.2 试验条件</w:t>
      </w:r>
    </w:p>
    <w:p w14:paraId="06B9DE31">
      <w:pPr>
        <w:widowControl w:val="0"/>
        <w:tabs>
          <w:tab w:val="left" w:pos="600"/>
        </w:tabs>
        <w:adjustRightInd w:val="0"/>
        <w:snapToGrid w:val="0"/>
        <w:spacing w:after="0" w:line="360" w:lineRule="auto"/>
        <w:ind w:firstLine="480" w:firstLineChars="200"/>
        <w:rPr>
          <w:rFonts w:cs="Times New Roman"/>
          <w:color w:val="auto"/>
          <w:kern w:val="2"/>
          <w:sz w:val="24"/>
          <w:szCs w:val="24"/>
          <w:highlight w:val="none"/>
          <w:lang w:eastAsia="zh-CN"/>
        </w:rPr>
      </w:pPr>
      <w:r>
        <w:rPr>
          <w:rFonts w:hint="eastAsia" w:cs="Times New Roman"/>
          <w:color w:val="auto"/>
          <w:kern w:val="2"/>
          <w:sz w:val="24"/>
          <w:szCs w:val="24"/>
          <w:highlight w:val="none"/>
          <w:lang w:eastAsia="zh-CN"/>
        </w:rPr>
        <w:t>5.2.1 除另有规定外，各项试验均应在规定的试验的标准大气条件下进行。</w:t>
      </w:r>
    </w:p>
    <w:p w14:paraId="6C822F78">
      <w:pPr>
        <w:widowControl w:val="0"/>
        <w:tabs>
          <w:tab w:val="left" w:pos="600"/>
        </w:tabs>
        <w:adjustRightInd w:val="0"/>
        <w:snapToGrid w:val="0"/>
        <w:spacing w:after="0" w:line="360" w:lineRule="auto"/>
        <w:ind w:firstLine="480" w:firstLineChars="200"/>
        <w:rPr>
          <w:rFonts w:cs="Times New Roman"/>
          <w:color w:val="auto"/>
          <w:kern w:val="2"/>
          <w:sz w:val="24"/>
          <w:szCs w:val="24"/>
          <w:highlight w:val="none"/>
          <w:lang w:eastAsia="zh-CN"/>
        </w:rPr>
      </w:pPr>
      <w:r>
        <w:rPr>
          <w:rFonts w:hint="eastAsia" w:cs="Times New Roman"/>
          <w:color w:val="auto"/>
          <w:kern w:val="2"/>
          <w:sz w:val="24"/>
          <w:szCs w:val="24"/>
          <w:highlight w:val="none"/>
          <w:lang w:eastAsia="zh-CN"/>
        </w:rPr>
        <w:t>5.2.2 被试验装置和测试仪表必须良好接地，并考虑周围环境电磁干扰对测试结果的影响。</w:t>
      </w:r>
    </w:p>
    <w:p w14:paraId="3771FBF4">
      <w:pPr>
        <w:widowControl w:val="0"/>
        <w:tabs>
          <w:tab w:val="left" w:pos="600"/>
        </w:tabs>
        <w:adjustRightInd w:val="0"/>
        <w:snapToGrid w:val="0"/>
        <w:spacing w:after="0" w:line="360" w:lineRule="auto"/>
        <w:ind w:firstLine="480" w:firstLineChars="200"/>
        <w:rPr>
          <w:rFonts w:cs="Times New Roman"/>
          <w:color w:val="auto"/>
          <w:kern w:val="2"/>
          <w:sz w:val="24"/>
          <w:szCs w:val="24"/>
          <w:highlight w:val="none"/>
          <w:lang w:eastAsia="zh-CN"/>
        </w:rPr>
      </w:pPr>
      <w:r>
        <w:rPr>
          <w:rFonts w:hint="eastAsia" w:cs="Times New Roman"/>
          <w:color w:val="auto"/>
          <w:kern w:val="2"/>
          <w:sz w:val="24"/>
          <w:szCs w:val="24"/>
          <w:highlight w:val="none"/>
          <w:lang w:eastAsia="zh-CN"/>
        </w:rPr>
        <w:t>5.3 结构和外观检查</w:t>
      </w:r>
    </w:p>
    <w:p w14:paraId="3671195A">
      <w:pPr>
        <w:widowControl w:val="0"/>
        <w:tabs>
          <w:tab w:val="left" w:pos="600"/>
        </w:tabs>
        <w:adjustRightInd w:val="0"/>
        <w:snapToGrid w:val="0"/>
        <w:spacing w:after="0" w:line="360" w:lineRule="auto"/>
        <w:ind w:firstLine="480" w:firstLineChars="200"/>
        <w:jc w:val="left"/>
        <w:rPr>
          <w:snapToGrid w:val="0"/>
          <w:color w:val="auto"/>
          <w:sz w:val="24"/>
          <w:szCs w:val="24"/>
          <w:highlight w:val="none"/>
        </w:rPr>
      </w:pPr>
      <w:r>
        <w:rPr>
          <w:rFonts w:hint="eastAsia" w:cs="Times New Roman"/>
          <w:color w:val="auto"/>
          <w:kern w:val="2"/>
          <w:sz w:val="24"/>
          <w:szCs w:val="24"/>
          <w:highlight w:val="none"/>
          <w:lang w:eastAsia="zh-CN"/>
        </w:rPr>
        <w:t xml:space="preserve">5.4 </w:t>
      </w:r>
      <w:bookmarkStart w:id="55" w:name="_Toc173553887"/>
      <w:bookmarkStart w:id="56" w:name="_Toc511000561"/>
      <w:r>
        <w:rPr>
          <w:rFonts w:hint="eastAsia"/>
          <w:snapToGrid w:val="0"/>
          <w:color w:val="auto"/>
          <w:sz w:val="24"/>
          <w:szCs w:val="24"/>
          <w:highlight w:val="none"/>
        </w:rPr>
        <w:t>现场</w:t>
      </w:r>
      <w:bookmarkEnd w:id="55"/>
      <w:bookmarkEnd w:id="56"/>
      <w:r>
        <w:rPr>
          <w:rFonts w:hint="eastAsia"/>
          <w:snapToGrid w:val="0"/>
          <w:color w:val="auto"/>
          <w:sz w:val="24"/>
          <w:szCs w:val="24"/>
          <w:highlight w:val="none"/>
        </w:rPr>
        <w:t>试验及验收</w:t>
      </w:r>
    </w:p>
    <w:p w14:paraId="00A5DB7D">
      <w:pPr>
        <w:widowControl w:val="0"/>
        <w:tabs>
          <w:tab w:val="left" w:pos="600"/>
        </w:tabs>
        <w:adjustRightInd w:val="0"/>
        <w:snapToGrid w:val="0"/>
        <w:spacing w:after="0" w:line="360" w:lineRule="auto"/>
        <w:ind w:left="0" w:leftChars="0" w:firstLine="480" w:firstLineChars="200"/>
        <w:jc w:val="left"/>
        <w:rPr>
          <w:rFonts w:ascii="宋体" w:hAnsi="宋体"/>
          <w:snapToGrid w:val="0"/>
          <w:color w:val="auto"/>
          <w:sz w:val="24"/>
          <w:szCs w:val="24"/>
          <w:highlight w:val="none"/>
        </w:rPr>
      </w:pPr>
      <w:r>
        <w:rPr>
          <w:rFonts w:hint="eastAsia" w:cs="Times New Roman"/>
          <w:snapToGrid/>
          <w:color w:val="auto"/>
          <w:kern w:val="2"/>
          <w:sz w:val="24"/>
          <w:szCs w:val="24"/>
          <w:highlight w:val="none"/>
          <w:lang w:eastAsia="zh-CN"/>
        </w:rPr>
        <w:t>5</w:t>
      </w:r>
      <w:r>
        <w:rPr>
          <w:rFonts w:hint="eastAsia" w:cs="Times New Roman"/>
          <w:snapToGrid/>
          <w:color w:val="auto"/>
          <w:kern w:val="2"/>
          <w:sz w:val="24"/>
          <w:szCs w:val="24"/>
          <w:highlight w:val="none"/>
          <w:lang w:eastAsia="zh-CN"/>
        </w:rPr>
        <w:t>.</w:t>
      </w:r>
      <w:r>
        <w:rPr>
          <w:rFonts w:hint="eastAsia" w:cs="Times New Roman"/>
          <w:snapToGrid/>
          <w:color w:val="auto"/>
          <w:kern w:val="2"/>
          <w:sz w:val="24"/>
          <w:szCs w:val="24"/>
          <w:highlight w:val="none"/>
          <w:lang w:val="en-US" w:eastAsia="zh-CN"/>
        </w:rPr>
        <w:t>4.1</w:t>
      </w:r>
      <w:r>
        <w:rPr>
          <w:rFonts w:hint="eastAsia" w:cs="Times New Roman"/>
          <w:snapToGrid/>
          <w:color w:val="auto"/>
          <w:kern w:val="2"/>
          <w:sz w:val="24"/>
          <w:szCs w:val="24"/>
          <w:highlight w:val="none"/>
          <w:lang w:eastAsia="zh-CN"/>
        </w:rPr>
        <w:t>现场试验：应包括装置试验、组屏后的屏柜试验、系统功能试验至系统指标试验，应包括以下试验项目，且不仅限于以下试验项目：</w:t>
      </w:r>
      <w:r>
        <w:rPr>
          <w:rFonts w:hint="eastAsia" w:ascii="宋体" w:hAnsi="宋体" w:cs="Times New Roman"/>
          <w:snapToGrid/>
          <w:color w:val="auto"/>
          <w:kern w:val="2"/>
          <w:sz w:val="24"/>
          <w:szCs w:val="24"/>
          <w:highlight w:val="none"/>
          <w:lang w:eastAsia="zh-CN"/>
        </w:rPr>
        <w:t>(1) 屏柜试验(包括耐压试验、绝缘电阻测量、屏内接线检查等)。(2) 系统功能试验(包括标书描述的各项功能检查)。(3) 系统各功能满足标书要求。(4) 系统各项指标满足标书要求。(5) 所有的硬件和软件缺陷已发现并改正。(6) 各项切换功能满足标书要求。(7) 所有自诊断功能有效。(8) 系统的稳定性满足标书要求。</w:t>
      </w:r>
      <w:r>
        <w:rPr>
          <w:rFonts w:ascii="宋体" w:hAnsi="宋体"/>
          <w:snapToGrid w:val="0"/>
          <w:color w:val="auto"/>
          <w:sz w:val="24"/>
          <w:szCs w:val="24"/>
          <w:highlight w:val="none"/>
        </w:rPr>
        <w:t xml:space="preserve">(9) </w:t>
      </w:r>
      <w:r>
        <w:rPr>
          <w:rFonts w:hint="eastAsia" w:ascii="宋体" w:hAnsi="宋体"/>
          <w:snapToGrid w:val="0"/>
          <w:color w:val="auto"/>
          <w:sz w:val="24"/>
          <w:szCs w:val="24"/>
          <w:highlight w:val="none"/>
        </w:rPr>
        <w:t>根据实情经双方协商认为需进行的试验。</w:t>
      </w:r>
    </w:p>
    <w:p w14:paraId="33504AA3">
      <w:pPr>
        <w:widowControl w:val="0"/>
        <w:tabs>
          <w:tab w:val="left" w:pos="600"/>
        </w:tabs>
        <w:adjustRightInd w:val="0"/>
        <w:snapToGrid w:val="0"/>
        <w:spacing w:after="0" w:line="360" w:lineRule="auto"/>
        <w:ind w:firstLine="480" w:firstLineChars="200"/>
        <w:jc w:val="left"/>
        <w:rPr>
          <w:rFonts w:hint="eastAsia" w:cs="Times New Roman"/>
          <w:snapToGrid/>
          <w:color w:val="auto"/>
          <w:kern w:val="2"/>
          <w:sz w:val="24"/>
          <w:szCs w:val="24"/>
          <w:highlight w:val="none"/>
          <w:lang w:eastAsia="zh-CN"/>
        </w:rPr>
      </w:pPr>
      <w:r>
        <w:rPr>
          <w:rFonts w:hint="eastAsia" w:cs="Times New Roman"/>
          <w:snapToGrid/>
          <w:color w:val="auto"/>
          <w:kern w:val="2"/>
          <w:sz w:val="24"/>
          <w:szCs w:val="24"/>
          <w:highlight w:val="none"/>
          <w:lang w:eastAsia="zh-CN"/>
        </w:rPr>
        <w:t>5.</w:t>
      </w:r>
      <w:r>
        <w:rPr>
          <w:rFonts w:hint="eastAsia" w:cs="Times New Roman"/>
          <w:snapToGrid/>
          <w:color w:val="auto"/>
          <w:kern w:val="2"/>
          <w:sz w:val="24"/>
          <w:szCs w:val="24"/>
          <w:highlight w:val="none"/>
          <w:lang w:val="en-US" w:eastAsia="zh-CN"/>
        </w:rPr>
        <w:t>4.</w:t>
      </w:r>
      <w:r>
        <w:rPr>
          <w:rFonts w:hint="eastAsia" w:cs="Times New Roman"/>
          <w:snapToGrid/>
          <w:color w:val="auto"/>
          <w:kern w:val="2"/>
          <w:sz w:val="24"/>
          <w:szCs w:val="24"/>
          <w:highlight w:val="none"/>
          <w:lang w:eastAsia="zh-CN"/>
        </w:rPr>
        <w:t>2投标人应根据标书的技术要求，完成试验报告。试验报告应包括以下项目，且不仅限于以下试验项目：(1)设备的编号、数量和出厂序号。(2)试验日期和试验地点。(3)试验条件(包括环境温度、湿度、试验电源等)。(4)试验方法和试验仪器仪表(对于精度试验，应标明所使用的测试设备的精度)。(5)试验依据的标准。如为厂家标准，应提交标准文本供招标人确认，是否满足标书要求。(6)试验结果。(7)试验者和审批者的签名。</w:t>
      </w:r>
    </w:p>
    <w:p w14:paraId="472230A3">
      <w:pPr>
        <w:widowControl w:val="0"/>
        <w:tabs>
          <w:tab w:val="left" w:pos="600"/>
        </w:tabs>
        <w:adjustRightInd w:val="0"/>
        <w:snapToGrid w:val="0"/>
        <w:spacing w:after="0" w:line="360" w:lineRule="auto"/>
        <w:ind w:firstLine="480" w:firstLineChars="200"/>
        <w:jc w:val="left"/>
        <w:rPr>
          <w:rFonts w:hint="eastAsia" w:cs="Times New Roman"/>
          <w:snapToGrid/>
          <w:color w:val="auto"/>
          <w:kern w:val="2"/>
          <w:sz w:val="24"/>
          <w:szCs w:val="24"/>
          <w:highlight w:val="none"/>
          <w:lang w:eastAsia="zh-CN"/>
        </w:rPr>
      </w:pPr>
      <w:r>
        <w:rPr>
          <w:rFonts w:hint="eastAsia" w:cs="Times New Roman"/>
          <w:snapToGrid/>
          <w:color w:val="auto"/>
          <w:kern w:val="2"/>
          <w:sz w:val="24"/>
          <w:szCs w:val="24"/>
          <w:highlight w:val="none"/>
          <w:lang w:eastAsia="zh-CN"/>
        </w:rPr>
        <w:t>5.</w:t>
      </w:r>
      <w:r>
        <w:rPr>
          <w:rFonts w:hint="eastAsia" w:cs="Times New Roman"/>
          <w:snapToGrid/>
          <w:color w:val="auto"/>
          <w:kern w:val="2"/>
          <w:sz w:val="24"/>
          <w:szCs w:val="24"/>
          <w:highlight w:val="none"/>
          <w:lang w:val="en-US" w:eastAsia="zh-CN"/>
        </w:rPr>
        <w:t>4.3</w:t>
      </w:r>
      <w:r>
        <w:rPr>
          <w:rFonts w:hint="eastAsia" w:cs="Times New Roman"/>
          <w:snapToGrid/>
          <w:color w:val="auto"/>
          <w:kern w:val="2"/>
          <w:sz w:val="24"/>
          <w:szCs w:val="24"/>
          <w:highlight w:val="none"/>
          <w:lang w:eastAsia="zh-CN"/>
        </w:rPr>
        <w:t>现场验收试验的时间和条件由招标人根据现场安装和调试的进度确定。招标人有责任指导和配合投标人完成现场安装和调试的各项工作，投标人应负责培训招标人专业人员，以掌握应用软件系统知识为培训目标。现场验收试验主要目的是检验系统的各项功能是否实现，系统的性能指标是否达到。</w:t>
      </w:r>
    </w:p>
    <w:p w14:paraId="0BB14181">
      <w:pPr>
        <w:widowControl w:val="0"/>
        <w:tabs>
          <w:tab w:val="left" w:pos="600"/>
        </w:tabs>
        <w:adjustRightInd w:val="0"/>
        <w:snapToGrid w:val="0"/>
        <w:spacing w:after="0" w:line="360" w:lineRule="auto"/>
        <w:ind w:firstLine="480" w:firstLineChars="200"/>
        <w:jc w:val="left"/>
        <w:rPr>
          <w:rFonts w:hint="eastAsia" w:cs="Times New Roman"/>
          <w:snapToGrid/>
          <w:color w:val="auto"/>
          <w:kern w:val="2"/>
          <w:sz w:val="24"/>
          <w:szCs w:val="24"/>
          <w:highlight w:val="none"/>
          <w:lang w:eastAsia="zh-CN"/>
        </w:rPr>
      </w:pPr>
      <w:r>
        <w:rPr>
          <w:rFonts w:hint="eastAsia" w:cs="Times New Roman"/>
          <w:snapToGrid/>
          <w:color w:val="auto"/>
          <w:kern w:val="2"/>
          <w:sz w:val="24"/>
          <w:szCs w:val="24"/>
          <w:highlight w:val="none"/>
          <w:lang w:eastAsia="zh-CN"/>
        </w:rPr>
        <w:t>5.</w:t>
      </w:r>
      <w:r>
        <w:rPr>
          <w:rFonts w:hint="eastAsia" w:cs="Times New Roman"/>
          <w:snapToGrid/>
          <w:color w:val="auto"/>
          <w:kern w:val="2"/>
          <w:sz w:val="24"/>
          <w:szCs w:val="24"/>
          <w:highlight w:val="none"/>
          <w:lang w:eastAsia="zh-CN"/>
        </w:rPr>
        <w:t>4</w:t>
      </w:r>
      <w:r>
        <w:rPr>
          <w:rFonts w:hint="eastAsia" w:cs="Times New Roman"/>
          <w:snapToGrid/>
          <w:color w:val="auto"/>
          <w:kern w:val="2"/>
          <w:sz w:val="24"/>
          <w:szCs w:val="24"/>
          <w:highlight w:val="none"/>
          <w:lang w:eastAsia="zh-CN"/>
        </w:rPr>
        <w:t>.</w:t>
      </w:r>
      <w:r>
        <w:rPr>
          <w:rFonts w:hint="eastAsia" w:cs="Times New Roman"/>
          <w:snapToGrid/>
          <w:color w:val="auto"/>
          <w:kern w:val="2"/>
          <w:sz w:val="24"/>
          <w:szCs w:val="24"/>
          <w:highlight w:val="none"/>
          <w:lang w:eastAsia="zh-CN"/>
        </w:rPr>
        <w:t>4</w:t>
      </w:r>
      <w:r>
        <w:rPr>
          <w:rFonts w:hint="eastAsia" w:cs="Times New Roman"/>
          <w:snapToGrid/>
          <w:color w:val="auto"/>
          <w:kern w:val="2"/>
          <w:sz w:val="24"/>
          <w:szCs w:val="24"/>
          <w:highlight w:val="none"/>
          <w:lang w:eastAsia="zh-CN"/>
        </w:rPr>
        <w:t>验收试验应该按最终规模进行，应该模拟预期的最大系统负荷。投标人应完成测试必要的电缆和光缆的联结，测试分三个部分，第一部分为现场试验项目的抽测，第二部分为系统试验，第三部分为系统稳定性试验。</w:t>
      </w:r>
    </w:p>
    <w:p w14:paraId="639CE825">
      <w:pPr>
        <w:widowControl w:val="0"/>
        <w:tabs>
          <w:tab w:val="left" w:pos="600"/>
        </w:tabs>
        <w:adjustRightInd w:val="0"/>
        <w:snapToGrid w:val="0"/>
        <w:spacing w:after="0" w:line="360" w:lineRule="auto"/>
        <w:ind w:firstLine="480" w:firstLineChars="200"/>
        <w:jc w:val="left"/>
        <w:rPr>
          <w:rFonts w:hint="eastAsia" w:cs="Times New Roman"/>
          <w:snapToGrid/>
          <w:color w:val="auto"/>
          <w:kern w:val="2"/>
          <w:sz w:val="24"/>
          <w:szCs w:val="24"/>
          <w:highlight w:val="none"/>
          <w:lang w:eastAsia="zh-CN"/>
        </w:rPr>
      </w:pPr>
      <w:r>
        <w:rPr>
          <w:rFonts w:hint="eastAsia" w:cs="Times New Roman"/>
          <w:snapToGrid/>
          <w:color w:val="auto"/>
          <w:kern w:val="2"/>
          <w:sz w:val="24"/>
          <w:szCs w:val="24"/>
          <w:highlight w:val="none"/>
          <w:lang w:eastAsia="zh-CN"/>
        </w:rPr>
        <w:t>5.</w:t>
      </w:r>
      <w:r>
        <w:rPr>
          <w:rFonts w:hint="eastAsia" w:cs="Times New Roman"/>
          <w:snapToGrid/>
          <w:color w:val="auto"/>
          <w:kern w:val="2"/>
          <w:sz w:val="24"/>
          <w:szCs w:val="24"/>
          <w:highlight w:val="none"/>
          <w:lang w:val="en-US" w:eastAsia="zh-CN"/>
        </w:rPr>
        <w:t>4</w:t>
      </w:r>
      <w:r>
        <w:rPr>
          <w:rFonts w:hint="eastAsia" w:cs="Times New Roman"/>
          <w:snapToGrid/>
          <w:color w:val="auto"/>
          <w:kern w:val="2"/>
          <w:sz w:val="24"/>
          <w:szCs w:val="24"/>
          <w:highlight w:val="none"/>
          <w:lang w:eastAsia="zh-CN"/>
        </w:rPr>
        <w:t>.</w:t>
      </w:r>
      <w:r>
        <w:rPr>
          <w:rFonts w:hint="eastAsia" w:cs="Times New Roman"/>
          <w:snapToGrid/>
          <w:color w:val="auto"/>
          <w:kern w:val="2"/>
          <w:sz w:val="24"/>
          <w:szCs w:val="24"/>
          <w:highlight w:val="none"/>
          <w:lang w:eastAsia="zh-CN"/>
        </w:rPr>
        <w:t>5</w:t>
      </w:r>
      <w:r>
        <w:rPr>
          <w:rFonts w:hint="eastAsia" w:cs="Times New Roman"/>
          <w:snapToGrid/>
          <w:color w:val="auto"/>
          <w:kern w:val="2"/>
          <w:sz w:val="24"/>
          <w:szCs w:val="24"/>
          <w:highlight w:val="none"/>
          <w:lang w:eastAsia="zh-CN"/>
        </w:rPr>
        <w:t>第一部分现场试验项目的抽测项目由招标人参加验收人员在验收现场确定，若测试结果与工厂试验报告有较大出入，且投标人无法给招标人合理解释，招标人有权要求投标人重新进行有关测试，由此造成的工厂验收时间延长的责任和费用应由投标人承担。</w:t>
      </w:r>
    </w:p>
    <w:p w14:paraId="2771CBB9">
      <w:pPr>
        <w:widowControl w:val="0"/>
        <w:tabs>
          <w:tab w:val="left" w:pos="600"/>
        </w:tabs>
        <w:adjustRightInd w:val="0"/>
        <w:snapToGrid w:val="0"/>
        <w:spacing w:after="0" w:line="360" w:lineRule="auto"/>
        <w:ind w:firstLine="480" w:firstLineChars="200"/>
        <w:jc w:val="left"/>
        <w:rPr>
          <w:rFonts w:hint="eastAsia" w:cs="Times New Roman"/>
          <w:snapToGrid/>
          <w:color w:val="auto"/>
          <w:kern w:val="2"/>
          <w:sz w:val="24"/>
          <w:szCs w:val="24"/>
          <w:highlight w:val="none"/>
          <w:lang w:eastAsia="zh-CN"/>
        </w:rPr>
      </w:pPr>
      <w:r>
        <w:rPr>
          <w:rFonts w:hint="eastAsia" w:cs="Times New Roman"/>
          <w:snapToGrid/>
          <w:color w:val="auto"/>
          <w:kern w:val="2"/>
          <w:sz w:val="24"/>
          <w:szCs w:val="24"/>
          <w:highlight w:val="none"/>
          <w:lang w:eastAsia="zh-CN"/>
        </w:rPr>
        <w:t>5.</w:t>
      </w:r>
      <w:r>
        <w:rPr>
          <w:rFonts w:hint="eastAsia" w:cs="Times New Roman"/>
          <w:snapToGrid/>
          <w:color w:val="auto"/>
          <w:kern w:val="2"/>
          <w:sz w:val="24"/>
          <w:szCs w:val="24"/>
          <w:highlight w:val="none"/>
          <w:lang w:eastAsia="zh-CN"/>
        </w:rPr>
        <w:t>4</w:t>
      </w:r>
      <w:r>
        <w:rPr>
          <w:rFonts w:hint="eastAsia" w:cs="Times New Roman"/>
          <w:snapToGrid/>
          <w:color w:val="auto"/>
          <w:kern w:val="2"/>
          <w:sz w:val="24"/>
          <w:szCs w:val="24"/>
          <w:highlight w:val="none"/>
          <w:lang w:eastAsia="zh-CN"/>
        </w:rPr>
        <w:t>.</w:t>
      </w:r>
      <w:r>
        <w:rPr>
          <w:rFonts w:hint="eastAsia" w:cs="Times New Roman"/>
          <w:snapToGrid/>
          <w:color w:val="auto"/>
          <w:kern w:val="2"/>
          <w:sz w:val="24"/>
          <w:szCs w:val="24"/>
          <w:highlight w:val="none"/>
          <w:lang w:eastAsia="zh-CN"/>
        </w:rPr>
        <w:t>6</w:t>
      </w:r>
      <w:r>
        <w:rPr>
          <w:rFonts w:hint="eastAsia" w:cs="Times New Roman"/>
          <w:snapToGrid/>
          <w:color w:val="auto"/>
          <w:kern w:val="2"/>
          <w:sz w:val="24"/>
          <w:szCs w:val="24"/>
          <w:highlight w:val="none"/>
          <w:lang w:eastAsia="zh-CN"/>
        </w:rPr>
        <w:t>第二部分系统试验主要包括以下试验项目，且不仅限于以下试验项目：(1)系统的人工启动和自启动试验。(2)网络通信测试。(3)告警系统测试(包括系统自诊断异常告警)。(4)系统自诊断测试。若系统的性能指标不满足标书要求，投标人应承诺在交货前改进，并在现场试验时验证，若仍不能满足要求，将按标书有关条款赔偿。</w:t>
      </w:r>
    </w:p>
    <w:p w14:paraId="6B85441F">
      <w:pPr>
        <w:widowControl w:val="0"/>
        <w:tabs>
          <w:tab w:val="left" w:pos="600"/>
        </w:tabs>
        <w:adjustRightInd w:val="0"/>
        <w:snapToGrid w:val="0"/>
        <w:spacing w:after="0" w:line="360" w:lineRule="auto"/>
        <w:ind w:firstLine="480" w:firstLineChars="200"/>
        <w:jc w:val="left"/>
        <w:rPr>
          <w:rFonts w:hint="eastAsia" w:cs="Times New Roman"/>
          <w:snapToGrid/>
          <w:color w:val="auto"/>
          <w:kern w:val="2"/>
          <w:sz w:val="24"/>
          <w:szCs w:val="24"/>
          <w:highlight w:val="none"/>
          <w:lang w:eastAsia="zh-CN"/>
        </w:rPr>
      </w:pPr>
      <w:r>
        <w:rPr>
          <w:rFonts w:hint="eastAsia" w:cs="Times New Roman"/>
          <w:snapToGrid/>
          <w:color w:val="auto"/>
          <w:kern w:val="2"/>
          <w:sz w:val="24"/>
          <w:szCs w:val="24"/>
          <w:highlight w:val="none"/>
          <w:lang w:eastAsia="zh-CN"/>
        </w:rPr>
        <w:t>5.</w:t>
      </w:r>
      <w:r>
        <w:rPr>
          <w:rFonts w:hint="eastAsia" w:cs="Times New Roman"/>
          <w:snapToGrid/>
          <w:color w:val="auto"/>
          <w:kern w:val="2"/>
          <w:sz w:val="24"/>
          <w:szCs w:val="24"/>
          <w:highlight w:val="none"/>
          <w:lang w:eastAsia="zh-CN"/>
        </w:rPr>
        <w:t>4</w:t>
      </w:r>
      <w:r>
        <w:rPr>
          <w:rFonts w:hint="eastAsia" w:cs="Times New Roman"/>
          <w:snapToGrid/>
          <w:color w:val="auto"/>
          <w:kern w:val="2"/>
          <w:sz w:val="24"/>
          <w:szCs w:val="24"/>
          <w:highlight w:val="none"/>
          <w:lang w:eastAsia="zh-CN"/>
        </w:rPr>
        <w:t>.</w:t>
      </w:r>
      <w:r>
        <w:rPr>
          <w:rFonts w:hint="eastAsia" w:cs="Times New Roman"/>
          <w:snapToGrid/>
          <w:color w:val="auto"/>
          <w:kern w:val="2"/>
          <w:sz w:val="24"/>
          <w:szCs w:val="24"/>
          <w:highlight w:val="none"/>
          <w:lang w:eastAsia="zh-CN"/>
        </w:rPr>
        <w:t>7</w:t>
      </w:r>
      <w:r>
        <w:rPr>
          <w:rFonts w:hint="eastAsia" w:cs="Times New Roman"/>
          <w:snapToGrid/>
          <w:color w:val="auto"/>
          <w:kern w:val="2"/>
          <w:sz w:val="24"/>
          <w:szCs w:val="24"/>
          <w:highlight w:val="none"/>
          <w:lang w:eastAsia="zh-CN"/>
        </w:rPr>
        <w:t>第三部分系统稳定性试验在系统试验后进行，系统连续正常运行72小时视为合格，在此期间，应遵循以下原则：(1)稳定试验运行期间，未经招标人同意，投标人对外围设备不应有任何调整。(2)没有招标人的事先同意，不能修改程序或进行系统维护。(3)有故障的设备将用备件代替，故障单元运行时间应该被扣除。(4)如果由于设备故障停止试验，该试验视为无效，试验应重新开始。(5)在试验过程的任何阶段，招标人可在系统上进行正常操作。(6)若在稳定性试验期间，系统发生未经招标人认可的运行中断，则试验将重新开始，由此造成的验收时间延长的责任和费用应由投标人承担。</w:t>
      </w:r>
    </w:p>
    <w:p w14:paraId="28265077">
      <w:pPr>
        <w:widowControl w:val="0"/>
        <w:tabs>
          <w:tab w:val="left" w:pos="600"/>
        </w:tabs>
        <w:adjustRightInd w:val="0"/>
        <w:snapToGrid w:val="0"/>
        <w:spacing w:after="0" w:line="360" w:lineRule="auto"/>
        <w:ind w:firstLine="480" w:firstLineChars="200"/>
        <w:jc w:val="left"/>
        <w:rPr>
          <w:rFonts w:hint="eastAsia" w:cs="Times New Roman"/>
          <w:snapToGrid/>
          <w:color w:val="auto"/>
          <w:kern w:val="2"/>
          <w:sz w:val="24"/>
          <w:szCs w:val="24"/>
          <w:highlight w:val="none"/>
          <w:lang w:eastAsia="zh-CN"/>
        </w:rPr>
      </w:pPr>
      <w:r>
        <w:rPr>
          <w:rFonts w:hint="eastAsia" w:cs="Times New Roman"/>
          <w:snapToGrid/>
          <w:color w:val="auto"/>
          <w:kern w:val="2"/>
          <w:sz w:val="24"/>
          <w:szCs w:val="24"/>
          <w:highlight w:val="none"/>
          <w:lang w:eastAsia="zh-CN"/>
        </w:rPr>
        <w:t>5.</w:t>
      </w:r>
      <w:r>
        <w:rPr>
          <w:rFonts w:hint="eastAsia" w:cs="Times New Roman"/>
          <w:snapToGrid/>
          <w:color w:val="auto"/>
          <w:kern w:val="2"/>
          <w:sz w:val="24"/>
          <w:szCs w:val="24"/>
          <w:highlight w:val="none"/>
          <w:lang w:eastAsia="zh-CN"/>
        </w:rPr>
        <w:t>4</w:t>
      </w:r>
      <w:r>
        <w:rPr>
          <w:rFonts w:hint="eastAsia" w:cs="Times New Roman"/>
          <w:snapToGrid/>
          <w:color w:val="auto"/>
          <w:kern w:val="2"/>
          <w:sz w:val="24"/>
          <w:szCs w:val="24"/>
          <w:highlight w:val="none"/>
          <w:lang w:eastAsia="zh-CN"/>
        </w:rPr>
        <w:t>.</w:t>
      </w:r>
      <w:r>
        <w:rPr>
          <w:rFonts w:hint="eastAsia" w:cs="Times New Roman"/>
          <w:snapToGrid/>
          <w:color w:val="auto"/>
          <w:kern w:val="2"/>
          <w:sz w:val="24"/>
          <w:szCs w:val="24"/>
          <w:highlight w:val="none"/>
          <w:lang w:eastAsia="zh-CN"/>
        </w:rPr>
        <w:t>8</w:t>
      </w:r>
      <w:r>
        <w:rPr>
          <w:rFonts w:hint="eastAsia" w:cs="Times New Roman"/>
          <w:snapToGrid/>
          <w:color w:val="auto"/>
          <w:kern w:val="2"/>
          <w:sz w:val="24"/>
          <w:szCs w:val="24"/>
          <w:highlight w:val="none"/>
          <w:lang w:eastAsia="zh-CN"/>
        </w:rPr>
        <w:t xml:space="preserve"> 72小时稳定性试验结束后，标志现场验收试验结束，双方签字确认试验结果。</w:t>
      </w:r>
    </w:p>
    <w:p w14:paraId="7C6F0309">
      <w:pPr>
        <w:widowControl w:val="0"/>
        <w:tabs>
          <w:tab w:val="left" w:pos="600"/>
        </w:tabs>
        <w:adjustRightInd w:val="0"/>
        <w:snapToGrid w:val="0"/>
        <w:spacing w:after="0" w:line="360" w:lineRule="auto"/>
        <w:ind w:firstLine="480" w:firstLineChars="200"/>
        <w:jc w:val="left"/>
        <w:rPr>
          <w:rFonts w:hint="eastAsia" w:cs="Times New Roman"/>
          <w:snapToGrid/>
          <w:color w:val="auto"/>
          <w:kern w:val="2"/>
          <w:sz w:val="24"/>
          <w:szCs w:val="24"/>
          <w:highlight w:val="none"/>
          <w:lang w:eastAsia="zh-CN"/>
        </w:rPr>
      </w:pPr>
      <w:r>
        <w:rPr>
          <w:rFonts w:hint="eastAsia" w:cs="Times New Roman"/>
          <w:snapToGrid/>
          <w:color w:val="auto"/>
          <w:kern w:val="2"/>
          <w:sz w:val="24"/>
          <w:szCs w:val="24"/>
          <w:highlight w:val="none"/>
          <w:lang w:eastAsia="zh-CN"/>
        </w:rPr>
        <w:t>5.</w:t>
      </w:r>
      <w:r>
        <w:rPr>
          <w:rFonts w:hint="eastAsia" w:cs="Times New Roman"/>
          <w:snapToGrid/>
          <w:color w:val="auto"/>
          <w:kern w:val="2"/>
          <w:sz w:val="24"/>
          <w:szCs w:val="24"/>
          <w:highlight w:val="none"/>
          <w:lang w:eastAsia="zh-CN"/>
        </w:rPr>
        <w:t>4</w:t>
      </w:r>
      <w:r>
        <w:rPr>
          <w:rFonts w:hint="eastAsia" w:cs="Times New Roman"/>
          <w:snapToGrid/>
          <w:color w:val="auto"/>
          <w:kern w:val="2"/>
          <w:sz w:val="24"/>
          <w:szCs w:val="24"/>
          <w:highlight w:val="none"/>
          <w:lang w:eastAsia="zh-CN"/>
        </w:rPr>
        <w:t>.</w:t>
      </w:r>
      <w:r>
        <w:rPr>
          <w:rFonts w:hint="eastAsia" w:cs="Times New Roman"/>
          <w:snapToGrid/>
          <w:color w:val="auto"/>
          <w:kern w:val="2"/>
          <w:sz w:val="24"/>
          <w:szCs w:val="24"/>
          <w:highlight w:val="none"/>
          <w:lang w:eastAsia="zh-CN"/>
        </w:rPr>
        <w:t>9</w:t>
      </w:r>
      <w:r>
        <w:rPr>
          <w:rFonts w:hint="eastAsia" w:cs="Times New Roman"/>
          <w:snapToGrid/>
          <w:color w:val="auto"/>
          <w:kern w:val="2"/>
          <w:sz w:val="24"/>
          <w:szCs w:val="24"/>
          <w:highlight w:val="none"/>
          <w:lang w:eastAsia="zh-CN"/>
        </w:rPr>
        <w:t>在试验和调试期间所有损坏的供货范围内设备，投标人应免费给予更换。</w:t>
      </w:r>
    </w:p>
    <w:p w14:paraId="77F98BB6">
      <w:pPr>
        <w:widowControl w:val="0"/>
        <w:tabs>
          <w:tab w:val="left" w:pos="600"/>
        </w:tabs>
        <w:adjustRightInd w:val="0"/>
        <w:snapToGrid w:val="0"/>
        <w:spacing w:after="0" w:line="360" w:lineRule="auto"/>
        <w:ind w:firstLine="480" w:firstLineChars="200"/>
        <w:jc w:val="left"/>
        <w:rPr>
          <w:rFonts w:hint="eastAsia" w:cs="Times New Roman"/>
          <w:snapToGrid/>
          <w:color w:val="auto"/>
          <w:kern w:val="2"/>
          <w:sz w:val="24"/>
          <w:szCs w:val="24"/>
          <w:highlight w:val="none"/>
          <w:lang w:eastAsia="zh-CN"/>
        </w:rPr>
        <w:sectPr>
          <w:headerReference r:id="rId7" w:type="default"/>
          <w:footerReference r:id="rId8" w:type="default"/>
          <w:endnotePr>
            <w:numFmt w:val="decimal"/>
          </w:endnotePr>
          <w:pgSz w:w="11907" w:h="16840"/>
          <w:pgMar w:top="1418" w:right="1531" w:bottom="1418" w:left="1701" w:header="851" w:footer="1021" w:gutter="0"/>
          <w:pgNumType w:fmt="decimal" w:start="1"/>
          <w:cols w:space="720" w:num="1"/>
          <w:docGrid w:linePitch="326" w:charSpace="0"/>
        </w:sectPr>
      </w:pPr>
      <w:r>
        <w:rPr>
          <w:rFonts w:hint="eastAsia" w:cs="Times New Roman"/>
          <w:snapToGrid/>
          <w:color w:val="auto"/>
          <w:kern w:val="2"/>
          <w:sz w:val="24"/>
          <w:szCs w:val="24"/>
          <w:highlight w:val="none"/>
          <w:lang w:eastAsia="zh-CN"/>
        </w:rPr>
        <w:t>5.</w:t>
      </w:r>
      <w:r>
        <w:rPr>
          <w:rFonts w:hint="eastAsia" w:cs="Times New Roman"/>
          <w:snapToGrid/>
          <w:color w:val="auto"/>
          <w:kern w:val="2"/>
          <w:sz w:val="24"/>
          <w:szCs w:val="24"/>
          <w:highlight w:val="none"/>
          <w:lang w:eastAsia="zh-CN"/>
        </w:rPr>
        <w:t>4</w:t>
      </w:r>
      <w:r>
        <w:rPr>
          <w:rFonts w:hint="eastAsia" w:cs="Times New Roman"/>
          <w:snapToGrid/>
          <w:color w:val="auto"/>
          <w:kern w:val="2"/>
          <w:sz w:val="24"/>
          <w:szCs w:val="24"/>
          <w:highlight w:val="none"/>
          <w:lang w:eastAsia="zh-CN"/>
        </w:rPr>
        <w:t>.</w:t>
      </w:r>
      <w:r>
        <w:rPr>
          <w:rFonts w:hint="eastAsia" w:cs="Times New Roman"/>
          <w:snapToGrid/>
          <w:color w:val="auto"/>
          <w:kern w:val="2"/>
          <w:sz w:val="24"/>
          <w:szCs w:val="24"/>
          <w:highlight w:val="none"/>
          <w:lang w:eastAsia="zh-CN"/>
        </w:rPr>
        <w:t>1</w:t>
      </w:r>
      <w:r>
        <w:rPr>
          <w:rFonts w:hint="eastAsia" w:cs="Times New Roman"/>
          <w:snapToGrid/>
          <w:color w:val="auto"/>
          <w:kern w:val="2"/>
          <w:sz w:val="24"/>
          <w:szCs w:val="24"/>
          <w:highlight w:val="none"/>
          <w:lang w:val="en-US" w:eastAsia="zh-CN"/>
        </w:rPr>
        <w:t>0</w:t>
      </w:r>
      <w:r>
        <w:rPr>
          <w:rFonts w:hint="eastAsia" w:cs="Times New Roman"/>
          <w:snapToGrid/>
          <w:color w:val="auto"/>
          <w:kern w:val="2"/>
          <w:sz w:val="24"/>
          <w:szCs w:val="24"/>
          <w:highlight w:val="none"/>
          <w:lang w:eastAsia="zh-CN"/>
        </w:rPr>
        <w:t>现场验收试验结束后，投标人的现场技术人员应负责完整备份系统软件，并提供给招标人。</w:t>
      </w:r>
    </w:p>
    <w:p w14:paraId="28C73765">
      <w:pPr>
        <w:pStyle w:val="6"/>
        <w:spacing w:line="360" w:lineRule="auto"/>
        <w:ind w:firstLine="0"/>
        <w:outlineLvl w:val="0"/>
        <w:rPr>
          <w:rFonts w:hint="eastAsia" w:ascii="宋体" w:hAnsi="宋体" w:cs="宋体"/>
          <w:b/>
          <w:color w:val="auto"/>
          <w:sz w:val="30"/>
          <w:szCs w:val="30"/>
          <w:highlight w:val="none"/>
        </w:rPr>
      </w:pPr>
      <w:bookmarkStart w:id="57" w:name="_Hlt14051736"/>
      <w:bookmarkEnd w:id="57"/>
      <w:bookmarkStart w:id="58" w:name="_Toc334015525"/>
      <w:bookmarkStart w:id="59" w:name="_Toc316370450"/>
      <w:bookmarkStart w:id="60" w:name="_Toc304277657"/>
      <w:bookmarkStart w:id="61" w:name="_Toc304277670"/>
      <w:bookmarkStart w:id="62" w:name="_Toc380835215"/>
      <w:bookmarkStart w:id="63" w:name="_Toc5370784"/>
      <w:bookmarkStart w:id="64" w:name="_Toc415140558"/>
      <w:bookmarkStart w:id="65" w:name="_Toc17771"/>
      <w:bookmarkStart w:id="66" w:name="_Toc367697178"/>
      <w:r>
        <w:rPr>
          <w:rFonts w:hint="eastAsia" w:ascii="宋体" w:hAnsi="宋体" w:cs="宋体"/>
          <w:b/>
          <w:color w:val="auto"/>
          <w:sz w:val="30"/>
          <w:szCs w:val="30"/>
          <w:highlight w:val="none"/>
        </w:rPr>
        <w:t>附件6技术服务和联络</w:t>
      </w:r>
      <w:bookmarkEnd w:id="58"/>
      <w:bookmarkEnd w:id="59"/>
      <w:bookmarkEnd w:id="60"/>
      <w:bookmarkEnd w:id="61"/>
    </w:p>
    <w:p w14:paraId="2120B816">
      <w:pPr>
        <w:pStyle w:val="6"/>
        <w:spacing w:line="360" w:lineRule="auto"/>
        <w:rPr>
          <w:rFonts w:hint="eastAsia" w:ascii="宋体" w:hAnsi="宋体" w:cs="宋体"/>
          <w:b/>
          <w:bCs/>
          <w:color w:val="auto"/>
          <w:sz w:val="28"/>
          <w:szCs w:val="28"/>
          <w:highlight w:val="none"/>
        </w:rPr>
      </w:pPr>
      <w:r>
        <w:rPr>
          <w:rFonts w:hint="eastAsia" w:ascii="宋体" w:hAnsi="宋体" w:cs="宋体"/>
          <w:b/>
          <w:bCs/>
          <w:color w:val="auto"/>
          <w:sz w:val="28"/>
          <w:szCs w:val="28"/>
          <w:highlight w:val="none"/>
        </w:rPr>
        <w:t>1  投标人现场技术服务</w:t>
      </w:r>
    </w:p>
    <w:p w14:paraId="3FE19293">
      <w:pPr>
        <w:pStyle w:val="6"/>
        <w:spacing w:line="360" w:lineRule="auto"/>
        <w:rPr>
          <w:rFonts w:ascii="宋体" w:hAnsi="宋体"/>
          <w:color w:val="auto"/>
          <w:szCs w:val="24"/>
          <w:highlight w:val="none"/>
        </w:rPr>
      </w:pPr>
      <w:r>
        <w:rPr>
          <w:rFonts w:ascii="宋体" w:hAnsi="宋体"/>
          <w:color w:val="auto"/>
          <w:szCs w:val="24"/>
          <w:highlight w:val="none"/>
        </w:rPr>
        <w:t xml:space="preserve">1.1  </w:t>
      </w:r>
      <w:r>
        <w:rPr>
          <w:rFonts w:hint="eastAsia" w:ascii="宋体" w:hAnsi="宋体"/>
          <w:color w:val="auto"/>
          <w:szCs w:val="24"/>
          <w:highlight w:val="none"/>
        </w:rPr>
        <w:t>投标人现场服务人员的目的是使所供设备安全、正常投运。投标人要派合格的现场服务人员。在投标阶段应提供包括服务人月数的现场服务计划表（格式）。如果此人月数不能满足工程需要，投标人要追加人月数，且不发生费用。</w:t>
      </w:r>
    </w:p>
    <w:p w14:paraId="6DF336F5">
      <w:pPr>
        <w:pStyle w:val="6"/>
        <w:spacing w:line="360" w:lineRule="auto"/>
        <w:rPr>
          <w:rFonts w:ascii="宋体" w:hAnsi="宋体"/>
          <w:color w:val="auto"/>
          <w:szCs w:val="24"/>
          <w:highlight w:val="none"/>
        </w:rPr>
      </w:pPr>
      <w:r>
        <w:rPr>
          <w:rFonts w:hint="eastAsia" w:ascii="宋体" w:hAnsi="宋体"/>
          <w:color w:val="auto"/>
          <w:szCs w:val="24"/>
          <w:highlight w:val="none"/>
        </w:rPr>
        <w:t>现场服务计划表（按2台机组开列）</w:t>
      </w:r>
    </w:p>
    <w:tbl>
      <w:tblPr>
        <w:tblStyle w:val="42"/>
        <w:tblW w:w="0" w:type="auto"/>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896"/>
        <w:gridCol w:w="2029"/>
        <w:gridCol w:w="1736"/>
        <w:gridCol w:w="1247"/>
        <w:gridCol w:w="1315"/>
        <w:gridCol w:w="1139"/>
      </w:tblGrid>
      <w:tr w14:paraId="0359311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Pr>
        <w:tc>
          <w:tcPr>
            <w:tcW w:w="896" w:type="dxa"/>
            <w:vMerge w:val="restart"/>
            <w:tcBorders>
              <w:top w:val="single" w:color="auto" w:sz="6" w:space="0"/>
              <w:left w:val="single" w:color="auto" w:sz="6" w:space="0"/>
              <w:bottom w:val="nil"/>
              <w:right w:val="single" w:color="auto" w:sz="6" w:space="0"/>
            </w:tcBorders>
            <w:vAlign w:val="center"/>
          </w:tcPr>
          <w:p w14:paraId="0C5C9B02">
            <w:pPr>
              <w:pStyle w:val="6"/>
              <w:spacing w:line="360" w:lineRule="auto"/>
              <w:rPr>
                <w:rFonts w:ascii="宋体" w:hAnsi="宋体"/>
                <w:color w:val="auto"/>
                <w:szCs w:val="24"/>
                <w:highlight w:val="none"/>
              </w:rPr>
            </w:pPr>
            <w:r>
              <w:rPr>
                <w:rFonts w:hint="eastAsia" w:ascii="宋体" w:hAnsi="宋体"/>
                <w:color w:val="auto"/>
                <w:szCs w:val="24"/>
                <w:highlight w:val="none"/>
              </w:rPr>
              <w:t>序号</w:t>
            </w:r>
          </w:p>
        </w:tc>
        <w:tc>
          <w:tcPr>
            <w:tcW w:w="2029" w:type="dxa"/>
            <w:vMerge w:val="restart"/>
            <w:tcBorders>
              <w:top w:val="single" w:color="auto" w:sz="6" w:space="0"/>
              <w:left w:val="nil"/>
              <w:bottom w:val="nil"/>
              <w:right w:val="single" w:color="auto" w:sz="6" w:space="0"/>
            </w:tcBorders>
            <w:vAlign w:val="center"/>
          </w:tcPr>
          <w:p w14:paraId="59243D39">
            <w:pPr>
              <w:pStyle w:val="6"/>
              <w:spacing w:line="360" w:lineRule="auto"/>
              <w:ind w:firstLine="0"/>
              <w:rPr>
                <w:rFonts w:ascii="宋体" w:hAnsi="宋体"/>
                <w:color w:val="auto"/>
                <w:szCs w:val="24"/>
                <w:highlight w:val="none"/>
              </w:rPr>
            </w:pPr>
            <w:r>
              <w:rPr>
                <w:rFonts w:hint="eastAsia" w:ascii="宋体" w:hAnsi="宋体"/>
                <w:color w:val="auto"/>
                <w:szCs w:val="24"/>
                <w:highlight w:val="none"/>
              </w:rPr>
              <w:t>技术服务内容</w:t>
            </w:r>
          </w:p>
        </w:tc>
        <w:tc>
          <w:tcPr>
            <w:tcW w:w="1736" w:type="dxa"/>
            <w:vMerge w:val="restart"/>
            <w:tcBorders>
              <w:top w:val="single" w:color="auto" w:sz="6" w:space="0"/>
              <w:left w:val="nil"/>
              <w:bottom w:val="nil"/>
              <w:right w:val="single" w:color="auto" w:sz="6" w:space="0"/>
            </w:tcBorders>
            <w:vAlign w:val="center"/>
          </w:tcPr>
          <w:p w14:paraId="431490A8">
            <w:pPr>
              <w:pStyle w:val="6"/>
              <w:spacing w:line="360" w:lineRule="auto"/>
              <w:ind w:firstLine="0"/>
              <w:rPr>
                <w:rFonts w:ascii="宋体" w:hAnsi="宋体"/>
                <w:color w:val="auto"/>
                <w:szCs w:val="24"/>
                <w:highlight w:val="none"/>
              </w:rPr>
            </w:pPr>
            <w:r>
              <w:rPr>
                <w:rFonts w:hint="eastAsia" w:ascii="宋体" w:hAnsi="宋体"/>
                <w:color w:val="auto"/>
                <w:szCs w:val="24"/>
                <w:highlight w:val="none"/>
              </w:rPr>
              <w:t>计划人月数</w:t>
            </w:r>
          </w:p>
        </w:tc>
        <w:tc>
          <w:tcPr>
            <w:tcW w:w="2562" w:type="dxa"/>
            <w:gridSpan w:val="2"/>
            <w:tcBorders>
              <w:top w:val="single" w:color="auto" w:sz="6" w:space="0"/>
              <w:left w:val="nil"/>
              <w:bottom w:val="single" w:color="auto" w:sz="6" w:space="0"/>
              <w:right w:val="nil"/>
            </w:tcBorders>
            <w:vAlign w:val="center"/>
          </w:tcPr>
          <w:p w14:paraId="6633B512">
            <w:pPr>
              <w:pStyle w:val="6"/>
              <w:spacing w:line="360" w:lineRule="auto"/>
              <w:rPr>
                <w:rFonts w:ascii="宋体" w:hAnsi="宋体"/>
                <w:color w:val="auto"/>
                <w:szCs w:val="24"/>
                <w:highlight w:val="none"/>
              </w:rPr>
            </w:pPr>
            <w:r>
              <w:rPr>
                <w:rFonts w:hint="eastAsia" w:ascii="宋体" w:hAnsi="宋体"/>
                <w:color w:val="auto"/>
                <w:szCs w:val="24"/>
                <w:highlight w:val="none"/>
              </w:rPr>
              <w:t>派出人员构成</w:t>
            </w:r>
          </w:p>
        </w:tc>
        <w:tc>
          <w:tcPr>
            <w:tcW w:w="1139" w:type="dxa"/>
            <w:vMerge w:val="restart"/>
            <w:tcBorders>
              <w:top w:val="single" w:color="auto" w:sz="6" w:space="0"/>
              <w:left w:val="single" w:color="auto" w:sz="6" w:space="0"/>
              <w:bottom w:val="nil"/>
              <w:right w:val="single" w:color="auto" w:sz="6" w:space="0"/>
            </w:tcBorders>
            <w:vAlign w:val="center"/>
          </w:tcPr>
          <w:p w14:paraId="598B7928">
            <w:pPr>
              <w:pStyle w:val="6"/>
              <w:spacing w:line="360" w:lineRule="auto"/>
              <w:ind w:firstLine="0"/>
              <w:rPr>
                <w:rFonts w:ascii="宋体" w:hAnsi="宋体"/>
                <w:color w:val="auto"/>
                <w:szCs w:val="24"/>
                <w:highlight w:val="none"/>
              </w:rPr>
            </w:pPr>
            <w:r>
              <w:rPr>
                <w:rFonts w:hint="eastAsia" w:ascii="宋体" w:hAnsi="宋体"/>
                <w:color w:val="auto"/>
                <w:szCs w:val="24"/>
                <w:highlight w:val="none"/>
              </w:rPr>
              <w:t>备注</w:t>
            </w:r>
          </w:p>
        </w:tc>
      </w:tr>
      <w:tr w14:paraId="13B3D7D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328" w:hRule="atLeast"/>
        </w:trPr>
        <w:tc>
          <w:tcPr>
            <w:tcW w:w="896" w:type="dxa"/>
            <w:vMerge w:val="continue"/>
            <w:tcBorders>
              <w:top w:val="nil"/>
              <w:left w:val="single" w:color="auto" w:sz="6" w:space="0"/>
              <w:bottom w:val="single" w:color="auto" w:sz="6" w:space="0"/>
              <w:right w:val="single" w:color="auto" w:sz="6" w:space="0"/>
            </w:tcBorders>
            <w:vAlign w:val="center"/>
          </w:tcPr>
          <w:p w14:paraId="043C30DB">
            <w:pPr>
              <w:pStyle w:val="6"/>
              <w:spacing w:line="360" w:lineRule="auto"/>
              <w:rPr>
                <w:rFonts w:ascii="宋体" w:hAnsi="宋体"/>
                <w:color w:val="auto"/>
                <w:szCs w:val="24"/>
                <w:highlight w:val="none"/>
              </w:rPr>
            </w:pPr>
          </w:p>
        </w:tc>
        <w:tc>
          <w:tcPr>
            <w:tcW w:w="2029" w:type="dxa"/>
            <w:vMerge w:val="continue"/>
            <w:tcBorders>
              <w:top w:val="nil"/>
              <w:left w:val="nil"/>
              <w:bottom w:val="single" w:color="auto" w:sz="6" w:space="0"/>
              <w:right w:val="single" w:color="auto" w:sz="6" w:space="0"/>
            </w:tcBorders>
            <w:vAlign w:val="center"/>
          </w:tcPr>
          <w:p w14:paraId="4E97D06A">
            <w:pPr>
              <w:pStyle w:val="6"/>
              <w:spacing w:line="360" w:lineRule="auto"/>
              <w:rPr>
                <w:rFonts w:ascii="宋体" w:hAnsi="宋体"/>
                <w:color w:val="auto"/>
                <w:szCs w:val="24"/>
                <w:highlight w:val="none"/>
              </w:rPr>
            </w:pPr>
          </w:p>
        </w:tc>
        <w:tc>
          <w:tcPr>
            <w:tcW w:w="1736" w:type="dxa"/>
            <w:vMerge w:val="continue"/>
            <w:tcBorders>
              <w:top w:val="nil"/>
              <w:left w:val="nil"/>
              <w:bottom w:val="single" w:color="auto" w:sz="6" w:space="0"/>
              <w:right w:val="single" w:color="auto" w:sz="6" w:space="0"/>
            </w:tcBorders>
            <w:vAlign w:val="center"/>
          </w:tcPr>
          <w:p w14:paraId="3DDE051A">
            <w:pPr>
              <w:pStyle w:val="6"/>
              <w:spacing w:line="360" w:lineRule="auto"/>
              <w:rPr>
                <w:rFonts w:ascii="宋体" w:hAnsi="宋体"/>
                <w:color w:val="auto"/>
                <w:szCs w:val="24"/>
                <w:highlight w:val="none"/>
              </w:rPr>
            </w:pPr>
          </w:p>
        </w:tc>
        <w:tc>
          <w:tcPr>
            <w:tcW w:w="1247" w:type="dxa"/>
            <w:tcBorders>
              <w:top w:val="nil"/>
              <w:left w:val="nil"/>
            </w:tcBorders>
            <w:vAlign w:val="center"/>
          </w:tcPr>
          <w:p w14:paraId="1D187DEA">
            <w:pPr>
              <w:pStyle w:val="6"/>
              <w:spacing w:line="360" w:lineRule="auto"/>
              <w:rPr>
                <w:rFonts w:ascii="宋体" w:hAnsi="宋体"/>
                <w:color w:val="auto"/>
                <w:szCs w:val="24"/>
                <w:highlight w:val="none"/>
              </w:rPr>
            </w:pPr>
            <w:r>
              <w:rPr>
                <w:rFonts w:hint="eastAsia" w:ascii="宋体" w:hAnsi="宋体"/>
                <w:color w:val="auto"/>
                <w:szCs w:val="24"/>
                <w:highlight w:val="none"/>
              </w:rPr>
              <w:t>职称</w:t>
            </w:r>
          </w:p>
        </w:tc>
        <w:tc>
          <w:tcPr>
            <w:tcW w:w="1315" w:type="dxa"/>
            <w:tcBorders>
              <w:top w:val="nil"/>
              <w:right w:val="nil"/>
            </w:tcBorders>
            <w:vAlign w:val="center"/>
          </w:tcPr>
          <w:p w14:paraId="7A69C6F3">
            <w:pPr>
              <w:pStyle w:val="6"/>
              <w:spacing w:line="360" w:lineRule="auto"/>
              <w:ind w:firstLine="0"/>
              <w:jc w:val="center"/>
              <w:rPr>
                <w:rFonts w:ascii="宋体" w:hAnsi="宋体"/>
                <w:color w:val="auto"/>
                <w:szCs w:val="24"/>
                <w:highlight w:val="none"/>
              </w:rPr>
            </w:pPr>
            <w:r>
              <w:rPr>
                <w:rFonts w:hint="eastAsia" w:ascii="宋体" w:hAnsi="宋体"/>
                <w:color w:val="auto"/>
                <w:szCs w:val="24"/>
                <w:highlight w:val="none"/>
              </w:rPr>
              <w:t>人数</w:t>
            </w:r>
          </w:p>
        </w:tc>
        <w:tc>
          <w:tcPr>
            <w:tcW w:w="1139" w:type="dxa"/>
            <w:vMerge w:val="continue"/>
            <w:tcBorders>
              <w:top w:val="nil"/>
              <w:left w:val="single" w:color="auto" w:sz="6" w:space="0"/>
              <w:bottom w:val="single" w:color="auto" w:sz="6" w:space="0"/>
              <w:right w:val="single" w:color="auto" w:sz="6" w:space="0"/>
            </w:tcBorders>
            <w:vAlign w:val="center"/>
          </w:tcPr>
          <w:p w14:paraId="41375651">
            <w:pPr>
              <w:pStyle w:val="6"/>
              <w:spacing w:line="360" w:lineRule="auto"/>
              <w:rPr>
                <w:rFonts w:ascii="宋体" w:hAnsi="宋体"/>
                <w:color w:val="auto"/>
                <w:szCs w:val="24"/>
                <w:highlight w:val="none"/>
              </w:rPr>
            </w:pPr>
          </w:p>
        </w:tc>
      </w:tr>
      <w:tr w14:paraId="3C5EF92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896" w:type="dxa"/>
            <w:tcBorders>
              <w:top w:val="nil"/>
            </w:tcBorders>
            <w:vAlign w:val="center"/>
          </w:tcPr>
          <w:p w14:paraId="34CD33B3">
            <w:pPr>
              <w:pStyle w:val="6"/>
              <w:spacing w:line="360" w:lineRule="auto"/>
              <w:rPr>
                <w:rFonts w:ascii="宋体" w:hAnsi="宋体"/>
                <w:color w:val="auto"/>
                <w:szCs w:val="24"/>
                <w:highlight w:val="none"/>
              </w:rPr>
            </w:pPr>
          </w:p>
        </w:tc>
        <w:tc>
          <w:tcPr>
            <w:tcW w:w="2029" w:type="dxa"/>
            <w:tcBorders>
              <w:top w:val="nil"/>
            </w:tcBorders>
            <w:vAlign w:val="center"/>
          </w:tcPr>
          <w:p w14:paraId="14B117A9">
            <w:pPr>
              <w:pStyle w:val="6"/>
              <w:spacing w:line="360" w:lineRule="auto"/>
              <w:rPr>
                <w:rFonts w:ascii="宋体" w:hAnsi="宋体"/>
                <w:color w:val="auto"/>
                <w:szCs w:val="24"/>
                <w:highlight w:val="none"/>
              </w:rPr>
            </w:pPr>
          </w:p>
        </w:tc>
        <w:tc>
          <w:tcPr>
            <w:tcW w:w="1736" w:type="dxa"/>
            <w:tcBorders>
              <w:top w:val="nil"/>
            </w:tcBorders>
            <w:vAlign w:val="center"/>
          </w:tcPr>
          <w:p w14:paraId="66A16DC2">
            <w:pPr>
              <w:pStyle w:val="6"/>
              <w:spacing w:line="360" w:lineRule="auto"/>
              <w:rPr>
                <w:rFonts w:ascii="宋体" w:hAnsi="宋体"/>
                <w:color w:val="auto"/>
                <w:szCs w:val="24"/>
                <w:highlight w:val="none"/>
              </w:rPr>
            </w:pPr>
          </w:p>
        </w:tc>
        <w:tc>
          <w:tcPr>
            <w:tcW w:w="1247" w:type="dxa"/>
            <w:vAlign w:val="center"/>
          </w:tcPr>
          <w:p w14:paraId="63F32FEF">
            <w:pPr>
              <w:pStyle w:val="6"/>
              <w:spacing w:line="360" w:lineRule="auto"/>
              <w:rPr>
                <w:rFonts w:ascii="宋体" w:hAnsi="宋体"/>
                <w:color w:val="auto"/>
                <w:szCs w:val="24"/>
                <w:highlight w:val="none"/>
              </w:rPr>
            </w:pPr>
          </w:p>
        </w:tc>
        <w:tc>
          <w:tcPr>
            <w:tcW w:w="1315" w:type="dxa"/>
            <w:vAlign w:val="center"/>
          </w:tcPr>
          <w:p w14:paraId="22BF3BDF">
            <w:pPr>
              <w:pStyle w:val="6"/>
              <w:spacing w:line="360" w:lineRule="auto"/>
              <w:rPr>
                <w:rFonts w:ascii="宋体" w:hAnsi="宋体"/>
                <w:color w:val="auto"/>
                <w:szCs w:val="24"/>
                <w:highlight w:val="none"/>
              </w:rPr>
            </w:pPr>
          </w:p>
        </w:tc>
        <w:tc>
          <w:tcPr>
            <w:tcW w:w="1139" w:type="dxa"/>
            <w:tcBorders>
              <w:top w:val="nil"/>
            </w:tcBorders>
            <w:vAlign w:val="center"/>
          </w:tcPr>
          <w:p w14:paraId="7F0266BA">
            <w:pPr>
              <w:pStyle w:val="6"/>
              <w:spacing w:line="360" w:lineRule="auto"/>
              <w:rPr>
                <w:rFonts w:ascii="宋体" w:hAnsi="宋体"/>
                <w:color w:val="auto"/>
                <w:szCs w:val="24"/>
                <w:highlight w:val="none"/>
              </w:rPr>
            </w:pPr>
          </w:p>
        </w:tc>
      </w:tr>
      <w:tr w14:paraId="2391CE1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896" w:type="dxa"/>
            <w:tcBorders>
              <w:top w:val="nil"/>
            </w:tcBorders>
          </w:tcPr>
          <w:p w14:paraId="2425873E">
            <w:pPr>
              <w:pStyle w:val="6"/>
              <w:spacing w:line="360" w:lineRule="auto"/>
              <w:rPr>
                <w:rFonts w:ascii="宋体" w:hAnsi="宋体"/>
                <w:color w:val="auto"/>
                <w:szCs w:val="24"/>
                <w:highlight w:val="none"/>
              </w:rPr>
            </w:pPr>
          </w:p>
        </w:tc>
        <w:tc>
          <w:tcPr>
            <w:tcW w:w="2029" w:type="dxa"/>
            <w:tcBorders>
              <w:top w:val="nil"/>
            </w:tcBorders>
          </w:tcPr>
          <w:p w14:paraId="7B971FEB">
            <w:pPr>
              <w:pStyle w:val="6"/>
              <w:spacing w:line="360" w:lineRule="auto"/>
              <w:rPr>
                <w:rFonts w:ascii="宋体" w:hAnsi="宋体"/>
                <w:color w:val="auto"/>
                <w:szCs w:val="24"/>
                <w:highlight w:val="none"/>
              </w:rPr>
            </w:pPr>
          </w:p>
        </w:tc>
        <w:tc>
          <w:tcPr>
            <w:tcW w:w="1736" w:type="dxa"/>
            <w:tcBorders>
              <w:top w:val="nil"/>
            </w:tcBorders>
          </w:tcPr>
          <w:p w14:paraId="41CC1920">
            <w:pPr>
              <w:pStyle w:val="6"/>
              <w:spacing w:line="360" w:lineRule="auto"/>
              <w:rPr>
                <w:rFonts w:ascii="宋体" w:hAnsi="宋体"/>
                <w:color w:val="auto"/>
                <w:szCs w:val="24"/>
                <w:highlight w:val="none"/>
              </w:rPr>
            </w:pPr>
          </w:p>
        </w:tc>
        <w:tc>
          <w:tcPr>
            <w:tcW w:w="1247" w:type="dxa"/>
          </w:tcPr>
          <w:p w14:paraId="61326316">
            <w:pPr>
              <w:pStyle w:val="6"/>
              <w:spacing w:line="360" w:lineRule="auto"/>
              <w:rPr>
                <w:rFonts w:ascii="宋体" w:hAnsi="宋体"/>
                <w:color w:val="auto"/>
                <w:szCs w:val="24"/>
                <w:highlight w:val="none"/>
              </w:rPr>
            </w:pPr>
          </w:p>
        </w:tc>
        <w:tc>
          <w:tcPr>
            <w:tcW w:w="1315" w:type="dxa"/>
          </w:tcPr>
          <w:p w14:paraId="14391266">
            <w:pPr>
              <w:pStyle w:val="6"/>
              <w:spacing w:line="360" w:lineRule="auto"/>
              <w:rPr>
                <w:rFonts w:ascii="宋体" w:hAnsi="宋体"/>
                <w:color w:val="auto"/>
                <w:szCs w:val="24"/>
                <w:highlight w:val="none"/>
              </w:rPr>
            </w:pPr>
          </w:p>
        </w:tc>
        <w:tc>
          <w:tcPr>
            <w:tcW w:w="1139" w:type="dxa"/>
            <w:tcBorders>
              <w:top w:val="nil"/>
            </w:tcBorders>
          </w:tcPr>
          <w:p w14:paraId="03328E9A">
            <w:pPr>
              <w:pStyle w:val="6"/>
              <w:spacing w:line="360" w:lineRule="auto"/>
              <w:rPr>
                <w:rFonts w:ascii="宋体" w:hAnsi="宋体"/>
                <w:color w:val="auto"/>
                <w:szCs w:val="24"/>
                <w:highlight w:val="none"/>
              </w:rPr>
            </w:pPr>
          </w:p>
        </w:tc>
      </w:tr>
    </w:tbl>
    <w:p w14:paraId="7C71E3AA">
      <w:pPr>
        <w:pStyle w:val="6"/>
        <w:spacing w:line="360" w:lineRule="auto"/>
        <w:ind w:firstLine="420" w:firstLineChars="175"/>
        <w:rPr>
          <w:rFonts w:ascii="宋体" w:hAnsi="宋体"/>
          <w:color w:val="auto"/>
          <w:szCs w:val="24"/>
          <w:highlight w:val="none"/>
        </w:rPr>
      </w:pPr>
      <w:r>
        <w:rPr>
          <w:rFonts w:ascii="宋体" w:hAnsi="宋体"/>
          <w:color w:val="auto"/>
          <w:szCs w:val="24"/>
          <w:highlight w:val="none"/>
        </w:rPr>
        <w:t xml:space="preserve">1.2  </w:t>
      </w:r>
      <w:r>
        <w:rPr>
          <w:rFonts w:hint="eastAsia" w:ascii="宋体" w:hAnsi="宋体"/>
          <w:color w:val="auto"/>
          <w:szCs w:val="24"/>
          <w:highlight w:val="none"/>
        </w:rPr>
        <w:t>投标人现场服务人员应具有下列资质：</w:t>
      </w:r>
    </w:p>
    <w:p w14:paraId="000C8046">
      <w:pPr>
        <w:pStyle w:val="6"/>
        <w:spacing w:line="360" w:lineRule="auto"/>
        <w:ind w:firstLine="420" w:firstLineChars="175"/>
        <w:rPr>
          <w:rFonts w:ascii="宋体" w:hAnsi="宋体"/>
          <w:color w:val="auto"/>
          <w:szCs w:val="24"/>
          <w:highlight w:val="none"/>
        </w:rPr>
      </w:pPr>
      <w:r>
        <w:rPr>
          <w:rFonts w:ascii="宋体" w:hAnsi="宋体"/>
          <w:color w:val="auto"/>
          <w:szCs w:val="24"/>
          <w:highlight w:val="none"/>
        </w:rPr>
        <w:t>1.2.1</w:t>
      </w:r>
      <w:r>
        <w:rPr>
          <w:rFonts w:hint="eastAsia" w:ascii="宋体" w:hAnsi="宋体"/>
          <w:color w:val="auto"/>
          <w:szCs w:val="24"/>
          <w:highlight w:val="none"/>
        </w:rPr>
        <w:t>遵守法纪，遵守现场的各项规章和制度</w:t>
      </w:r>
      <w:r>
        <w:rPr>
          <w:rFonts w:ascii="宋体" w:hAnsi="宋体"/>
          <w:color w:val="auto"/>
          <w:szCs w:val="24"/>
          <w:highlight w:val="none"/>
        </w:rPr>
        <w:t>;</w:t>
      </w:r>
    </w:p>
    <w:p w14:paraId="4CCCB2AD">
      <w:pPr>
        <w:pStyle w:val="6"/>
        <w:spacing w:line="360" w:lineRule="auto"/>
        <w:ind w:firstLine="420" w:firstLineChars="175"/>
        <w:rPr>
          <w:rFonts w:ascii="宋体" w:hAnsi="宋体"/>
          <w:color w:val="auto"/>
          <w:szCs w:val="24"/>
          <w:highlight w:val="none"/>
        </w:rPr>
      </w:pPr>
      <w:r>
        <w:rPr>
          <w:rFonts w:ascii="宋体" w:hAnsi="宋体"/>
          <w:color w:val="auto"/>
          <w:szCs w:val="24"/>
          <w:highlight w:val="none"/>
        </w:rPr>
        <w:t>1.2.2</w:t>
      </w:r>
      <w:r>
        <w:rPr>
          <w:rFonts w:hint="eastAsia" w:ascii="宋体" w:hAnsi="宋体"/>
          <w:color w:val="auto"/>
          <w:szCs w:val="24"/>
          <w:highlight w:val="none"/>
        </w:rPr>
        <w:t>有较强的责任感和事业心，按时到位</w:t>
      </w:r>
      <w:r>
        <w:rPr>
          <w:rFonts w:ascii="宋体" w:hAnsi="宋体"/>
          <w:color w:val="auto"/>
          <w:szCs w:val="24"/>
          <w:highlight w:val="none"/>
        </w:rPr>
        <w:t>;</w:t>
      </w:r>
    </w:p>
    <w:p w14:paraId="0BED9405">
      <w:pPr>
        <w:pStyle w:val="6"/>
        <w:spacing w:line="360" w:lineRule="auto"/>
        <w:ind w:firstLine="420" w:firstLineChars="175"/>
        <w:rPr>
          <w:rFonts w:ascii="宋体" w:hAnsi="宋体"/>
          <w:color w:val="auto"/>
          <w:szCs w:val="24"/>
          <w:highlight w:val="none"/>
        </w:rPr>
      </w:pPr>
      <w:r>
        <w:rPr>
          <w:rFonts w:ascii="宋体" w:hAnsi="宋体"/>
          <w:color w:val="auto"/>
          <w:szCs w:val="24"/>
          <w:highlight w:val="none"/>
        </w:rPr>
        <w:t>1.2.3</w:t>
      </w:r>
      <w:r>
        <w:rPr>
          <w:rFonts w:hint="eastAsia" w:ascii="宋体" w:hAnsi="宋体"/>
          <w:color w:val="auto"/>
          <w:szCs w:val="24"/>
          <w:highlight w:val="none"/>
        </w:rPr>
        <w:t>了解合同设备的设计，熟悉其结构，有相同或相近机组的现场工作经验，能够正确地进行现场指导</w:t>
      </w:r>
      <w:r>
        <w:rPr>
          <w:rFonts w:ascii="宋体" w:hAnsi="宋体"/>
          <w:color w:val="auto"/>
          <w:szCs w:val="24"/>
          <w:highlight w:val="none"/>
        </w:rPr>
        <w:t>;</w:t>
      </w:r>
    </w:p>
    <w:p w14:paraId="6D717C14">
      <w:pPr>
        <w:pStyle w:val="6"/>
        <w:spacing w:line="360" w:lineRule="auto"/>
        <w:ind w:firstLine="420" w:firstLineChars="175"/>
        <w:rPr>
          <w:rFonts w:ascii="宋体" w:hAnsi="宋体"/>
          <w:color w:val="auto"/>
          <w:szCs w:val="24"/>
          <w:highlight w:val="none"/>
        </w:rPr>
      </w:pPr>
      <w:r>
        <w:rPr>
          <w:rFonts w:ascii="宋体" w:hAnsi="宋体"/>
          <w:color w:val="auto"/>
          <w:szCs w:val="24"/>
          <w:highlight w:val="none"/>
        </w:rPr>
        <w:t>1.2.4</w:t>
      </w:r>
      <w:r>
        <w:rPr>
          <w:rFonts w:hint="eastAsia" w:ascii="宋体" w:hAnsi="宋体"/>
          <w:color w:val="auto"/>
          <w:szCs w:val="24"/>
          <w:highlight w:val="none"/>
        </w:rPr>
        <w:t>身体健康，适应现场工作的条件。</w:t>
      </w:r>
    </w:p>
    <w:p w14:paraId="1739CB85">
      <w:pPr>
        <w:pStyle w:val="6"/>
        <w:spacing w:line="360" w:lineRule="auto"/>
        <w:ind w:firstLineChars="175"/>
        <w:rPr>
          <w:rFonts w:ascii="宋体" w:hAnsi="宋体"/>
          <w:color w:val="auto"/>
          <w:szCs w:val="24"/>
          <w:highlight w:val="none"/>
        </w:rPr>
      </w:pPr>
      <w:r>
        <w:rPr>
          <w:rFonts w:hint="eastAsia" w:ascii="宋体" w:hAnsi="宋体"/>
          <w:color w:val="auto"/>
          <w:szCs w:val="24"/>
          <w:highlight w:val="none"/>
        </w:rPr>
        <w:t>投标人要向招标人提供服务人员情况表</w:t>
      </w:r>
      <w:r>
        <w:rPr>
          <w:rFonts w:ascii="宋体" w:hAnsi="宋体"/>
          <w:color w:val="auto"/>
          <w:szCs w:val="24"/>
          <w:highlight w:val="none"/>
        </w:rPr>
        <w:t>(</w:t>
      </w:r>
      <w:r>
        <w:rPr>
          <w:rFonts w:hint="eastAsia" w:ascii="宋体" w:hAnsi="宋体"/>
          <w:color w:val="auto"/>
          <w:szCs w:val="24"/>
          <w:highlight w:val="none"/>
        </w:rPr>
        <w:t>见下表格式）。投标人须更换不合格的投标人现场服务人员。</w:t>
      </w:r>
    </w:p>
    <w:p w14:paraId="1328D534">
      <w:pPr>
        <w:pStyle w:val="6"/>
        <w:spacing w:line="360" w:lineRule="auto"/>
        <w:ind w:firstLineChars="175"/>
        <w:rPr>
          <w:rFonts w:ascii="宋体" w:hAnsi="宋体"/>
          <w:color w:val="auto"/>
          <w:szCs w:val="24"/>
          <w:highlight w:val="none"/>
        </w:rPr>
      </w:pPr>
      <w:r>
        <w:rPr>
          <w:rFonts w:hint="eastAsia" w:ascii="宋体" w:hAnsi="宋体"/>
          <w:color w:val="auto"/>
          <w:szCs w:val="24"/>
          <w:highlight w:val="none"/>
        </w:rPr>
        <w:t>服务人员情况表</w:t>
      </w:r>
    </w:p>
    <w:tbl>
      <w:tblPr>
        <w:tblStyle w:val="42"/>
        <w:tblW w:w="0" w:type="auto"/>
        <w:jc w:val="center"/>
        <w:tblLayout w:type="fixed"/>
        <w:tblCellMar>
          <w:top w:w="0" w:type="dxa"/>
          <w:left w:w="28" w:type="dxa"/>
          <w:bottom w:w="0" w:type="dxa"/>
          <w:right w:w="28" w:type="dxa"/>
        </w:tblCellMar>
      </w:tblPr>
      <w:tblGrid>
        <w:gridCol w:w="1108"/>
        <w:gridCol w:w="1035"/>
        <w:gridCol w:w="1365"/>
        <w:gridCol w:w="120"/>
        <w:gridCol w:w="909"/>
        <w:gridCol w:w="997"/>
        <w:gridCol w:w="946"/>
        <w:gridCol w:w="800"/>
        <w:gridCol w:w="1029"/>
      </w:tblGrid>
      <w:tr w14:paraId="1C6FABB5">
        <w:tblPrEx>
          <w:tblCellMar>
            <w:top w:w="0" w:type="dxa"/>
            <w:left w:w="28" w:type="dxa"/>
            <w:bottom w:w="0" w:type="dxa"/>
            <w:right w:w="28" w:type="dxa"/>
          </w:tblCellMar>
        </w:tblPrEx>
        <w:trPr>
          <w:jc w:val="center"/>
        </w:trPr>
        <w:tc>
          <w:tcPr>
            <w:tcW w:w="1108" w:type="dxa"/>
            <w:tcBorders>
              <w:top w:val="single" w:color="auto" w:sz="4" w:space="0"/>
              <w:left w:val="single" w:color="auto" w:sz="4" w:space="0"/>
              <w:right w:val="single" w:color="auto" w:sz="6" w:space="0"/>
            </w:tcBorders>
            <w:vAlign w:val="center"/>
          </w:tcPr>
          <w:p w14:paraId="65FAC2AF">
            <w:pPr>
              <w:pStyle w:val="6"/>
              <w:spacing w:line="360" w:lineRule="auto"/>
              <w:rPr>
                <w:rFonts w:ascii="宋体" w:hAnsi="宋体"/>
                <w:color w:val="auto"/>
                <w:szCs w:val="24"/>
                <w:highlight w:val="none"/>
              </w:rPr>
            </w:pPr>
            <w:r>
              <w:rPr>
                <w:rFonts w:hint="eastAsia" w:ascii="宋体" w:hAnsi="宋体"/>
                <w:color w:val="auto"/>
                <w:szCs w:val="24"/>
                <w:highlight w:val="none"/>
              </w:rPr>
              <w:t>姓名</w:t>
            </w:r>
          </w:p>
        </w:tc>
        <w:tc>
          <w:tcPr>
            <w:tcW w:w="1035" w:type="dxa"/>
            <w:tcBorders>
              <w:top w:val="single" w:color="auto" w:sz="4" w:space="0"/>
              <w:left w:val="nil"/>
              <w:right w:val="single" w:color="auto" w:sz="6" w:space="0"/>
            </w:tcBorders>
            <w:vAlign w:val="center"/>
          </w:tcPr>
          <w:p w14:paraId="0D799EA6">
            <w:pPr>
              <w:pStyle w:val="6"/>
              <w:spacing w:line="360" w:lineRule="auto"/>
              <w:rPr>
                <w:rFonts w:ascii="宋体" w:hAnsi="宋体"/>
                <w:color w:val="auto"/>
                <w:szCs w:val="24"/>
                <w:highlight w:val="none"/>
              </w:rPr>
            </w:pPr>
          </w:p>
        </w:tc>
        <w:tc>
          <w:tcPr>
            <w:tcW w:w="1485" w:type="dxa"/>
            <w:gridSpan w:val="2"/>
            <w:tcBorders>
              <w:top w:val="single" w:color="auto" w:sz="4" w:space="0"/>
              <w:left w:val="nil"/>
              <w:right w:val="single" w:color="auto" w:sz="6" w:space="0"/>
            </w:tcBorders>
            <w:vAlign w:val="center"/>
          </w:tcPr>
          <w:p w14:paraId="70118692">
            <w:pPr>
              <w:pStyle w:val="6"/>
              <w:spacing w:line="360" w:lineRule="auto"/>
              <w:rPr>
                <w:rFonts w:ascii="宋体" w:hAnsi="宋体"/>
                <w:color w:val="auto"/>
                <w:szCs w:val="24"/>
                <w:highlight w:val="none"/>
              </w:rPr>
            </w:pPr>
            <w:r>
              <w:rPr>
                <w:rFonts w:hint="eastAsia" w:ascii="宋体" w:hAnsi="宋体"/>
                <w:color w:val="auto"/>
                <w:szCs w:val="24"/>
                <w:highlight w:val="none"/>
              </w:rPr>
              <w:t>性别</w:t>
            </w:r>
          </w:p>
        </w:tc>
        <w:tc>
          <w:tcPr>
            <w:tcW w:w="909" w:type="dxa"/>
            <w:tcBorders>
              <w:top w:val="single" w:color="auto" w:sz="4" w:space="0"/>
              <w:left w:val="nil"/>
              <w:right w:val="single" w:color="auto" w:sz="6" w:space="0"/>
            </w:tcBorders>
            <w:vAlign w:val="center"/>
          </w:tcPr>
          <w:p w14:paraId="77E26C3B">
            <w:pPr>
              <w:pStyle w:val="6"/>
              <w:spacing w:line="360" w:lineRule="auto"/>
              <w:rPr>
                <w:rFonts w:ascii="宋体" w:hAnsi="宋体"/>
                <w:color w:val="auto"/>
                <w:szCs w:val="24"/>
                <w:highlight w:val="none"/>
              </w:rPr>
            </w:pPr>
          </w:p>
        </w:tc>
        <w:tc>
          <w:tcPr>
            <w:tcW w:w="997" w:type="dxa"/>
            <w:tcBorders>
              <w:top w:val="single" w:color="auto" w:sz="4" w:space="0"/>
              <w:left w:val="nil"/>
              <w:right w:val="single" w:color="auto" w:sz="6" w:space="0"/>
            </w:tcBorders>
            <w:vAlign w:val="center"/>
          </w:tcPr>
          <w:p w14:paraId="32F8040A">
            <w:pPr>
              <w:pStyle w:val="6"/>
              <w:spacing w:line="360" w:lineRule="auto"/>
              <w:rPr>
                <w:rFonts w:ascii="宋体" w:hAnsi="宋体"/>
                <w:color w:val="auto"/>
                <w:szCs w:val="24"/>
                <w:highlight w:val="none"/>
              </w:rPr>
            </w:pPr>
            <w:r>
              <w:rPr>
                <w:rFonts w:hint="eastAsia" w:ascii="宋体" w:hAnsi="宋体"/>
                <w:color w:val="auto"/>
                <w:szCs w:val="24"/>
                <w:highlight w:val="none"/>
              </w:rPr>
              <w:t>年龄</w:t>
            </w:r>
          </w:p>
        </w:tc>
        <w:tc>
          <w:tcPr>
            <w:tcW w:w="946" w:type="dxa"/>
            <w:tcBorders>
              <w:top w:val="single" w:color="auto" w:sz="4" w:space="0"/>
              <w:left w:val="nil"/>
              <w:right w:val="single" w:color="auto" w:sz="6" w:space="0"/>
            </w:tcBorders>
            <w:vAlign w:val="center"/>
          </w:tcPr>
          <w:p w14:paraId="0CF29372">
            <w:pPr>
              <w:pStyle w:val="6"/>
              <w:spacing w:line="360" w:lineRule="auto"/>
              <w:rPr>
                <w:rFonts w:ascii="宋体" w:hAnsi="宋体"/>
                <w:color w:val="auto"/>
                <w:szCs w:val="24"/>
                <w:highlight w:val="none"/>
              </w:rPr>
            </w:pPr>
          </w:p>
        </w:tc>
        <w:tc>
          <w:tcPr>
            <w:tcW w:w="800" w:type="dxa"/>
            <w:tcBorders>
              <w:top w:val="single" w:color="auto" w:sz="4" w:space="0"/>
              <w:left w:val="nil"/>
              <w:right w:val="single" w:color="auto" w:sz="6" w:space="0"/>
            </w:tcBorders>
            <w:vAlign w:val="center"/>
          </w:tcPr>
          <w:p w14:paraId="5FAB0D79">
            <w:pPr>
              <w:pStyle w:val="6"/>
              <w:spacing w:line="360" w:lineRule="auto"/>
              <w:ind w:firstLine="0"/>
              <w:rPr>
                <w:rFonts w:ascii="宋体" w:hAnsi="宋体"/>
                <w:color w:val="auto"/>
                <w:szCs w:val="24"/>
                <w:highlight w:val="none"/>
              </w:rPr>
            </w:pPr>
            <w:r>
              <w:rPr>
                <w:rFonts w:hint="eastAsia" w:ascii="宋体" w:hAnsi="宋体"/>
                <w:color w:val="auto"/>
                <w:szCs w:val="24"/>
                <w:highlight w:val="none"/>
              </w:rPr>
              <w:t>民族</w:t>
            </w:r>
          </w:p>
        </w:tc>
        <w:tc>
          <w:tcPr>
            <w:tcW w:w="1029" w:type="dxa"/>
            <w:tcBorders>
              <w:top w:val="single" w:color="auto" w:sz="4" w:space="0"/>
              <w:left w:val="nil"/>
              <w:right w:val="single" w:color="auto" w:sz="4" w:space="0"/>
            </w:tcBorders>
            <w:vAlign w:val="center"/>
          </w:tcPr>
          <w:p w14:paraId="49AADB82">
            <w:pPr>
              <w:pStyle w:val="6"/>
              <w:spacing w:line="360" w:lineRule="auto"/>
              <w:rPr>
                <w:rFonts w:ascii="宋体" w:hAnsi="宋体"/>
                <w:color w:val="auto"/>
                <w:szCs w:val="24"/>
                <w:highlight w:val="none"/>
              </w:rPr>
            </w:pPr>
          </w:p>
        </w:tc>
      </w:tr>
      <w:tr w14:paraId="32D9280C">
        <w:tblPrEx>
          <w:tblCellMar>
            <w:top w:w="0" w:type="dxa"/>
            <w:left w:w="28" w:type="dxa"/>
            <w:bottom w:w="0" w:type="dxa"/>
            <w:right w:w="28" w:type="dxa"/>
          </w:tblCellMar>
        </w:tblPrEx>
        <w:trPr>
          <w:jc w:val="center"/>
        </w:trPr>
        <w:tc>
          <w:tcPr>
            <w:tcW w:w="1108" w:type="dxa"/>
            <w:tcBorders>
              <w:top w:val="single" w:color="auto" w:sz="6" w:space="0"/>
              <w:left w:val="single" w:color="auto" w:sz="4" w:space="0"/>
              <w:bottom w:val="single" w:color="auto" w:sz="6" w:space="0"/>
              <w:right w:val="single" w:color="auto" w:sz="6" w:space="0"/>
            </w:tcBorders>
            <w:vAlign w:val="center"/>
          </w:tcPr>
          <w:p w14:paraId="10DF3CE9">
            <w:pPr>
              <w:pStyle w:val="6"/>
              <w:spacing w:line="360" w:lineRule="auto"/>
              <w:rPr>
                <w:rFonts w:ascii="宋体" w:hAnsi="宋体"/>
                <w:color w:val="auto"/>
                <w:szCs w:val="24"/>
                <w:highlight w:val="none"/>
              </w:rPr>
            </w:pPr>
            <w:r>
              <w:rPr>
                <w:rFonts w:hint="eastAsia" w:ascii="宋体" w:hAnsi="宋体"/>
                <w:color w:val="auto"/>
                <w:szCs w:val="24"/>
                <w:highlight w:val="none"/>
              </w:rPr>
              <w:t>学校</w:t>
            </w:r>
          </w:p>
        </w:tc>
        <w:tc>
          <w:tcPr>
            <w:tcW w:w="1035" w:type="dxa"/>
            <w:tcBorders>
              <w:top w:val="single" w:color="auto" w:sz="6" w:space="0"/>
              <w:left w:val="nil"/>
              <w:bottom w:val="single" w:color="auto" w:sz="6" w:space="0"/>
            </w:tcBorders>
            <w:vAlign w:val="center"/>
          </w:tcPr>
          <w:p w14:paraId="541D329E">
            <w:pPr>
              <w:pStyle w:val="6"/>
              <w:spacing w:line="360" w:lineRule="auto"/>
              <w:rPr>
                <w:rFonts w:ascii="宋体" w:hAnsi="宋体"/>
                <w:color w:val="auto"/>
                <w:szCs w:val="24"/>
                <w:highlight w:val="none"/>
              </w:rPr>
            </w:pPr>
          </w:p>
        </w:tc>
        <w:tc>
          <w:tcPr>
            <w:tcW w:w="1485" w:type="dxa"/>
            <w:gridSpan w:val="2"/>
            <w:tcBorders>
              <w:top w:val="single" w:color="auto" w:sz="6" w:space="0"/>
              <w:left w:val="single" w:color="auto" w:sz="6" w:space="0"/>
              <w:bottom w:val="single" w:color="auto" w:sz="6" w:space="0"/>
              <w:right w:val="single" w:color="auto" w:sz="6" w:space="0"/>
            </w:tcBorders>
            <w:vAlign w:val="center"/>
          </w:tcPr>
          <w:p w14:paraId="08820881">
            <w:pPr>
              <w:pStyle w:val="6"/>
              <w:spacing w:line="360" w:lineRule="auto"/>
              <w:rPr>
                <w:rFonts w:ascii="宋体" w:hAnsi="宋体"/>
                <w:color w:val="auto"/>
                <w:szCs w:val="24"/>
                <w:highlight w:val="none"/>
              </w:rPr>
            </w:pPr>
            <w:r>
              <w:rPr>
                <w:rFonts w:hint="eastAsia" w:ascii="宋体" w:hAnsi="宋体"/>
                <w:color w:val="auto"/>
                <w:szCs w:val="24"/>
                <w:highlight w:val="none"/>
              </w:rPr>
              <w:t>专业</w:t>
            </w:r>
          </w:p>
        </w:tc>
        <w:tc>
          <w:tcPr>
            <w:tcW w:w="909" w:type="dxa"/>
            <w:tcBorders>
              <w:top w:val="single" w:color="auto" w:sz="6" w:space="0"/>
              <w:left w:val="nil"/>
              <w:bottom w:val="single" w:color="auto" w:sz="6" w:space="0"/>
            </w:tcBorders>
            <w:vAlign w:val="center"/>
          </w:tcPr>
          <w:p w14:paraId="4F4CD00F">
            <w:pPr>
              <w:pStyle w:val="6"/>
              <w:spacing w:line="360" w:lineRule="auto"/>
              <w:rPr>
                <w:rFonts w:ascii="宋体" w:hAnsi="宋体"/>
                <w:color w:val="auto"/>
                <w:szCs w:val="24"/>
                <w:highlight w:val="none"/>
              </w:rPr>
            </w:pPr>
          </w:p>
        </w:tc>
        <w:tc>
          <w:tcPr>
            <w:tcW w:w="997" w:type="dxa"/>
            <w:tcBorders>
              <w:top w:val="single" w:color="auto" w:sz="6" w:space="0"/>
              <w:left w:val="single" w:color="auto" w:sz="6" w:space="0"/>
              <w:bottom w:val="single" w:color="auto" w:sz="6" w:space="0"/>
              <w:right w:val="single" w:color="auto" w:sz="6" w:space="0"/>
            </w:tcBorders>
            <w:vAlign w:val="center"/>
          </w:tcPr>
          <w:p w14:paraId="2B0FCB18">
            <w:pPr>
              <w:pStyle w:val="6"/>
              <w:spacing w:line="360" w:lineRule="auto"/>
              <w:rPr>
                <w:rFonts w:ascii="宋体" w:hAnsi="宋体"/>
                <w:color w:val="auto"/>
                <w:szCs w:val="24"/>
                <w:highlight w:val="none"/>
              </w:rPr>
            </w:pPr>
            <w:r>
              <w:rPr>
                <w:rFonts w:hint="eastAsia" w:ascii="宋体" w:hAnsi="宋体"/>
                <w:color w:val="auto"/>
                <w:szCs w:val="24"/>
                <w:highlight w:val="none"/>
              </w:rPr>
              <w:t>职务</w:t>
            </w:r>
          </w:p>
        </w:tc>
        <w:tc>
          <w:tcPr>
            <w:tcW w:w="946" w:type="dxa"/>
            <w:tcBorders>
              <w:top w:val="single" w:color="auto" w:sz="6" w:space="0"/>
              <w:left w:val="nil"/>
              <w:bottom w:val="single" w:color="auto" w:sz="6" w:space="0"/>
            </w:tcBorders>
            <w:vAlign w:val="center"/>
          </w:tcPr>
          <w:p w14:paraId="74C3FCC2">
            <w:pPr>
              <w:pStyle w:val="6"/>
              <w:spacing w:line="360" w:lineRule="auto"/>
              <w:rPr>
                <w:rFonts w:ascii="宋体" w:hAnsi="宋体"/>
                <w:color w:val="auto"/>
                <w:szCs w:val="24"/>
                <w:highlight w:val="none"/>
              </w:rPr>
            </w:pPr>
          </w:p>
        </w:tc>
        <w:tc>
          <w:tcPr>
            <w:tcW w:w="800" w:type="dxa"/>
            <w:tcBorders>
              <w:top w:val="single" w:color="auto" w:sz="6" w:space="0"/>
              <w:left w:val="single" w:color="auto" w:sz="6" w:space="0"/>
              <w:bottom w:val="single" w:color="auto" w:sz="6" w:space="0"/>
              <w:right w:val="single" w:color="auto" w:sz="6" w:space="0"/>
            </w:tcBorders>
            <w:vAlign w:val="center"/>
          </w:tcPr>
          <w:p w14:paraId="45F784B9">
            <w:pPr>
              <w:pStyle w:val="6"/>
              <w:spacing w:line="360" w:lineRule="auto"/>
              <w:ind w:firstLine="0"/>
              <w:rPr>
                <w:rFonts w:ascii="宋体" w:hAnsi="宋体"/>
                <w:color w:val="auto"/>
                <w:szCs w:val="24"/>
                <w:highlight w:val="none"/>
              </w:rPr>
            </w:pPr>
            <w:r>
              <w:rPr>
                <w:rFonts w:hint="eastAsia" w:ascii="宋体" w:hAnsi="宋体"/>
                <w:color w:val="auto"/>
                <w:szCs w:val="24"/>
                <w:highlight w:val="none"/>
              </w:rPr>
              <w:t>职称</w:t>
            </w:r>
          </w:p>
        </w:tc>
        <w:tc>
          <w:tcPr>
            <w:tcW w:w="1029" w:type="dxa"/>
            <w:tcBorders>
              <w:top w:val="single" w:color="auto" w:sz="6" w:space="0"/>
              <w:left w:val="nil"/>
              <w:bottom w:val="single" w:color="auto" w:sz="6" w:space="0"/>
              <w:right w:val="single" w:color="auto" w:sz="4" w:space="0"/>
            </w:tcBorders>
            <w:vAlign w:val="center"/>
          </w:tcPr>
          <w:p w14:paraId="03119B0D">
            <w:pPr>
              <w:pStyle w:val="6"/>
              <w:spacing w:line="360" w:lineRule="auto"/>
              <w:rPr>
                <w:rFonts w:ascii="宋体" w:hAnsi="宋体"/>
                <w:color w:val="auto"/>
                <w:szCs w:val="24"/>
                <w:highlight w:val="none"/>
              </w:rPr>
            </w:pPr>
          </w:p>
        </w:tc>
      </w:tr>
      <w:tr w14:paraId="0126EC7A">
        <w:tblPrEx>
          <w:tblCellMar>
            <w:top w:w="0" w:type="dxa"/>
            <w:left w:w="28" w:type="dxa"/>
            <w:bottom w:w="0" w:type="dxa"/>
            <w:right w:w="28" w:type="dxa"/>
          </w:tblCellMar>
        </w:tblPrEx>
        <w:trPr>
          <w:jc w:val="center"/>
        </w:trPr>
        <w:tc>
          <w:tcPr>
            <w:tcW w:w="1108" w:type="dxa"/>
            <w:tcBorders>
              <w:left w:val="single" w:color="auto" w:sz="4" w:space="0"/>
              <w:right w:val="single" w:color="auto" w:sz="6" w:space="0"/>
            </w:tcBorders>
          </w:tcPr>
          <w:p w14:paraId="6FA12BD0">
            <w:pPr>
              <w:pStyle w:val="6"/>
              <w:spacing w:line="360" w:lineRule="auto"/>
              <w:rPr>
                <w:rFonts w:ascii="宋体" w:hAnsi="宋体"/>
                <w:color w:val="auto"/>
                <w:szCs w:val="24"/>
                <w:highlight w:val="none"/>
              </w:rPr>
            </w:pPr>
          </w:p>
        </w:tc>
        <w:tc>
          <w:tcPr>
            <w:tcW w:w="5372" w:type="dxa"/>
            <w:gridSpan w:val="6"/>
            <w:tcBorders>
              <w:left w:val="nil"/>
            </w:tcBorders>
          </w:tcPr>
          <w:p w14:paraId="1C81F7C8">
            <w:pPr>
              <w:pStyle w:val="6"/>
              <w:spacing w:line="360" w:lineRule="auto"/>
              <w:rPr>
                <w:rFonts w:ascii="宋体" w:hAnsi="宋体"/>
                <w:color w:val="auto"/>
                <w:szCs w:val="24"/>
                <w:highlight w:val="none"/>
              </w:rPr>
            </w:pPr>
            <w:r>
              <w:rPr>
                <w:rFonts w:hint="eastAsia" w:ascii="宋体" w:hAnsi="宋体"/>
                <w:color w:val="auto"/>
                <w:szCs w:val="24"/>
                <w:highlight w:val="none"/>
              </w:rPr>
              <w:t>（现场服务业绩）</w:t>
            </w:r>
          </w:p>
        </w:tc>
        <w:tc>
          <w:tcPr>
            <w:tcW w:w="800" w:type="dxa"/>
          </w:tcPr>
          <w:p w14:paraId="5A9C3CE4">
            <w:pPr>
              <w:pStyle w:val="6"/>
              <w:spacing w:line="360" w:lineRule="auto"/>
              <w:rPr>
                <w:rFonts w:ascii="宋体" w:hAnsi="宋体"/>
                <w:color w:val="auto"/>
                <w:szCs w:val="24"/>
                <w:highlight w:val="none"/>
              </w:rPr>
            </w:pPr>
          </w:p>
        </w:tc>
        <w:tc>
          <w:tcPr>
            <w:tcW w:w="1029" w:type="dxa"/>
            <w:tcBorders>
              <w:right w:val="single" w:color="auto" w:sz="4" w:space="0"/>
            </w:tcBorders>
          </w:tcPr>
          <w:p w14:paraId="05C8246E">
            <w:pPr>
              <w:pStyle w:val="6"/>
              <w:spacing w:line="360" w:lineRule="auto"/>
              <w:rPr>
                <w:rFonts w:ascii="宋体" w:hAnsi="宋体"/>
                <w:color w:val="auto"/>
                <w:szCs w:val="24"/>
                <w:highlight w:val="none"/>
              </w:rPr>
            </w:pPr>
          </w:p>
        </w:tc>
      </w:tr>
      <w:tr w14:paraId="7F8441C2">
        <w:tblPrEx>
          <w:tblCellMar>
            <w:top w:w="0" w:type="dxa"/>
            <w:left w:w="28" w:type="dxa"/>
            <w:bottom w:w="0" w:type="dxa"/>
            <w:right w:w="28" w:type="dxa"/>
          </w:tblCellMar>
        </w:tblPrEx>
        <w:trPr>
          <w:jc w:val="center"/>
        </w:trPr>
        <w:tc>
          <w:tcPr>
            <w:tcW w:w="1108" w:type="dxa"/>
            <w:tcBorders>
              <w:left w:val="single" w:color="auto" w:sz="4" w:space="0"/>
              <w:right w:val="single" w:color="auto" w:sz="6" w:space="0"/>
            </w:tcBorders>
          </w:tcPr>
          <w:p w14:paraId="649807E4">
            <w:pPr>
              <w:pStyle w:val="6"/>
              <w:spacing w:line="360" w:lineRule="auto"/>
              <w:rPr>
                <w:rFonts w:ascii="宋体" w:hAnsi="宋体"/>
                <w:color w:val="auto"/>
                <w:szCs w:val="24"/>
                <w:highlight w:val="none"/>
              </w:rPr>
            </w:pPr>
            <w:r>
              <w:rPr>
                <w:rFonts w:hint="eastAsia" w:ascii="宋体" w:hAnsi="宋体"/>
                <w:color w:val="auto"/>
                <w:szCs w:val="24"/>
                <w:highlight w:val="none"/>
              </w:rPr>
              <w:t>工</w:t>
            </w:r>
          </w:p>
        </w:tc>
        <w:tc>
          <w:tcPr>
            <w:tcW w:w="1035" w:type="dxa"/>
            <w:tcBorders>
              <w:left w:val="nil"/>
            </w:tcBorders>
          </w:tcPr>
          <w:p w14:paraId="1DA13C10">
            <w:pPr>
              <w:pStyle w:val="6"/>
              <w:spacing w:line="360" w:lineRule="auto"/>
              <w:rPr>
                <w:rFonts w:ascii="宋体" w:hAnsi="宋体"/>
                <w:color w:val="auto"/>
                <w:szCs w:val="24"/>
                <w:highlight w:val="none"/>
              </w:rPr>
            </w:pPr>
          </w:p>
        </w:tc>
        <w:tc>
          <w:tcPr>
            <w:tcW w:w="1365" w:type="dxa"/>
          </w:tcPr>
          <w:p w14:paraId="311A5C75">
            <w:pPr>
              <w:pStyle w:val="6"/>
              <w:spacing w:line="360" w:lineRule="auto"/>
              <w:rPr>
                <w:rFonts w:ascii="宋体" w:hAnsi="宋体"/>
                <w:color w:val="auto"/>
                <w:szCs w:val="24"/>
                <w:highlight w:val="none"/>
              </w:rPr>
            </w:pPr>
          </w:p>
        </w:tc>
        <w:tc>
          <w:tcPr>
            <w:tcW w:w="1029" w:type="dxa"/>
            <w:gridSpan w:val="2"/>
          </w:tcPr>
          <w:p w14:paraId="7FD4F752">
            <w:pPr>
              <w:pStyle w:val="6"/>
              <w:spacing w:line="360" w:lineRule="auto"/>
              <w:rPr>
                <w:rFonts w:ascii="宋体" w:hAnsi="宋体"/>
                <w:color w:val="auto"/>
                <w:szCs w:val="24"/>
                <w:highlight w:val="none"/>
              </w:rPr>
            </w:pPr>
          </w:p>
        </w:tc>
        <w:tc>
          <w:tcPr>
            <w:tcW w:w="997" w:type="dxa"/>
          </w:tcPr>
          <w:p w14:paraId="6FFC4E77">
            <w:pPr>
              <w:pStyle w:val="6"/>
              <w:spacing w:line="360" w:lineRule="auto"/>
              <w:rPr>
                <w:rFonts w:ascii="宋体" w:hAnsi="宋体"/>
                <w:color w:val="auto"/>
                <w:szCs w:val="24"/>
                <w:highlight w:val="none"/>
              </w:rPr>
            </w:pPr>
          </w:p>
        </w:tc>
        <w:tc>
          <w:tcPr>
            <w:tcW w:w="946" w:type="dxa"/>
          </w:tcPr>
          <w:p w14:paraId="2279E534">
            <w:pPr>
              <w:pStyle w:val="6"/>
              <w:spacing w:line="360" w:lineRule="auto"/>
              <w:rPr>
                <w:rFonts w:ascii="宋体" w:hAnsi="宋体"/>
                <w:color w:val="auto"/>
                <w:szCs w:val="24"/>
                <w:highlight w:val="none"/>
              </w:rPr>
            </w:pPr>
          </w:p>
        </w:tc>
        <w:tc>
          <w:tcPr>
            <w:tcW w:w="800" w:type="dxa"/>
          </w:tcPr>
          <w:p w14:paraId="1992FC0B">
            <w:pPr>
              <w:pStyle w:val="6"/>
              <w:spacing w:line="360" w:lineRule="auto"/>
              <w:rPr>
                <w:rFonts w:ascii="宋体" w:hAnsi="宋体"/>
                <w:color w:val="auto"/>
                <w:szCs w:val="24"/>
                <w:highlight w:val="none"/>
              </w:rPr>
            </w:pPr>
          </w:p>
        </w:tc>
        <w:tc>
          <w:tcPr>
            <w:tcW w:w="1029" w:type="dxa"/>
            <w:tcBorders>
              <w:right w:val="single" w:color="auto" w:sz="4" w:space="0"/>
            </w:tcBorders>
          </w:tcPr>
          <w:p w14:paraId="103B327D">
            <w:pPr>
              <w:pStyle w:val="6"/>
              <w:spacing w:line="360" w:lineRule="auto"/>
              <w:rPr>
                <w:rFonts w:ascii="宋体" w:hAnsi="宋体"/>
                <w:color w:val="auto"/>
                <w:szCs w:val="24"/>
                <w:highlight w:val="none"/>
              </w:rPr>
            </w:pPr>
          </w:p>
        </w:tc>
      </w:tr>
      <w:tr w14:paraId="1C54CEF1">
        <w:tblPrEx>
          <w:tblCellMar>
            <w:top w:w="0" w:type="dxa"/>
            <w:left w:w="28" w:type="dxa"/>
            <w:bottom w:w="0" w:type="dxa"/>
            <w:right w:w="28" w:type="dxa"/>
          </w:tblCellMar>
        </w:tblPrEx>
        <w:trPr>
          <w:jc w:val="center"/>
        </w:trPr>
        <w:tc>
          <w:tcPr>
            <w:tcW w:w="1108" w:type="dxa"/>
            <w:tcBorders>
              <w:left w:val="single" w:color="auto" w:sz="4" w:space="0"/>
              <w:right w:val="single" w:color="auto" w:sz="6" w:space="0"/>
            </w:tcBorders>
          </w:tcPr>
          <w:p w14:paraId="35551406">
            <w:pPr>
              <w:pStyle w:val="6"/>
              <w:spacing w:line="360" w:lineRule="auto"/>
              <w:rPr>
                <w:rFonts w:ascii="宋体" w:hAnsi="宋体"/>
                <w:color w:val="auto"/>
                <w:szCs w:val="24"/>
                <w:highlight w:val="none"/>
              </w:rPr>
            </w:pPr>
            <w:r>
              <w:rPr>
                <w:rFonts w:hint="eastAsia" w:ascii="宋体" w:hAnsi="宋体"/>
                <w:color w:val="auto"/>
                <w:szCs w:val="24"/>
                <w:highlight w:val="none"/>
              </w:rPr>
              <w:t>作</w:t>
            </w:r>
          </w:p>
        </w:tc>
        <w:tc>
          <w:tcPr>
            <w:tcW w:w="1035" w:type="dxa"/>
            <w:tcBorders>
              <w:left w:val="nil"/>
            </w:tcBorders>
          </w:tcPr>
          <w:p w14:paraId="09DD2B0E">
            <w:pPr>
              <w:pStyle w:val="6"/>
              <w:spacing w:line="360" w:lineRule="auto"/>
              <w:rPr>
                <w:rFonts w:ascii="宋体" w:hAnsi="宋体"/>
                <w:color w:val="auto"/>
                <w:szCs w:val="24"/>
                <w:highlight w:val="none"/>
              </w:rPr>
            </w:pPr>
          </w:p>
        </w:tc>
        <w:tc>
          <w:tcPr>
            <w:tcW w:w="1365" w:type="dxa"/>
          </w:tcPr>
          <w:p w14:paraId="4E103BE9">
            <w:pPr>
              <w:pStyle w:val="6"/>
              <w:spacing w:line="360" w:lineRule="auto"/>
              <w:rPr>
                <w:rFonts w:ascii="宋体" w:hAnsi="宋体"/>
                <w:color w:val="auto"/>
                <w:szCs w:val="24"/>
                <w:highlight w:val="none"/>
              </w:rPr>
            </w:pPr>
          </w:p>
        </w:tc>
        <w:tc>
          <w:tcPr>
            <w:tcW w:w="1029" w:type="dxa"/>
            <w:gridSpan w:val="2"/>
          </w:tcPr>
          <w:p w14:paraId="58038DE8">
            <w:pPr>
              <w:pStyle w:val="6"/>
              <w:spacing w:line="360" w:lineRule="auto"/>
              <w:rPr>
                <w:rFonts w:ascii="宋体" w:hAnsi="宋体"/>
                <w:color w:val="auto"/>
                <w:szCs w:val="24"/>
                <w:highlight w:val="none"/>
              </w:rPr>
            </w:pPr>
          </w:p>
        </w:tc>
        <w:tc>
          <w:tcPr>
            <w:tcW w:w="997" w:type="dxa"/>
          </w:tcPr>
          <w:p w14:paraId="5F3C9CE0">
            <w:pPr>
              <w:pStyle w:val="6"/>
              <w:spacing w:line="360" w:lineRule="auto"/>
              <w:rPr>
                <w:rFonts w:ascii="宋体" w:hAnsi="宋体"/>
                <w:color w:val="auto"/>
                <w:szCs w:val="24"/>
                <w:highlight w:val="none"/>
              </w:rPr>
            </w:pPr>
          </w:p>
        </w:tc>
        <w:tc>
          <w:tcPr>
            <w:tcW w:w="946" w:type="dxa"/>
          </w:tcPr>
          <w:p w14:paraId="2803299F">
            <w:pPr>
              <w:pStyle w:val="6"/>
              <w:spacing w:line="360" w:lineRule="auto"/>
              <w:rPr>
                <w:rFonts w:ascii="宋体" w:hAnsi="宋体"/>
                <w:color w:val="auto"/>
                <w:szCs w:val="24"/>
                <w:highlight w:val="none"/>
              </w:rPr>
            </w:pPr>
          </w:p>
        </w:tc>
        <w:tc>
          <w:tcPr>
            <w:tcW w:w="800" w:type="dxa"/>
          </w:tcPr>
          <w:p w14:paraId="7D37D488">
            <w:pPr>
              <w:pStyle w:val="6"/>
              <w:spacing w:line="360" w:lineRule="auto"/>
              <w:rPr>
                <w:rFonts w:ascii="宋体" w:hAnsi="宋体"/>
                <w:color w:val="auto"/>
                <w:szCs w:val="24"/>
                <w:highlight w:val="none"/>
              </w:rPr>
            </w:pPr>
          </w:p>
        </w:tc>
        <w:tc>
          <w:tcPr>
            <w:tcW w:w="1029" w:type="dxa"/>
            <w:tcBorders>
              <w:right w:val="single" w:color="auto" w:sz="4" w:space="0"/>
            </w:tcBorders>
          </w:tcPr>
          <w:p w14:paraId="626A5C1E">
            <w:pPr>
              <w:pStyle w:val="6"/>
              <w:spacing w:line="360" w:lineRule="auto"/>
              <w:rPr>
                <w:rFonts w:ascii="宋体" w:hAnsi="宋体"/>
                <w:color w:val="auto"/>
                <w:szCs w:val="24"/>
                <w:highlight w:val="none"/>
              </w:rPr>
            </w:pPr>
          </w:p>
        </w:tc>
      </w:tr>
      <w:tr w14:paraId="7F443F56">
        <w:tblPrEx>
          <w:tblCellMar>
            <w:top w:w="0" w:type="dxa"/>
            <w:left w:w="28" w:type="dxa"/>
            <w:bottom w:w="0" w:type="dxa"/>
            <w:right w:w="28" w:type="dxa"/>
          </w:tblCellMar>
        </w:tblPrEx>
        <w:trPr>
          <w:jc w:val="center"/>
        </w:trPr>
        <w:tc>
          <w:tcPr>
            <w:tcW w:w="1108" w:type="dxa"/>
            <w:tcBorders>
              <w:left w:val="single" w:color="auto" w:sz="4" w:space="0"/>
              <w:right w:val="single" w:color="auto" w:sz="6" w:space="0"/>
            </w:tcBorders>
          </w:tcPr>
          <w:p w14:paraId="17C84C17">
            <w:pPr>
              <w:pStyle w:val="6"/>
              <w:spacing w:line="360" w:lineRule="auto"/>
              <w:rPr>
                <w:rFonts w:ascii="宋体" w:hAnsi="宋体"/>
                <w:color w:val="auto"/>
                <w:szCs w:val="24"/>
                <w:highlight w:val="none"/>
              </w:rPr>
            </w:pPr>
            <w:r>
              <w:rPr>
                <w:rFonts w:hint="eastAsia" w:ascii="宋体" w:hAnsi="宋体"/>
                <w:color w:val="auto"/>
                <w:szCs w:val="24"/>
                <w:highlight w:val="none"/>
              </w:rPr>
              <w:t>简</w:t>
            </w:r>
          </w:p>
        </w:tc>
        <w:tc>
          <w:tcPr>
            <w:tcW w:w="1035" w:type="dxa"/>
            <w:tcBorders>
              <w:left w:val="nil"/>
            </w:tcBorders>
          </w:tcPr>
          <w:p w14:paraId="48A3A166">
            <w:pPr>
              <w:pStyle w:val="6"/>
              <w:spacing w:line="360" w:lineRule="auto"/>
              <w:rPr>
                <w:rFonts w:ascii="宋体" w:hAnsi="宋体"/>
                <w:color w:val="auto"/>
                <w:szCs w:val="24"/>
                <w:highlight w:val="none"/>
              </w:rPr>
            </w:pPr>
          </w:p>
        </w:tc>
        <w:tc>
          <w:tcPr>
            <w:tcW w:w="1365" w:type="dxa"/>
          </w:tcPr>
          <w:p w14:paraId="50B91CF2">
            <w:pPr>
              <w:pStyle w:val="6"/>
              <w:spacing w:line="360" w:lineRule="auto"/>
              <w:rPr>
                <w:rFonts w:ascii="宋体" w:hAnsi="宋体"/>
                <w:color w:val="auto"/>
                <w:szCs w:val="24"/>
                <w:highlight w:val="none"/>
              </w:rPr>
            </w:pPr>
          </w:p>
        </w:tc>
        <w:tc>
          <w:tcPr>
            <w:tcW w:w="1029" w:type="dxa"/>
            <w:gridSpan w:val="2"/>
          </w:tcPr>
          <w:p w14:paraId="526B7C6D">
            <w:pPr>
              <w:pStyle w:val="6"/>
              <w:spacing w:line="360" w:lineRule="auto"/>
              <w:rPr>
                <w:rFonts w:ascii="宋体" w:hAnsi="宋体"/>
                <w:color w:val="auto"/>
                <w:szCs w:val="24"/>
                <w:highlight w:val="none"/>
              </w:rPr>
            </w:pPr>
          </w:p>
        </w:tc>
        <w:tc>
          <w:tcPr>
            <w:tcW w:w="997" w:type="dxa"/>
          </w:tcPr>
          <w:p w14:paraId="1FF63F76">
            <w:pPr>
              <w:pStyle w:val="6"/>
              <w:spacing w:line="360" w:lineRule="auto"/>
              <w:rPr>
                <w:rFonts w:ascii="宋体" w:hAnsi="宋体"/>
                <w:color w:val="auto"/>
                <w:szCs w:val="24"/>
                <w:highlight w:val="none"/>
              </w:rPr>
            </w:pPr>
          </w:p>
        </w:tc>
        <w:tc>
          <w:tcPr>
            <w:tcW w:w="946" w:type="dxa"/>
          </w:tcPr>
          <w:p w14:paraId="79CA1BC9">
            <w:pPr>
              <w:pStyle w:val="6"/>
              <w:spacing w:line="360" w:lineRule="auto"/>
              <w:rPr>
                <w:rFonts w:ascii="宋体" w:hAnsi="宋体"/>
                <w:color w:val="auto"/>
                <w:szCs w:val="24"/>
                <w:highlight w:val="none"/>
              </w:rPr>
            </w:pPr>
          </w:p>
        </w:tc>
        <w:tc>
          <w:tcPr>
            <w:tcW w:w="800" w:type="dxa"/>
          </w:tcPr>
          <w:p w14:paraId="5C59BBE1">
            <w:pPr>
              <w:pStyle w:val="6"/>
              <w:spacing w:line="360" w:lineRule="auto"/>
              <w:rPr>
                <w:rFonts w:ascii="宋体" w:hAnsi="宋体"/>
                <w:color w:val="auto"/>
                <w:szCs w:val="24"/>
                <w:highlight w:val="none"/>
              </w:rPr>
            </w:pPr>
          </w:p>
        </w:tc>
        <w:tc>
          <w:tcPr>
            <w:tcW w:w="1029" w:type="dxa"/>
            <w:tcBorders>
              <w:right w:val="single" w:color="auto" w:sz="4" w:space="0"/>
            </w:tcBorders>
          </w:tcPr>
          <w:p w14:paraId="27694768">
            <w:pPr>
              <w:pStyle w:val="6"/>
              <w:spacing w:line="360" w:lineRule="auto"/>
              <w:rPr>
                <w:rFonts w:ascii="宋体" w:hAnsi="宋体"/>
                <w:color w:val="auto"/>
                <w:szCs w:val="24"/>
                <w:highlight w:val="none"/>
              </w:rPr>
            </w:pPr>
          </w:p>
        </w:tc>
      </w:tr>
      <w:tr w14:paraId="2E68D7CB">
        <w:tblPrEx>
          <w:tblCellMar>
            <w:top w:w="0" w:type="dxa"/>
            <w:left w:w="28" w:type="dxa"/>
            <w:bottom w:w="0" w:type="dxa"/>
            <w:right w:w="28" w:type="dxa"/>
          </w:tblCellMar>
        </w:tblPrEx>
        <w:trPr>
          <w:jc w:val="center"/>
        </w:trPr>
        <w:tc>
          <w:tcPr>
            <w:tcW w:w="1108" w:type="dxa"/>
            <w:tcBorders>
              <w:left w:val="single" w:color="auto" w:sz="4" w:space="0"/>
              <w:bottom w:val="single" w:color="auto" w:sz="4" w:space="0"/>
              <w:right w:val="single" w:color="auto" w:sz="6" w:space="0"/>
            </w:tcBorders>
          </w:tcPr>
          <w:p w14:paraId="21215DA1">
            <w:pPr>
              <w:pStyle w:val="6"/>
              <w:spacing w:line="360" w:lineRule="auto"/>
              <w:rPr>
                <w:rFonts w:ascii="宋体" w:hAnsi="宋体"/>
                <w:color w:val="auto"/>
                <w:szCs w:val="24"/>
                <w:highlight w:val="none"/>
              </w:rPr>
            </w:pPr>
            <w:r>
              <w:rPr>
                <w:rFonts w:hint="eastAsia" w:ascii="宋体" w:hAnsi="宋体"/>
                <w:color w:val="auto"/>
                <w:szCs w:val="24"/>
                <w:highlight w:val="none"/>
              </w:rPr>
              <w:t>历</w:t>
            </w:r>
          </w:p>
        </w:tc>
        <w:tc>
          <w:tcPr>
            <w:tcW w:w="1035" w:type="dxa"/>
            <w:tcBorders>
              <w:left w:val="nil"/>
              <w:bottom w:val="single" w:color="auto" w:sz="4" w:space="0"/>
            </w:tcBorders>
          </w:tcPr>
          <w:p w14:paraId="7F94BD6F">
            <w:pPr>
              <w:pStyle w:val="6"/>
              <w:spacing w:line="360" w:lineRule="auto"/>
              <w:rPr>
                <w:rFonts w:ascii="宋体" w:hAnsi="宋体"/>
                <w:color w:val="auto"/>
                <w:szCs w:val="24"/>
                <w:highlight w:val="none"/>
              </w:rPr>
            </w:pPr>
          </w:p>
        </w:tc>
        <w:tc>
          <w:tcPr>
            <w:tcW w:w="1365" w:type="dxa"/>
            <w:tcBorders>
              <w:bottom w:val="single" w:color="auto" w:sz="4" w:space="0"/>
            </w:tcBorders>
          </w:tcPr>
          <w:p w14:paraId="4A2BD4E4">
            <w:pPr>
              <w:pStyle w:val="6"/>
              <w:spacing w:line="360" w:lineRule="auto"/>
              <w:rPr>
                <w:rFonts w:ascii="宋体" w:hAnsi="宋体"/>
                <w:color w:val="auto"/>
                <w:szCs w:val="24"/>
                <w:highlight w:val="none"/>
              </w:rPr>
            </w:pPr>
          </w:p>
        </w:tc>
        <w:tc>
          <w:tcPr>
            <w:tcW w:w="1029" w:type="dxa"/>
            <w:gridSpan w:val="2"/>
            <w:tcBorders>
              <w:bottom w:val="single" w:color="auto" w:sz="4" w:space="0"/>
            </w:tcBorders>
          </w:tcPr>
          <w:p w14:paraId="5230ED2F">
            <w:pPr>
              <w:pStyle w:val="6"/>
              <w:spacing w:line="360" w:lineRule="auto"/>
              <w:rPr>
                <w:rFonts w:ascii="宋体" w:hAnsi="宋体"/>
                <w:color w:val="auto"/>
                <w:szCs w:val="24"/>
                <w:highlight w:val="none"/>
              </w:rPr>
            </w:pPr>
          </w:p>
        </w:tc>
        <w:tc>
          <w:tcPr>
            <w:tcW w:w="997" w:type="dxa"/>
            <w:tcBorders>
              <w:bottom w:val="single" w:color="auto" w:sz="4" w:space="0"/>
            </w:tcBorders>
          </w:tcPr>
          <w:p w14:paraId="12FD3B7C">
            <w:pPr>
              <w:pStyle w:val="6"/>
              <w:spacing w:line="360" w:lineRule="auto"/>
              <w:rPr>
                <w:rFonts w:ascii="宋体" w:hAnsi="宋体"/>
                <w:color w:val="auto"/>
                <w:szCs w:val="24"/>
                <w:highlight w:val="none"/>
              </w:rPr>
            </w:pPr>
          </w:p>
        </w:tc>
        <w:tc>
          <w:tcPr>
            <w:tcW w:w="946" w:type="dxa"/>
            <w:tcBorders>
              <w:bottom w:val="single" w:color="auto" w:sz="4" w:space="0"/>
            </w:tcBorders>
          </w:tcPr>
          <w:p w14:paraId="1DE69BED">
            <w:pPr>
              <w:pStyle w:val="6"/>
              <w:spacing w:line="360" w:lineRule="auto"/>
              <w:rPr>
                <w:rFonts w:ascii="宋体" w:hAnsi="宋体"/>
                <w:color w:val="auto"/>
                <w:szCs w:val="24"/>
                <w:highlight w:val="none"/>
              </w:rPr>
            </w:pPr>
          </w:p>
        </w:tc>
        <w:tc>
          <w:tcPr>
            <w:tcW w:w="800" w:type="dxa"/>
            <w:tcBorders>
              <w:bottom w:val="single" w:color="auto" w:sz="4" w:space="0"/>
            </w:tcBorders>
          </w:tcPr>
          <w:p w14:paraId="045EBDF6">
            <w:pPr>
              <w:pStyle w:val="6"/>
              <w:spacing w:line="360" w:lineRule="auto"/>
              <w:rPr>
                <w:rFonts w:ascii="宋体" w:hAnsi="宋体"/>
                <w:color w:val="auto"/>
                <w:szCs w:val="24"/>
                <w:highlight w:val="none"/>
              </w:rPr>
            </w:pPr>
          </w:p>
        </w:tc>
        <w:tc>
          <w:tcPr>
            <w:tcW w:w="1029" w:type="dxa"/>
            <w:tcBorders>
              <w:bottom w:val="single" w:color="auto" w:sz="4" w:space="0"/>
              <w:right w:val="single" w:color="auto" w:sz="4" w:space="0"/>
            </w:tcBorders>
          </w:tcPr>
          <w:p w14:paraId="6DF0E442">
            <w:pPr>
              <w:pStyle w:val="6"/>
              <w:spacing w:line="360" w:lineRule="auto"/>
              <w:rPr>
                <w:rFonts w:ascii="宋体" w:hAnsi="宋体"/>
                <w:color w:val="auto"/>
                <w:szCs w:val="24"/>
                <w:highlight w:val="none"/>
              </w:rPr>
            </w:pPr>
          </w:p>
        </w:tc>
      </w:tr>
    </w:tbl>
    <w:p w14:paraId="3E6A1E08">
      <w:pPr>
        <w:pStyle w:val="6"/>
        <w:spacing w:line="360" w:lineRule="auto"/>
        <w:rPr>
          <w:rFonts w:ascii="宋体" w:hAnsi="宋体"/>
          <w:color w:val="auto"/>
          <w:szCs w:val="24"/>
          <w:highlight w:val="none"/>
        </w:rPr>
      </w:pPr>
      <w:r>
        <w:rPr>
          <w:rFonts w:hint="eastAsia" w:ascii="宋体" w:hAnsi="宋体"/>
          <w:color w:val="auto"/>
          <w:szCs w:val="24"/>
          <w:highlight w:val="none"/>
        </w:rPr>
        <w:t>（注：每人一表）</w:t>
      </w:r>
    </w:p>
    <w:p w14:paraId="009021A2">
      <w:pPr>
        <w:pStyle w:val="6"/>
        <w:spacing w:line="360" w:lineRule="auto"/>
        <w:rPr>
          <w:rFonts w:ascii="宋体" w:hAnsi="宋体"/>
          <w:color w:val="auto"/>
          <w:szCs w:val="24"/>
          <w:highlight w:val="none"/>
        </w:rPr>
      </w:pPr>
      <w:r>
        <w:rPr>
          <w:rFonts w:ascii="宋体" w:hAnsi="宋体"/>
          <w:color w:val="auto"/>
          <w:szCs w:val="24"/>
          <w:highlight w:val="none"/>
        </w:rPr>
        <w:t xml:space="preserve">1.3  </w:t>
      </w:r>
      <w:r>
        <w:rPr>
          <w:rFonts w:hint="eastAsia" w:ascii="宋体" w:hAnsi="宋体"/>
          <w:color w:val="auto"/>
          <w:szCs w:val="24"/>
          <w:highlight w:val="none"/>
        </w:rPr>
        <w:t>投标人现场服务人员的职责</w:t>
      </w:r>
    </w:p>
    <w:p w14:paraId="68D1511D">
      <w:pPr>
        <w:pStyle w:val="6"/>
        <w:spacing w:line="360" w:lineRule="auto"/>
        <w:rPr>
          <w:rFonts w:ascii="宋体" w:hAnsi="宋体"/>
          <w:color w:val="auto"/>
          <w:szCs w:val="24"/>
          <w:highlight w:val="none"/>
        </w:rPr>
      </w:pPr>
      <w:r>
        <w:rPr>
          <w:rFonts w:ascii="宋体" w:hAnsi="宋体"/>
          <w:color w:val="auto"/>
          <w:szCs w:val="24"/>
          <w:highlight w:val="none"/>
        </w:rPr>
        <w:t>1.3.1</w:t>
      </w:r>
      <w:r>
        <w:rPr>
          <w:rFonts w:hint="eastAsia" w:ascii="宋体" w:hAnsi="宋体"/>
          <w:color w:val="auto"/>
          <w:szCs w:val="24"/>
          <w:highlight w:val="none"/>
        </w:rPr>
        <w:t>投标人现场服务人员的任务主要包括设备催交、货物的开箱检验、设备质量问题的处理、指导安装和调试、参加试运和性能验收试验。</w:t>
      </w:r>
    </w:p>
    <w:p w14:paraId="55B0E170">
      <w:pPr>
        <w:pStyle w:val="6"/>
        <w:spacing w:line="360" w:lineRule="auto"/>
        <w:rPr>
          <w:rFonts w:ascii="宋体" w:hAnsi="宋体"/>
          <w:color w:val="auto"/>
          <w:szCs w:val="24"/>
          <w:highlight w:val="none"/>
        </w:rPr>
      </w:pPr>
      <w:r>
        <w:rPr>
          <w:rFonts w:ascii="宋体" w:hAnsi="宋体"/>
          <w:color w:val="auto"/>
          <w:szCs w:val="24"/>
          <w:highlight w:val="none"/>
        </w:rPr>
        <w:t>1.3.2</w:t>
      </w:r>
      <w:r>
        <w:rPr>
          <w:rFonts w:hint="eastAsia" w:ascii="宋体" w:hAnsi="宋体"/>
          <w:color w:val="auto"/>
          <w:szCs w:val="24"/>
          <w:highlight w:val="none"/>
        </w:rPr>
        <w:t>在安装和调试前，投标人技术服务人员应向招标人技术交底，讲解和示范将要进行的程序和方法。对重要工序（见下表），投标人技术人员要对施工情况进行确认和签证，否则招标人不能进行下一道工序。经投标人确认和签证的工序如因投标人技术服务人员指导错误而发生问题，投标人负全部责任。</w:t>
      </w:r>
    </w:p>
    <w:p w14:paraId="00E977C4">
      <w:pPr>
        <w:pStyle w:val="6"/>
        <w:spacing w:line="360" w:lineRule="auto"/>
        <w:rPr>
          <w:rFonts w:ascii="宋体" w:hAnsi="宋体"/>
          <w:color w:val="auto"/>
          <w:szCs w:val="24"/>
          <w:highlight w:val="none"/>
        </w:rPr>
      </w:pPr>
      <w:r>
        <w:rPr>
          <w:rFonts w:hint="eastAsia" w:ascii="宋体" w:hAnsi="宋体"/>
          <w:color w:val="auto"/>
          <w:szCs w:val="24"/>
          <w:highlight w:val="none"/>
        </w:rPr>
        <w:t>安装、调试重要工序表（投标人细化）</w:t>
      </w:r>
    </w:p>
    <w:tbl>
      <w:tblPr>
        <w:tblStyle w:val="42"/>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1108"/>
        <w:gridCol w:w="2280"/>
        <w:gridCol w:w="3000"/>
        <w:gridCol w:w="1440"/>
      </w:tblGrid>
      <w:tr w14:paraId="28CEC65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jc w:val="center"/>
        </w:trPr>
        <w:tc>
          <w:tcPr>
            <w:tcW w:w="1108" w:type="dxa"/>
            <w:vAlign w:val="center"/>
          </w:tcPr>
          <w:p w14:paraId="120E52D9">
            <w:pPr>
              <w:pStyle w:val="6"/>
              <w:spacing w:line="360" w:lineRule="auto"/>
              <w:rPr>
                <w:rFonts w:ascii="宋体" w:hAnsi="宋体"/>
                <w:color w:val="auto"/>
                <w:szCs w:val="24"/>
                <w:highlight w:val="none"/>
              </w:rPr>
            </w:pPr>
            <w:r>
              <w:rPr>
                <w:rFonts w:hint="eastAsia" w:ascii="宋体" w:hAnsi="宋体"/>
                <w:color w:val="auto"/>
                <w:szCs w:val="24"/>
                <w:highlight w:val="none"/>
              </w:rPr>
              <w:t>序号</w:t>
            </w:r>
          </w:p>
        </w:tc>
        <w:tc>
          <w:tcPr>
            <w:tcW w:w="2280" w:type="dxa"/>
            <w:vAlign w:val="center"/>
          </w:tcPr>
          <w:p w14:paraId="5C1EF6AE">
            <w:pPr>
              <w:pStyle w:val="6"/>
              <w:spacing w:line="360" w:lineRule="auto"/>
              <w:rPr>
                <w:rFonts w:ascii="宋体" w:hAnsi="宋体"/>
                <w:color w:val="auto"/>
                <w:szCs w:val="24"/>
                <w:highlight w:val="none"/>
              </w:rPr>
            </w:pPr>
            <w:r>
              <w:rPr>
                <w:rFonts w:hint="eastAsia" w:ascii="宋体" w:hAnsi="宋体"/>
                <w:color w:val="auto"/>
                <w:szCs w:val="24"/>
                <w:highlight w:val="none"/>
              </w:rPr>
              <w:t>工序名称</w:t>
            </w:r>
          </w:p>
        </w:tc>
        <w:tc>
          <w:tcPr>
            <w:tcW w:w="3000" w:type="dxa"/>
            <w:vAlign w:val="center"/>
          </w:tcPr>
          <w:p w14:paraId="66ADDE7D">
            <w:pPr>
              <w:pStyle w:val="6"/>
              <w:spacing w:line="360" w:lineRule="auto"/>
              <w:rPr>
                <w:rFonts w:ascii="宋体" w:hAnsi="宋体"/>
                <w:color w:val="auto"/>
                <w:szCs w:val="24"/>
                <w:highlight w:val="none"/>
              </w:rPr>
            </w:pPr>
            <w:r>
              <w:rPr>
                <w:rFonts w:hint="eastAsia" w:ascii="宋体" w:hAnsi="宋体"/>
                <w:color w:val="auto"/>
                <w:szCs w:val="24"/>
                <w:highlight w:val="none"/>
              </w:rPr>
              <w:t>工序主要内容</w:t>
            </w:r>
          </w:p>
        </w:tc>
        <w:tc>
          <w:tcPr>
            <w:tcW w:w="1440" w:type="dxa"/>
            <w:vAlign w:val="center"/>
          </w:tcPr>
          <w:p w14:paraId="3A3B2F79">
            <w:pPr>
              <w:pStyle w:val="6"/>
              <w:spacing w:line="360" w:lineRule="auto"/>
              <w:rPr>
                <w:rFonts w:ascii="宋体" w:hAnsi="宋体"/>
                <w:color w:val="auto"/>
                <w:szCs w:val="24"/>
                <w:highlight w:val="none"/>
              </w:rPr>
            </w:pPr>
            <w:r>
              <w:rPr>
                <w:rFonts w:hint="eastAsia" w:ascii="宋体" w:hAnsi="宋体"/>
                <w:color w:val="auto"/>
                <w:szCs w:val="24"/>
                <w:highlight w:val="none"/>
              </w:rPr>
              <w:t>备注</w:t>
            </w:r>
          </w:p>
        </w:tc>
      </w:tr>
      <w:tr w14:paraId="5796E32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jc w:val="center"/>
        </w:trPr>
        <w:tc>
          <w:tcPr>
            <w:tcW w:w="1108" w:type="dxa"/>
          </w:tcPr>
          <w:p w14:paraId="322AF948">
            <w:pPr>
              <w:pStyle w:val="6"/>
              <w:spacing w:line="360" w:lineRule="auto"/>
              <w:rPr>
                <w:rFonts w:ascii="宋体" w:hAnsi="宋体"/>
                <w:color w:val="auto"/>
                <w:szCs w:val="24"/>
                <w:highlight w:val="none"/>
              </w:rPr>
            </w:pPr>
          </w:p>
        </w:tc>
        <w:tc>
          <w:tcPr>
            <w:tcW w:w="2280" w:type="dxa"/>
          </w:tcPr>
          <w:p w14:paraId="0B761F5E">
            <w:pPr>
              <w:pStyle w:val="6"/>
              <w:spacing w:line="360" w:lineRule="auto"/>
              <w:rPr>
                <w:rFonts w:ascii="宋体" w:hAnsi="宋体"/>
                <w:color w:val="auto"/>
                <w:szCs w:val="24"/>
                <w:highlight w:val="none"/>
              </w:rPr>
            </w:pPr>
          </w:p>
        </w:tc>
        <w:tc>
          <w:tcPr>
            <w:tcW w:w="3000" w:type="dxa"/>
          </w:tcPr>
          <w:p w14:paraId="00DEB850">
            <w:pPr>
              <w:pStyle w:val="6"/>
              <w:spacing w:line="360" w:lineRule="auto"/>
              <w:rPr>
                <w:rFonts w:ascii="宋体" w:hAnsi="宋体"/>
                <w:color w:val="auto"/>
                <w:szCs w:val="24"/>
                <w:highlight w:val="none"/>
              </w:rPr>
            </w:pPr>
          </w:p>
        </w:tc>
        <w:tc>
          <w:tcPr>
            <w:tcW w:w="1440" w:type="dxa"/>
          </w:tcPr>
          <w:p w14:paraId="600A6904">
            <w:pPr>
              <w:pStyle w:val="6"/>
              <w:spacing w:line="360" w:lineRule="auto"/>
              <w:rPr>
                <w:rFonts w:ascii="宋体" w:hAnsi="宋体"/>
                <w:color w:val="auto"/>
                <w:szCs w:val="24"/>
                <w:highlight w:val="none"/>
              </w:rPr>
            </w:pPr>
          </w:p>
        </w:tc>
      </w:tr>
      <w:tr w14:paraId="124E12C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jc w:val="center"/>
        </w:trPr>
        <w:tc>
          <w:tcPr>
            <w:tcW w:w="1108" w:type="dxa"/>
          </w:tcPr>
          <w:p w14:paraId="1B045240">
            <w:pPr>
              <w:pStyle w:val="6"/>
              <w:spacing w:line="360" w:lineRule="auto"/>
              <w:rPr>
                <w:rFonts w:ascii="宋体" w:hAnsi="宋体"/>
                <w:color w:val="auto"/>
                <w:szCs w:val="24"/>
                <w:highlight w:val="none"/>
              </w:rPr>
            </w:pPr>
          </w:p>
        </w:tc>
        <w:tc>
          <w:tcPr>
            <w:tcW w:w="2280" w:type="dxa"/>
          </w:tcPr>
          <w:p w14:paraId="77AB68E5">
            <w:pPr>
              <w:pStyle w:val="6"/>
              <w:spacing w:line="360" w:lineRule="auto"/>
              <w:rPr>
                <w:rFonts w:ascii="宋体" w:hAnsi="宋体"/>
                <w:color w:val="auto"/>
                <w:szCs w:val="24"/>
                <w:highlight w:val="none"/>
              </w:rPr>
            </w:pPr>
          </w:p>
        </w:tc>
        <w:tc>
          <w:tcPr>
            <w:tcW w:w="3000" w:type="dxa"/>
          </w:tcPr>
          <w:p w14:paraId="5CAB55DB">
            <w:pPr>
              <w:pStyle w:val="6"/>
              <w:spacing w:line="360" w:lineRule="auto"/>
              <w:rPr>
                <w:rFonts w:ascii="宋体" w:hAnsi="宋体"/>
                <w:color w:val="auto"/>
                <w:szCs w:val="24"/>
                <w:highlight w:val="none"/>
              </w:rPr>
            </w:pPr>
          </w:p>
        </w:tc>
        <w:tc>
          <w:tcPr>
            <w:tcW w:w="1440" w:type="dxa"/>
          </w:tcPr>
          <w:p w14:paraId="517ABE48">
            <w:pPr>
              <w:pStyle w:val="6"/>
              <w:spacing w:line="360" w:lineRule="auto"/>
              <w:rPr>
                <w:rFonts w:ascii="宋体" w:hAnsi="宋体"/>
                <w:color w:val="auto"/>
                <w:szCs w:val="24"/>
                <w:highlight w:val="none"/>
              </w:rPr>
            </w:pPr>
          </w:p>
        </w:tc>
      </w:tr>
    </w:tbl>
    <w:p w14:paraId="2F55EB53">
      <w:pPr>
        <w:pStyle w:val="6"/>
        <w:spacing w:line="360" w:lineRule="auto"/>
        <w:rPr>
          <w:rFonts w:ascii="宋体" w:hAnsi="宋体"/>
          <w:color w:val="auto"/>
          <w:szCs w:val="24"/>
          <w:highlight w:val="none"/>
        </w:rPr>
      </w:pPr>
    </w:p>
    <w:p w14:paraId="1B98EBFC">
      <w:pPr>
        <w:pStyle w:val="6"/>
        <w:spacing w:line="360" w:lineRule="auto"/>
        <w:ind w:firstLine="420" w:firstLineChars="175"/>
        <w:rPr>
          <w:rFonts w:hint="eastAsia" w:ascii="宋体" w:hAnsi="宋体"/>
          <w:color w:val="auto"/>
          <w:szCs w:val="24"/>
          <w:highlight w:val="none"/>
          <w:lang w:val="en-US" w:eastAsia="zh-CN"/>
        </w:rPr>
      </w:pPr>
      <w:r>
        <w:rPr>
          <w:rFonts w:ascii="宋体" w:hAnsi="宋体"/>
          <w:color w:val="auto"/>
          <w:szCs w:val="24"/>
          <w:highlight w:val="none"/>
        </w:rPr>
        <w:t>1.3.3</w:t>
      </w:r>
      <w:r>
        <w:rPr>
          <w:rFonts w:hint="eastAsia" w:ascii="宋体" w:hAnsi="宋体"/>
          <w:color w:val="auto"/>
          <w:szCs w:val="24"/>
          <w:highlight w:val="none"/>
        </w:rPr>
        <w:t>投标人现场服务人员应有权全权处理现场出现的一切技术和商务问题。如现场发生质量问题，投标人现场人员要在招标人规定的时间内处理解决。如投标人委托招标人进行处理，投标人现场服务人员要出委托书并承担相应的经济责任。</w:t>
      </w:r>
      <w:r>
        <w:rPr>
          <w:rFonts w:hint="eastAsia" w:ascii="宋体" w:hAnsi="宋体"/>
          <w:color w:val="auto"/>
          <w:szCs w:val="24"/>
          <w:highlight w:val="none"/>
          <w:lang w:val="en-US" w:eastAsia="zh-CN"/>
        </w:rPr>
        <w:t xml:space="preserve">      </w:t>
      </w:r>
    </w:p>
    <w:p w14:paraId="6065CC86">
      <w:pPr>
        <w:pStyle w:val="6"/>
        <w:spacing w:line="360" w:lineRule="auto"/>
        <w:ind w:firstLine="420" w:firstLineChars="175"/>
        <w:rPr>
          <w:rFonts w:ascii="宋体" w:hAnsi="宋体"/>
          <w:color w:val="auto"/>
          <w:szCs w:val="24"/>
          <w:highlight w:val="none"/>
        </w:rPr>
      </w:pPr>
      <w:r>
        <w:rPr>
          <w:rFonts w:ascii="宋体" w:hAnsi="宋体"/>
          <w:color w:val="auto"/>
          <w:szCs w:val="24"/>
          <w:highlight w:val="none"/>
        </w:rPr>
        <w:t xml:space="preserve">1.3.4  </w:t>
      </w:r>
      <w:r>
        <w:rPr>
          <w:rFonts w:hint="eastAsia" w:ascii="宋体" w:hAnsi="宋体"/>
          <w:color w:val="auto"/>
          <w:szCs w:val="24"/>
          <w:highlight w:val="none"/>
        </w:rPr>
        <w:t>投标人对其现场服务人员的一切行为负全部责任。</w:t>
      </w:r>
    </w:p>
    <w:p w14:paraId="469D12EE">
      <w:pPr>
        <w:pStyle w:val="6"/>
        <w:spacing w:line="360" w:lineRule="auto"/>
        <w:ind w:firstLine="420" w:firstLineChars="175"/>
        <w:rPr>
          <w:rFonts w:ascii="宋体" w:hAnsi="宋体"/>
          <w:color w:val="auto"/>
          <w:szCs w:val="24"/>
          <w:highlight w:val="none"/>
        </w:rPr>
      </w:pPr>
      <w:r>
        <w:rPr>
          <w:rFonts w:ascii="宋体" w:hAnsi="宋体"/>
          <w:color w:val="auto"/>
          <w:szCs w:val="24"/>
          <w:highlight w:val="none"/>
        </w:rPr>
        <w:t>1.3.5</w:t>
      </w:r>
      <w:r>
        <w:rPr>
          <w:rFonts w:hint="eastAsia" w:ascii="宋体" w:hAnsi="宋体"/>
          <w:color w:val="auto"/>
          <w:szCs w:val="24"/>
          <w:highlight w:val="none"/>
        </w:rPr>
        <w:t>投标人现场服务人员的正常来去和更换事先与招标人协商。</w:t>
      </w:r>
    </w:p>
    <w:p w14:paraId="379C3B2E">
      <w:pPr>
        <w:pStyle w:val="6"/>
        <w:spacing w:line="360" w:lineRule="auto"/>
        <w:ind w:firstLine="420" w:firstLineChars="175"/>
        <w:rPr>
          <w:rFonts w:ascii="宋体" w:hAnsi="宋体"/>
          <w:color w:val="auto"/>
          <w:szCs w:val="24"/>
          <w:highlight w:val="none"/>
        </w:rPr>
      </w:pPr>
      <w:r>
        <w:rPr>
          <w:rFonts w:ascii="宋体" w:hAnsi="宋体"/>
          <w:color w:val="auto"/>
          <w:szCs w:val="24"/>
          <w:highlight w:val="none"/>
        </w:rPr>
        <w:t xml:space="preserve">1.4  </w:t>
      </w:r>
      <w:r>
        <w:rPr>
          <w:rFonts w:hint="eastAsia" w:ascii="宋体" w:hAnsi="宋体"/>
          <w:color w:val="auto"/>
          <w:szCs w:val="24"/>
          <w:highlight w:val="none"/>
        </w:rPr>
        <w:t>招标人的义务</w:t>
      </w:r>
    </w:p>
    <w:p w14:paraId="0F007BD2">
      <w:pPr>
        <w:pStyle w:val="6"/>
        <w:spacing w:line="360" w:lineRule="auto"/>
        <w:rPr>
          <w:rFonts w:ascii="宋体" w:hAnsi="宋体"/>
          <w:color w:val="auto"/>
          <w:szCs w:val="24"/>
          <w:highlight w:val="none"/>
        </w:rPr>
      </w:pPr>
      <w:r>
        <w:rPr>
          <w:rFonts w:hint="eastAsia" w:ascii="宋体" w:hAnsi="宋体"/>
          <w:color w:val="auto"/>
          <w:szCs w:val="24"/>
          <w:highlight w:val="none"/>
        </w:rPr>
        <w:t>招标人要配合投标人现场服务人员的工作，并在生活、交通和通讯上提供方便。</w:t>
      </w:r>
    </w:p>
    <w:p w14:paraId="12F8871C">
      <w:pPr>
        <w:pStyle w:val="6"/>
        <w:spacing w:line="360" w:lineRule="auto"/>
        <w:ind w:firstLine="0"/>
        <w:rPr>
          <w:rFonts w:hint="eastAsia" w:ascii="宋体" w:hAnsi="宋体" w:cs="宋体"/>
          <w:b/>
          <w:bCs/>
          <w:color w:val="auto"/>
          <w:sz w:val="28"/>
          <w:szCs w:val="28"/>
          <w:highlight w:val="none"/>
        </w:rPr>
      </w:pPr>
      <w:r>
        <w:rPr>
          <w:rFonts w:hint="eastAsia" w:ascii="宋体" w:hAnsi="宋体" w:cs="宋体"/>
          <w:b/>
          <w:bCs/>
          <w:color w:val="auto"/>
          <w:sz w:val="28"/>
          <w:szCs w:val="28"/>
          <w:highlight w:val="none"/>
        </w:rPr>
        <w:t>2  培训</w:t>
      </w:r>
    </w:p>
    <w:p w14:paraId="550838B7">
      <w:pPr>
        <w:pStyle w:val="6"/>
        <w:spacing w:line="360" w:lineRule="auto"/>
        <w:ind w:firstLine="420" w:firstLineChars="175"/>
        <w:rPr>
          <w:rFonts w:ascii="宋体" w:hAnsi="宋体"/>
          <w:color w:val="auto"/>
          <w:szCs w:val="24"/>
          <w:highlight w:val="none"/>
        </w:rPr>
      </w:pPr>
      <w:r>
        <w:rPr>
          <w:rFonts w:ascii="宋体" w:hAnsi="宋体"/>
          <w:color w:val="auto"/>
          <w:szCs w:val="24"/>
          <w:highlight w:val="none"/>
        </w:rPr>
        <w:t xml:space="preserve">2.1   </w:t>
      </w:r>
      <w:r>
        <w:rPr>
          <w:rFonts w:hint="eastAsia" w:ascii="宋体" w:hAnsi="宋体"/>
          <w:color w:val="auto"/>
          <w:szCs w:val="24"/>
          <w:highlight w:val="none"/>
        </w:rPr>
        <w:t>为使合同设备能正常安装和运行，投标人有责任提供相应的技术培训。培训内容应与工程进度相一致。</w:t>
      </w:r>
    </w:p>
    <w:p w14:paraId="6FAD3EC0">
      <w:pPr>
        <w:pStyle w:val="6"/>
        <w:spacing w:line="360" w:lineRule="auto"/>
        <w:rPr>
          <w:rFonts w:ascii="宋体" w:hAnsi="宋体"/>
          <w:color w:val="auto"/>
          <w:szCs w:val="24"/>
          <w:highlight w:val="none"/>
        </w:rPr>
      </w:pPr>
      <w:r>
        <w:rPr>
          <w:rFonts w:hint="eastAsia" w:ascii="宋体" w:hAnsi="宋体"/>
          <w:color w:val="auto"/>
          <w:szCs w:val="24"/>
          <w:highlight w:val="none"/>
        </w:rPr>
        <w:t>培训计划和内容由投标人在投标文件中列出（投标人细化）</w:t>
      </w:r>
    </w:p>
    <w:tbl>
      <w:tblPr>
        <w:tblStyle w:val="42"/>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758"/>
        <w:gridCol w:w="1400"/>
        <w:gridCol w:w="1830"/>
        <w:gridCol w:w="1080"/>
        <w:gridCol w:w="1080"/>
        <w:gridCol w:w="1080"/>
        <w:gridCol w:w="1112"/>
      </w:tblGrid>
      <w:tr w14:paraId="3004E8B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jc w:val="center"/>
        </w:trPr>
        <w:tc>
          <w:tcPr>
            <w:tcW w:w="758" w:type="dxa"/>
            <w:vMerge w:val="restart"/>
            <w:tcBorders>
              <w:top w:val="single" w:color="auto" w:sz="6" w:space="0"/>
              <w:left w:val="single" w:color="auto" w:sz="6" w:space="0"/>
              <w:bottom w:val="nil"/>
              <w:right w:val="nil"/>
            </w:tcBorders>
            <w:vAlign w:val="center"/>
          </w:tcPr>
          <w:p w14:paraId="61D4AB26">
            <w:pPr>
              <w:pStyle w:val="6"/>
              <w:spacing w:line="360" w:lineRule="auto"/>
              <w:ind w:firstLine="0"/>
              <w:rPr>
                <w:rFonts w:ascii="宋体" w:hAnsi="宋体"/>
                <w:color w:val="auto"/>
                <w:szCs w:val="24"/>
                <w:highlight w:val="none"/>
              </w:rPr>
            </w:pPr>
            <w:r>
              <w:rPr>
                <w:rFonts w:hint="eastAsia" w:ascii="宋体" w:hAnsi="宋体"/>
                <w:color w:val="auto"/>
                <w:szCs w:val="24"/>
                <w:highlight w:val="none"/>
              </w:rPr>
              <w:t>序号</w:t>
            </w:r>
          </w:p>
        </w:tc>
        <w:tc>
          <w:tcPr>
            <w:tcW w:w="1400" w:type="dxa"/>
            <w:vMerge w:val="restart"/>
            <w:tcBorders>
              <w:top w:val="single" w:color="auto" w:sz="6" w:space="0"/>
              <w:left w:val="single" w:color="auto" w:sz="6" w:space="0"/>
              <w:bottom w:val="nil"/>
              <w:right w:val="nil"/>
            </w:tcBorders>
            <w:vAlign w:val="center"/>
          </w:tcPr>
          <w:p w14:paraId="430FE34D">
            <w:pPr>
              <w:pStyle w:val="6"/>
              <w:spacing w:line="360" w:lineRule="auto"/>
              <w:ind w:firstLine="0"/>
              <w:rPr>
                <w:rFonts w:ascii="宋体" w:hAnsi="宋体"/>
                <w:color w:val="auto"/>
                <w:szCs w:val="24"/>
                <w:highlight w:val="none"/>
              </w:rPr>
            </w:pPr>
            <w:r>
              <w:rPr>
                <w:rFonts w:hint="eastAsia" w:ascii="宋体" w:hAnsi="宋体"/>
                <w:color w:val="auto"/>
                <w:szCs w:val="24"/>
                <w:highlight w:val="none"/>
              </w:rPr>
              <w:t>培训内容</w:t>
            </w:r>
          </w:p>
        </w:tc>
        <w:tc>
          <w:tcPr>
            <w:tcW w:w="1830" w:type="dxa"/>
            <w:vMerge w:val="restart"/>
            <w:tcBorders>
              <w:top w:val="single" w:color="auto" w:sz="6" w:space="0"/>
              <w:left w:val="single" w:color="auto" w:sz="6" w:space="0"/>
              <w:bottom w:val="nil"/>
              <w:right w:val="single" w:color="auto" w:sz="6" w:space="0"/>
            </w:tcBorders>
            <w:vAlign w:val="center"/>
          </w:tcPr>
          <w:p w14:paraId="1437D1F9">
            <w:pPr>
              <w:pStyle w:val="6"/>
              <w:spacing w:line="360" w:lineRule="auto"/>
              <w:rPr>
                <w:rFonts w:ascii="宋体" w:hAnsi="宋体"/>
                <w:color w:val="auto"/>
                <w:szCs w:val="24"/>
                <w:highlight w:val="none"/>
              </w:rPr>
            </w:pPr>
            <w:r>
              <w:rPr>
                <w:rFonts w:hint="eastAsia" w:ascii="宋体" w:hAnsi="宋体"/>
                <w:color w:val="auto"/>
                <w:szCs w:val="24"/>
                <w:highlight w:val="none"/>
              </w:rPr>
              <w:t>计划人月数</w:t>
            </w:r>
          </w:p>
        </w:tc>
        <w:tc>
          <w:tcPr>
            <w:tcW w:w="2160" w:type="dxa"/>
            <w:gridSpan w:val="2"/>
            <w:tcBorders>
              <w:top w:val="single" w:color="auto" w:sz="6" w:space="0"/>
              <w:left w:val="nil"/>
              <w:bottom w:val="single" w:color="auto" w:sz="6" w:space="0"/>
              <w:right w:val="nil"/>
            </w:tcBorders>
            <w:vAlign w:val="center"/>
          </w:tcPr>
          <w:p w14:paraId="31B674A7">
            <w:pPr>
              <w:pStyle w:val="6"/>
              <w:spacing w:line="360" w:lineRule="auto"/>
              <w:rPr>
                <w:rFonts w:ascii="宋体" w:hAnsi="宋体"/>
                <w:color w:val="auto"/>
                <w:szCs w:val="24"/>
                <w:highlight w:val="none"/>
              </w:rPr>
            </w:pPr>
            <w:r>
              <w:rPr>
                <w:rFonts w:hint="eastAsia" w:ascii="宋体" w:hAnsi="宋体"/>
                <w:color w:val="auto"/>
                <w:szCs w:val="24"/>
                <w:highlight w:val="none"/>
              </w:rPr>
              <w:t>培训教师构成</w:t>
            </w:r>
          </w:p>
        </w:tc>
        <w:tc>
          <w:tcPr>
            <w:tcW w:w="1080" w:type="dxa"/>
            <w:vMerge w:val="restart"/>
            <w:tcBorders>
              <w:top w:val="single" w:color="auto" w:sz="6" w:space="0"/>
              <w:left w:val="single" w:color="auto" w:sz="6" w:space="0"/>
              <w:bottom w:val="nil"/>
              <w:right w:val="nil"/>
            </w:tcBorders>
            <w:vAlign w:val="center"/>
          </w:tcPr>
          <w:p w14:paraId="65D96A28">
            <w:pPr>
              <w:pStyle w:val="6"/>
              <w:spacing w:line="360" w:lineRule="auto"/>
              <w:ind w:firstLine="0"/>
              <w:jc w:val="center"/>
              <w:rPr>
                <w:rFonts w:ascii="宋体" w:hAnsi="宋体"/>
                <w:color w:val="auto"/>
                <w:szCs w:val="24"/>
                <w:highlight w:val="none"/>
              </w:rPr>
            </w:pPr>
            <w:r>
              <w:rPr>
                <w:rFonts w:hint="eastAsia" w:ascii="宋体" w:hAnsi="宋体"/>
                <w:color w:val="auto"/>
                <w:szCs w:val="24"/>
                <w:highlight w:val="none"/>
              </w:rPr>
              <w:t>地点</w:t>
            </w:r>
          </w:p>
        </w:tc>
        <w:tc>
          <w:tcPr>
            <w:tcW w:w="1112" w:type="dxa"/>
            <w:vMerge w:val="restart"/>
            <w:tcBorders>
              <w:top w:val="single" w:color="auto" w:sz="6" w:space="0"/>
              <w:left w:val="single" w:color="auto" w:sz="6" w:space="0"/>
              <w:bottom w:val="nil"/>
              <w:right w:val="single" w:color="auto" w:sz="6" w:space="0"/>
            </w:tcBorders>
            <w:vAlign w:val="center"/>
          </w:tcPr>
          <w:p w14:paraId="1708A34D">
            <w:pPr>
              <w:pStyle w:val="6"/>
              <w:spacing w:line="360" w:lineRule="auto"/>
              <w:ind w:firstLine="0"/>
              <w:jc w:val="center"/>
              <w:rPr>
                <w:rFonts w:ascii="宋体" w:hAnsi="宋体"/>
                <w:color w:val="auto"/>
                <w:szCs w:val="24"/>
                <w:highlight w:val="none"/>
              </w:rPr>
            </w:pPr>
            <w:r>
              <w:rPr>
                <w:rFonts w:hint="eastAsia" w:ascii="宋体" w:hAnsi="宋体"/>
                <w:color w:val="auto"/>
                <w:szCs w:val="24"/>
                <w:highlight w:val="none"/>
              </w:rPr>
              <w:t>备注</w:t>
            </w:r>
          </w:p>
        </w:tc>
      </w:tr>
      <w:tr w14:paraId="1F03971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jc w:val="center"/>
        </w:trPr>
        <w:tc>
          <w:tcPr>
            <w:tcW w:w="758" w:type="dxa"/>
            <w:vMerge w:val="continue"/>
            <w:tcBorders>
              <w:top w:val="nil"/>
              <w:left w:val="single" w:color="auto" w:sz="6" w:space="0"/>
              <w:bottom w:val="single" w:color="auto" w:sz="6" w:space="0"/>
              <w:right w:val="nil"/>
            </w:tcBorders>
            <w:vAlign w:val="center"/>
          </w:tcPr>
          <w:p w14:paraId="65CC7C1A">
            <w:pPr>
              <w:pStyle w:val="6"/>
              <w:spacing w:line="360" w:lineRule="auto"/>
              <w:rPr>
                <w:rFonts w:ascii="宋体" w:hAnsi="宋体"/>
                <w:color w:val="auto"/>
                <w:szCs w:val="24"/>
                <w:highlight w:val="none"/>
              </w:rPr>
            </w:pPr>
          </w:p>
        </w:tc>
        <w:tc>
          <w:tcPr>
            <w:tcW w:w="1400" w:type="dxa"/>
            <w:vMerge w:val="continue"/>
            <w:tcBorders>
              <w:top w:val="nil"/>
              <w:left w:val="single" w:color="auto" w:sz="6" w:space="0"/>
              <w:bottom w:val="single" w:color="auto" w:sz="6" w:space="0"/>
              <w:right w:val="nil"/>
            </w:tcBorders>
            <w:vAlign w:val="center"/>
          </w:tcPr>
          <w:p w14:paraId="064CEB27">
            <w:pPr>
              <w:pStyle w:val="6"/>
              <w:spacing w:line="360" w:lineRule="auto"/>
              <w:rPr>
                <w:rFonts w:ascii="宋体" w:hAnsi="宋体"/>
                <w:color w:val="auto"/>
                <w:szCs w:val="24"/>
                <w:highlight w:val="none"/>
              </w:rPr>
            </w:pPr>
          </w:p>
        </w:tc>
        <w:tc>
          <w:tcPr>
            <w:tcW w:w="1830" w:type="dxa"/>
            <w:vMerge w:val="continue"/>
            <w:tcBorders>
              <w:top w:val="nil"/>
              <w:left w:val="single" w:color="auto" w:sz="6" w:space="0"/>
              <w:bottom w:val="single" w:color="auto" w:sz="6" w:space="0"/>
              <w:right w:val="single" w:color="auto" w:sz="6" w:space="0"/>
            </w:tcBorders>
            <w:vAlign w:val="center"/>
          </w:tcPr>
          <w:p w14:paraId="6287C075">
            <w:pPr>
              <w:pStyle w:val="6"/>
              <w:spacing w:line="360" w:lineRule="auto"/>
              <w:rPr>
                <w:rFonts w:ascii="宋体" w:hAnsi="宋体"/>
                <w:color w:val="auto"/>
                <w:szCs w:val="24"/>
                <w:highlight w:val="none"/>
              </w:rPr>
            </w:pPr>
          </w:p>
        </w:tc>
        <w:tc>
          <w:tcPr>
            <w:tcW w:w="1080" w:type="dxa"/>
            <w:tcBorders>
              <w:top w:val="nil"/>
              <w:left w:val="nil"/>
            </w:tcBorders>
            <w:vAlign w:val="center"/>
          </w:tcPr>
          <w:p w14:paraId="7DC3A796">
            <w:pPr>
              <w:pStyle w:val="6"/>
              <w:spacing w:line="360" w:lineRule="auto"/>
              <w:ind w:firstLine="0"/>
              <w:jc w:val="center"/>
              <w:rPr>
                <w:rFonts w:ascii="宋体" w:hAnsi="宋体"/>
                <w:color w:val="auto"/>
                <w:szCs w:val="24"/>
                <w:highlight w:val="none"/>
              </w:rPr>
            </w:pPr>
            <w:r>
              <w:rPr>
                <w:rFonts w:hint="eastAsia" w:ascii="宋体" w:hAnsi="宋体"/>
                <w:color w:val="auto"/>
                <w:szCs w:val="24"/>
                <w:highlight w:val="none"/>
              </w:rPr>
              <w:t>职称</w:t>
            </w:r>
          </w:p>
        </w:tc>
        <w:tc>
          <w:tcPr>
            <w:tcW w:w="1080" w:type="dxa"/>
            <w:tcBorders>
              <w:top w:val="nil"/>
              <w:right w:val="nil"/>
            </w:tcBorders>
            <w:vAlign w:val="center"/>
          </w:tcPr>
          <w:p w14:paraId="3A5BB86B">
            <w:pPr>
              <w:pStyle w:val="6"/>
              <w:spacing w:line="360" w:lineRule="auto"/>
              <w:ind w:firstLine="0"/>
              <w:jc w:val="center"/>
              <w:rPr>
                <w:rFonts w:ascii="宋体" w:hAnsi="宋体"/>
                <w:color w:val="auto"/>
                <w:szCs w:val="24"/>
                <w:highlight w:val="none"/>
              </w:rPr>
            </w:pPr>
            <w:r>
              <w:rPr>
                <w:rFonts w:hint="eastAsia" w:ascii="宋体" w:hAnsi="宋体"/>
                <w:color w:val="auto"/>
                <w:szCs w:val="24"/>
                <w:highlight w:val="none"/>
              </w:rPr>
              <w:t>人数</w:t>
            </w:r>
          </w:p>
        </w:tc>
        <w:tc>
          <w:tcPr>
            <w:tcW w:w="1080" w:type="dxa"/>
            <w:vMerge w:val="continue"/>
            <w:tcBorders>
              <w:top w:val="nil"/>
              <w:left w:val="single" w:color="auto" w:sz="6" w:space="0"/>
              <w:bottom w:val="single" w:color="auto" w:sz="6" w:space="0"/>
              <w:right w:val="nil"/>
            </w:tcBorders>
            <w:vAlign w:val="center"/>
          </w:tcPr>
          <w:p w14:paraId="2DCA9F2A">
            <w:pPr>
              <w:pStyle w:val="6"/>
              <w:spacing w:line="360" w:lineRule="auto"/>
              <w:rPr>
                <w:rFonts w:ascii="宋体" w:hAnsi="宋体"/>
                <w:color w:val="auto"/>
                <w:szCs w:val="24"/>
                <w:highlight w:val="none"/>
              </w:rPr>
            </w:pPr>
          </w:p>
        </w:tc>
        <w:tc>
          <w:tcPr>
            <w:tcW w:w="1112" w:type="dxa"/>
            <w:vMerge w:val="continue"/>
            <w:tcBorders>
              <w:top w:val="nil"/>
              <w:left w:val="single" w:color="auto" w:sz="6" w:space="0"/>
              <w:bottom w:val="single" w:color="auto" w:sz="6" w:space="0"/>
              <w:right w:val="single" w:color="auto" w:sz="6" w:space="0"/>
            </w:tcBorders>
            <w:vAlign w:val="center"/>
          </w:tcPr>
          <w:p w14:paraId="30CF03DF">
            <w:pPr>
              <w:pStyle w:val="6"/>
              <w:spacing w:line="360" w:lineRule="auto"/>
              <w:rPr>
                <w:rFonts w:ascii="宋体" w:hAnsi="宋体"/>
                <w:color w:val="auto"/>
                <w:szCs w:val="24"/>
                <w:highlight w:val="none"/>
              </w:rPr>
            </w:pPr>
          </w:p>
        </w:tc>
      </w:tr>
      <w:tr w14:paraId="6808FC9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jc w:val="center"/>
        </w:trPr>
        <w:tc>
          <w:tcPr>
            <w:tcW w:w="758" w:type="dxa"/>
            <w:tcBorders>
              <w:top w:val="nil"/>
            </w:tcBorders>
            <w:vAlign w:val="center"/>
          </w:tcPr>
          <w:p w14:paraId="377DDA4E">
            <w:pPr>
              <w:pStyle w:val="6"/>
              <w:spacing w:line="360" w:lineRule="auto"/>
              <w:rPr>
                <w:rFonts w:ascii="宋体" w:hAnsi="宋体"/>
                <w:color w:val="auto"/>
                <w:szCs w:val="24"/>
                <w:highlight w:val="none"/>
              </w:rPr>
            </w:pPr>
          </w:p>
        </w:tc>
        <w:tc>
          <w:tcPr>
            <w:tcW w:w="1400" w:type="dxa"/>
            <w:tcBorders>
              <w:top w:val="nil"/>
            </w:tcBorders>
            <w:vAlign w:val="center"/>
          </w:tcPr>
          <w:p w14:paraId="648CBD59">
            <w:pPr>
              <w:pStyle w:val="6"/>
              <w:spacing w:line="360" w:lineRule="auto"/>
              <w:rPr>
                <w:rFonts w:ascii="宋体" w:hAnsi="宋体"/>
                <w:color w:val="auto"/>
                <w:szCs w:val="24"/>
                <w:highlight w:val="none"/>
              </w:rPr>
            </w:pPr>
          </w:p>
        </w:tc>
        <w:tc>
          <w:tcPr>
            <w:tcW w:w="1830" w:type="dxa"/>
            <w:tcBorders>
              <w:top w:val="nil"/>
            </w:tcBorders>
            <w:vAlign w:val="center"/>
          </w:tcPr>
          <w:p w14:paraId="4B77EBD6">
            <w:pPr>
              <w:pStyle w:val="6"/>
              <w:spacing w:line="360" w:lineRule="auto"/>
              <w:rPr>
                <w:rFonts w:ascii="宋体" w:hAnsi="宋体"/>
                <w:color w:val="auto"/>
                <w:szCs w:val="24"/>
                <w:highlight w:val="none"/>
              </w:rPr>
            </w:pPr>
          </w:p>
        </w:tc>
        <w:tc>
          <w:tcPr>
            <w:tcW w:w="1080" w:type="dxa"/>
            <w:vAlign w:val="center"/>
          </w:tcPr>
          <w:p w14:paraId="293068B1">
            <w:pPr>
              <w:pStyle w:val="6"/>
              <w:spacing w:line="360" w:lineRule="auto"/>
              <w:rPr>
                <w:rFonts w:ascii="宋体" w:hAnsi="宋体"/>
                <w:color w:val="auto"/>
                <w:szCs w:val="24"/>
                <w:highlight w:val="none"/>
              </w:rPr>
            </w:pPr>
          </w:p>
        </w:tc>
        <w:tc>
          <w:tcPr>
            <w:tcW w:w="1080" w:type="dxa"/>
            <w:vAlign w:val="center"/>
          </w:tcPr>
          <w:p w14:paraId="494B9301">
            <w:pPr>
              <w:pStyle w:val="6"/>
              <w:spacing w:line="360" w:lineRule="auto"/>
              <w:rPr>
                <w:rFonts w:ascii="宋体" w:hAnsi="宋体"/>
                <w:color w:val="auto"/>
                <w:szCs w:val="24"/>
                <w:highlight w:val="none"/>
              </w:rPr>
            </w:pPr>
          </w:p>
        </w:tc>
        <w:tc>
          <w:tcPr>
            <w:tcW w:w="1080" w:type="dxa"/>
            <w:tcBorders>
              <w:top w:val="nil"/>
            </w:tcBorders>
            <w:vAlign w:val="center"/>
          </w:tcPr>
          <w:p w14:paraId="05EB7A82">
            <w:pPr>
              <w:pStyle w:val="6"/>
              <w:spacing w:line="360" w:lineRule="auto"/>
              <w:rPr>
                <w:rFonts w:ascii="宋体" w:hAnsi="宋体"/>
                <w:color w:val="auto"/>
                <w:szCs w:val="24"/>
                <w:highlight w:val="none"/>
              </w:rPr>
            </w:pPr>
          </w:p>
        </w:tc>
        <w:tc>
          <w:tcPr>
            <w:tcW w:w="1112" w:type="dxa"/>
            <w:tcBorders>
              <w:top w:val="nil"/>
            </w:tcBorders>
            <w:vAlign w:val="center"/>
          </w:tcPr>
          <w:p w14:paraId="0C74A388">
            <w:pPr>
              <w:pStyle w:val="6"/>
              <w:spacing w:line="360" w:lineRule="auto"/>
              <w:rPr>
                <w:rFonts w:ascii="宋体" w:hAnsi="宋体"/>
                <w:color w:val="auto"/>
                <w:szCs w:val="24"/>
                <w:highlight w:val="none"/>
              </w:rPr>
            </w:pPr>
          </w:p>
        </w:tc>
      </w:tr>
      <w:tr w14:paraId="75F8E51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jc w:val="center"/>
        </w:trPr>
        <w:tc>
          <w:tcPr>
            <w:tcW w:w="758" w:type="dxa"/>
            <w:tcBorders>
              <w:top w:val="nil"/>
            </w:tcBorders>
            <w:vAlign w:val="center"/>
          </w:tcPr>
          <w:p w14:paraId="2EBD4102">
            <w:pPr>
              <w:pStyle w:val="6"/>
              <w:spacing w:line="360" w:lineRule="auto"/>
              <w:rPr>
                <w:rFonts w:ascii="宋体" w:hAnsi="宋体"/>
                <w:color w:val="auto"/>
                <w:szCs w:val="24"/>
                <w:highlight w:val="none"/>
              </w:rPr>
            </w:pPr>
          </w:p>
        </w:tc>
        <w:tc>
          <w:tcPr>
            <w:tcW w:w="1400" w:type="dxa"/>
            <w:tcBorders>
              <w:top w:val="nil"/>
            </w:tcBorders>
            <w:vAlign w:val="center"/>
          </w:tcPr>
          <w:p w14:paraId="3A0653D3">
            <w:pPr>
              <w:pStyle w:val="6"/>
              <w:spacing w:line="360" w:lineRule="auto"/>
              <w:rPr>
                <w:rFonts w:ascii="宋体" w:hAnsi="宋体"/>
                <w:color w:val="auto"/>
                <w:szCs w:val="24"/>
                <w:highlight w:val="none"/>
              </w:rPr>
            </w:pPr>
          </w:p>
        </w:tc>
        <w:tc>
          <w:tcPr>
            <w:tcW w:w="1830" w:type="dxa"/>
            <w:tcBorders>
              <w:top w:val="nil"/>
            </w:tcBorders>
            <w:vAlign w:val="center"/>
          </w:tcPr>
          <w:p w14:paraId="4F8818DA">
            <w:pPr>
              <w:pStyle w:val="6"/>
              <w:spacing w:line="360" w:lineRule="auto"/>
              <w:rPr>
                <w:rFonts w:ascii="宋体" w:hAnsi="宋体"/>
                <w:color w:val="auto"/>
                <w:szCs w:val="24"/>
                <w:highlight w:val="none"/>
              </w:rPr>
            </w:pPr>
          </w:p>
        </w:tc>
        <w:tc>
          <w:tcPr>
            <w:tcW w:w="1080" w:type="dxa"/>
            <w:vAlign w:val="center"/>
          </w:tcPr>
          <w:p w14:paraId="6CF8DF3D">
            <w:pPr>
              <w:pStyle w:val="6"/>
              <w:spacing w:line="360" w:lineRule="auto"/>
              <w:rPr>
                <w:rFonts w:ascii="宋体" w:hAnsi="宋体"/>
                <w:color w:val="auto"/>
                <w:szCs w:val="24"/>
                <w:highlight w:val="none"/>
              </w:rPr>
            </w:pPr>
          </w:p>
        </w:tc>
        <w:tc>
          <w:tcPr>
            <w:tcW w:w="1080" w:type="dxa"/>
            <w:vAlign w:val="center"/>
          </w:tcPr>
          <w:p w14:paraId="50EDA9AB">
            <w:pPr>
              <w:pStyle w:val="6"/>
              <w:spacing w:line="360" w:lineRule="auto"/>
              <w:rPr>
                <w:rFonts w:ascii="宋体" w:hAnsi="宋体"/>
                <w:color w:val="auto"/>
                <w:szCs w:val="24"/>
                <w:highlight w:val="none"/>
              </w:rPr>
            </w:pPr>
          </w:p>
        </w:tc>
        <w:tc>
          <w:tcPr>
            <w:tcW w:w="1080" w:type="dxa"/>
            <w:tcBorders>
              <w:top w:val="nil"/>
            </w:tcBorders>
            <w:vAlign w:val="center"/>
          </w:tcPr>
          <w:p w14:paraId="3979A53D">
            <w:pPr>
              <w:pStyle w:val="6"/>
              <w:spacing w:line="360" w:lineRule="auto"/>
              <w:rPr>
                <w:rFonts w:ascii="宋体" w:hAnsi="宋体"/>
                <w:color w:val="auto"/>
                <w:szCs w:val="24"/>
                <w:highlight w:val="none"/>
              </w:rPr>
            </w:pPr>
          </w:p>
        </w:tc>
        <w:tc>
          <w:tcPr>
            <w:tcW w:w="1112" w:type="dxa"/>
            <w:tcBorders>
              <w:top w:val="nil"/>
            </w:tcBorders>
            <w:vAlign w:val="center"/>
          </w:tcPr>
          <w:p w14:paraId="51939816">
            <w:pPr>
              <w:pStyle w:val="6"/>
              <w:spacing w:line="360" w:lineRule="auto"/>
              <w:rPr>
                <w:rFonts w:ascii="宋体" w:hAnsi="宋体"/>
                <w:color w:val="auto"/>
                <w:szCs w:val="24"/>
                <w:highlight w:val="none"/>
              </w:rPr>
            </w:pPr>
          </w:p>
        </w:tc>
      </w:tr>
      <w:tr w14:paraId="14CF80D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jc w:val="center"/>
        </w:trPr>
        <w:tc>
          <w:tcPr>
            <w:tcW w:w="758" w:type="dxa"/>
            <w:vAlign w:val="center"/>
          </w:tcPr>
          <w:p w14:paraId="0B6162CD">
            <w:pPr>
              <w:pStyle w:val="6"/>
              <w:spacing w:line="360" w:lineRule="auto"/>
              <w:rPr>
                <w:rFonts w:ascii="宋体" w:hAnsi="宋体"/>
                <w:color w:val="auto"/>
                <w:szCs w:val="24"/>
                <w:highlight w:val="none"/>
              </w:rPr>
            </w:pPr>
          </w:p>
        </w:tc>
        <w:tc>
          <w:tcPr>
            <w:tcW w:w="1400" w:type="dxa"/>
            <w:vAlign w:val="center"/>
          </w:tcPr>
          <w:p w14:paraId="6C1E0936">
            <w:pPr>
              <w:pStyle w:val="6"/>
              <w:spacing w:line="360" w:lineRule="auto"/>
              <w:rPr>
                <w:rFonts w:ascii="宋体" w:hAnsi="宋体"/>
                <w:color w:val="auto"/>
                <w:szCs w:val="24"/>
                <w:highlight w:val="none"/>
              </w:rPr>
            </w:pPr>
          </w:p>
        </w:tc>
        <w:tc>
          <w:tcPr>
            <w:tcW w:w="1830" w:type="dxa"/>
            <w:vAlign w:val="center"/>
          </w:tcPr>
          <w:p w14:paraId="65B7DB74">
            <w:pPr>
              <w:pStyle w:val="6"/>
              <w:spacing w:line="360" w:lineRule="auto"/>
              <w:rPr>
                <w:rFonts w:ascii="宋体" w:hAnsi="宋体"/>
                <w:color w:val="auto"/>
                <w:szCs w:val="24"/>
                <w:highlight w:val="none"/>
              </w:rPr>
            </w:pPr>
          </w:p>
        </w:tc>
        <w:tc>
          <w:tcPr>
            <w:tcW w:w="1080" w:type="dxa"/>
            <w:vAlign w:val="center"/>
          </w:tcPr>
          <w:p w14:paraId="4368F634">
            <w:pPr>
              <w:pStyle w:val="6"/>
              <w:spacing w:line="360" w:lineRule="auto"/>
              <w:rPr>
                <w:rFonts w:ascii="宋体" w:hAnsi="宋体"/>
                <w:color w:val="auto"/>
                <w:szCs w:val="24"/>
                <w:highlight w:val="none"/>
              </w:rPr>
            </w:pPr>
          </w:p>
        </w:tc>
        <w:tc>
          <w:tcPr>
            <w:tcW w:w="1080" w:type="dxa"/>
            <w:vAlign w:val="center"/>
          </w:tcPr>
          <w:p w14:paraId="58613C54">
            <w:pPr>
              <w:pStyle w:val="6"/>
              <w:spacing w:line="360" w:lineRule="auto"/>
              <w:rPr>
                <w:rFonts w:ascii="宋体" w:hAnsi="宋体"/>
                <w:color w:val="auto"/>
                <w:szCs w:val="24"/>
                <w:highlight w:val="none"/>
              </w:rPr>
            </w:pPr>
          </w:p>
        </w:tc>
        <w:tc>
          <w:tcPr>
            <w:tcW w:w="1080" w:type="dxa"/>
            <w:vAlign w:val="center"/>
          </w:tcPr>
          <w:p w14:paraId="2B6AB862">
            <w:pPr>
              <w:pStyle w:val="6"/>
              <w:spacing w:line="360" w:lineRule="auto"/>
              <w:rPr>
                <w:rFonts w:ascii="宋体" w:hAnsi="宋体"/>
                <w:color w:val="auto"/>
                <w:szCs w:val="24"/>
                <w:highlight w:val="none"/>
              </w:rPr>
            </w:pPr>
          </w:p>
        </w:tc>
        <w:tc>
          <w:tcPr>
            <w:tcW w:w="1112" w:type="dxa"/>
            <w:vAlign w:val="center"/>
          </w:tcPr>
          <w:p w14:paraId="67BBAF8A">
            <w:pPr>
              <w:pStyle w:val="6"/>
              <w:spacing w:line="360" w:lineRule="auto"/>
              <w:rPr>
                <w:rFonts w:ascii="宋体" w:hAnsi="宋体"/>
                <w:color w:val="auto"/>
                <w:szCs w:val="24"/>
                <w:highlight w:val="none"/>
              </w:rPr>
            </w:pPr>
          </w:p>
        </w:tc>
      </w:tr>
    </w:tbl>
    <w:p w14:paraId="7C83FFDB">
      <w:pPr>
        <w:pStyle w:val="6"/>
        <w:spacing w:line="360" w:lineRule="auto"/>
        <w:rPr>
          <w:rFonts w:ascii="宋体" w:hAnsi="宋体"/>
          <w:color w:val="auto"/>
          <w:szCs w:val="24"/>
          <w:highlight w:val="none"/>
        </w:rPr>
      </w:pPr>
      <w:r>
        <w:rPr>
          <w:rFonts w:ascii="宋体" w:hAnsi="宋体"/>
          <w:color w:val="auto"/>
          <w:szCs w:val="24"/>
          <w:highlight w:val="none"/>
        </w:rPr>
        <w:t>2.</w:t>
      </w:r>
      <w:r>
        <w:rPr>
          <w:rFonts w:hint="eastAsia" w:ascii="宋体" w:hAnsi="宋体"/>
          <w:color w:val="auto"/>
          <w:szCs w:val="24"/>
          <w:highlight w:val="none"/>
          <w:lang w:val="en-US" w:eastAsia="zh-CN"/>
        </w:rPr>
        <w:t>2</w:t>
      </w:r>
      <w:r>
        <w:rPr>
          <w:rFonts w:ascii="宋体" w:hAnsi="宋体"/>
          <w:color w:val="auto"/>
          <w:szCs w:val="24"/>
          <w:highlight w:val="none"/>
        </w:rPr>
        <w:t xml:space="preserve">   </w:t>
      </w:r>
      <w:r>
        <w:rPr>
          <w:rFonts w:hint="eastAsia" w:ascii="宋体" w:hAnsi="宋体"/>
          <w:color w:val="auto"/>
          <w:szCs w:val="24"/>
          <w:highlight w:val="none"/>
        </w:rPr>
        <w:t>培训的时间、人数、地点等具体内容由招投标双方商定。</w:t>
      </w:r>
    </w:p>
    <w:p w14:paraId="559CBED7">
      <w:pPr>
        <w:pStyle w:val="6"/>
        <w:spacing w:line="360" w:lineRule="auto"/>
        <w:rPr>
          <w:rFonts w:ascii="宋体" w:hAnsi="宋体"/>
          <w:color w:val="auto"/>
          <w:szCs w:val="24"/>
          <w:highlight w:val="none"/>
        </w:rPr>
      </w:pPr>
      <w:r>
        <w:rPr>
          <w:rFonts w:ascii="宋体" w:hAnsi="宋体"/>
          <w:color w:val="auto"/>
          <w:szCs w:val="24"/>
          <w:highlight w:val="none"/>
        </w:rPr>
        <w:t>2.</w:t>
      </w:r>
      <w:r>
        <w:rPr>
          <w:rFonts w:hint="eastAsia" w:ascii="宋体" w:hAnsi="宋体"/>
          <w:color w:val="auto"/>
          <w:szCs w:val="24"/>
          <w:highlight w:val="none"/>
          <w:lang w:val="en-US" w:eastAsia="zh-CN"/>
        </w:rPr>
        <w:t>3</w:t>
      </w:r>
      <w:r>
        <w:rPr>
          <w:rFonts w:ascii="宋体" w:hAnsi="宋体"/>
          <w:color w:val="auto"/>
          <w:szCs w:val="24"/>
          <w:highlight w:val="none"/>
        </w:rPr>
        <w:t xml:space="preserve">   </w:t>
      </w:r>
      <w:r>
        <w:rPr>
          <w:rFonts w:hint="eastAsia" w:ascii="宋体" w:hAnsi="宋体"/>
          <w:color w:val="auto"/>
          <w:szCs w:val="24"/>
          <w:highlight w:val="none"/>
        </w:rPr>
        <w:t>投标人为招标人培训人员提供设备、场地、资料等培训条件，并提供食宿和交通、通信方便。</w:t>
      </w:r>
    </w:p>
    <w:p w14:paraId="2568FD00">
      <w:pPr>
        <w:pStyle w:val="6"/>
        <w:spacing w:line="360" w:lineRule="auto"/>
        <w:rPr>
          <w:rFonts w:ascii="宋体" w:hAnsi="宋体"/>
          <w:color w:val="auto"/>
          <w:szCs w:val="24"/>
          <w:highlight w:val="none"/>
        </w:rPr>
      </w:pPr>
      <w:r>
        <w:rPr>
          <w:rFonts w:hint="eastAsia" w:ascii="宋体" w:hAnsi="宋体"/>
          <w:color w:val="auto"/>
          <w:szCs w:val="24"/>
          <w:highlight w:val="none"/>
        </w:rPr>
        <w:t>现场、工厂，培训费用包含在合同总价中，如因工程实际的需要，</w:t>
      </w:r>
      <w:r>
        <w:rPr>
          <w:rFonts w:hint="eastAsia" w:ascii="宋体" w:hAnsi="宋体"/>
          <w:color w:val="auto"/>
          <w:szCs w:val="24"/>
          <w:highlight w:val="none"/>
          <w:lang w:eastAsia="zh-CN"/>
        </w:rPr>
        <w:t>招标人</w:t>
      </w:r>
      <w:r>
        <w:rPr>
          <w:rFonts w:hint="eastAsia" w:ascii="宋体" w:hAnsi="宋体"/>
          <w:color w:val="auto"/>
          <w:szCs w:val="24"/>
          <w:highlight w:val="none"/>
        </w:rPr>
        <w:t>需培训人数和次数的增加均不影响合同总价。</w:t>
      </w:r>
    </w:p>
    <w:p w14:paraId="6830B098">
      <w:pPr>
        <w:pStyle w:val="6"/>
        <w:spacing w:line="360" w:lineRule="auto"/>
        <w:rPr>
          <w:rFonts w:hint="eastAsia" w:ascii="宋体" w:hAnsi="宋体" w:cs="宋体"/>
          <w:b/>
          <w:bCs/>
          <w:color w:val="auto"/>
          <w:sz w:val="28"/>
          <w:szCs w:val="28"/>
          <w:highlight w:val="none"/>
        </w:rPr>
      </w:pPr>
      <w:r>
        <w:rPr>
          <w:rFonts w:hint="eastAsia" w:ascii="宋体" w:hAnsi="宋体" w:cs="宋体"/>
          <w:b/>
          <w:bCs/>
          <w:color w:val="auto"/>
          <w:sz w:val="28"/>
          <w:szCs w:val="28"/>
          <w:highlight w:val="none"/>
        </w:rPr>
        <w:t>3  设计联络</w:t>
      </w:r>
    </w:p>
    <w:p w14:paraId="5D92E0F8">
      <w:pPr>
        <w:pStyle w:val="6"/>
        <w:spacing w:line="360" w:lineRule="auto"/>
        <w:rPr>
          <w:rFonts w:ascii="宋体" w:hAnsi="宋体"/>
          <w:color w:val="auto"/>
          <w:szCs w:val="24"/>
          <w:highlight w:val="none"/>
        </w:rPr>
      </w:pPr>
      <w:r>
        <w:rPr>
          <w:rFonts w:hint="eastAsia" w:ascii="宋体" w:hAnsi="宋体"/>
          <w:color w:val="auto"/>
          <w:szCs w:val="24"/>
          <w:highlight w:val="none"/>
        </w:rPr>
        <w:t>设计联络会原则上安排二次，第一次会务组织及会务费用由投标人负责，第二次会务组织及会务费用招标人负责，如因与调度方接口联调需要而增加联络会次数,但每次联络会差旅费均各自理。有关设计联络的计划、时间、地点和内容要求由招标投标双方商定。</w:t>
      </w:r>
    </w:p>
    <w:p w14:paraId="0D440BD4">
      <w:pPr>
        <w:pStyle w:val="6"/>
        <w:spacing w:line="360" w:lineRule="auto"/>
        <w:rPr>
          <w:rFonts w:ascii="宋体" w:hAnsi="宋体"/>
          <w:color w:val="auto"/>
          <w:szCs w:val="24"/>
          <w:highlight w:val="none"/>
        </w:rPr>
      </w:pPr>
      <w:r>
        <w:rPr>
          <w:rFonts w:hint="eastAsia" w:ascii="宋体" w:hAnsi="宋体"/>
          <w:color w:val="auto"/>
          <w:szCs w:val="24"/>
          <w:highlight w:val="none"/>
        </w:rPr>
        <w:t>设计联络计划表</w:t>
      </w:r>
    </w:p>
    <w:tbl>
      <w:tblPr>
        <w:tblStyle w:val="42"/>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748"/>
        <w:gridCol w:w="737"/>
        <w:gridCol w:w="2023"/>
        <w:gridCol w:w="1560"/>
        <w:gridCol w:w="1560"/>
        <w:gridCol w:w="2040"/>
      </w:tblGrid>
      <w:tr w14:paraId="4723795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jc w:val="center"/>
        </w:trPr>
        <w:tc>
          <w:tcPr>
            <w:tcW w:w="748" w:type="dxa"/>
          </w:tcPr>
          <w:p w14:paraId="0BD1ED7A">
            <w:pPr>
              <w:pStyle w:val="6"/>
              <w:spacing w:line="360" w:lineRule="auto"/>
              <w:ind w:firstLine="0"/>
              <w:rPr>
                <w:rFonts w:ascii="宋体" w:hAnsi="宋体"/>
                <w:color w:val="auto"/>
                <w:szCs w:val="24"/>
                <w:highlight w:val="none"/>
              </w:rPr>
            </w:pPr>
            <w:r>
              <w:rPr>
                <w:rFonts w:hint="eastAsia" w:ascii="宋体" w:hAnsi="宋体"/>
                <w:color w:val="auto"/>
                <w:szCs w:val="24"/>
                <w:highlight w:val="none"/>
              </w:rPr>
              <w:t>序号</w:t>
            </w:r>
          </w:p>
        </w:tc>
        <w:tc>
          <w:tcPr>
            <w:tcW w:w="737" w:type="dxa"/>
          </w:tcPr>
          <w:p w14:paraId="1888AD5A">
            <w:pPr>
              <w:pStyle w:val="6"/>
              <w:spacing w:line="360" w:lineRule="auto"/>
              <w:ind w:firstLine="0"/>
              <w:rPr>
                <w:rFonts w:ascii="宋体" w:hAnsi="宋体"/>
                <w:color w:val="auto"/>
                <w:szCs w:val="24"/>
                <w:highlight w:val="none"/>
              </w:rPr>
            </w:pPr>
            <w:r>
              <w:rPr>
                <w:rFonts w:hint="eastAsia" w:ascii="宋体" w:hAnsi="宋体"/>
                <w:color w:val="auto"/>
                <w:szCs w:val="24"/>
                <w:highlight w:val="none"/>
              </w:rPr>
              <w:t>次数</w:t>
            </w:r>
          </w:p>
        </w:tc>
        <w:tc>
          <w:tcPr>
            <w:tcW w:w="2023" w:type="dxa"/>
          </w:tcPr>
          <w:p w14:paraId="6A2DE8C3">
            <w:pPr>
              <w:pStyle w:val="6"/>
              <w:spacing w:line="360" w:lineRule="auto"/>
              <w:rPr>
                <w:rFonts w:ascii="宋体" w:hAnsi="宋体"/>
                <w:color w:val="auto"/>
                <w:szCs w:val="24"/>
                <w:highlight w:val="none"/>
              </w:rPr>
            </w:pPr>
            <w:r>
              <w:rPr>
                <w:rFonts w:hint="eastAsia" w:ascii="宋体" w:hAnsi="宋体"/>
                <w:color w:val="auto"/>
                <w:szCs w:val="24"/>
                <w:highlight w:val="none"/>
              </w:rPr>
              <w:t>内容</w:t>
            </w:r>
          </w:p>
        </w:tc>
        <w:tc>
          <w:tcPr>
            <w:tcW w:w="1560" w:type="dxa"/>
          </w:tcPr>
          <w:p w14:paraId="0E9AFD39">
            <w:pPr>
              <w:pStyle w:val="6"/>
              <w:spacing w:line="360" w:lineRule="auto"/>
              <w:rPr>
                <w:rFonts w:ascii="宋体" w:hAnsi="宋体"/>
                <w:color w:val="auto"/>
                <w:szCs w:val="24"/>
                <w:highlight w:val="none"/>
              </w:rPr>
            </w:pPr>
            <w:r>
              <w:rPr>
                <w:rFonts w:hint="eastAsia" w:ascii="宋体" w:hAnsi="宋体"/>
                <w:color w:val="auto"/>
                <w:szCs w:val="24"/>
                <w:highlight w:val="none"/>
              </w:rPr>
              <w:t>时间</w:t>
            </w:r>
          </w:p>
        </w:tc>
        <w:tc>
          <w:tcPr>
            <w:tcW w:w="1560" w:type="dxa"/>
          </w:tcPr>
          <w:p w14:paraId="262C3570">
            <w:pPr>
              <w:pStyle w:val="6"/>
              <w:spacing w:line="360" w:lineRule="auto"/>
              <w:rPr>
                <w:rFonts w:ascii="宋体" w:hAnsi="宋体"/>
                <w:color w:val="auto"/>
                <w:szCs w:val="24"/>
                <w:highlight w:val="none"/>
              </w:rPr>
            </w:pPr>
            <w:r>
              <w:rPr>
                <w:rFonts w:hint="eastAsia" w:ascii="宋体" w:hAnsi="宋体"/>
                <w:color w:val="auto"/>
                <w:szCs w:val="24"/>
                <w:highlight w:val="none"/>
              </w:rPr>
              <w:t>地点</w:t>
            </w:r>
          </w:p>
        </w:tc>
        <w:tc>
          <w:tcPr>
            <w:tcW w:w="2040" w:type="dxa"/>
          </w:tcPr>
          <w:p w14:paraId="05153A57">
            <w:pPr>
              <w:pStyle w:val="6"/>
              <w:spacing w:line="360" w:lineRule="auto"/>
              <w:rPr>
                <w:rFonts w:ascii="宋体" w:hAnsi="宋体"/>
                <w:color w:val="auto"/>
                <w:szCs w:val="24"/>
                <w:highlight w:val="none"/>
              </w:rPr>
            </w:pPr>
            <w:r>
              <w:rPr>
                <w:rFonts w:hint="eastAsia" w:ascii="宋体" w:hAnsi="宋体"/>
                <w:color w:val="auto"/>
                <w:szCs w:val="24"/>
                <w:highlight w:val="none"/>
              </w:rPr>
              <w:t>人数</w:t>
            </w:r>
          </w:p>
        </w:tc>
      </w:tr>
      <w:tr w14:paraId="5CDEA64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jc w:val="center"/>
        </w:trPr>
        <w:tc>
          <w:tcPr>
            <w:tcW w:w="748" w:type="dxa"/>
          </w:tcPr>
          <w:p w14:paraId="092F9020">
            <w:pPr>
              <w:pStyle w:val="6"/>
              <w:spacing w:line="360" w:lineRule="auto"/>
              <w:rPr>
                <w:rFonts w:ascii="宋体" w:hAnsi="宋体"/>
                <w:color w:val="auto"/>
                <w:szCs w:val="24"/>
                <w:highlight w:val="none"/>
              </w:rPr>
            </w:pPr>
            <w:r>
              <w:rPr>
                <w:rFonts w:hint="eastAsia" w:ascii="宋体" w:hAnsi="宋体"/>
                <w:color w:val="auto"/>
                <w:szCs w:val="24"/>
                <w:highlight w:val="none"/>
              </w:rPr>
              <w:t>1</w:t>
            </w:r>
          </w:p>
        </w:tc>
        <w:tc>
          <w:tcPr>
            <w:tcW w:w="737" w:type="dxa"/>
          </w:tcPr>
          <w:p w14:paraId="7A6F0C3A">
            <w:pPr>
              <w:pStyle w:val="6"/>
              <w:spacing w:line="360" w:lineRule="auto"/>
              <w:rPr>
                <w:rFonts w:ascii="宋体" w:hAnsi="宋体"/>
                <w:color w:val="auto"/>
                <w:szCs w:val="24"/>
                <w:highlight w:val="none"/>
              </w:rPr>
            </w:pPr>
            <w:r>
              <w:rPr>
                <w:rFonts w:hint="eastAsia" w:ascii="宋体" w:hAnsi="宋体"/>
                <w:color w:val="auto"/>
                <w:szCs w:val="24"/>
                <w:highlight w:val="none"/>
              </w:rPr>
              <w:t>1</w:t>
            </w:r>
          </w:p>
        </w:tc>
        <w:tc>
          <w:tcPr>
            <w:tcW w:w="2023" w:type="dxa"/>
          </w:tcPr>
          <w:p w14:paraId="26C3F609">
            <w:pPr>
              <w:pStyle w:val="6"/>
              <w:spacing w:line="360" w:lineRule="auto"/>
              <w:rPr>
                <w:rFonts w:ascii="宋体" w:hAnsi="宋体"/>
                <w:color w:val="auto"/>
                <w:szCs w:val="24"/>
                <w:highlight w:val="none"/>
              </w:rPr>
            </w:pPr>
          </w:p>
        </w:tc>
        <w:tc>
          <w:tcPr>
            <w:tcW w:w="1560" w:type="dxa"/>
          </w:tcPr>
          <w:p w14:paraId="666C5F28">
            <w:pPr>
              <w:pStyle w:val="6"/>
              <w:spacing w:line="360" w:lineRule="auto"/>
              <w:rPr>
                <w:rFonts w:ascii="宋体" w:hAnsi="宋体"/>
                <w:color w:val="auto"/>
                <w:szCs w:val="24"/>
                <w:highlight w:val="none"/>
              </w:rPr>
            </w:pPr>
          </w:p>
        </w:tc>
        <w:tc>
          <w:tcPr>
            <w:tcW w:w="1560" w:type="dxa"/>
          </w:tcPr>
          <w:p w14:paraId="35E399EC">
            <w:pPr>
              <w:pStyle w:val="6"/>
              <w:spacing w:line="360" w:lineRule="auto"/>
              <w:ind w:firstLine="0"/>
              <w:rPr>
                <w:rFonts w:ascii="宋体" w:hAnsi="宋体"/>
                <w:color w:val="auto"/>
                <w:szCs w:val="24"/>
                <w:highlight w:val="none"/>
              </w:rPr>
            </w:pPr>
            <w:r>
              <w:rPr>
                <w:rFonts w:hint="eastAsia" w:ascii="宋体" w:hAnsi="宋体"/>
                <w:color w:val="auto"/>
                <w:szCs w:val="24"/>
                <w:highlight w:val="none"/>
              </w:rPr>
              <w:t>投标人所在地</w:t>
            </w:r>
          </w:p>
        </w:tc>
        <w:tc>
          <w:tcPr>
            <w:tcW w:w="2040" w:type="dxa"/>
          </w:tcPr>
          <w:p w14:paraId="378E188D">
            <w:pPr>
              <w:pStyle w:val="6"/>
              <w:spacing w:line="360" w:lineRule="auto"/>
              <w:rPr>
                <w:rFonts w:ascii="宋体" w:hAnsi="宋体"/>
                <w:color w:val="auto"/>
                <w:szCs w:val="24"/>
                <w:highlight w:val="none"/>
              </w:rPr>
            </w:pPr>
          </w:p>
        </w:tc>
      </w:tr>
      <w:tr w14:paraId="5F5A3C4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jc w:val="center"/>
        </w:trPr>
        <w:tc>
          <w:tcPr>
            <w:tcW w:w="748" w:type="dxa"/>
          </w:tcPr>
          <w:p w14:paraId="00AF6FD0">
            <w:pPr>
              <w:pStyle w:val="6"/>
              <w:spacing w:line="360" w:lineRule="auto"/>
              <w:rPr>
                <w:rFonts w:ascii="宋体" w:hAnsi="宋体"/>
                <w:color w:val="auto"/>
                <w:szCs w:val="24"/>
                <w:highlight w:val="none"/>
              </w:rPr>
            </w:pPr>
            <w:r>
              <w:rPr>
                <w:rFonts w:hint="eastAsia" w:ascii="宋体" w:hAnsi="宋体"/>
                <w:color w:val="auto"/>
                <w:szCs w:val="24"/>
                <w:highlight w:val="none"/>
              </w:rPr>
              <w:t>2</w:t>
            </w:r>
          </w:p>
        </w:tc>
        <w:tc>
          <w:tcPr>
            <w:tcW w:w="737" w:type="dxa"/>
          </w:tcPr>
          <w:p w14:paraId="008682F4">
            <w:pPr>
              <w:pStyle w:val="6"/>
              <w:spacing w:line="360" w:lineRule="auto"/>
              <w:rPr>
                <w:rFonts w:ascii="宋体" w:hAnsi="宋体"/>
                <w:color w:val="auto"/>
                <w:szCs w:val="24"/>
                <w:highlight w:val="none"/>
              </w:rPr>
            </w:pPr>
            <w:r>
              <w:rPr>
                <w:rFonts w:hint="eastAsia" w:ascii="宋体" w:hAnsi="宋体"/>
                <w:color w:val="auto"/>
                <w:szCs w:val="24"/>
                <w:highlight w:val="none"/>
              </w:rPr>
              <w:t>1</w:t>
            </w:r>
          </w:p>
        </w:tc>
        <w:tc>
          <w:tcPr>
            <w:tcW w:w="2023" w:type="dxa"/>
          </w:tcPr>
          <w:p w14:paraId="467FDFE1">
            <w:pPr>
              <w:pStyle w:val="6"/>
              <w:spacing w:line="360" w:lineRule="auto"/>
              <w:rPr>
                <w:rFonts w:ascii="宋体" w:hAnsi="宋体"/>
                <w:color w:val="auto"/>
                <w:szCs w:val="24"/>
                <w:highlight w:val="none"/>
              </w:rPr>
            </w:pPr>
          </w:p>
        </w:tc>
        <w:tc>
          <w:tcPr>
            <w:tcW w:w="1560" w:type="dxa"/>
          </w:tcPr>
          <w:p w14:paraId="44E6E1C4">
            <w:pPr>
              <w:pStyle w:val="6"/>
              <w:spacing w:line="360" w:lineRule="auto"/>
              <w:rPr>
                <w:rFonts w:ascii="宋体" w:hAnsi="宋体"/>
                <w:color w:val="auto"/>
                <w:szCs w:val="24"/>
                <w:highlight w:val="none"/>
              </w:rPr>
            </w:pPr>
          </w:p>
        </w:tc>
        <w:tc>
          <w:tcPr>
            <w:tcW w:w="1560" w:type="dxa"/>
          </w:tcPr>
          <w:p w14:paraId="6ED95890">
            <w:pPr>
              <w:pStyle w:val="6"/>
              <w:spacing w:line="360" w:lineRule="auto"/>
              <w:ind w:firstLine="0"/>
              <w:rPr>
                <w:rFonts w:ascii="宋体" w:hAnsi="宋体"/>
                <w:color w:val="auto"/>
                <w:szCs w:val="24"/>
                <w:highlight w:val="none"/>
              </w:rPr>
            </w:pPr>
            <w:r>
              <w:rPr>
                <w:rFonts w:hint="eastAsia" w:ascii="宋体" w:hAnsi="宋体"/>
                <w:color w:val="auto"/>
                <w:szCs w:val="24"/>
                <w:highlight w:val="none"/>
              </w:rPr>
              <w:t>招标人所在地</w:t>
            </w:r>
          </w:p>
        </w:tc>
        <w:tc>
          <w:tcPr>
            <w:tcW w:w="2040" w:type="dxa"/>
          </w:tcPr>
          <w:p w14:paraId="0FDB2CD3">
            <w:pPr>
              <w:pStyle w:val="6"/>
              <w:spacing w:line="360" w:lineRule="auto"/>
              <w:rPr>
                <w:rFonts w:ascii="宋体" w:hAnsi="宋体"/>
                <w:color w:val="auto"/>
                <w:szCs w:val="24"/>
                <w:highlight w:val="none"/>
              </w:rPr>
            </w:pPr>
          </w:p>
        </w:tc>
      </w:tr>
      <w:bookmarkEnd w:id="62"/>
      <w:bookmarkEnd w:id="63"/>
      <w:bookmarkEnd w:id="64"/>
      <w:bookmarkEnd w:id="65"/>
      <w:bookmarkEnd w:id="66"/>
    </w:tbl>
    <w:p w14:paraId="126FBE49">
      <w:pPr>
        <w:rPr>
          <w:rFonts w:hint="eastAsia" w:ascii="宋体" w:hAnsi="宋体" w:eastAsia="宋体" w:cs="宋体"/>
          <w:color w:val="auto"/>
          <w:sz w:val="24"/>
          <w:szCs w:val="24"/>
          <w:highlight w:val="none"/>
        </w:rPr>
      </w:pPr>
      <w:bookmarkStart w:id="67" w:name="_Toc5370785"/>
      <w:bookmarkStart w:id="68" w:name="_Toc415140559"/>
      <w:bookmarkStart w:id="69" w:name="_Toc3124"/>
      <w:bookmarkStart w:id="70" w:name="_Toc380835216"/>
      <w:bookmarkStart w:id="71" w:name="_Toc367697179"/>
      <w:r>
        <w:rPr>
          <w:rFonts w:hint="eastAsia" w:ascii="宋体" w:hAnsi="宋体" w:eastAsia="宋体" w:cs="宋体"/>
          <w:color w:val="auto"/>
          <w:sz w:val="24"/>
          <w:szCs w:val="24"/>
          <w:highlight w:val="none"/>
        </w:rPr>
        <w:br w:type="page"/>
      </w:r>
    </w:p>
    <w:p w14:paraId="20B8220C">
      <w:pPr>
        <w:pStyle w:val="3"/>
        <w:rPr>
          <w:rFonts w:hint="eastAsia" w:ascii="宋体" w:hAnsi="宋体" w:eastAsia="宋体" w:cs="宋体"/>
          <w:color w:val="auto"/>
          <w:sz w:val="30"/>
          <w:szCs w:val="30"/>
          <w:highlight w:val="none"/>
        </w:rPr>
      </w:pPr>
      <w:bookmarkStart w:id="72" w:name="_Toc316370451"/>
      <w:bookmarkStart w:id="73" w:name="_Toc304277671"/>
      <w:bookmarkStart w:id="74" w:name="_Toc304277658"/>
      <w:bookmarkStart w:id="75" w:name="_Toc334015526"/>
      <w:r>
        <w:rPr>
          <w:rFonts w:hint="eastAsia" w:ascii="宋体" w:hAnsi="宋体" w:eastAsia="宋体" w:cs="宋体"/>
          <w:color w:val="auto"/>
          <w:sz w:val="30"/>
          <w:szCs w:val="30"/>
          <w:highlight w:val="none"/>
        </w:rPr>
        <w:t>附件7分包与外购</w:t>
      </w:r>
      <w:bookmarkEnd w:id="72"/>
      <w:bookmarkEnd w:id="73"/>
      <w:bookmarkEnd w:id="74"/>
      <w:bookmarkEnd w:id="75"/>
    </w:p>
    <w:p w14:paraId="5DFC2247">
      <w:pPr>
        <w:spacing w:line="400" w:lineRule="atLeast"/>
        <w:rPr>
          <w:rFonts w:hint="eastAsia" w:ascii="宋体" w:cs="宋体"/>
          <w:color w:val="auto"/>
          <w:sz w:val="24"/>
          <w:szCs w:val="24"/>
          <w:highlight w:val="none"/>
        </w:rPr>
      </w:pPr>
      <w:r>
        <w:rPr>
          <w:rFonts w:hint="eastAsia" w:ascii="宋体" w:cs="宋体"/>
          <w:color w:val="auto"/>
          <w:sz w:val="24"/>
          <w:szCs w:val="24"/>
          <w:highlight w:val="none"/>
        </w:rPr>
        <w:t>投标人要按下列表格填写分包情况表，并报各分包厂家的简要资质情况（包括与本设备的配套业绩）。</w:t>
      </w:r>
    </w:p>
    <w:p w14:paraId="534E5F27">
      <w:pPr>
        <w:spacing w:line="400" w:lineRule="atLeast"/>
        <w:rPr>
          <w:rFonts w:hint="eastAsia" w:ascii="宋体" w:cs="宋体"/>
          <w:color w:val="auto"/>
          <w:sz w:val="24"/>
          <w:szCs w:val="24"/>
          <w:highlight w:val="none"/>
        </w:rPr>
      </w:pPr>
      <w:r>
        <w:rPr>
          <w:rFonts w:hint="eastAsia" w:ascii="宋体" w:cs="宋体"/>
          <w:color w:val="auto"/>
          <w:sz w:val="24"/>
          <w:szCs w:val="24"/>
          <w:highlight w:val="none"/>
        </w:rPr>
        <w:t>分包情况表</w:t>
      </w:r>
    </w:p>
    <w:p w14:paraId="4AA261F7">
      <w:pPr>
        <w:spacing w:line="400" w:lineRule="atLeast"/>
        <w:rPr>
          <w:rFonts w:hint="eastAsia" w:ascii="宋体" w:cs="宋体"/>
          <w:color w:val="auto"/>
          <w:sz w:val="24"/>
          <w:szCs w:val="24"/>
          <w:highlight w:val="none"/>
        </w:rPr>
      </w:pPr>
      <w:r>
        <w:rPr>
          <w:rFonts w:hint="eastAsia" w:ascii="宋体" w:cs="宋体"/>
          <w:color w:val="auto"/>
          <w:sz w:val="24"/>
          <w:szCs w:val="24"/>
          <w:highlight w:val="none"/>
        </w:rPr>
        <w:t>注：下表中的序号和内容应与附件2的一致</w:t>
      </w:r>
    </w:p>
    <w:p w14:paraId="6B03A6DD">
      <w:pPr>
        <w:rPr>
          <w:rFonts w:hint="eastAsia" w:cs="宋体"/>
          <w:color w:val="auto"/>
          <w:highlight w:val="none"/>
        </w:rPr>
      </w:pPr>
    </w:p>
    <w:tbl>
      <w:tblPr>
        <w:tblStyle w:val="42"/>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08"/>
        <w:gridCol w:w="1372"/>
        <w:gridCol w:w="1428"/>
        <w:gridCol w:w="980"/>
        <w:gridCol w:w="1120"/>
        <w:gridCol w:w="1260"/>
        <w:gridCol w:w="840"/>
        <w:gridCol w:w="912"/>
      </w:tblGrid>
      <w:tr w14:paraId="449ED09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808" w:type="dxa"/>
          </w:tcPr>
          <w:p w14:paraId="6883FFA5">
            <w:pPr>
              <w:rPr>
                <w:rFonts w:hint="eastAsia" w:cs="宋体"/>
                <w:color w:val="auto"/>
                <w:sz w:val="24"/>
                <w:szCs w:val="24"/>
                <w:highlight w:val="none"/>
              </w:rPr>
            </w:pPr>
            <w:r>
              <w:rPr>
                <w:rFonts w:hint="eastAsia" w:ascii="宋体" w:cs="宋体"/>
                <w:color w:val="auto"/>
                <w:sz w:val="24"/>
                <w:szCs w:val="24"/>
                <w:highlight w:val="none"/>
              </w:rPr>
              <w:t>序号</w:t>
            </w:r>
          </w:p>
        </w:tc>
        <w:tc>
          <w:tcPr>
            <w:tcW w:w="1372" w:type="dxa"/>
          </w:tcPr>
          <w:p w14:paraId="24D62BFF">
            <w:pPr>
              <w:rPr>
                <w:rFonts w:hint="eastAsia" w:cs="宋体"/>
                <w:color w:val="auto"/>
                <w:sz w:val="24"/>
                <w:szCs w:val="24"/>
                <w:highlight w:val="none"/>
              </w:rPr>
            </w:pPr>
            <w:r>
              <w:rPr>
                <w:rFonts w:hint="eastAsia" w:ascii="宋体" w:cs="宋体"/>
                <w:color w:val="auto"/>
                <w:sz w:val="24"/>
                <w:szCs w:val="24"/>
                <w:highlight w:val="none"/>
              </w:rPr>
              <w:t>设备组件</w:t>
            </w:r>
          </w:p>
        </w:tc>
        <w:tc>
          <w:tcPr>
            <w:tcW w:w="1428" w:type="dxa"/>
          </w:tcPr>
          <w:p w14:paraId="2329117E">
            <w:pPr>
              <w:rPr>
                <w:rFonts w:hint="eastAsia" w:cs="宋体"/>
                <w:color w:val="auto"/>
                <w:sz w:val="24"/>
                <w:szCs w:val="24"/>
                <w:highlight w:val="none"/>
              </w:rPr>
            </w:pPr>
            <w:r>
              <w:rPr>
                <w:rFonts w:hint="eastAsia" w:ascii="宋体" w:cs="宋体"/>
                <w:color w:val="auto"/>
                <w:sz w:val="24"/>
                <w:szCs w:val="24"/>
                <w:highlight w:val="none"/>
              </w:rPr>
              <w:t>厂家名称</w:t>
            </w:r>
          </w:p>
        </w:tc>
        <w:tc>
          <w:tcPr>
            <w:tcW w:w="980" w:type="dxa"/>
          </w:tcPr>
          <w:p w14:paraId="43FB6A03">
            <w:pPr>
              <w:rPr>
                <w:rFonts w:hint="eastAsia" w:cs="宋体"/>
                <w:color w:val="auto"/>
                <w:sz w:val="24"/>
                <w:szCs w:val="24"/>
                <w:highlight w:val="none"/>
              </w:rPr>
            </w:pPr>
            <w:r>
              <w:rPr>
                <w:rFonts w:hint="eastAsia" w:ascii="宋体" w:cs="宋体"/>
                <w:color w:val="auto"/>
                <w:sz w:val="24"/>
                <w:szCs w:val="24"/>
                <w:highlight w:val="none"/>
              </w:rPr>
              <w:t>型号</w:t>
            </w:r>
          </w:p>
        </w:tc>
        <w:tc>
          <w:tcPr>
            <w:tcW w:w="1120" w:type="dxa"/>
          </w:tcPr>
          <w:p w14:paraId="1C057B4B">
            <w:pPr>
              <w:rPr>
                <w:rFonts w:hint="eastAsia" w:cs="宋体"/>
                <w:color w:val="auto"/>
                <w:sz w:val="24"/>
                <w:szCs w:val="24"/>
                <w:highlight w:val="none"/>
              </w:rPr>
            </w:pPr>
            <w:r>
              <w:rPr>
                <w:rFonts w:hint="eastAsia" w:ascii="宋体" w:cs="宋体"/>
                <w:color w:val="auto"/>
                <w:sz w:val="24"/>
                <w:szCs w:val="24"/>
                <w:highlight w:val="none"/>
              </w:rPr>
              <w:t>单位</w:t>
            </w:r>
          </w:p>
        </w:tc>
        <w:tc>
          <w:tcPr>
            <w:tcW w:w="1260" w:type="dxa"/>
          </w:tcPr>
          <w:p w14:paraId="4050B57A">
            <w:pPr>
              <w:rPr>
                <w:rFonts w:hint="eastAsia" w:cs="宋体"/>
                <w:color w:val="auto"/>
                <w:sz w:val="24"/>
                <w:szCs w:val="24"/>
                <w:highlight w:val="none"/>
              </w:rPr>
            </w:pPr>
            <w:r>
              <w:rPr>
                <w:rFonts w:hint="eastAsia" w:ascii="宋体" w:cs="宋体"/>
                <w:color w:val="auto"/>
                <w:sz w:val="24"/>
                <w:szCs w:val="24"/>
                <w:highlight w:val="none"/>
              </w:rPr>
              <w:t>数量</w:t>
            </w:r>
          </w:p>
        </w:tc>
        <w:tc>
          <w:tcPr>
            <w:tcW w:w="840" w:type="dxa"/>
          </w:tcPr>
          <w:p w14:paraId="28BF18F4">
            <w:pPr>
              <w:rPr>
                <w:rFonts w:hint="eastAsia" w:cs="宋体"/>
                <w:color w:val="auto"/>
                <w:sz w:val="24"/>
                <w:szCs w:val="24"/>
                <w:highlight w:val="none"/>
              </w:rPr>
            </w:pPr>
            <w:r>
              <w:rPr>
                <w:rFonts w:hint="eastAsia" w:ascii="宋体" w:cs="宋体"/>
                <w:color w:val="auto"/>
                <w:sz w:val="24"/>
                <w:szCs w:val="24"/>
                <w:highlight w:val="none"/>
              </w:rPr>
              <w:t>产地</w:t>
            </w:r>
          </w:p>
        </w:tc>
        <w:tc>
          <w:tcPr>
            <w:tcW w:w="912" w:type="dxa"/>
          </w:tcPr>
          <w:p w14:paraId="290A75C2">
            <w:pPr>
              <w:rPr>
                <w:rFonts w:hint="eastAsia" w:cs="宋体"/>
                <w:color w:val="auto"/>
                <w:sz w:val="24"/>
                <w:szCs w:val="24"/>
                <w:highlight w:val="none"/>
              </w:rPr>
            </w:pPr>
            <w:r>
              <w:rPr>
                <w:rFonts w:hint="eastAsia" w:ascii="宋体" w:cs="宋体"/>
                <w:color w:val="auto"/>
                <w:sz w:val="24"/>
                <w:szCs w:val="24"/>
                <w:highlight w:val="none"/>
              </w:rPr>
              <w:t>备注</w:t>
            </w:r>
          </w:p>
        </w:tc>
      </w:tr>
      <w:tr w14:paraId="7431BB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8" w:type="dxa"/>
            <w:vMerge w:val="restart"/>
          </w:tcPr>
          <w:p w14:paraId="20395043">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1372" w:type="dxa"/>
            <w:vMerge w:val="restart"/>
          </w:tcPr>
          <w:p w14:paraId="51A8BDE4">
            <w:pPr>
              <w:rPr>
                <w:rFonts w:hint="eastAsia" w:cs="宋体"/>
                <w:color w:val="auto"/>
                <w:highlight w:val="none"/>
              </w:rPr>
            </w:pPr>
          </w:p>
        </w:tc>
        <w:tc>
          <w:tcPr>
            <w:tcW w:w="1428" w:type="dxa"/>
          </w:tcPr>
          <w:p w14:paraId="2FDBCFC1">
            <w:pPr>
              <w:rPr>
                <w:rFonts w:hint="eastAsia" w:cs="宋体"/>
                <w:color w:val="auto"/>
                <w:highlight w:val="none"/>
              </w:rPr>
            </w:pPr>
          </w:p>
        </w:tc>
        <w:tc>
          <w:tcPr>
            <w:tcW w:w="980" w:type="dxa"/>
          </w:tcPr>
          <w:p w14:paraId="0FED7CFC">
            <w:pPr>
              <w:rPr>
                <w:rFonts w:hint="eastAsia" w:cs="宋体"/>
                <w:color w:val="auto"/>
                <w:highlight w:val="none"/>
              </w:rPr>
            </w:pPr>
          </w:p>
        </w:tc>
        <w:tc>
          <w:tcPr>
            <w:tcW w:w="1120" w:type="dxa"/>
          </w:tcPr>
          <w:p w14:paraId="422EB697">
            <w:pPr>
              <w:rPr>
                <w:rFonts w:hint="eastAsia" w:cs="宋体"/>
                <w:color w:val="auto"/>
                <w:highlight w:val="none"/>
              </w:rPr>
            </w:pPr>
          </w:p>
        </w:tc>
        <w:tc>
          <w:tcPr>
            <w:tcW w:w="1260" w:type="dxa"/>
          </w:tcPr>
          <w:p w14:paraId="22C383EF">
            <w:pPr>
              <w:rPr>
                <w:rFonts w:hint="eastAsia" w:cs="宋体"/>
                <w:color w:val="auto"/>
                <w:highlight w:val="none"/>
              </w:rPr>
            </w:pPr>
          </w:p>
        </w:tc>
        <w:tc>
          <w:tcPr>
            <w:tcW w:w="840" w:type="dxa"/>
          </w:tcPr>
          <w:p w14:paraId="2D135E51">
            <w:pPr>
              <w:rPr>
                <w:rFonts w:hint="eastAsia" w:cs="宋体"/>
                <w:color w:val="auto"/>
                <w:highlight w:val="none"/>
              </w:rPr>
            </w:pPr>
          </w:p>
        </w:tc>
        <w:tc>
          <w:tcPr>
            <w:tcW w:w="912" w:type="dxa"/>
          </w:tcPr>
          <w:p w14:paraId="4CC4DC85">
            <w:pPr>
              <w:rPr>
                <w:rFonts w:hint="eastAsia" w:cs="宋体"/>
                <w:color w:val="auto"/>
                <w:highlight w:val="none"/>
              </w:rPr>
            </w:pPr>
          </w:p>
        </w:tc>
      </w:tr>
      <w:tr w14:paraId="26E423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8" w:type="dxa"/>
            <w:vMerge w:val="continue"/>
          </w:tcPr>
          <w:p w14:paraId="1CEC1163">
            <w:pPr>
              <w:jc w:val="center"/>
              <w:rPr>
                <w:rFonts w:hint="eastAsia" w:ascii="宋体" w:hAnsi="宋体" w:eastAsia="宋体" w:cs="宋体"/>
                <w:color w:val="auto"/>
                <w:sz w:val="24"/>
                <w:szCs w:val="24"/>
                <w:highlight w:val="none"/>
              </w:rPr>
            </w:pPr>
          </w:p>
        </w:tc>
        <w:tc>
          <w:tcPr>
            <w:tcW w:w="1372" w:type="dxa"/>
            <w:vMerge w:val="continue"/>
          </w:tcPr>
          <w:p w14:paraId="0D537D62">
            <w:pPr>
              <w:rPr>
                <w:rFonts w:hint="eastAsia" w:cs="宋体"/>
                <w:color w:val="auto"/>
                <w:highlight w:val="none"/>
              </w:rPr>
            </w:pPr>
          </w:p>
        </w:tc>
        <w:tc>
          <w:tcPr>
            <w:tcW w:w="1428" w:type="dxa"/>
          </w:tcPr>
          <w:p w14:paraId="245E6530">
            <w:pPr>
              <w:rPr>
                <w:rFonts w:hint="eastAsia" w:cs="宋体"/>
                <w:color w:val="auto"/>
                <w:highlight w:val="none"/>
              </w:rPr>
            </w:pPr>
          </w:p>
        </w:tc>
        <w:tc>
          <w:tcPr>
            <w:tcW w:w="980" w:type="dxa"/>
          </w:tcPr>
          <w:p w14:paraId="164A5634">
            <w:pPr>
              <w:rPr>
                <w:rFonts w:hint="eastAsia" w:cs="宋体"/>
                <w:color w:val="auto"/>
                <w:highlight w:val="none"/>
              </w:rPr>
            </w:pPr>
          </w:p>
        </w:tc>
        <w:tc>
          <w:tcPr>
            <w:tcW w:w="1120" w:type="dxa"/>
          </w:tcPr>
          <w:p w14:paraId="5B29AE92">
            <w:pPr>
              <w:rPr>
                <w:rFonts w:hint="eastAsia" w:cs="宋体"/>
                <w:color w:val="auto"/>
                <w:highlight w:val="none"/>
              </w:rPr>
            </w:pPr>
          </w:p>
        </w:tc>
        <w:tc>
          <w:tcPr>
            <w:tcW w:w="1260" w:type="dxa"/>
          </w:tcPr>
          <w:p w14:paraId="205D3F64">
            <w:pPr>
              <w:rPr>
                <w:rFonts w:hint="eastAsia" w:cs="宋体"/>
                <w:color w:val="auto"/>
                <w:highlight w:val="none"/>
              </w:rPr>
            </w:pPr>
          </w:p>
        </w:tc>
        <w:tc>
          <w:tcPr>
            <w:tcW w:w="840" w:type="dxa"/>
          </w:tcPr>
          <w:p w14:paraId="1C21EDFA">
            <w:pPr>
              <w:rPr>
                <w:rFonts w:hint="eastAsia" w:cs="宋体"/>
                <w:color w:val="auto"/>
                <w:highlight w:val="none"/>
              </w:rPr>
            </w:pPr>
          </w:p>
        </w:tc>
        <w:tc>
          <w:tcPr>
            <w:tcW w:w="912" w:type="dxa"/>
          </w:tcPr>
          <w:p w14:paraId="25329F69">
            <w:pPr>
              <w:rPr>
                <w:rFonts w:hint="eastAsia" w:cs="宋体"/>
                <w:color w:val="auto"/>
                <w:highlight w:val="none"/>
              </w:rPr>
            </w:pPr>
          </w:p>
        </w:tc>
      </w:tr>
      <w:tr w14:paraId="40BC84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8" w:type="dxa"/>
            <w:vMerge w:val="continue"/>
          </w:tcPr>
          <w:p w14:paraId="17BF62B2">
            <w:pPr>
              <w:jc w:val="center"/>
              <w:rPr>
                <w:rFonts w:hint="eastAsia" w:ascii="宋体" w:hAnsi="宋体" w:eastAsia="宋体" w:cs="宋体"/>
                <w:color w:val="auto"/>
                <w:sz w:val="24"/>
                <w:szCs w:val="24"/>
                <w:highlight w:val="none"/>
              </w:rPr>
            </w:pPr>
          </w:p>
        </w:tc>
        <w:tc>
          <w:tcPr>
            <w:tcW w:w="1372" w:type="dxa"/>
            <w:vMerge w:val="continue"/>
          </w:tcPr>
          <w:p w14:paraId="1C71E2D6">
            <w:pPr>
              <w:rPr>
                <w:rFonts w:hint="eastAsia" w:cs="宋体"/>
                <w:color w:val="auto"/>
                <w:highlight w:val="none"/>
              </w:rPr>
            </w:pPr>
          </w:p>
        </w:tc>
        <w:tc>
          <w:tcPr>
            <w:tcW w:w="1428" w:type="dxa"/>
          </w:tcPr>
          <w:p w14:paraId="792F862F">
            <w:pPr>
              <w:rPr>
                <w:rFonts w:hint="eastAsia" w:cs="宋体"/>
                <w:color w:val="auto"/>
                <w:highlight w:val="none"/>
              </w:rPr>
            </w:pPr>
          </w:p>
        </w:tc>
        <w:tc>
          <w:tcPr>
            <w:tcW w:w="980" w:type="dxa"/>
          </w:tcPr>
          <w:p w14:paraId="00A46B3C">
            <w:pPr>
              <w:rPr>
                <w:rFonts w:hint="eastAsia" w:cs="宋体"/>
                <w:color w:val="auto"/>
                <w:highlight w:val="none"/>
              </w:rPr>
            </w:pPr>
          </w:p>
        </w:tc>
        <w:tc>
          <w:tcPr>
            <w:tcW w:w="1120" w:type="dxa"/>
          </w:tcPr>
          <w:p w14:paraId="293177A2">
            <w:pPr>
              <w:rPr>
                <w:rFonts w:hint="eastAsia" w:cs="宋体"/>
                <w:color w:val="auto"/>
                <w:highlight w:val="none"/>
              </w:rPr>
            </w:pPr>
          </w:p>
        </w:tc>
        <w:tc>
          <w:tcPr>
            <w:tcW w:w="1260" w:type="dxa"/>
          </w:tcPr>
          <w:p w14:paraId="0ADD3767">
            <w:pPr>
              <w:rPr>
                <w:rFonts w:hint="eastAsia" w:cs="宋体"/>
                <w:color w:val="auto"/>
                <w:highlight w:val="none"/>
              </w:rPr>
            </w:pPr>
          </w:p>
        </w:tc>
        <w:tc>
          <w:tcPr>
            <w:tcW w:w="840" w:type="dxa"/>
          </w:tcPr>
          <w:p w14:paraId="611B67DC">
            <w:pPr>
              <w:rPr>
                <w:rFonts w:hint="eastAsia" w:cs="宋体"/>
                <w:color w:val="auto"/>
                <w:highlight w:val="none"/>
              </w:rPr>
            </w:pPr>
          </w:p>
        </w:tc>
        <w:tc>
          <w:tcPr>
            <w:tcW w:w="912" w:type="dxa"/>
          </w:tcPr>
          <w:p w14:paraId="54FFC57A">
            <w:pPr>
              <w:rPr>
                <w:rFonts w:hint="eastAsia" w:cs="宋体"/>
                <w:color w:val="auto"/>
                <w:highlight w:val="none"/>
              </w:rPr>
            </w:pPr>
          </w:p>
        </w:tc>
      </w:tr>
      <w:tr w14:paraId="041825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8" w:type="dxa"/>
            <w:vMerge w:val="restart"/>
          </w:tcPr>
          <w:p w14:paraId="0CA161F5">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c>
          <w:tcPr>
            <w:tcW w:w="1372" w:type="dxa"/>
            <w:vMerge w:val="restart"/>
          </w:tcPr>
          <w:p w14:paraId="2C8DF3C5">
            <w:pPr>
              <w:rPr>
                <w:rFonts w:hint="eastAsia" w:cs="宋体"/>
                <w:color w:val="auto"/>
                <w:highlight w:val="none"/>
              </w:rPr>
            </w:pPr>
          </w:p>
        </w:tc>
        <w:tc>
          <w:tcPr>
            <w:tcW w:w="1428" w:type="dxa"/>
          </w:tcPr>
          <w:p w14:paraId="70678DEA">
            <w:pPr>
              <w:rPr>
                <w:rFonts w:hint="eastAsia" w:cs="宋体"/>
                <w:color w:val="auto"/>
                <w:highlight w:val="none"/>
              </w:rPr>
            </w:pPr>
          </w:p>
        </w:tc>
        <w:tc>
          <w:tcPr>
            <w:tcW w:w="980" w:type="dxa"/>
          </w:tcPr>
          <w:p w14:paraId="06C68A8E">
            <w:pPr>
              <w:rPr>
                <w:rFonts w:hint="eastAsia" w:cs="宋体"/>
                <w:color w:val="auto"/>
                <w:highlight w:val="none"/>
              </w:rPr>
            </w:pPr>
          </w:p>
        </w:tc>
        <w:tc>
          <w:tcPr>
            <w:tcW w:w="1120" w:type="dxa"/>
          </w:tcPr>
          <w:p w14:paraId="6B4BA808">
            <w:pPr>
              <w:rPr>
                <w:rFonts w:hint="eastAsia" w:cs="宋体"/>
                <w:color w:val="auto"/>
                <w:highlight w:val="none"/>
              </w:rPr>
            </w:pPr>
          </w:p>
        </w:tc>
        <w:tc>
          <w:tcPr>
            <w:tcW w:w="1260" w:type="dxa"/>
          </w:tcPr>
          <w:p w14:paraId="3F2CB4C2">
            <w:pPr>
              <w:rPr>
                <w:rFonts w:hint="eastAsia" w:cs="宋体"/>
                <w:color w:val="auto"/>
                <w:highlight w:val="none"/>
              </w:rPr>
            </w:pPr>
          </w:p>
        </w:tc>
        <w:tc>
          <w:tcPr>
            <w:tcW w:w="840" w:type="dxa"/>
          </w:tcPr>
          <w:p w14:paraId="4469317B">
            <w:pPr>
              <w:rPr>
                <w:rFonts w:hint="eastAsia" w:cs="宋体"/>
                <w:color w:val="auto"/>
                <w:highlight w:val="none"/>
              </w:rPr>
            </w:pPr>
          </w:p>
        </w:tc>
        <w:tc>
          <w:tcPr>
            <w:tcW w:w="912" w:type="dxa"/>
          </w:tcPr>
          <w:p w14:paraId="2AA2B119">
            <w:pPr>
              <w:rPr>
                <w:rFonts w:hint="eastAsia" w:cs="宋体"/>
                <w:color w:val="auto"/>
                <w:highlight w:val="none"/>
              </w:rPr>
            </w:pPr>
          </w:p>
        </w:tc>
      </w:tr>
      <w:tr w14:paraId="43C9C9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8" w:type="dxa"/>
            <w:vMerge w:val="continue"/>
          </w:tcPr>
          <w:p w14:paraId="2D06DF6B">
            <w:pPr>
              <w:jc w:val="center"/>
              <w:rPr>
                <w:rFonts w:hint="eastAsia" w:ascii="宋体" w:hAnsi="宋体" w:eastAsia="宋体" w:cs="宋体"/>
                <w:color w:val="auto"/>
                <w:sz w:val="24"/>
                <w:szCs w:val="24"/>
                <w:highlight w:val="none"/>
              </w:rPr>
            </w:pPr>
          </w:p>
        </w:tc>
        <w:tc>
          <w:tcPr>
            <w:tcW w:w="1372" w:type="dxa"/>
            <w:vMerge w:val="continue"/>
          </w:tcPr>
          <w:p w14:paraId="5B46BA23">
            <w:pPr>
              <w:rPr>
                <w:rFonts w:hint="eastAsia" w:cs="宋体"/>
                <w:color w:val="auto"/>
                <w:highlight w:val="none"/>
              </w:rPr>
            </w:pPr>
          </w:p>
        </w:tc>
        <w:tc>
          <w:tcPr>
            <w:tcW w:w="1428" w:type="dxa"/>
          </w:tcPr>
          <w:p w14:paraId="62B72275">
            <w:pPr>
              <w:rPr>
                <w:rFonts w:hint="eastAsia" w:cs="宋体"/>
                <w:color w:val="auto"/>
                <w:highlight w:val="none"/>
              </w:rPr>
            </w:pPr>
          </w:p>
        </w:tc>
        <w:tc>
          <w:tcPr>
            <w:tcW w:w="980" w:type="dxa"/>
          </w:tcPr>
          <w:p w14:paraId="34FA6C92">
            <w:pPr>
              <w:rPr>
                <w:rFonts w:hint="eastAsia" w:cs="宋体"/>
                <w:color w:val="auto"/>
                <w:highlight w:val="none"/>
              </w:rPr>
            </w:pPr>
          </w:p>
        </w:tc>
        <w:tc>
          <w:tcPr>
            <w:tcW w:w="1120" w:type="dxa"/>
          </w:tcPr>
          <w:p w14:paraId="5317D518">
            <w:pPr>
              <w:rPr>
                <w:rFonts w:hint="eastAsia" w:cs="宋体"/>
                <w:color w:val="auto"/>
                <w:highlight w:val="none"/>
              </w:rPr>
            </w:pPr>
          </w:p>
        </w:tc>
        <w:tc>
          <w:tcPr>
            <w:tcW w:w="1260" w:type="dxa"/>
          </w:tcPr>
          <w:p w14:paraId="1848D0F4">
            <w:pPr>
              <w:rPr>
                <w:rFonts w:hint="eastAsia" w:cs="宋体"/>
                <w:color w:val="auto"/>
                <w:highlight w:val="none"/>
              </w:rPr>
            </w:pPr>
          </w:p>
        </w:tc>
        <w:tc>
          <w:tcPr>
            <w:tcW w:w="840" w:type="dxa"/>
          </w:tcPr>
          <w:p w14:paraId="64BEAFFF">
            <w:pPr>
              <w:rPr>
                <w:rFonts w:hint="eastAsia" w:cs="宋体"/>
                <w:color w:val="auto"/>
                <w:highlight w:val="none"/>
              </w:rPr>
            </w:pPr>
          </w:p>
        </w:tc>
        <w:tc>
          <w:tcPr>
            <w:tcW w:w="912" w:type="dxa"/>
          </w:tcPr>
          <w:p w14:paraId="4772A914">
            <w:pPr>
              <w:rPr>
                <w:rFonts w:hint="eastAsia" w:cs="宋体"/>
                <w:color w:val="auto"/>
                <w:highlight w:val="none"/>
              </w:rPr>
            </w:pPr>
          </w:p>
        </w:tc>
      </w:tr>
      <w:tr w14:paraId="62BD13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8" w:type="dxa"/>
            <w:vMerge w:val="continue"/>
          </w:tcPr>
          <w:p w14:paraId="5656E7BB">
            <w:pPr>
              <w:jc w:val="center"/>
              <w:rPr>
                <w:rFonts w:hint="eastAsia" w:ascii="宋体" w:hAnsi="宋体" w:eastAsia="宋体" w:cs="宋体"/>
                <w:color w:val="auto"/>
                <w:sz w:val="24"/>
                <w:szCs w:val="24"/>
                <w:highlight w:val="none"/>
              </w:rPr>
            </w:pPr>
          </w:p>
        </w:tc>
        <w:tc>
          <w:tcPr>
            <w:tcW w:w="1372" w:type="dxa"/>
            <w:vMerge w:val="continue"/>
          </w:tcPr>
          <w:p w14:paraId="4150BDEC">
            <w:pPr>
              <w:rPr>
                <w:rFonts w:hint="eastAsia" w:cs="宋体"/>
                <w:color w:val="auto"/>
                <w:highlight w:val="none"/>
              </w:rPr>
            </w:pPr>
          </w:p>
        </w:tc>
        <w:tc>
          <w:tcPr>
            <w:tcW w:w="1428" w:type="dxa"/>
          </w:tcPr>
          <w:p w14:paraId="1AEEF9A4">
            <w:pPr>
              <w:rPr>
                <w:rFonts w:hint="eastAsia" w:cs="宋体"/>
                <w:color w:val="auto"/>
                <w:highlight w:val="none"/>
              </w:rPr>
            </w:pPr>
          </w:p>
        </w:tc>
        <w:tc>
          <w:tcPr>
            <w:tcW w:w="980" w:type="dxa"/>
          </w:tcPr>
          <w:p w14:paraId="26101AD0">
            <w:pPr>
              <w:rPr>
                <w:rFonts w:hint="eastAsia" w:cs="宋体"/>
                <w:color w:val="auto"/>
                <w:highlight w:val="none"/>
              </w:rPr>
            </w:pPr>
          </w:p>
        </w:tc>
        <w:tc>
          <w:tcPr>
            <w:tcW w:w="1120" w:type="dxa"/>
          </w:tcPr>
          <w:p w14:paraId="48600FB7">
            <w:pPr>
              <w:rPr>
                <w:rFonts w:hint="eastAsia" w:cs="宋体"/>
                <w:color w:val="auto"/>
                <w:highlight w:val="none"/>
              </w:rPr>
            </w:pPr>
          </w:p>
        </w:tc>
        <w:tc>
          <w:tcPr>
            <w:tcW w:w="1260" w:type="dxa"/>
          </w:tcPr>
          <w:p w14:paraId="1652D1E3">
            <w:pPr>
              <w:rPr>
                <w:rFonts w:hint="eastAsia" w:cs="宋体"/>
                <w:color w:val="auto"/>
                <w:highlight w:val="none"/>
              </w:rPr>
            </w:pPr>
          </w:p>
        </w:tc>
        <w:tc>
          <w:tcPr>
            <w:tcW w:w="840" w:type="dxa"/>
          </w:tcPr>
          <w:p w14:paraId="65F62FFA">
            <w:pPr>
              <w:rPr>
                <w:rFonts w:hint="eastAsia" w:cs="宋体"/>
                <w:color w:val="auto"/>
                <w:highlight w:val="none"/>
              </w:rPr>
            </w:pPr>
          </w:p>
        </w:tc>
        <w:tc>
          <w:tcPr>
            <w:tcW w:w="912" w:type="dxa"/>
          </w:tcPr>
          <w:p w14:paraId="1FDEC2F2">
            <w:pPr>
              <w:rPr>
                <w:rFonts w:hint="eastAsia" w:cs="宋体"/>
                <w:color w:val="auto"/>
                <w:highlight w:val="none"/>
              </w:rPr>
            </w:pPr>
          </w:p>
        </w:tc>
      </w:tr>
      <w:tr w14:paraId="148EDE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8" w:type="dxa"/>
            <w:vMerge w:val="restart"/>
          </w:tcPr>
          <w:p w14:paraId="7C7F7D97">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p>
        </w:tc>
        <w:tc>
          <w:tcPr>
            <w:tcW w:w="1372" w:type="dxa"/>
            <w:vMerge w:val="restart"/>
          </w:tcPr>
          <w:p w14:paraId="1551B796">
            <w:pPr>
              <w:rPr>
                <w:rFonts w:hint="eastAsia" w:cs="宋体"/>
                <w:color w:val="auto"/>
                <w:highlight w:val="none"/>
              </w:rPr>
            </w:pPr>
          </w:p>
        </w:tc>
        <w:tc>
          <w:tcPr>
            <w:tcW w:w="1428" w:type="dxa"/>
          </w:tcPr>
          <w:p w14:paraId="0439756D">
            <w:pPr>
              <w:rPr>
                <w:rFonts w:hint="eastAsia" w:cs="宋体"/>
                <w:color w:val="auto"/>
                <w:highlight w:val="none"/>
              </w:rPr>
            </w:pPr>
          </w:p>
        </w:tc>
        <w:tc>
          <w:tcPr>
            <w:tcW w:w="980" w:type="dxa"/>
          </w:tcPr>
          <w:p w14:paraId="1170F177">
            <w:pPr>
              <w:rPr>
                <w:rFonts w:hint="eastAsia" w:cs="宋体"/>
                <w:color w:val="auto"/>
                <w:highlight w:val="none"/>
              </w:rPr>
            </w:pPr>
          </w:p>
        </w:tc>
        <w:tc>
          <w:tcPr>
            <w:tcW w:w="1120" w:type="dxa"/>
          </w:tcPr>
          <w:p w14:paraId="1293770B">
            <w:pPr>
              <w:rPr>
                <w:rFonts w:hint="eastAsia" w:cs="宋体"/>
                <w:color w:val="auto"/>
                <w:highlight w:val="none"/>
              </w:rPr>
            </w:pPr>
          </w:p>
        </w:tc>
        <w:tc>
          <w:tcPr>
            <w:tcW w:w="1260" w:type="dxa"/>
          </w:tcPr>
          <w:p w14:paraId="529BA217">
            <w:pPr>
              <w:rPr>
                <w:rFonts w:hint="eastAsia" w:cs="宋体"/>
                <w:color w:val="auto"/>
                <w:highlight w:val="none"/>
              </w:rPr>
            </w:pPr>
          </w:p>
        </w:tc>
        <w:tc>
          <w:tcPr>
            <w:tcW w:w="840" w:type="dxa"/>
          </w:tcPr>
          <w:p w14:paraId="2C98CA39">
            <w:pPr>
              <w:rPr>
                <w:rFonts w:hint="eastAsia" w:cs="宋体"/>
                <w:color w:val="auto"/>
                <w:highlight w:val="none"/>
              </w:rPr>
            </w:pPr>
          </w:p>
        </w:tc>
        <w:tc>
          <w:tcPr>
            <w:tcW w:w="912" w:type="dxa"/>
          </w:tcPr>
          <w:p w14:paraId="6755839E">
            <w:pPr>
              <w:rPr>
                <w:rFonts w:hint="eastAsia" w:cs="宋体"/>
                <w:color w:val="auto"/>
                <w:highlight w:val="none"/>
              </w:rPr>
            </w:pPr>
          </w:p>
        </w:tc>
      </w:tr>
      <w:tr w14:paraId="7A0D47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8" w:type="dxa"/>
            <w:vMerge w:val="continue"/>
          </w:tcPr>
          <w:p w14:paraId="0CD9AF40">
            <w:pPr>
              <w:rPr>
                <w:rFonts w:hint="eastAsia" w:cs="宋体"/>
                <w:color w:val="auto"/>
                <w:highlight w:val="none"/>
              </w:rPr>
            </w:pPr>
          </w:p>
        </w:tc>
        <w:tc>
          <w:tcPr>
            <w:tcW w:w="1372" w:type="dxa"/>
            <w:vMerge w:val="continue"/>
          </w:tcPr>
          <w:p w14:paraId="0F7E4727">
            <w:pPr>
              <w:rPr>
                <w:rFonts w:hint="eastAsia" w:cs="宋体"/>
                <w:color w:val="auto"/>
                <w:highlight w:val="none"/>
              </w:rPr>
            </w:pPr>
          </w:p>
        </w:tc>
        <w:tc>
          <w:tcPr>
            <w:tcW w:w="1428" w:type="dxa"/>
          </w:tcPr>
          <w:p w14:paraId="4A5C4FF5">
            <w:pPr>
              <w:rPr>
                <w:rFonts w:hint="eastAsia" w:cs="宋体"/>
                <w:color w:val="auto"/>
                <w:highlight w:val="none"/>
              </w:rPr>
            </w:pPr>
          </w:p>
        </w:tc>
        <w:tc>
          <w:tcPr>
            <w:tcW w:w="980" w:type="dxa"/>
          </w:tcPr>
          <w:p w14:paraId="29D0C154">
            <w:pPr>
              <w:rPr>
                <w:rFonts w:hint="eastAsia" w:cs="宋体"/>
                <w:color w:val="auto"/>
                <w:highlight w:val="none"/>
              </w:rPr>
            </w:pPr>
          </w:p>
        </w:tc>
        <w:tc>
          <w:tcPr>
            <w:tcW w:w="1120" w:type="dxa"/>
          </w:tcPr>
          <w:p w14:paraId="473D967C">
            <w:pPr>
              <w:rPr>
                <w:rFonts w:hint="eastAsia" w:cs="宋体"/>
                <w:color w:val="auto"/>
                <w:highlight w:val="none"/>
              </w:rPr>
            </w:pPr>
          </w:p>
        </w:tc>
        <w:tc>
          <w:tcPr>
            <w:tcW w:w="1260" w:type="dxa"/>
          </w:tcPr>
          <w:p w14:paraId="72B0FB9C">
            <w:pPr>
              <w:rPr>
                <w:rFonts w:hint="eastAsia" w:cs="宋体"/>
                <w:color w:val="auto"/>
                <w:highlight w:val="none"/>
              </w:rPr>
            </w:pPr>
          </w:p>
        </w:tc>
        <w:tc>
          <w:tcPr>
            <w:tcW w:w="840" w:type="dxa"/>
          </w:tcPr>
          <w:p w14:paraId="51970F25">
            <w:pPr>
              <w:rPr>
                <w:rFonts w:hint="eastAsia" w:cs="宋体"/>
                <w:color w:val="auto"/>
                <w:highlight w:val="none"/>
              </w:rPr>
            </w:pPr>
          </w:p>
        </w:tc>
        <w:tc>
          <w:tcPr>
            <w:tcW w:w="912" w:type="dxa"/>
          </w:tcPr>
          <w:p w14:paraId="1980E9FA">
            <w:pPr>
              <w:rPr>
                <w:rFonts w:hint="eastAsia" w:cs="宋体"/>
                <w:color w:val="auto"/>
                <w:highlight w:val="none"/>
              </w:rPr>
            </w:pPr>
          </w:p>
        </w:tc>
      </w:tr>
      <w:tr w14:paraId="619D9C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8" w:type="dxa"/>
            <w:vMerge w:val="continue"/>
          </w:tcPr>
          <w:p w14:paraId="21B70C60">
            <w:pPr>
              <w:rPr>
                <w:rFonts w:hint="eastAsia" w:cs="宋体"/>
                <w:color w:val="auto"/>
                <w:highlight w:val="none"/>
              </w:rPr>
            </w:pPr>
          </w:p>
        </w:tc>
        <w:tc>
          <w:tcPr>
            <w:tcW w:w="1372" w:type="dxa"/>
            <w:vMerge w:val="continue"/>
          </w:tcPr>
          <w:p w14:paraId="40C29504">
            <w:pPr>
              <w:rPr>
                <w:rFonts w:hint="eastAsia" w:cs="宋体"/>
                <w:color w:val="auto"/>
                <w:highlight w:val="none"/>
              </w:rPr>
            </w:pPr>
          </w:p>
        </w:tc>
        <w:tc>
          <w:tcPr>
            <w:tcW w:w="1428" w:type="dxa"/>
          </w:tcPr>
          <w:p w14:paraId="6B2E1372">
            <w:pPr>
              <w:rPr>
                <w:rFonts w:hint="eastAsia" w:cs="宋体"/>
                <w:color w:val="auto"/>
                <w:highlight w:val="none"/>
              </w:rPr>
            </w:pPr>
          </w:p>
        </w:tc>
        <w:tc>
          <w:tcPr>
            <w:tcW w:w="980" w:type="dxa"/>
          </w:tcPr>
          <w:p w14:paraId="3229B165">
            <w:pPr>
              <w:rPr>
                <w:rFonts w:hint="eastAsia" w:cs="宋体"/>
                <w:color w:val="auto"/>
                <w:highlight w:val="none"/>
              </w:rPr>
            </w:pPr>
          </w:p>
        </w:tc>
        <w:tc>
          <w:tcPr>
            <w:tcW w:w="1120" w:type="dxa"/>
          </w:tcPr>
          <w:p w14:paraId="081B0FC1">
            <w:pPr>
              <w:rPr>
                <w:rFonts w:hint="eastAsia" w:cs="宋体"/>
                <w:color w:val="auto"/>
                <w:highlight w:val="none"/>
              </w:rPr>
            </w:pPr>
          </w:p>
        </w:tc>
        <w:tc>
          <w:tcPr>
            <w:tcW w:w="1260" w:type="dxa"/>
          </w:tcPr>
          <w:p w14:paraId="7A184E6C">
            <w:pPr>
              <w:rPr>
                <w:rFonts w:hint="eastAsia" w:cs="宋体"/>
                <w:color w:val="auto"/>
                <w:highlight w:val="none"/>
              </w:rPr>
            </w:pPr>
          </w:p>
        </w:tc>
        <w:tc>
          <w:tcPr>
            <w:tcW w:w="840" w:type="dxa"/>
          </w:tcPr>
          <w:p w14:paraId="5CE3A1A7">
            <w:pPr>
              <w:rPr>
                <w:rFonts w:hint="eastAsia" w:cs="宋体"/>
                <w:color w:val="auto"/>
                <w:highlight w:val="none"/>
              </w:rPr>
            </w:pPr>
          </w:p>
        </w:tc>
        <w:tc>
          <w:tcPr>
            <w:tcW w:w="912" w:type="dxa"/>
          </w:tcPr>
          <w:p w14:paraId="577458B0">
            <w:pPr>
              <w:rPr>
                <w:rFonts w:hint="eastAsia" w:cs="宋体"/>
                <w:color w:val="auto"/>
                <w:highlight w:val="none"/>
              </w:rPr>
            </w:pPr>
          </w:p>
        </w:tc>
      </w:tr>
      <w:bookmarkEnd w:id="67"/>
      <w:bookmarkEnd w:id="68"/>
      <w:bookmarkEnd w:id="69"/>
      <w:bookmarkEnd w:id="70"/>
      <w:bookmarkEnd w:id="71"/>
    </w:tbl>
    <w:p w14:paraId="530F51DE">
      <w:pPr>
        <w:spacing w:line="240" w:lineRule="auto"/>
        <w:outlineLvl w:val="9"/>
        <w:rPr>
          <w:rFonts w:hint="eastAsia" w:ascii="宋体" w:hAnsi="宋体" w:cs="宋体"/>
          <w:b/>
          <w:color w:val="auto"/>
          <w:sz w:val="30"/>
          <w:szCs w:val="30"/>
          <w:highlight w:val="none"/>
        </w:rPr>
      </w:pPr>
      <w:bookmarkStart w:id="76" w:name="_Toc304277659"/>
      <w:bookmarkStart w:id="77" w:name="_Toc223320108"/>
      <w:bookmarkStart w:id="78" w:name="_Toc334015527"/>
      <w:bookmarkStart w:id="79" w:name="_Toc223835856"/>
      <w:bookmarkStart w:id="80" w:name="_Toc316370452"/>
      <w:bookmarkStart w:id="81" w:name="_Toc304277672"/>
      <w:bookmarkStart w:id="82" w:name="_Toc380835217"/>
      <w:bookmarkStart w:id="83" w:name="_Toc415140560"/>
      <w:bookmarkStart w:id="84" w:name="_Toc5370786"/>
      <w:bookmarkStart w:id="85" w:name="_Toc367697180"/>
      <w:bookmarkStart w:id="86" w:name="_Toc2825"/>
      <w:r>
        <w:rPr>
          <w:rFonts w:hint="eastAsia" w:ascii="宋体" w:hAnsi="宋体" w:cs="宋体"/>
          <w:b/>
          <w:color w:val="auto"/>
          <w:sz w:val="30"/>
          <w:szCs w:val="30"/>
          <w:highlight w:val="none"/>
        </w:rPr>
        <w:br w:type="page"/>
      </w:r>
    </w:p>
    <w:p w14:paraId="3723C776">
      <w:pPr>
        <w:spacing w:line="360" w:lineRule="auto"/>
        <w:outlineLvl w:val="0"/>
        <w:rPr>
          <w:rFonts w:ascii="宋体" w:hAnsi="宋体"/>
          <w:b/>
          <w:color w:val="auto"/>
          <w:sz w:val="30"/>
          <w:szCs w:val="30"/>
          <w:highlight w:val="none"/>
        </w:rPr>
      </w:pPr>
      <w:r>
        <w:rPr>
          <w:rFonts w:hint="eastAsia" w:ascii="宋体" w:hAnsi="宋体"/>
          <w:b/>
          <w:color w:val="auto"/>
          <w:sz w:val="30"/>
          <w:szCs w:val="30"/>
          <w:highlight w:val="none"/>
        </w:rPr>
        <w:t>附件</w:t>
      </w:r>
      <w:bookmarkStart w:id="87" w:name="_Toc520193319"/>
      <w:r>
        <w:rPr>
          <w:rFonts w:ascii="宋体" w:hAnsi="宋体"/>
          <w:b/>
          <w:color w:val="auto"/>
          <w:sz w:val="30"/>
          <w:szCs w:val="30"/>
          <w:highlight w:val="none"/>
        </w:rPr>
        <w:t xml:space="preserve">8 </w:t>
      </w:r>
      <w:r>
        <w:rPr>
          <w:rFonts w:hint="eastAsia" w:ascii="宋体" w:hAnsi="宋体"/>
          <w:b/>
          <w:color w:val="auto"/>
          <w:sz w:val="30"/>
          <w:szCs w:val="30"/>
          <w:highlight w:val="none"/>
        </w:rPr>
        <w:t>运行维护手册编写格式</w:t>
      </w:r>
      <w:bookmarkEnd w:id="76"/>
      <w:bookmarkEnd w:id="77"/>
      <w:bookmarkEnd w:id="78"/>
      <w:bookmarkEnd w:id="79"/>
      <w:bookmarkEnd w:id="80"/>
      <w:bookmarkEnd w:id="81"/>
      <w:bookmarkEnd w:id="87"/>
    </w:p>
    <w:p w14:paraId="7FFCA6F9">
      <w:pPr>
        <w:spacing w:line="360" w:lineRule="auto"/>
        <w:rPr>
          <w:rFonts w:ascii="宋体" w:hAnsi="宋体"/>
          <w:color w:val="auto"/>
          <w:highlight w:val="none"/>
        </w:rPr>
      </w:pPr>
      <w:r>
        <w:rPr>
          <w:rFonts w:hint="eastAsia" w:ascii="宋体" w:hAnsi="宋体"/>
          <w:color w:val="auto"/>
          <w:highlight w:val="none"/>
        </w:rPr>
        <w:t>运行维护手册格式要求如下：</w:t>
      </w:r>
    </w:p>
    <w:p w14:paraId="3C472751">
      <w:pPr>
        <w:spacing w:line="360" w:lineRule="auto"/>
        <w:rPr>
          <w:rFonts w:ascii="宋体" w:hAnsi="宋体"/>
          <w:color w:val="auto"/>
          <w:highlight w:val="none"/>
        </w:rPr>
      </w:pPr>
    </w:p>
    <w:p w14:paraId="74004C6C">
      <w:pPr>
        <w:spacing w:line="360" w:lineRule="auto"/>
        <w:jc w:val="center"/>
        <w:rPr>
          <w:rFonts w:ascii="宋体" w:hAnsi="宋体"/>
          <w:b/>
          <w:color w:val="auto"/>
          <w:sz w:val="44"/>
          <w:szCs w:val="44"/>
          <w:highlight w:val="none"/>
        </w:rPr>
      </w:pPr>
      <w:r>
        <w:rPr>
          <w:rFonts w:hint="eastAsia"/>
          <w:color w:val="auto"/>
          <w:sz w:val="44"/>
          <w:szCs w:val="44"/>
          <w:highlight w:val="none"/>
        </w:rPr>
        <w:t>浙能武威 2×1000 MW调峰火电机组工程</w:t>
      </w:r>
    </w:p>
    <w:p w14:paraId="5D6D132A">
      <w:pPr>
        <w:spacing w:line="360" w:lineRule="auto"/>
        <w:rPr>
          <w:rFonts w:ascii="宋体" w:hAnsi="宋体"/>
          <w:b/>
          <w:color w:val="auto"/>
          <w:sz w:val="32"/>
          <w:highlight w:val="none"/>
        </w:rPr>
      </w:pPr>
    </w:p>
    <w:p w14:paraId="47973B3E">
      <w:pPr>
        <w:spacing w:line="360" w:lineRule="auto"/>
        <w:jc w:val="center"/>
        <w:rPr>
          <w:rFonts w:ascii="宋体" w:hAnsi="宋体"/>
          <w:color w:val="auto"/>
          <w:sz w:val="36"/>
          <w:szCs w:val="36"/>
          <w:highlight w:val="none"/>
        </w:rPr>
      </w:pPr>
      <w:r>
        <w:rPr>
          <w:rFonts w:hint="eastAsia" w:ascii="宋体" w:hAnsi="宋体" w:eastAsia="宋体" w:cstheme="minorBidi"/>
          <w:b w:val="0"/>
          <w:bCs w:val="0"/>
          <w:color w:val="auto"/>
          <w:kern w:val="0"/>
          <w:sz w:val="36"/>
          <w:szCs w:val="36"/>
          <w:highlight w:val="none"/>
          <w:u w:val="none"/>
          <w:lang w:eastAsia="zh-CN"/>
        </w:rPr>
        <w:t>宽频同步相量测量装置</w:t>
      </w:r>
    </w:p>
    <w:p w14:paraId="1C8F3457">
      <w:pPr>
        <w:spacing w:line="360" w:lineRule="auto"/>
        <w:jc w:val="center"/>
        <w:rPr>
          <w:rFonts w:ascii="宋体" w:hAnsi="宋体"/>
          <w:b/>
          <w:color w:val="auto"/>
          <w:sz w:val="36"/>
          <w:szCs w:val="36"/>
          <w:highlight w:val="none"/>
        </w:rPr>
      </w:pPr>
    </w:p>
    <w:p w14:paraId="5291DD7A">
      <w:pPr>
        <w:spacing w:line="360" w:lineRule="auto"/>
        <w:jc w:val="center"/>
        <w:rPr>
          <w:rFonts w:ascii="宋体" w:hAnsi="宋体"/>
          <w:b/>
          <w:color w:val="auto"/>
          <w:sz w:val="32"/>
          <w:highlight w:val="none"/>
        </w:rPr>
      </w:pPr>
      <w:r>
        <w:rPr>
          <w:rFonts w:hint="eastAsia" w:ascii="宋体" w:hAnsi="宋体"/>
          <w:b/>
          <w:color w:val="auto"/>
          <w:sz w:val="32"/>
          <w:highlight w:val="none"/>
        </w:rPr>
        <w:t>运行维护</w:t>
      </w:r>
    </w:p>
    <w:p w14:paraId="0E3B1D72">
      <w:pPr>
        <w:spacing w:line="360" w:lineRule="auto"/>
        <w:jc w:val="center"/>
        <w:rPr>
          <w:rFonts w:ascii="宋体" w:hAnsi="宋体"/>
          <w:b/>
          <w:color w:val="auto"/>
          <w:sz w:val="32"/>
          <w:highlight w:val="none"/>
        </w:rPr>
      </w:pPr>
    </w:p>
    <w:p w14:paraId="2D3229CF">
      <w:pPr>
        <w:spacing w:line="360" w:lineRule="auto"/>
        <w:jc w:val="center"/>
        <w:rPr>
          <w:rFonts w:ascii="宋体" w:hAnsi="宋体"/>
          <w:b/>
          <w:color w:val="auto"/>
          <w:sz w:val="32"/>
          <w:highlight w:val="none"/>
        </w:rPr>
      </w:pPr>
      <w:r>
        <w:rPr>
          <w:rFonts w:hint="eastAsia" w:ascii="宋体" w:hAnsi="宋体"/>
          <w:b/>
          <w:color w:val="auto"/>
          <w:sz w:val="32"/>
          <w:highlight w:val="none"/>
        </w:rPr>
        <w:t>手</w:t>
      </w:r>
    </w:p>
    <w:p w14:paraId="6BA44BB2">
      <w:pPr>
        <w:spacing w:line="360" w:lineRule="auto"/>
        <w:jc w:val="center"/>
        <w:rPr>
          <w:rFonts w:ascii="宋体" w:hAnsi="宋体"/>
          <w:b/>
          <w:color w:val="auto"/>
          <w:sz w:val="32"/>
          <w:highlight w:val="none"/>
        </w:rPr>
      </w:pPr>
    </w:p>
    <w:p w14:paraId="7A354EB3">
      <w:pPr>
        <w:spacing w:line="360" w:lineRule="auto"/>
        <w:jc w:val="center"/>
        <w:rPr>
          <w:rFonts w:ascii="宋体" w:hAnsi="宋体"/>
          <w:b/>
          <w:color w:val="auto"/>
          <w:sz w:val="32"/>
          <w:highlight w:val="none"/>
        </w:rPr>
      </w:pPr>
      <w:r>
        <w:rPr>
          <w:rFonts w:hint="eastAsia" w:ascii="宋体" w:hAnsi="宋体"/>
          <w:b/>
          <w:color w:val="auto"/>
          <w:sz w:val="32"/>
          <w:highlight w:val="none"/>
        </w:rPr>
        <w:t>册</w:t>
      </w:r>
    </w:p>
    <w:p w14:paraId="3406947D">
      <w:pPr>
        <w:spacing w:line="360" w:lineRule="auto"/>
        <w:jc w:val="center"/>
        <w:rPr>
          <w:rFonts w:ascii="宋体" w:hAnsi="宋体"/>
          <w:b/>
          <w:color w:val="auto"/>
          <w:sz w:val="32"/>
          <w:highlight w:val="none"/>
        </w:rPr>
      </w:pPr>
    </w:p>
    <w:p w14:paraId="09E0B78A">
      <w:pPr>
        <w:spacing w:line="360" w:lineRule="auto"/>
        <w:rPr>
          <w:rFonts w:ascii="宋体" w:hAnsi="宋体"/>
          <w:color w:val="auto"/>
          <w:sz w:val="24"/>
          <w:szCs w:val="24"/>
          <w:highlight w:val="none"/>
        </w:rPr>
      </w:pPr>
      <w:r>
        <w:rPr>
          <w:rFonts w:hint="eastAsia" w:ascii="宋体" w:hAnsi="宋体"/>
          <w:color w:val="auto"/>
          <w:sz w:val="24"/>
          <w:szCs w:val="24"/>
          <w:highlight w:val="none"/>
        </w:rPr>
        <w:t>要求：一式10套</w:t>
      </w:r>
    </w:p>
    <w:p w14:paraId="1D3DCDD6">
      <w:pPr>
        <w:spacing w:line="360" w:lineRule="auto"/>
        <w:rPr>
          <w:rFonts w:ascii="宋体" w:hAnsi="宋体"/>
          <w:color w:val="auto"/>
          <w:sz w:val="24"/>
          <w:szCs w:val="24"/>
          <w:highlight w:val="none"/>
        </w:rPr>
      </w:pPr>
      <w:r>
        <w:rPr>
          <w:rFonts w:hint="eastAsia" w:ascii="宋体" w:hAnsi="宋体"/>
          <w:color w:val="auto"/>
          <w:sz w:val="24"/>
          <w:szCs w:val="24"/>
          <w:highlight w:val="none"/>
        </w:rPr>
        <w:t>纸张：</w:t>
      </w:r>
      <w:r>
        <w:rPr>
          <w:rFonts w:ascii="宋体" w:hAnsi="宋体"/>
          <w:color w:val="auto"/>
          <w:sz w:val="24"/>
          <w:szCs w:val="24"/>
          <w:highlight w:val="none"/>
        </w:rPr>
        <w:t>A4</w:t>
      </w:r>
    </w:p>
    <w:p w14:paraId="469CA8BA">
      <w:pPr>
        <w:spacing w:line="360" w:lineRule="auto"/>
        <w:rPr>
          <w:rFonts w:ascii="宋体" w:hAnsi="宋体"/>
          <w:color w:val="auto"/>
          <w:sz w:val="24"/>
          <w:szCs w:val="24"/>
          <w:highlight w:val="none"/>
        </w:rPr>
      </w:pPr>
      <w:r>
        <w:rPr>
          <w:rFonts w:hint="eastAsia" w:ascii="宋体" w:hAnsi="宋体"/>
          <w:color w:val="auto"/>
          <w:sz w:val="24"/>
          <w:szCs w:val="24"/>
          <w:highlight w:val="none"/>
        </w:rPr>
        <w:t>字体：宋体，小四号</w:t>
      </w:r>
    </w:p>
    <w:p w14:paraId="3F765FF1">
      <w:pPr>
        <w:spacing w:line="360" w:lineRule="auto"/>
        <w:rPr>
          <w:rFonts w:ascii="宋体" w:hAnsi="宋体"/>
          <w:color w:val="auto"/>
          <w:sz w:val="24"/>
          <w:szCs w:val="24"/>
          <w:highlight w:val="none"/>
        </w:rPr>
      </w:pPr>
      <w:r>
        <w:rPr>
          <w:rFonts w:hint="eastAsia" w:ascii="宋体" w:hAnsi="宋体"/>
          <w:color w:val="auto"/>
          <w:sz w:val="24"/>
          <w:szCs w:val="24"/>
          <w:highlight w:val="none"/>
        </w:rPr>
        <w:t>行间距：</w:t>
      </w:r>
      <w:r>
        <w:rPr>
          <w:rFonts w:ascii="宋体" w:hAnsi="宋体"/>
          <w:color w:val="auto"/>
          <w:sz w:val="24"/>
          <w:szCs w:val="24"/>
          <w:highlight w:val="none"/>
        </w:rPr>
        <w:t>1.5</w:t>
      </w:r>
      <w:r>
        <w:rPr>
          <w:rFonts w:hint="eastAsia" w:ascii="宋体" w:hAnsi="宋体"/>
          <w:color w:val="auto"/>
          <w:sz w:val="24"/>
          <w:szCs w:val="24"/>
          <w:highlight w:val="none"/>
        </w:rPr>
        <w:t>倍</w:t>
      </w:r>
    </w:p>
    <w:p w14:paraId="7B5FD921">
      <w:pPr>
        <w:spacing w:line="360" w:lineRule="auto"/>
        <w:rPr>
          <w:rFonts w:ascii="宋体" w:hAnsi="宋体"/>
          <w:color w:val="auto"/>
          <w:sz w:val="24"/>
          <w:szCs w:val="24"/>
          <w:highlight w:val="none"/>
        </w:rPr>
      </w:pPr>
      <w:r>
        <w:rPr>
          <w:rFonts w:hint="eastAsia" w:ascii="宋体" w:hAnsi="宋体"/>
          <w:color w:val="auto"/>
          <w:sz w:val="24"/>
          <w:szCs w:val="24"/>
          <w:highlight w:val="none"/>
        </w:rPr>
        <w:t>页边距（</w:t>
      </w:r>
      <w:r>
        <w:rPr>
          <w:rFonts w:ascii="宋体" w:hAnsi="宋体"/>
          <w:color w:val="auto"/>
          <w:sz w:val="24"/>
          <w:szCs w:val="24"/>
          <w:highlight w:val="none"/>
        </w:rPr>
        <w:t>mm</w:t>
      </w:r>
      <w:r>
        <w:rPr>
          <w:rFonts w:hint="eastAsia" w:ascii="宋体" w:hAnsi="宋体"/>
          <w:color w:val="auto"/>
          <w:sz w:val="24"/>
          <w:szCs w:val="24"/>
          <w:highlight w:val="none"/>
        </w:rPr>
        <w:t>）：左</w:t>
      </w:r>
      <w:r>
        <w:rPr>
          <w:rFonts w:ascii="宋体" w:hAnsi="宋体"/>
          <w:color w:val="auto"/>
          <w:sz w:val="24"/>
          <w:szCs w:val="24"/>
          <w:highlight w:val="none"/>
        </w:rPr>
        <w:t xml:space="preserve">-30  </w:t>
      </w:r>
      <w:r>
        <w:rPr>
          <w:rFonts w:hint="eastAsia" w:ascii="宋体" w:hAnsi="宋体"/>
          <w:color w:val="auto"/>
          <w:sz w:val="24"/>
          <w:szCs w:val="24"/>
          <w:highlight w:val="none"/>
        </w:rPr>
        <w:t>右</w:t>
      </w:r>
      <w:r>
        <w:rPr>
          <w:rFonts w:ascii="宋体" w:hAnsi="宋体"/>
          <w:color w:val="auto"/>
          <w:sz w:val="24"/>
          <w:szCs w:val="24"/>
          <w:highlight w:val="none"/>
        </w:rPr>
        <w:t xml:space="preserve">-25  </w:t>
      </w:r>
      <w:r>
        <w:rPr>
          <w:rFonts w:hint="eastAsia" w:ascii="宋体" w:hAnsi="宋体"/>
          <w:color w:val="auto"/>
          <w:sz w:val="24"/>
          <w:szCs w:val="24"/>
          <w:highlight w:val="none"/>
        </w:rPr>
        <w:t>上</w:t>
      </w:r>
      <w:r>
        <w:rPr>
          <w:rFonts w:ascii="宋体" w:hAnsi="宋体"/>
          <w:color w:val="auto"/>
          <w:sz w:val="24"/>
          <w:szCs w:val="24"/>
          <w:highlight w:val="none"/>
        </w:rPr>
        <w:t xml:space="preserve">-30  </w:t>
      </w:r>
      <w:r>
        <w:rPr>
          <w:rFonts w:hint="eastAsia" w:ascii="宋体" w:hAnsi="宋体"/>
          <w:color w:val="auto"/>
          <w:sz w:val="24"/>
          <w:szCs w:val="24"/>
          <w:highlight w:val="none"/>
        </w:rPr>
        <w:t>下</w:t>
      </w:r>
      <w:r>
        <w:rPr>
          <w:rFonts w:ascii="宋体" w:hAnsi="宋体"/>
          <w:color w:val="auto"/>
          <w:sz w:val="24"/>
          <w:szCs w:val="24"/>
          <w:highlight w:val="none"/>
        </w:rPr>
        <w:t>-40</w:t>
      </w:r>
    </w:p>
    <w:p w14:paraId="72CA6E63">
      <w:pPr>
        <w:spacing w:line="360" w:lineRule="auto"/>
        <w:rPr>
          <w:rFonts w:ascii="宋体" w:hAnsi="宋体"/>
          <w:color w:val="auto"/>
          <w:sz w:val="24"/>
          <w:szCs w:val="24"/>
          <w:highlight w:val="none"/>
        </w:rPr>
      </w:pPr>
      <w:r>
        <w:rPr>
          <w:rFonts w:hint="eastAsia" w:ascii="宋体" w:hAnsi="宋体"/>
          <w:color w:val="auto"/>
          <w:sz w:val="24"/>
          <w:szCs w:val="24"/>
          <w:highlight w:val="none"/>
        </w:rPr>
        <w:t>页眉：</w:t>
      </w:r>
      <w:r>
        <w:rPr>
          <w:rFonts w:ascii="宋体" w:hAnsi="宋体"/>
          <w:color w:val="auto"/>
          <w:sz w:val="24"/>
          <w:szCs w:val="24"/>
          <w:highlight w:val="none"/>
        </w:rPr>
        <w:t>XX</w:t>
      </w:r>
      <w:r>
        <w:rPr>
          <w:rFonts w:hint="eastAsia" w:ascii="宋体" w:hAnsi="宋体"/>
          <w:color w:val="auto"/>
          <w:sz w:val="24"/>
          <w:szCs w:val="24"/>
          <w:highlight w:val="none"/>
        </w:rPr>
        <w:t>设备运行维护手册</w:t>
      </w:r>
    </w:p>
    <w:p w14:paraId="7F838C77">
      <w:pPr>
        <w:spacing w:line="360" w:lineRule="auto"/>
        <w:rPr>
          <w:rFonts w:ascii="宋体" w:hAnsi="宋体"/>
          <w:color w:val="auto"/>
          <w:sz w:val="24"/>
          <w:szCs w:val="24"/>
          <w:highlight w:val="none"/>
        </w:rPr>
      </w:pPr>
      <w:r>
        <w:rPr>
          <w:rFonts w:hint="eastAsia" w:ascii="宋体" w:hAnsi="宋体"/>
          <w:color w:val="auto"/>
          <w:sz w:val="24"/>
          <w:szCs w:val="24"/>
          <w:highlight w:val="none"/>
        </w:rPr>
        <w:t>注：在正式提交前，先由</w:t>
      </w:r>
      <w:r>
        <w:rPr>
          <w:rFonts w:hint="eastAsia" w:ascii="宋体" w:hAnsi="宋体" w:cs="宋体"/>
          <w:color w:val="auto"/>
          <w:sz w:val="24"/>
          <w:szCs w:val="24"/>
          <w:highlight w:val="none"/>
        </w:rPr>
        <w:t>招标人</w:t>
      </w:r>
      <w:r>
        <w:rPr>
          <w:rFonts w:hint="eastAsia" w:ascii="宋体" w:hAnsi="宋体"/>
          <w:color w:val="auto"/>
          <w:sz w:val="24"/>
          <w:szCs w:val="24"/>
          <w:highlight w:val="none"/>
        </w:rPr>
        <w:t>审定。</w:t>
      </w:r>
    </w:p>
    <w:p w14:paraId="4B76B7D3">
      <w:pPr>
        <w:spacing w:line="360" w:lineRule="auto"/>
        <w:ind w:firstLine="570"/>
        <w:rPr>
          <w:rFonts w:ascii="宋体" w:hAnsi="宋体"/>
          <w:color w:val="auto"/>
          <w:sz w:val="24"/>
          <w:szCs w:val="24"/>
          <w:highlight w:val="none"/>
        </w:rPr>
      </w:pPr>
      <w:r>
        <w:rPr>
          <w:rFonts w:hint="eastAsia" w:ascii="宋体" w:hAnsi="宋体"/>
          <w:color w:val="auto"/>
          <w:sz w:val="24"/>
          <w:szCs w:val="24"/>
          <w:highlight w:val="none"/>
        </w:rPr>
        <w:t>设备运行和维护手册的目的是能够把全部必要的数据和说明装订成册，这样，运行人员可以较好地查阅和理解最初调试及试运行工作、有效操作以及在正常、事故和异常(非设计情况)下怎样正确操作设备和停机。在提交之前，双方应商定操作和维护手册的形式和内容。</w:t>
      </w:r>
    </w:p>
    <w:p w14:paraId="41E4C6D5">
      <w:pPr>
        <w:spacing w:line="360" w:lineRule="auto"/>
        <w:ind w:firstLine="570"/>
        <w:rPr>
          <w:rFonts w:ascii="宋体" w:hAnsi="宋体"/>
          <w:color w:val="auto"/>
          <w:sz w:val="24"/>
          <w:szCs w:val="24"/>
          <w:highlight w:val="none"/>
        </w:rPr>
      </w:pPr>
      <w:r>
        <w:rPr>
          <w:rFonts w:hint="eastAsia" w:ascii="宋体" w:hAnsi="宋体"/>
          <w:color w:val="auto"/>
          <w:sz w:val="24"/>
          <w:szCs w:val="24"/>
          <w:highlight w:val="none"/>
        </w:rPr>
        <w:t>该手册应详细地叙述和说明设备构造，使新来的操作和维护人员能够研究和理解设备的功能的控制方法。</w:t>
      </w:r>
    </w:p>
    <w:p w14:paraId="13CE6500">
      <w:pPr>
        <w:spacing w:line="360" w:lineRule="auto"/>
        <w:ind w:firstLine="570"/>
        <w:rPr>
          <w:rFonts w:ascii="宋体" w:hAnsi="宋体"/>
          <w:color w:val="auto"/>
          <w:sz w:val="24"/>
          <w:szCs w:val="24"/>
          <w:highlight w:val="none"/>
        </w:rPr>
      </w:pPr>
      <w:r>
        <w:rPr>
          <w:rFonts w:hint="eastAsia" w:ascii="宋体" w:hAnsi="宋体"/>
          <w:color w:val="auto"/>
          <w:sz w:val="24"/>
          <w:szCs w:val="24"/>
          <w:highlight w:val="none"/>
        </w:rPr>
        <w:t>手册中应能够快速查阅运行参数、设备说明书、操作、维护和安全程度。</w:t>
      </w:r>
    </w:p>
    <w:p w14:paraId="7DD6DB2B">
      <w:pPr>
        <w:spacing w:line="360" w:lineRule="auto"/>
        <w:ind w:firstLine="570"/>
        <w:rPr>
          <w:rFonts w:ascii="宋体" w:hAnsi="宋体"/>
          <w:color w:val="auto"/>
          <w:sz w:val="24"/>
          <w:szCs w:val="24"/>
          <w:highlight w:val="none"/>
        </w:rPr>
      </w:pPr>
      <w:r>
        <w:rPr>
          <w:rFonts w:hint="eastAsia" w:ascii="宋体" w:hAnsi="宋体"/>
          <w:color w:val="auto"/>
          <w:sz w:val="24"/>
          <w:szCs w:val="24"/>
          <w:highlight w:val="none"/>
        </w:rPr>
        <w:t>运行和维护手册应包括，但不限于下述内容：</w:t>
      </w:r>
    </w:p>
    <w:p w14:paraId="4A6BF15A">
      <w:pPr>
        <w:numPr>
          <w:ilvl w:val="0"/>
          <w:numId w:val="12"/>
        </w:numPr>
        <w:spacing w:line="360" w:lineRule="auto"/>
        <w:rPr>
          <w:rFonts w:ascii="宋体" w:hAnsi="宋体"/>
          <w:color w:val="auto"/>
          <w:sz w:val="24"/>
          <w:szCs w:val="24"/>
          <w:highlight w:val="none"/>
        </w:rPr>
      </w:pPr>
      <w:r>
        <w:rPr>
          <w:rFonts w:hint="eastAsia" w:ascii="宋体" w:hAnsi="宋体"/>
          <w:color w:val="auto"/>
          <w:sz w:val="24"/>
          <w:szCs w:val="24"/>
          <w:highlight w:val="none"/>
        </w:rPr>
        <w:t>设备概述，包括设备、系统说明、设备结构、功能说明、技术规范等。</w:t>
      </w:r>
    </w:p>
    <w:p w14:paraId="2FA6EE28">
      <w:pPr>
        <w:numPr>
          <w:ilvl w:val="0"/>
          <w:numId w:val="12"/>
        </w:numPr>
        <w:spacing w:line="360" w:lineRule="auto"/>
        <w:rPr>
          <w:rFonts w:ascii="宋体" w:hAnsi="宋体"/>
          <w:color w:val="auto"/>
          <w:sz w:val="24"/>
          <w:szCs w:val="24"/>
          <w:highlight w:val="none"/>
        </w:rPr>
      </w:pPr>
      <w:r>
        <w:rPr>
          <w:rFonts w:hint="eastAsia" w:ascii="宋体" w:hAnsi="宋体"/>
          <w:color w:val="auto"/>
          <w:sz w:val="24"/>
          <w:szCs w:val="24"/>
          <w:highlight w:val="none"/>
        </w:rPr>
        <w:t>设备启动、运行和停运的操作程序及注意事项。</w:t>
      </w:r>
    </w:p>
    <w:p w14:paraId="7380BA9E">
      <w:pPr>
        <w:numPr>
          <w:ilvl w:val="0"/>
          <w:numId w:val="12"/>
        </w:numPr>
        <w:spacing w:line="360" w:lineRule="auto"/>
        <w:rPr>
          <w:rFonts w:ascii="宋体" w:hAnsi="宋体"/>
          <w:color w:val="auto"/>
          <w:sz w:val="24"/>
          <w:szCs w:val="24"/>
          <w:highlight w:val="none"/>
        </w:rPr>
      </w:pPr>
      <w:r>
        <w:rPr>
          <w:rFonts w:hint="eastAsia" w:ascii="宋体" w:hAnsi="宋体"/>
          <w:color w:val="auto"/>
          <w:sz w:val="24"/>
          <w:szCs w:val="24"/>
          <w:highlight w:val="none"/>
        </w:rPr>
        <w:t>设备联锁和保护功能说明。</w:t>
      </w:r>
    </w:p>
    <w:p w14:paraId="3C28FA8B">
      <w:pPr>
        <w:numPr>
          <w:ilvl w:val="0"/>
          <w:numId w:val="12"/>
        </w:numPr>
        <w:spacing w:line="360" w:lineRule="auto"/>
        <w:rPr>
          <w:rFonts w:ascii="宋体" w:hAnsi="宋体"/>
          <w:color w:val="auto"/>
          <w:sz w:val="24"/>
          <w:szCs w:val="24"/>
          <w:highlight w:val="none"/>
        </w:rPr>
      </w:pPr>
      <w:r>
        <w:rPr>
          <w:rFonts w:hint="eastAsia" w:ascii="宋体" w:hAnsi="宋体"/>
          <w:color w:val="auto"/>
          <w:sz w:val="24"/>
          <w:szCs w:val="24"/>
          <w:highlight w:val="none"/>
        </w:rPr>
        <w:t>设备安装、拆卸、维护的程序及注意事项。</w:t>
      </w:r>
    </w:p>
    <w:p w14:paraId="562BB35A">
      <w:pPr>
        <w:numPr>
          <w:ilvl w:val="0"/>
          <w:numId w:val="12"/>
        </w:numPr>
        <w:spacing w:line="360" w:lineRule="auto"/>
        <w:rPr>
          <w:rFonts w:ascii="宋体" w:hAnsi="宋体"/>
          <w:color w:val="auto"/>
          <w:sz w:val="24"/>
          <w:szCs w:val="24"/>
          <w:highlight w:val="none"/>
        </w:rPr>
      </w:pPr>
      <w:r>
        <w:rPr>
          <w:rFonts w:hint="eastAsia" w:ascii="宋体" w:hAnsi="宋体"/>
          <w:color w:val="auto"/>
          <w:sz w:val="24"/>
          <w:szCs w:val="24"/>
          <w:highlight w:val="none"/>
        </w:rPr>
        <w:t>设备零、部件清单，包括名称、图号、规格、材质、制造厂家全称等。</w:t>
      </w:r>
    </w:p>
    <w:p w14:paraId="49768195">
      <w:pPr>
        <w:numPr>
          <w:ilvl w:val="0"/>
          <w:numId w:val="12"/>
        </w:numPr>
        <w:spacing w:line="360" w:lineRule="auto"/>
        <w:rPr>
          <w:rFonts w:ascii="宋体" w:hAnsi="宋体"/>
          <w:color w:val="auto"/>
          <w:sz w:val="24"/>
          <w:szCs w:val="24"/>
          <w:highlight w:val="none"/>
        </w:rPr>
      </w:pPr>
      <w:r>
        <w:rPr>
          <w:rFonts w:hint="eastAsia" w:ascii="宋体" w:hAnsi="宋体"/>
          <w:color w:val="auto"/>
          <w:sz w:val="24"/>
          <w:szCs w:val="24"/>
          <w:highlight w:val="none"/>
        </w:rPr>
        <w:t>设备易损件、消耗性材料清单，包括名称、规格、制造厂家全称等。</w:t>
      </w:r>
    </w:p>
    <w:p w14:paraId="52B47675">
      <w:pPr>
        <w:spacing w:line="360" w:lineRule="auto"/>
        <w:ind w:firstLine="570"/>
        <w:rPr>
          <w:rFonts w:ascii="宋体" w:hAnsi="宋体"/>
          <w:color w:val="auto"/>
          <w:sz w:val="24"/>
          <w:szCs w:val="24"/>
          <w:highlight w:val="none"/>
        </w:rPr>
      </w:pPr>
      <w:r>
        <w:rPr>
          <w:rFonts w:hint="eastAsia" w:ascii="宋体" w:hAnsi="宋体"/>
          <w:color w:val="auto"/>
          <w:sz w:val="24"/>
          <w:szCs w:val="24"/>
          <w:highlight w:val="none"/>
        </w:rPr>
        <w:t>为便于使用和查阅，手册应分成卷，每一卷包括封面的最大厚度为</w:t>
      </w:r>
      <w:r>
        <w:rPr>
          <w:rFonts w:ascii="宋体" w:hAnsi="宋体"/>
          <w:color w:val="auto"/>
          <w:sz w:val="24"/>
          <w:szCs w:val="24"/>
          <w:highlight w:val="none"/>
        </w:rPr>
        <w:t>50mm</w:t>
      </w:r>
      <w:r>
        <w:rPr>
          <w:rFonts w:hint="eastAsia" w:ascii="宋体" w:hAnsi="宋体"/>
          <w:color w:val="auto"/>
          <w:sz w:val="24"/>
          <w:szCs w:val="24"/>
          <w:highlight w:val="none"/>
        </w:rPr>
        <w:t>。</w:t>
      </w:r>
    </w:p>
    <w:p w14:paraId="6434139D">
      <w:pPr>
        <w:rPr>
          <w:rFonts w:hint="eastAsia" w:ascii="宋体" w:hAnsi="宋体" w:eastAsia="宋体" w:cs="宋体"/>
          <w:b/>
          <w:bCs/>
          <w:color w:val="auto"/>
          <w:sz w:val="30"/>
          <w:szCs w:val="30"/>
          <w:highlight w:val="none"/>
        </w:rPr>
      </w:pPr>
      <w:r>
        <w:rPr>
          <w:rFonts w:hint="eastAsia"/>
          <w:color w:val="auto"/>
          <w:sz w:val="24"/>
          <w:szCs w:val="24"/>
          <w:highlight w:val="none"/>
        </w:rPr>
        <w:t>每一卷的版式应尽可能地一致，每一部分的系统、设备等描述顺序也应一致。</w:t>
      </w:r>
      <w:r>
        <w:rPr>
          <w:rFonts w:hint="eastAsia" w:ascii="宋体" w:hAnsi="宋体" w:eastAsia="宋体" w:cs="宋体"/>
          <w:b/>
          <w:bCs/>
          <w:color w:val="auto"/>
          <w:sz w:val="30"/>
          <w:szCs w:val="30"/>
          <w:highlight w:val="none"/>
        </w:rPr>
        <w:br w:type="page"/>
      </w:r>
    </w:p>
    <w:p w14:paraId="0A95B0ED">
      <w:pPr>
        <w:pStyle w:val="3"/>
        <w:keepNext w:val="0"/>
        <w:keepLines w:val="0"/>
        <w:rPr>
          <w:rFonts w:hint="eastAsia" w:ascii="宋体" w:hAnsi="宋体" w:eastAsia="宋体" w:cs="宋体"/>
          <w:color w:val="auto"/>
          <w:sz w:val="30"/>
          <w:szCs w:val="30"/>
          <w:highlight w:val="none"/>
        </w:rPr>
      </w:pPr>
      <w:bookmarkStart w:id="88" w:name="_Toc334015528"/>
      <w:bookmarkStart w:id="89" w:name="_Toc304277660"/>
      <w:bookmarkStart w:id="90" w:name="_Toc316370453"/>
      <w:bookmarkStart w:id="91" w:name="_Toc304277673"/>
      <w:r>
        <w:rPr>
          <w:rFonts w:hint="eastAsia" w:ascii="宋体" w:hAnsi="宋体" w:eastAsia="宋体" w:cs="宋体"/>
          <w:color w:val="auto"/>
          <w:sz w:val="30"/>
          <w:szCs w:val="30"/>
          <w:highlight w:val="none"/>
        </w:rPr>
        <w:t>附件9 大（部）件情况</w:t>
      </w:r>
      <w:bookmarkEnd w:id="88"/>
      <w:bookmarkEnd w:id="89"/>
      <w:bookmarkEnd w:id="90"/>
      <w:bookmarkEnd w:id="91"/>
    </w:p>
    <w:p w14:paraId="1896DD94">
      <w:pPr>
        <w:spacing w:line="360" w:lineRule="auto"/>
        <w:rPr>
          <w:rFonts w:ascii="宋体"/>
          <w:color w:val="auto"/>
          <w:sz w:val="24"/>
          <w:szCs w:val="24"/>
          <w:highlight w:val="none"/>
        </w:rPr>
      </w:pPr>
      <w:r>
        <w:rPr>
          <w:rFonts w:hint="eastAsia" w:ascii="宋体"/>
          <w:color w:val="auto"/>
          <w:sz w:val="24"/>
          <w:szCs w:val="24"/>
          <w:highlight w:val="none"/>
        </w:rPr>
        <w:t>投标人应把超级超限的情况详细予以说明</w:t>
      </w:r>
    </w:p>
    <w:tbl>
      <w:tblPr>
        <w:tblStyle w:val="42"/>
        <w:tblW w:w="5000"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28" w:type="dxa"/>
        </w:tblCellMar>
      </w:tblPr>
      <w:tblGrid>
        <w:gridCol w:w="483"/>
        <w:gridCol w:w="732"/>
        <w:gridCol w:w="586"/>
        <w:gridCol w:w="1052"/>
        <w:gridCol w:w="1000"/>
        <w:gridCol w:w="697"/>
        <w:gridCol w:w="1061"/>
        <w:gridCol w:w="732"/>
        <w:gridCol w:w="1026"/>
        <w:gridCol w:w="733"/>
        <w:gridCol w:w="594"/>
      </w:tblGrid>
      <w:tr w14:paraId="5F3C6C8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jc w:val="center"/>
        </w:trPr>
        <w:tc>
          <w:tcPr>
            <w:tcW w:w="278" w:type="pct"/>
            <w:vMerge w:val="restart"/>
            <w:tcBorders>
              <w:top w:val="single" w:color="auto" w:sz="6" w:space="0"/>
              <w:left w:val="single" w:color="auto" w:sz="6" w:space="0"/>
              <w:bottom w:val="nil"/>
              <w:right w:val="single" w:color="auto" w:sz="6" w:space="0"/>
            </w:tcBorders>
            <w:vAlign w:val="center"/>
          </w:tcPr>
          <w:p w14:paraId="0EAB57F2">
            <w:pPr>
              <w:jc w:val="center"/>
              <w:rPr>
                <w:rFonts w:ascii="宋体" w:hAnsi="宋体"/>
                <w:color w:val="auto"/>
                <w:sz w:val="24"/>
                <w:szCs w:val="24"/>
                <w:highlight w:val="none"/>
              </w:rPr>
            </w:pPr>
            <w:r>
              <w:rPr>
                <w:rFonts w:hint="eastAsia" w:ascii="宋体" w:hAnsi="宋体"/>
                <w:color w:val="auto"/>
                <w:sz w:val="24"/>
                <w:szCs w:val="24"/>
                <w:highlight w:val="none"/>
              </w:rPr>
              <w:t>序号</w:t>
            </w:r>
          </w:p>
        </w:tc>
        <w:tc>
          <w:tcPr>
            <w:tcW w:w="421" w:type="pct"/>
            <w:vMerge w:val="restart"/>
            <w:tcBorders>
              <w:top w:val="single" w:color="auto" w:sz="6" w:space="0"/>
              <w:left w:val="nil"/>
              <w:bottom w:val="nil"/>
              <w:right w:val="single" w:color="auto" w:sz="6" w:space="0"/>
            </w:tcBorders>
            <w:vAlign w:val="center"/>
          </w:tcPr>
          <w:p w14:paraId="6D59109E">
            <w:pPr>
              <w:jc w:val="center"/>
              <w:rPr>
                <w:rFonts w:ascii="宋体" w:hAnsi="宋体"/>
                <w:color w:val="auto"/>
                <w:sz w:val="24"/>
                <w:szCs w:val="24"/>
                <w:highlight w:val="none"/>
              </w:rPr>
            </w:pPr>
            <w:r>
              <w:rPr>
                <w:rFonts w:hint="eastAsia" w:ascii="宋体" w:hAnsi="宋体"/>
                <w:color w:val="auto"/>
                <w:sz w:val="24"/>
                <w:szCs w:val="24"/>
                <w:highlight w:val="none"/>
              </w:rPr>
              <w:t>部件</w:t>
            </w:r>
          </w:p>
          <w:p w14:paraId="74D8C168">
            <w:pPr>
              <w:jc w:val="center"/>
              <w:rPr>
                <w:rFonts w:ascii="宋体" w:hAnsi="宋体"/>
                <w:color w:val="auto"/>
                <w:sz w:val="24"/>
                <w:szCs w:val="24"/>
                <w:highlight w:val="none"/>
              </w:rPr>
            </w:pPr>
            <w:r>
              <w:rPr>
                <w:rFonts w:hint="eastAsia" w:ascii="宋体" w:hAnsi="宋体"/>
                <w:color w:val="auto"/>
                <w:sz w:val="24"/>
                <w:szCs w:val="24"/>
                <w:highlight w:val="none"/>
              </w:rPr>
              <w:t>名称</w:t>
            </w:r>
          </w:p>
        </w:tc>
        <w:tc>
          <w:tcPr>
            <w:tcW w:w="337" w:type="pct"/>
            <w:vMerge w:val="restart"/>
            <w:tcBorders>
              <w:top w:val="single" w:color="auto" w:sz="6" w:space="0"/>
              <w:left w:val="nil"/>
              <w:bottom w:val="nil"/>
              <w:right w:val="single" w:color="auto" w:sz="6" w:space="0"/>
            </w:tcBorders>
            <w:vAlign w:val="center"/>
          </w:tcPr>
          <w:p w14:paraId="51501D74">
            <w:pPr>
              <w:jc w:val="center"/>
              <w:rPr>
                <w:rFonts w:ascii="宋体" w:hAnsi="宋体"/>
                <w:color w:val="auto"/>
                <w:sz w:val="24"/>
                <w:szCs w:val="24"/>
                <w:highlight w:val="none"/>
              </w:rPr>
            </w:pPr>
            <w:r>
              <w:rPr>
                <w:rFonts w:hint="eastAsia" w:ascii="宋体" w:hAnsi="宋体"/>
                <w:color w:val="auto"/>
                <w:sz w:val="24"/>
                <w:szCs w:val="24"/>
                <w:highlight w:val="none"/>
              </w:rPr>
              <w:t>数量</w:t>
            </w:r>
          </w:p>
        </w:tc>
        <w:tc>
          <w:tcPr>
            <w:tcW w:w="1180" w:type="pct"/>
            <w:gridSpan w:val="2"/>
            <w:tcBorders>
              <w:top w:val="single" w:color="auto" w:sz="6" w:space="0"/>
              <w:left w:val="nil"/>
              <w:bottom w:val="single" w:color="auto" w:sz="6" w:space="0"/>
              <w:right w:val="nil"/>
            </w:tcBorders>
            <w:vAlign w:val="center"/>
          </w:tcPr>
          <w:p w14:paraId="335FCEEC">
            <w:pPr>
              <w:jc w:val="center"/>
              <w:rPr>
                <w:rFonts w:ascii="宋体" w:hAnsi="宋体"/>
                <w:color w:val="auto"/>
                <w:sz w:val="24"/>
                <w:szCs w:val="24"/>
                <w:highlight w:val="none"/>
              </w:rPr>
            </w:pPr>
            <w:r>
              <w:rPr>
                <w:rFonts w:hint="eastAsia" w:ascii="宋体" w:hAnsi="宋体"/>
                <w:color w:val="auto"/>
                <w:sz w:val="24"/>
                <w:szCs w:val="24"/>
                <w:highlight w:val="none"/>
              </w:rPr>
              <w:t>长×宽×高</w:t>
            </w:r>
          </w:p>
        </w:tc>
        <w:tc>
          <w:tcPr>
            <w:tcW w:w="1011" w:type="pct"/>
            <w:gridSpan w:val="2"/>
            <w:tcBorders>
              <w:top w:val="single" w:color="auto" w:sz="6" w:space="0"/>
              <w:left w:val="single" w:color="auto" w:sz="6" w:space="0"/>
              <w:bottom w:val="single" w:color="auto" w:sz="6" w:space="0"/>
              <w:right w:val="nil"/>
            </w:tcBorders>
            <w:vAlign w:val="center"/>
          </w:tcPr>
          <w:p w14:paraId="07D4CDAF">
            <w:pPr>
              <w:jc w:val="center"/>
              <w:rPr>
                <w:rFonts w:ascii="宋体" w:hAnsi="宋体"/>
                <w:color w:val="auto"/>
                <w:sz w:val="24"/>
                <w:szCs w:val="24"/>
                <w:highlight w:val="none"/>
              </w:rPr>
            </w:pPr>
            <w:r>
              <w:rPr>
                <w:rFonts w:hint="eastAsia" w:ascii="宋体" w:hAnsi="宋体"/>
                <w:color w:val="auto"/>
                <w:sz w:val="24"/>
                <w:szCs w:val="24"/>
                <w:highlight w:val="none"/>
              </w:rPr>
              <w:t>重量</w:t>
            </w:r>
          </w:p>
        </w:tc>
        <w:tc>
          <w:tcPr>
            <w:tcW w:w="421" w:type="pct"/>
            <w:vMerge w:val="restart"/>
            <w:tcBorders>
              <w:top w:val="single" w:color="auto" w:sz="6" w:space="0"/>
              <w:left w:val="single" w:color="auto" w:sz="6" w:space="0"/>
              <w:bottom w:val="nil"/>
              <w:right w:val="nil"/>
            </w:tcBorders>
            <w:vAlign w:val="center"/>
          </w:tcPr>
          <w:p w14:paraId="24D0C066">
            <w:pPr>
              <w:jc w:val="center"/>
              <w:rPr>
                <w:rFonts w:ascii="宋体" w:hAnsi="宋体"/>
                <w:color w:val="auto"/>
                <w:sz w:val="24"/>
                <w:szCs w:val="24"/>
                <w:highlight w:val="none"/>
              </w:rPr>
            </w:pPr>
            <w:r>
              <w:rPr>
                <w:rFonts w:hint="eastAsia" w:ascii="宋体" w:hAnsi="宋体"/>
                <w:color w:val="auto"/>
                <w:sz w:val="24"/>
                <w:szCs w:val="24"/>
                <w:highlight w:val="none"/>
              </w:rPr>
              <w:t>厂家</w:t>
            </w:r>
          </w:p>
          <w:p w14:paraId="5B9FA4CA">
            <w:pPr>
              <w:jc w:val="center"/>
              <w:rPr>
                <w:rFonts w:ascii="宋体" w:hAnsi="宋体"/>
                <w:color w:val="auto"/>
                <w:sz w:val="24"/>
                <w:szCs w:val="24"/>
                <w:highlight w:val="none"/>
              </w:rPr>
            </w:pPr>
            <w:r>
              <w:rPr>
                <w:rFonts w:hint="eastAsia" w:ascii="宋体" w:hAnsi="宋体"/>
                <w:color w:val="auto"/>
                <w:sz w:val="24"/>
                <w:szCs w:val="24"/>
                <w:highlight w:val="none"/>
              </w:rPr>
              <w:t>名称</w:t>
            </w:r>
          </w:p>
        </w:tc>
        <w:tc>
          <w:tcPr>
            <w:tcW w:w="590" w:type="pct"/>
            <w:vMerge w:val="restart"/>
            <w:tcBorders>
              <w:top w:val="single" w:color="auto" w:sz="6" w:space="0"/>
              <w:left w:val="single" w:color="auto" w:sz="6" w:space="0"/>
              <w:bottom w:val="nil"/>
              <w:right w:val="nil"/>
            </w:tcBorders>
            <w:vAlign w:val="center"/>
          </w:tcPr>
          <w:p w14:paraId="730B7B9D">
            <w:pPr>
              <w:jc w:val="center"/>
              <w:rPr>
                <w:rFonts w:ascii="宋体" w:hAnsi="宋体"/>
                <w:color w:val="auto"/>
                <w:sz w:val="24"/>
                <w:szCs w:val="24"/>
                <w:highlight w:val="none"/>
              </w:rPr>
            </w:pPr>
            <w:r>
              <w:rPr>
                <w:rFonts w:hint="eastAsia" w:ascii="宋体" w:hAnsi="宋体"/>
                <w:color w:val="auto"/>
                <w:sz w:val="24"/>
                <w:szCs w:val="24"/>
                <w:highlight w:val="none"/>
              </w:rPr>
              <w:t>货物发运地点</w:t>
            </w:r>
          </w:p>
        </w:tc>
        <w:tc>
          <w:tcPr>
            <w:tcW w:w="421" w:type="pct"/>
            <w:vMerge w:val="restart"/>
            <w:tcBorders>
              <w:top w:val="single" w:color="auto" w:sz="6" w:space="0"/>
              <w:left w:val="single" w:color="auto" w:sz="6" w:space="0"/>
              <w:bottom w:val="nil"/>
              <w:right w:val="single" w:color="auto" w:sz="6" w:space="0"/>
            </w:tcBorders>
            <w:vAlign w:val="center"/>
          </w:tcPr>
          <w:p w14:paraId="14B546E5">
            <w:pPr>
              <w:jc w:val="center"/>
              <w:rPr>
                <w:rFonts w:ascii="宋体" w:hAnsi="宋体"/>
                <w:color w:val="auto"/>
                <w:sz w:val="24"/>
                <w:szCs w:val="24"/>
                <w:highlight w:val="none"/>
              </w:rPr>
            </w:pPr>
            <w:r>
              <w:rPr>
                <w:rFonts w:hint="eastAsia" w:ascii="宋体" w:hAnsi="宋体"/>
                <w:color w:val="auto"/>
                <w:sz w:val="24"/>
                <w:szCs w:val="24"/>
                <w:highlight w:val="none"/>
              </w:rPr>
              <w:t>运输方式</w:t>
            </w:r>
          </w:p>
        </w:tc>
        <w:tc>
          <w:tcPr>
            <w:tcW w:w="341" w:type="pct"/>
            <w:vMerge w:val="restart"/>
            <w:tcBorders>
              <w:top w:val="single" w:color="auto" w:sz="6" w:space="0"/>
              <w:left w:val="single" w:color="auto" w:sz="6" w:space="0"/>
              <w:bottom w:val="nil"/>
              <w:right w:val="single" w:color="auto" w:sz="6" w:space="0"/>
            </w:tcBorders>
            <w:vAlign w:val="center"/>
          </w:tcPr>
          <w:p w14:paraId="64ABEF67">
            <w:pPr>
              <w:jc w:val="center"/>
              <w:rPr>
                <w:rFonts w:ascii="宋体" w:hAnsi="宋体"/>
                <w:color w:val="auto"/>
                <w:sz w:val="24"/>
                <w:szCs w:val="24"/>
                <w:highlight w:val="none"/>
              </w:rPr>
            </w:pPr>
            <w:r>
              <w:rPr>
                <w:rFonts w:hint="eastAsia" w:ascii="宋体" w:hAnsi="宋体"/>
                <w:color w:val="auto"/>
                <w:sz w:val="24"/>
                <w:szCs w:val="24"/>
                <w:highlight w:val="none"/>
              </w:rPr>
              <w:t>备注</w:t>
            </w:r>
          </w:p>
        </w:tc>
      </w:tr>
      <w:tr w14:paraId="54B6422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jc w:val="center"/>
        </w:trPr>
        <w:tc>
          <w:tcPr>
            <w:tcW w:w="278" w:type="pct"/>
            <w:vMerge w:val="continue"/>
            <w:tcBorders>
              <w:top w:val="nil"/>
              <w:left w:val="single" w:color="auto" w:sz="6" w:space="0"/>
              <w:bottom w:val="single" w:color="auto" w:sz="6" w:space="0"/>
              <w:right w:val="single" w:color="auto" w:sz="6" w:space="0"/>
            </w:tcBorders>
            <w:vAlign w:val="center"/>
          </w:tcPr>
          <w:p w14:paraId="6D2702CF">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421" w:type="pct"/>
            <w:vMerge w:val="continue"/>
            <w:tcBorders>
              <w:top w:val="nil"/>
              <w:left w:val="nil"/>
              <w:bottom w:val="single" w:color="auto" w:sz="6" w:space="0"/>
              <w:right w:val="single" w:color="auto" w:sz="6" w:space="0"/>
            </w:tcBorders>
            <w:vAlign w:val="center"/>
          </w:tcPr>
          <w:p w14:paraId="35255075">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337" w:type="pct"/>
            <w:vMerge w:val="continue"/>
            <w:tcBorders>
              <w:top w:val="nil"/>
              <w:left w:val="nil"/>
              <w:bottom w:val="single" w:color="auto" w:sz="6" w:space="0"/>
              <w:right w:val="single" w:color="auto" w:sz="6" w:space="0"/>
            </w:tcBorders>
            <w:vAlign w:val="center"/>
          </w:tcPr>
          <w:p w14:paraId="59AFF4F3">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605" w:type="pct"/>
            <w:tcBorders>
              <w:top w:val="nil"/>
              <w:left w:val="nil"/>
            </w:tcBorders>
            <w:vAlign w:val="center"/>
          </w:tcPr>
          <w:p w14:paraId="1B2D3CE7">
            <w:pPr>
              <w:jc w:val="center"/>
              <w:rPr>
                <w:rFonts w:ascii="宋体" w:hAnsi="宋体"/>
                <w:color w:val="auto"/>
                <w:sz w:val="24"/>
                <w:szCs w:val="24"/>
                <w:highlight w:val="none"/>
              </w:rPr>
            </w:pPr>
            <w:r>
              <w:rPr>
                <w:rFonts w:hint="eastAsia" w:ascii="宋体" w:hAnsi="宋体"/>
                <w:color w:val="auto"/>
                <w:sz w:val="24"/>
                <w:szCs w:val="24"/>
                <w:highlight w:val="none"/>
              </w:rPr>
              <w:t>包装</w:t>
            </w:r>
          </w:p>
        </w:tc>
        <w:tc>
          <w:tcPr>
            <w:tcW w:w="574" w:type="pct"/>
            <w:tcBorders>
              <w:top w:val="nil"/>
            </w:tcBorders>
            <w:vAlign w:val="center"/>
          </w:tcPr>
          <w:p w14:paraId="2728D5F4">
            <w:pPr>
              <w:jc w:val="center"/>
              <w:rPr>
                <w:rFonts w:ascii="宋体" w:hAnsi="宋体"/>
                <w:color w:val="auto"/>
                <w:sz w:val="24"/>
                <w:szCs w:val="24"/>
                <w:highlight w:val="none"/>
              </w:rPr>
            </w:pPr>
            <w:r>
              <w:rPr>
                <w:rFonts w:hint="eastAsia" w:ascii="宋体" w:hAnsi="宋体"/>
                <w:color w:val="auto"/>
                <w:sz w:val="24"/>
                <w:szCs w:val="24"/>
                <w:highlight w:val="none"/>
              </w:rPr>
              <w:t>未包装</w:t>
            </w:r>
          </w:p>
        </w:tc>
        <w:tc>
          <w:tcPr>
            <w:tcW w:w="401" w:type="pct"/>
            <w:tcBorders>
              <w:top w:val="nil"/>
            </w:tcBorders>
            <w:vAlign w:val="center"/>
          </w:tcPr>
          <w:p w14:paraId="081119D2">
            <w:pPr>
              <w:jc w:val="center"/>
              <w:rPr>
                <w:rFonts w:ascii="宋体" w:hAnsi="宋体"/>
                <w:color w:val="auto"/>
                <w:sz w:val="24"/>
                <w:szCs w:val="24"/>
                <w:highlight w:val="none"/>
              </w:rPr>
            </w:pPr>
            <w:r>
              <w:rPr>
                <w:rFonts w:hint="eastAsia" w:ascii="宋体" w:hAnsi="宋体"/>
                <w:color w:val="auto"/>
                <w:sz w:val="24"/>
                <w:szCs w:val="24"/>
                <w:highlight w:val="none"/>
              </w:rPr>
              <w:t>包装</w:t>
            </w:r>
          </w:p>
        </w:tc>
        <w:tc>
          <w:tcPr>
            <w:tcW w:w="610" w:type="pct"/>
            <w:tcBorders>
              <w:top w:val="nil"/>
              <w:right w:val="nil"/>
            </w:tcBorders>
            <w:vAlign w:val="center"/>
          </w:tcPr>
          <w:p w14:paraId="6C0EC770">
            <w:pPr>
              <w:jc w:val="center"/>
              <w:rPr>
                <w:rFonts w:ascii="宋体" w:hAnsi="宋体"/>
                <w:color w:val="auto"/>
                <w:sz w:val="24"/>
                <w:szCs w:val="24"/>
                <w:highlight w:val="none"/>
              </w:rPr>
            </w:pPr>
            <w:r>
              <w:rPr>
                <w:rFonts w:hint="eastAsia" w:ascii="宋体" w:hAnsi="宋体"/>
                <w:color w:val="auto"/>
                <w:sz w:val="24"/>
                <w:szCs w:val="24"/>
                <w:highlight w:val="none"/>
              </w:rPr>
              <w:t>未包装</w:t>
            </w:r>
          </w:p>
        </w:tc>
        <w:tc>
          <w:tcPr>
            <w:tcW w:w="421" w:type="pct"/>
            <w:vMerge w:val="continue"/>
            <w:tcBorders>
              <w:top w:val="nil"/>
              <w:left w:val="single" w:color="auto" w:sz="6" w:space="0"/>
              <w:bottom w:val="single" w:color="auto" w:sz="6" w:space="0"/>
              <w:right w:val="nil"/>
            </w:tcBorders>
            <w:vAlign w:val="center"/>
          </w:tcPr>
          <w:p w14:paraId="42CC2C62">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590" w:type="pct"/>
            <w:vMerge w:val="continue"/>
            <w:tcBorders>
              <w:top w:val="nil"/>
              <w:left w:val="single" w:color="auto" w:sz="6" w:space="0"/>
              <w:bottom w:val="single" w:color="auto" w:sz="6" w:space="0"/>
              <w:right w:val="nil"/>
            </w:tcBorders>
            <w:vAlign w:val="center"/>
          </w:tcPr>
          <w:p w14:paraId="6FDE0EE0">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421" w:type="pct"/>
            <w:vMerge w:val="continue"/>
            <w:tcBorders>
              <w:top w:val="nil"/>
              <w:left w:val="single" w:color="auto" w:sz="6" w:space="0"/>
              <w:bottom w:val="single" w:color="auto" w:sz="6" w:space="0"/>
              <w:right w:val="single" w:color="auto" w:sz="6" w:space="0"/>
            </w:tcBorders>
            <w:vAlign w:val="center"/>
          </w:tcPr>
          <w:p w14:paraId="155DC217">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341" w:type="pct"/>
            <w:vMerge w:val="continue"/>
            <w:tcBorders>
              <w:top w:val="nil"/>
              <w:left w:val="single" w:color="auto" w:sz="6" w:space="0"/>
              <w:bottom w:val="single" w:color="auto" w:sz="6" w:space="0"/>
              <w:right w:val="single" w:color="auto" w:sz="6" w:space="0"/>
            </w:tcBorders>
            <w:vAlign w:val="center"/>
          </w:tcPr>
          <w:p w14:paraId="6CB5EA58">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r>
      <w:tr w14:paraId="1240ACE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jc w:val="center"/>
        </w:trPr>
        <w:tc>
          <w:tcPr>
            <w:tcW w:w="278" w:type="pct"/>
            <w:tcBorders>
              <w:top w:val="nil"/>
            </w:tcBorders>
          </w:tcPr>
          <w:p w14:paraId="7C412EFA">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421" w:type="pct"/>
            <w:tcBorders>
              <w:top w:val="nil"/>
            </w:tcBorders>
          </w:tcPr>
          <w:p w14:paraId="74090F23">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337" w:type="pct"/>
            <w:tcBorders>
              <w:top w:val="nil"/>
            </w:tcBorders>
          </w:tcPr>
          <w:p w14:paraId="0D0E0780">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605" w:type="pct"/>
          </w:tcPr>
          <w:p w14:paraId="761A2524">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574" w:type="pct"/>
          </w:tcPr>
          <w:p w14:paraId="5E8E65FF">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401" w:type="pct"/>
          </w:tcPr>
          <w:p w14:paraId="7FE20514">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610" w:type="pct"/>
          </w:tcPr>
          <w:p w14:paraId="17141531">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421" w:type="pct"/>
            <w:tcBorders>
              <w:top w:val="nil"/>
            </w:tcBorders>
          </w:tcPr>
          <w:p w14:paraId="3068C97F">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590" w:type="pct"/>
            <w:tcBorders>
              <w:top w:val="nil"/>
            </w:tcBorders>
          </w:tcPr>
          <w:p w14:paraId="484F63CF">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421" w:type="pct"/>
            <w:tcBorders>
              <w:top w:val="nil"/>
            </w:tcBorders>
          </w:tcPr>
          <w:p w14:paraId="0EAF03B8">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341" w:type="pct"/>
            <w:tcBorders>
              <w:top w:val="nil"/>
            </w:tcBorders>
          </w:tcPr>
          <w:p w14:paraId="6C455685">
            <w:pPr>
              <w:keepNext/>
              <w:keepLines/>
              <w:adjustRightInd w:val="0"/>
              <w:spacing w:before="240" w:after="240" w:line="360" w:lineRule="auto"/>
              <w:ind w:left="280"/>
              <w:jc w:val="center"/>
              <w:textAlignment w:val="baseline"/>
              <w:outlineLvl w:val="0"/>
              <w:rPr>
                <w:rFonts w:ascii="宋体" w:hAnsi="宋体"/>
                <w:color w:val="auto"/>
                <w:sz w:val="24"/>
                <w:szCs w:val="24"/>
                <w:highlight w:val="none"/>
              </w:rPr>
            </w:pPr>
          </w:p>
        </w:tc>
      </w:tr>
      <w:tr w14:paraId="0A47FCF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jc w:val="center"/>
        </w:trPr>
        <w:tc>
          <w:tcPr>
            <w:tcW w:w="278" w:type="pct"/>
          </w:tcPr>
          <w:p w14:paraId="7DB82161">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421" w:type="pct"/>
          </w:tcPr>
          <w:p w14:paraId="0EAB0FA6">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337" w:type="pct"/>
          </w:tcPr>
          <w:p w14:paraId="3EFE4216">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605" w:type="pct"/>
          </w:tcPr>
          <w:p w14:paraId="0E230EAC">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574" w:type="pct"/>
          </w:tcPr>
          <w:p w14:paraId="46BD0F53">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401" w:type="pct"/>
          </w:tcPr>
          <w:p w14:paraId="174A847A">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610" w:type="pct"/>
          </w:tcPr>
          <w:p w14:paraId="0F511E00">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421" w:type="pct"/>
          </w:tcPr>
          <w:p w14:paraId="4459D406">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590" w:type="pct"/>
          </w:tcPr>
          <w:p w14:paraId="2F9DCAF8">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421" w:type="pct"/>
          </w:tcPr>
          <w:p w14:paraId="0BB020FF">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341" w:type="pct"/>
          </w:tcPr>
          <w:p w14:paraId="51E06D1C">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r>
      <w:tr w14:paraId="0E8F398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jc w:val="center"/>
        </w:trPr>
        <w:tc>
          <w:tcPr>
            <w:tcW w:w="278" w:type="pct"/>
          </w:tcPr>
          <w:p w14:paraId="29F8579C">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421" w:type="pct"/>
          </w:tcPr>
          <w:p w14:paraId="39171B80">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337" w:type="pct"/>
          </w:tcPr>
          <w:p w14:paraId="0CDCF698">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605" w:type="pct"/>
          </w:tcPr>
          <w:p w14:paraId="0996051E">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574" w:type="pct"/>
          </w:tcPr>
          <w:p w14:paraId="4E3A109A">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401" w:type="pct"/>
          </w:tcPr>
          <w:p w14:paraId="1C63B811">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610" w:type="pct"/>
          </w:tcPr>
          <w:p w14:paraId="253DEABF">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421" w:type="pct"/>
          </w:tcPr>
          <w:p w14:paraId="3A4EE3D9">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590" w:type="pct"/>
          </w:tcPr>
          <w:p w14:paraId="4DF7AC9D">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421" w:type="pct"/>
          </w:tcPr>
          <w:p w14:paraId="7C303B4A">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341" w:type="pct"/>
          </w:tcPr>
          <w:p w14:paraId="4D7CD97F">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r>
      <w:tr w14:paraId="34E11D8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jc w:val="center"/>
        </w:trPr>
        <w:tc>
          <w:tcPr>
            <w:tcW w:w="278" w:type="pct"/>
          </w:tcPr>
          <w:p w14:paraId="03825A0B">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421" w:type="pct"/>
          </w:tcPr>
          <w:p w14:paraId="1CF2BD07">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337" w:type="pct"/>
          </w:tcPr>
          <w:p w14:paraId="6AC4F72F">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605" w:type="pct"/>
          </w:tcPr>
          <w:p w14:paraId="19E6CFBA">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574" w:type="pct"/>
          </w:tcPr>
          <w:p w14:paraId="5A7C12AB">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401" w:type="pct"/>
          </w:tcPr>
          <w:p w14:paraId="0A285414">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610" w:type="pct"/>
          </w:tcPr>
          <w:p w14:paraId="4FA2C353">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421" w:type="pct"/>
          </w:tcPr>
          <w:p w14:paraId="240FD9F8">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590" w:type="pct"/>
          </w:tcPr>
          <w:p w14:paraId="4C3FFB7A">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421" w:type="pct"/>
          </w:tcPr>
          <w:p w14:paraId="423777AB">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341" w:type="pct"/>
          </w:tcPr>
          <w:p w14:paraId="192A5012">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r>
      <w:tr w14:paraId="063CA4D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jc w:val="center"/>
        </w:trPr>
        <w:tc>
          <w:tcPr>
            <w:tcW w:w="278" w:type="pct"/>
          </w:tcPr>
          <w:p w14:paraId="654F5AB5">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421" w:type="pct"/>
          </w:tcPr>
          <w:p w14:paraId="25C13265">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337" w:type="pct"/>
          </w:tcPr>
          <w:p w14:paraId="52B0ACC7">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605" w:type="pct"/>
          </w:tcPr>
          <w:p w14:paraId="440A8493">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574" w:type="pct"/>
          </w:tcPr>
          <w:p w14:paraId="70CED038">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401" w:type="pct"/>
          </w:tcPr>
          <w:p w14:paraId="57205E44">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610" w:type="pct"/>
          </w:tcPr>
          <w:p w14:paraId="41756EAF">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421" w:type="pct"/>
          </w:tcPr>
          <w:p w14:paraId="63895F50">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590" w:type="pct"/>
          </w:tcPr>
          <w:p w14:paraId="373BDB4A">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421" w:type="pct"/>
          </w:tcPr>
          <w:p w14:paraId="19187474">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341" w:type="pct"/>
          </w:tcPr>
          <w:p w14:paraId="757F8987">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r>
      <w:tr w14:paraId="0E8EFB4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jc w:val="center"/>
        </w:trPr>
        <w:tc>
          <w:tcPr>
            <w:tcW w:w="278" w:type="pct"/>
          </w:tcPr>
          <w:p w14:paraId="2EC4968F">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421" w:type="pct"/>
          </w:tcPr>
          <w:p w14:paraId="491C33F7">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337" w:type="pct"/>
          </w:tcPr>
          <w:p w14:paraId="1B24EE5D">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605" w:type="pct"/>
          </w:tcPr>
          <w:p w14:paraId="17EFDAC9">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574" w:type="pct"/>
          </w:tcPr>
          <w:p w14:paraId="44CF1734">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401" w:type="pct"/>
          </w:tcPr>
          <w:p w14:paraId="491E6F98">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610" w:type="pct"/>
          </w:tcPr>
          <w:p w14:paraId="1048B746">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421" w:type="pct"/>
          </w:tcPr>
          <w:p w14:paraId="4E9EE889">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590" w:type="pct"/>
          </w:tcPr>
          <w:p w14:paraId="58919929">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421" w:type="pct"/>
          </w:tcPr>
          <w:p w14:paraId="68197C75">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341" w:type="pct"/>
          </w:tcPr>
          <w:p w14:paraId="1E16B9D6">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r>
      <w:tr w14:paraId="79084FC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jc w:val="center"/>
        </w:trPr>
        <w:tc>
          <w:tcPr>
            <w:tcW w:w="278" w:type="pct"/>
          </w:tcPr>
          <w:p w14:paraId="2470DA1A">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421" w:type="pct"/>
          </w:tcPr>
          <w:p w14:paraId="39BD38CA">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337" w:type="pct"/>
          </w:tcPr>
          <w:p w14:paraId="1081B4B9">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605" w:type="pct"/>
          </w:tcPr>
          <w:p w14:paraId="545AB4B7">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574" w:type="pct"/>
          </w:tcPr>
          <w:p w14:paraId="03554B38">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401" w:type="pct"/>
          </w:tcPr>
          <w:p w14:paraId="6D45545B">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610" w:type="pct"/>
          </w:tcPr>
          <w:p w14:paraId="264F8DDE">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421" w:type="pct"/>
          </w:tcPr>
          <w:p w14:paraId="50D81CD6">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590" w:type="pct"/>
          </w:tcPr>
          <w:p w14:paraId="5E4A336F">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421" w:type="pct"/>
          </w:tcPr>
          <w:p w14:paraId="02126620">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341" w:type="pct"/>
          </w:tcPr>
          <w:p w14:paraId="2A24AB33">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r>
      <w:tr w14:paraId="04721F5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jc w:val="center"/>
        </w:trPr>
        <w:tc>
          <w:tcPr>
            <w:tcW w:w="278" w:type="pct"/>
          </w:tcPr>
          <w:p w14:paraId="23F73018">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421" w:type="pct"/>
          </w:tcPr>
          <w:p w14:paraId="0293ACFF">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337" w:type="pct"/>
          </w:tcPr>
          <w:p w14:paraId="36A46448">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605" w:type="pct"/>
          </w:tcPr>
          <w:p w14:paraId="374E5394">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574" w:type="pct"/>
          </w:tcPr>
          <w:p w14:paraId="0604C9F4">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401" w:type="pct"/>
          </w:tcPr>
          <w:p w14:paraId="6B65FDCE">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610" w:type="pct"/>
          </w:tcPr>
          <w:p w14:paraId="606C9544">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421" w:type="pct"/>
          </w:tcPr>
          <w:p w14:paraId="70999910">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590" w:type="pct"/>
          </w:tcPr>
          <w:p w14:paraId="5F2A4808">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421" w:type="pct"/>
          </w:tcPr>
          <w:p w14:paraId="2050FF90">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341" w:type="pct"/>
          </w:tcPr>
          <w:p w14:paraId="07377C37">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r>
      <w:tr w14:paraId="6AB832A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jc w:val="center"/>
        </w:trPr>
        <w:tc>
          <w:tcPr>
            <w:tcW w:w="278" w:type="pct"/>
          </w:tcPr>
          <w:p w14:paraId="0E59907C">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421" w:type="pct"/>
          </w:tcPr>
          <w:p w14:paraId="0417A6C7">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337" w:type="pct"/>
          </w:tcPr>
          <w:p w14:paraId="724213DB">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605" w:type="pct"/>
          </w:tcPr>
          <w:p w14:paraId="6AFEA104">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574" w:type="pct"/>
          </w:tcPr>
          <w:p w14:paraId="216F45CA">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401" w:type="pct"/>
          </w:tcPr>
          <w:p w14:paraId="62C781F7">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610" w:type="pct"/>
          </w:tcPr>
          <w:p w14:paraId="263C6347">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421" w:type="pct"/>
          </w:tcPr>
          <w:p w14:paraId="53A5FEB2">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590" w:type="pct"/>
          </w:tcPr>
          <w:p w14:paraId="2BCE27D0">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421" w:type="pct"/>
          </w:tcPr>
          <w:p w14:paraId="2C3E2B46">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341" w:type="pct"/>
          </w:tcPr>
          <w:p w14:paraId="313E2F0B">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r>
    </w:tbl>
    <w:p w14:paraId="10AB4B6A">
      <w:pPr>
        <w:spacing w:line="400" w:lineRule="atLeast"/>
        <w:jc w:val="center"/>
        <w:rPr>
          <w:color w:val="auto"/>
          <w:sz w:val="24"/>
          <w:szCs w:val="24"/>
          <w:highlight w:val="none"/>
        </w:rPr>
      </w:pPr>
      <w:r>
        <w:rPr>
          <w:rFonts w:hint="eastAsia"/>
          <w:color w:val="auto"/>
          <w:sz w:val="24"/>
          <w:szCs w:val="24"/>
          <w:highlight w:val="none"/>
        </w:rPr>
        <w:t>注：上表中的序号和内容应与附件</w:t>
      </w:r>
      <w:r>
        <w:rPr>
          <w:color w:val="auto"/>
          <w:sz w:val="24"/>
          <w:szCs w:val="24"/>
          <w:highlight w:val="none"/>
        </w:rPr>
        <w:t>2</w:t>
      </w:r>
      <w:r>
        <w:rPr>
          <w:rFonts w:hint="eastAsia"/>
          <w:color w:val="auto"/>
          <w:sz w:val="24"/>
          <w:szCs w:val="24"/>
          <w:highlight w:val="none"/>
        </w:rPr>
        <w:t>的一致</w:t>
      </w:r>
    </w:p>
    <w:bookmarkEnd w:id="82"/>
    <w:bookmarkEnd w:id="83"/>
    <w:bookmarkEnd w:id="84"/>
    <w:bookmarkEnd w:id="85"/>
    <w:bookmarkEnd w:id="86"/>
    <w:p w14:paraId="56A6EE2D">
      <w:pPr>
        <w:rPr>
          <w:rFonts w:hint="eastAsia" w:ascii="宋体" w:hAnsi="宋体" w:eastAsia="宋体" w:cs="宋体"/>
          <w:color w:val="auto"/>
          <w:highlight w:val="none"/>
        </w:rPr>
      </w:pPr>
      <w:bookmarkStart w:id="92" w:name="_Hlt527688067"/>
      <w:bookmarkEnd w:id="92"/>
      <w:bookmarkStart w:id="93" w:name="_Toc26413"/>
      <w:bookmarkStart w:id="94" w:name="_Toc380835218"/>
      <w:bookmarkStart w:id="95" w:name="_Toc5370790"/>
      <w:bookmarkStart w:id="96" w:name="_Toc367697181"/>
      <w:bookmarkStart w:id="97" w:name="_Toc415140561"/>
      <w:r>
        <w:rPr>
          <w:rFonts w:hint="eastAsia" w:ascii="宋体" w:hAnsi="宋体" w:eastAsia="宋体" w:cs="宋体"/>
          <w:color w:val="auto"/>
          <w:highlight w:val="none"/>
        </w:rPr>
        <w:br w:type="page"/>
      </w:r>
    </w:p>
    <w:p w14:paraId="7E75FD0D">
      <w:pPr>
        <w:outlineLvl w:val="0"/>
        <w:rPr>
          <w:b/>
          <w:color w:val="auto"/>
          <w:sz w:val="30"/>
          <w:szCs w:val="30"/>
          <w:highlight w:val="none"/>
        </w:rPr>
      </w:pPr>
      <w:bookmarkStart w:id="98" w:name="_Toc334013946"/>
      <w:bookmarkStart w:id="99" w:name="_Toc334015529"/>
      <w:bookmarkStart w:id="100" w:name="_Toc304277661"/>
      <w:r>
        <w:rPr>
          <w:rFonts w:hint="eastAsia"/>
          <w:b/>
          <w:color w:val="auto"/>
          <w:sz w:val="30"/>
          <w:szCs w:val="30"/>
          <w:highlight w:val="none"/>
        </w:rPr>
        <w:t>附件</w:t>
      </w:r>
      <w:r>
        <w:rPr>
          <w:b/>
          <w:color w:val="auto"/>
          <w:sz w:val="30"/>
          <w:szCs w:val="30"/>
          <w:highlight w:val="none"/>
        </w:rPr>
        <w:t xml:space="preserve">10  </w:t>
      </w:r>
      <w:r>
        <w:rPr>
          <w:rFonts w:hint="eastAsia"/>
          <w:b/>
          <w:color w:val="auto"/>
          <w:sz w:val="30"/>
          <w:szCs w:val="30"/>
          <w:highlight w:val="none"/>
        </w:rPr>
        <w:t>技术差异表</w:t>
      </w:r>
      <w:bookmarkEnd w:id="98"/>
      <w:bookmarkEnd w:id="99"/>
      <w:bookmarkEnd w:id="100"/>
    </w:p>
    <w:p w14:paraId="383CF83C">
      <w:pPr>
        <w:spacing w:line="400" w:lineRule="atLeast"/>
        <w:rPr>
          <w:color w:val="auto"/>
          <w:sz w:val="24"/>
          <w:szCs w:val="24"/>
          <w:highlight w:val="none"/>
        </w:rPr>
      </w:pPr>
      <w:r>
        <w:rPr>
          <w:color w:val="auto"/>
          <w:sz w:val="24"/>
          <w:szCs w:val="24"/>
          <w:highlight w:val="none"/>
        </w:rPr>
        <w:t>投标人要将投标文件和招标文件的差异之处汇集成表。技术部分和商务部分要单独列表。</w:t>
      </w:r>
    </w:p>
    <w:p w14:paraId="5282604A">
      <w:pPr>
        <w:spacing w:line="400" w:lineRule="atLeast"/>
        <w:jc w:val="center"/>
        <w:rPr>
          <w:color w:val="auto"/>
          <w:sz w:val="24"/>
          <w:szCs w:val="24"/>
          <w:highlight w:val="none"/>
        </w:rPr>
      </w:pPr>
      <w:r>
        <w:rPr>
          <w:color w:val="auto"/>
          <w:sz w:val="24"/>
          <w:szCs w:val="24"/>
          <w:highlight w:val="none"/>
        </w:rPr>
        <w:t>差异表</w:t>
      </w:r>
    </w:p>
    <w:tbl>
      <w:tblPr>
        <w:tblStyle w:val="42"/>
        <w:tblW w:w="0" w:type="auto"/>
        <w:jc w:val="center"/>
        <w:tblLayout w:type="fixed"/>
        <w:tblCellMar>
          <w:top w:w="0" w:type="dxa"/>
          <w:left w:w="28" w:type="dxa"/>
          <w:bottom w:w="0" w:type="dxa"/>
          <w:right w:w="28" w:type="dxa"/>
        </w:tblCellMar>
      </w:tblPr>
      <w:tblGrid>
        <w:gridCol w:w="840"/>
        <w:gridCol w:w="1830"/>
        <w:gridCol w:w="1830"/>
        <w:gridCol w:w="1830"/>
        <w:gridCol w:w="1830"/>
      </w:tblGrid>
      <w:tr w14:paraId="52D2C025">
        <w:tblPrEx>
          <w:tblCellMar>
            <w:top w:w="0" w:type="dxa"/>
            <w:left w:w="28" w:type="dxa"/>
            <w:bottom w:w="0" w:type="dxa"/>
            <w:right w:w="28" w:type="dxa"/>
          </w:tblCellMar>
        </w:tblPrEx>
        <w:trPr>
          <w:cantSplit/>
          <w:jc w:val="center"/>
        </w:trPr>
        <w:tc>
          <w:tcPr>
            <w:tcW w:w="840" w:type="dxa"/>
            <w:vMerge w:val="restart"/>
            <w:tcBorders>
              <w:top w:val="single" w:color="auto" w:sz="6" w:space="0"/>
              <w:left w:val="single" w:color="auto" w:sz="6" w:space="0"/>
              <w:right w:val="single" w:color="auto" w:sz="6" w:space="0"/>
            </w:tcBorders>
            <w:vAlign w:val="center"/>
          </w:tcPr>
          <w:p w14:paraId="403AE67F">
            <w:pPr>
              <w:spacing w:line="400" w:lineRule="atLeast"/>
              <w:rPr>
                <w:color w:val="auto"/>
                <w:sz w:val="24"/>
                <w:szCs w:val="24"/>
                <w:highlight w:val="none"/>
              </w:rPr>
            </w:pPr>
            <w:r>
              <w:rPr>
                <w:color w:val="auto"/>
                <w:sz w:val="24"/>
                <w:szCs w:val="24"/>
                <w:highlight w:val="none"/>
              </w:rPr>
              <w:t>序号</w:t>
            </w:r>
          </w:p>
        </w:tc>
        <w:tc>
          <w:tcPr>
            <w:tcW w:w="3660" w:type="dxa"/>
            <w:gridSpan w:val="2"/>
            <w:tcBorders>
              <w:top w:val="single" w:color="auto" w:sz="6" w:space="0"/>
              <w:left w:val="nil"/>
              <w:right w:val="single" w:color="auto" w:sz="6" w:space="0"/>
            </w:tcBorders>
            <w:vAlign w:val="center"/>
          </w:tcPr>
          <w:p w14:paraId="1837A386">
            <w:pPr>
              <w:spacing w:line="400" w:lineRule="atLeast"/>
              <w:rPr>
                <w:color w:val="auto"/>
                <w:sz w:val="24"/>
                <w:szCs w:val="24"/>
                <w:highlight w:val="none"/>
              </w:rPr>
            </w:pPr>
            <w:r>
              <w:rPr>
                <w:color w:val="auto"/>
                <w:sz w:val="24"/>
                <w:szCs w:val="24"/>
                <w:highlight w:val="none"/>
              </w:rPr>
              <w:t>招标文件</w:t>
            </w:r>
          </w:p>
        </w:tc>
        <w:tc>
          <w:tcPr>
            <w:tcW w:w="3660" w:type="dxa"/>
            <w:gridSpan w:val="2"/>
            <w:tcBorders>
              <w:top w:val="single" w:color="auto" w:sz="6" w:space="0"/>
              <w:left w:val="nil"/>
              <w:right w:val="single" w:color="auto" w:sz="6" w:space="0"/>
            </w:tcBorders>
            <w:vAlign w:val="center"/>
          </w:tcPr>
          <w:p w14:paraId="522E02AA">
            <w:pPr>
              <w:spacing w:line="400" w:lineRule="atLeast"/>
              <w:rPr>
                <w:color w:val="auto"/>
                <w:sz w:val="24"/>
                <w:szCs w:val="24"/>
                <w:highlight w:val="none"/>
              </w:rPr>
            </w:pPr>
            <w:r>
              <w:rPr>
                <w:color w:val="auto"/>
                <w:sz w:val="24"/>
                <w:szCs w:val="24"/>
                <w:highlight w:val="none"/>
              </w:rPr>
              <w:t>投标文件</w:t>
            </w:r>
          </w:p>
        </w:tc>
      </w:tr>
      <w:tr w14:paraId="7C02D285">
        <w:tblPrEx>
          <w:tblCellMar>
            <w:top w:w="0" w:type="dxa"/>
            <w:left w:w="28" w:type="dxa"/>
            <w:bottom w:w="0" w:type="dxa"/>
            <w:right w:w="28" w:type="dxa"/>
          </w:tblCellMar>
        </w:tblPrEx>
        <w:trPr>
          <w:cantSplit/>
          <w:jc w:val="center"/>
        </w:trPr>
        <w:tc>
          <w:tcPr>
            <w:tcW w:w="840" w:type="dxa"/>
            <w:vMerge w:val="continue"/>
            <w:tcBorders>
              <w:left w:val="single" w:color="auto" w:sz="6" w:space="0"/>
              <w:right w:val="single" w:color="auto" w:sz="6" w:space="0"/>
            </w:tcBorders>
            <w:vAlign w:val="center"/>
          </w:tcPr>
          <w:p w14:paraId="24CD37F6">
            <w:pPr>
              <w:spacing w:line="400" w:lineRule="atLeast"/>
              <w:rPr>
                <w:color w:val="auto"/>
                <w:sz w:val="24"/>
                <w:szCs w:val="24"/>
                <w:highlight w:val="none"/>
              </w:rPr>
            </w:pPr>
          </w:p>
        </w:tc>
        <w:tc>
          <w:tcPr>
            <w:tcW w:w="1830" w:type="dxa"/>
            <w:tcBorders>
              <w:top w:val="single" w:color="auto" w:sz="6" w:space="0"/>
              <w:left w:val="nil"/>
              <w:right w:val="single" w:color="auto" w:sz="6" w:space="0"/>
            </w:tcBorders>
            <w:vAlign w:val="center"/>
          </w:tcPr>
          <w:p w14:paraId="2D7C69AC">
            <w:pPr>
              <w:spacing w:line="400" w:lineRule="atLeast"/>
              <w:rPr>
                <w:color w:val="auto"/>
                <w:sz w:val="24"/>
                <w:szCs w:val="24"/>
                <w:highlight w:val="none"/>
              </w:rPr>
            </w:pPr>
            <w:r>
              <w:rPr>
                <w:color w:val="auto"/>
                <w:sz w:val="24"/>
                <w:szCs w:val="24"/>
                <w:highlight w:val="none"/>
              </w:rPr>
              <w:t>条目</w:t>
            </w:r>
          </w:p>
        </w:tc>
        <w:tc>
          <w:tcPr>
            <w:tcW w:w="1830" w:type="dxa"/>
            <w:tcBorders>
              <w:top w:val="single" w:color="auto" w:sz="6" w:space="0"/>
              <w:left w:val="nil"/>
              <w:right w:val="single" w:color="auto" w:sz="6" w:space="0"/>
            </w:tcBorders>
            <w:vAlign w:val="center"/>
          </w:tcPr>
          <w:p w14:paraId="015ED88F">
            <w:pPr>
              <w:spacing w:line="400" w:lineRule="atLeast"/>
              <w:rPr>
                <w:color w:val="auto"/>
                <w:sz w:val="24"/>
                <w:szCs w:val="24"/>
                <w:highlight w:val="none"/>
              </w:rPr>
            </w:pPr>
            <w:r>
              <w:rPr>
                <w:color w:val="auto"/>
                <w:sz w:val="24"/>
                <w:szCs w:val="24"/>
                <w:highlight w:val="none"/>
              </w:rPr>
              <w:t>简要内容</w:t>
            </w:r>
          </w:p>
        </w:tc>
        <w:tc>
          <w:tcPr>
            <w:tcW w:w="1830" w:type="dxa"/>
            <w:tcBorders>
              <w:top w:val="single" w:color="auto" w:sz="6" w:space="0"/>
              <w:left w:val="nil"/>
              <w:right w:val="single" w:color="auto" w:sz="6" w:space="0"/>
            </w:tcBorders>
            <w:vAlign w:val="center"/>
          </w:tcPr>
          <w:p w14:paraId="1AC5189A">
            <w:pPr>
              <w:spacing w:line="400" w:lineRule="atLeast"/>
              <w:rPr>
                <w:color w:val="auto"/>
                <w:sz w:val="24"/>
                <w:szCs w:val="24"/>
                <w:highlight w:val="none"/>
              </w:rPr>
            </w:pPr>
            <w:r>
              <w:rPr>
                <w:color w:val="auto"/>
                <w:sz w:val="24"/>
                <w:szCs w:val="24"/>
                <w:highlight w:val="none"/>
              </w:rPr>
              <w:t>条目</w:t>
            </w:r>
          </w:p>
        </w:tc>
        <w:tc>
          <w:tcPr>
            <w:tcW w:w="1830" w:type="dxa"/>
            <w:tcBorders>
              <w:top w:val="single" w:color="auto" w:sz="6" w:space="0"/>
              <w:left w:val="nil"/>
              <w:right w:val="single" w:color="auto" w:sz="6" w:space="0"/>
            </w:tcBorders>
            <w:vAlign w:val="center"/>
          </w:tcPr>
          <w:p w14:paraId="48486D64">
            <w:pPr>
              <w:spacing w:line="400" w:lineRule="atLeast"/>
              <w:rPr>
                <w:color w:val="auto"/>
                <w:sz w:val="24"/>
                <w:szCs w:val="24"/>
                <w:highlight w:val="none"/>
              </w:rPr>
            </w:pPr>
            <w:r>
              <w:rPr>
                <w:color w:val="auto"/>
                <w:sz w:val="24"/>
                <w:szCs w:val="24"/>
                <w:highlight w:val="none"/>
              </w:rPr>
              <w:t>简要内容</w:t>
            </w:r>
          </w:p>
        </w:tc>
      </w:tr>
      <w:tr w14:paraId="712F8B8B">
        <w:tblPrEx>
          <w:tblCellMar>
            <w:top w:w="0" w:type="dxa"/>
            <w:left w:w="28" w:type="dxa"/>
            <w:bottom w:w="0" w:type="dxa"/>
            <w:right w:w="28" w:type="dxa"/>
          </w:tblCellMar>
        </w:tblPrEx>
        <w:trPr>
          <w:jc w:val="center"/>
        </w:trPr>
        <w:tc>
          <w:tcPr>
            <w:tcW w:w="840" w:type="dxa"/>
            <w:tcBorders>
              <w:top w:val="single" w:color="auto" w:sz="6" w:space="0"/>
              <w:left w:val="single" w:color="auto" w:sz="6" w:space="0"/>
              <w:bottom w:val="single" w:color="auto" w:sz="6" w:space="0"/>
            </w:tcBorders>
            <w:vAlign w:val="center"/>
          </w:tcPr>
          <w:p w14:paraId="6CA88F45">
            <w:pPr>
              <w:spacing w:line="400" w:lineRule="atLeast"/>
              <w:rPr>
                <w:color w:val="auto"/>
                <w:sz w:val="24"/>
                <w:szCs w:val="24"/>
                <w:highlight w:val="none"/>
              </w:rPr>
            </w:pPr>
          </w:p>
        </w:tc>
        <w:tc>
          <w:tcPr>
            <w:tcW w:w="1830" w:type="dxa"/>
            <w:tcBorders>
              <w:top w:val="single" w:color="auto" w:sz="6" w:space="0"/>
              <w:left w:val="single" w:color="auto" w:sz="6" w:space="0"/>
              <w:bottom w:val="single" w:color="auto" w:sz="6" w:space="0"/>
              <w:right w:val="single" w:color="auto" w:sz="6" w:space="0"/>
            </w:tcBorders>
            <w:vAlign w:val="center"/>
          </w:tcPr>
          <w:p w14:paraId="5473C53F">
            <w:pPr>
              <w:spacing w:line="400" w:lineRule="atLeast"/>
              <w:rPr>
                <w:color w:val="auto"/>
                <w:sz w:val="24"/>
                <w:szCs w:val="24"/>
                <w:highlight w:val="none"/>
              </w:rPr>
            </w:pPr>
          </w:p>
        </w:tc>
        <w:tc>
          <w:tcPr>
            <w:tcW w:w="1830" w:type="dxa"/>
            <w:tcBorders>
              <w:top w:val="single" w:color="auto" w:sz="6" w:space="0"/>
              <w:left w:val="nil"/>
              <w:bottom w:val="single" w:color="auto" w:sz="6" w:space="0"/>
            </w:tcBorders>
            <w:vAlign w:val="center"/>
          </w:tcPr>
          <w:p w14:paraId="6B9D8455">
            <w:pPr>
              <w:spacing w:line="400" w:lineRule="atLeast"/>
              <w:rPr>
                <w:color w:val="auto"/>
                <w:sz w:val="24"/>
                <w:szCs w:val="24"/>
                <w:highlight w:val="none"/>
              </w:rPr>
            </w:pPr>
          </w:p>
        </w:tc>
        <w:tc>
          <w:tcPr>
            <w:tcW w:w="1830" w:type="dxa"/>
            <w:tcBorders>
              <w:top w:val="single" w:color="auto" w:sz="6" w:space="0"/>
              <w:left w:val="single" w:color="auto" w:sz="6" w:space="0"/>
              <w:bottom w:val="single" w:color="auto" w:sz="6" w:space="0"/>
              <w:right w:val="single" w:color="auto" w:sz="6" w:space="0"/>
            </w:tcBorders>
            <w:vAlign w:val="center"/>
          </w:tcPr>
          <w:p w14:paraId="4CD6ACE0">
            <w:pPr>
              <w:pStyle w:val="29"/>
              <w:spacing w:line="400" w:lineRule="atLeast"/>
              <w:rPr>
                <w:rFonts w:ascii="Times New Roman"/>
                <w:color w:val="auto"/>
                <w:szCs w:val="24"/>
                <w:highlight w:val="none"/>
              </w:rPr>
            </w:pPr>
          </w:p>
        </w:tc>
        <w:tc>
          <w:tcPr>
            <w:tcW w:w="1830" w:type="dxa"/>
            <w:tcBorders>
              <w:top w:val="single" w:color="auto" w:sz="6" w:space="0"/>
              <w:left w:val="nil"/>
              <w:bottom w:val="single" w:color="auto" w:sz="6" w:space="0"/>
              <w:right w:val="single" w:color="auto" w:sz="6" w:space="0"/>
            </w:tcBorders>
            <w:vAlign w:val="center"/>
          </w:tcPr>
          <w:p w14:paraId="49BE495C">
            <w:pPr>
              <w:spacing w:line="400" w:lineRule="atLeast"/>
              <w:rPr>
                <w:color w:val="auto"/>
                <w:sz w:val="24"/>
                <w:szCs w:val="24"/>
                <w:highlight w:val="none"/>
              </w:rPr>
            </w:pPr>
          </w:p>
        </w:tc>
      </w:tr>
      <w:tr w14:paraId="69C28341">
        <w:tblPrEx>
          <w:tblCellMar>
            <w:top w:w="0" w:type="dxa"/>
            <w:left w:w="28" w:type="dxa"/>
            <w:bottom w:w="0" w:type="dxa"/>
            <w:right w:w="28" w:type="dxa"/>
          </w:tblCellMar>
        </w:tblPrEx>
        <w:trPr>
          <w:jc w:val="center"/>
        </w:trPr>
        <w:tc>
          <w:tcPr>
            <w:tcW w:w="840" w:type="dxa"/>
            <w:tcBorders>
              <w:top w:val="single" w:color="auto" w:sz="6" w:space="0"/>
              <w:left w:val="single" w:color="auto" w:sz="6" w:space="0"/>
              <w:bottom w:val="single" w:color="auto" w:sz="6" w:space="0"/>
            </w:tcBorders>
          </w:tcPr>
          <w:p w14:paraId="6CFE1BBA">
            <w:pPr>
              <w:spacing w:line="400" w:lineRule="atLeast"/>
              <w:rPr>
                <w:color w:val="auto"/>
                <w:sz w:val="24"/>
                <w:szCs w:val="24"/>
                <w:highlight w:val="none"/>
              </w:rPr>
            </w:pPr>
          </w:p>
        </w:tc>
        <w:tc>
          <w:tcPr>
            <w:tcW w:w="1830" w:type="dxa"/>
            <w:tcBorders>
              <w:top w:val="single" w:color="auto" w:sz="6" w:space="0"/>
              <w:left w:val="single" w:color="auto" w:sz="6" w:space="0"/>
              <w:bottom w:val="single" w:color="auto" w:sz="6" w:space="0"/>
              <w:right w:val="single" w:color="auto" w:sz="6" w:space="0"/>
            </w:tcBorders>
          </w:tcPr>
          <w:p w14:paraId="32A133D9">
            <w:pPr>
              <w:spacing w:line="400" w:lineRule="atLeast"/>
              <w:rPr>
                <w:color w:val="auto"/>
                <w:sz w:val="24"/>
                <w:szCs w:val="24"/>
                <w:highlight w:val="none"/>
              </w:rPr>
            </w:pPr>
          </w:p>
        </w:tc>
        <w:tc>
          <w:tcPr>
            <w:tcW w:w="1830" w:type="dxa"/>
            <w:tcBorders>
              <w:top w:val="single" w:color="auto" w:sz="6" w:space="0"/>
              <w:left w:val="nil"/>
              <w:bottom w:val="single" w:color="auto" w:sz="6" w:space="0"/>
            </w:tcBorders>
          </w:tcPr>
          <w:p w14:paraId="291AE5FB">
            <w:pPr>
              <w:spacing w:line="400" w:lineRule="atLeast"/>
              <w:rPr>
                <w:color w:val="auto"/>
                <w:sz w:val="24"/>
                <w:szCs w:val="24"/>
                <w:highlight w:val="none"/>
              </w:rPr>
            </w:pPr>
          </w:p>
        </w:tc>
        <w:tc>
          <w:tcPr>
            <w:tcW w:w="1830" w:type="dxa"/>
            <w:tcBorders>
              <w:top w:val="single" w:color="auto" w:sz="6" w:space="0"/>
              <w:left w:val="single" w:color="auto" w:sz="6" w:space="0"/>
              <w:bottom w:val="single" w:color="auto" w:sz="6" w:space="0"/>
              <w:right w:val="single" w:color="auto" w:sz="6" w:space="0"/>
            </w:tcBorders>
          </w:tcPr>
          <w:p w14:paraId="3F88636A">
            <w:pPr>
              <w:spacing w:line="400" w:lineRule="atLeast"/>
              <w:rPr>
                <w:color w:val="auto"/>
                <w:sz w:val="24"/>
                <w:szCs w:val="24"/>
                <w:highlight w:val="none"/>
              </w:rPr>
            </w:pPr>
          </w:p>
        </w:tc>
        <w:tc>
          <w:tcPr>
            <w:tcW w:w="1830" w:type="dxa"/>
            <w:tcBorders>
              <w:top w:val="single" w:color="auto" w:sz="6" w:space="0"/>
              <w:left w:val="nil"/>
              <w:bottom w:val="single" w:color="auto" w:sz="6" w:space="0"/>
              <w:right w:val="single" w:color="auto" w:sz="6" w:space="0"/>
            </w:tcBorders>
          </w:tcPr>
          <w:p w14:paraId="64BF5C6D">
            <w:pPr>
              <w:spacing w:line="400" w:lineRule="atLeast"/>
              <w:rPr>
                <w:color w:val="auto"/>
                <w:sz w:val="24"/>
                <w:szCs w:val="24"/>
                <w:highlight w:val="none"/>
              </w:rPr>
            </w:pPr>
          </w:p>
        </w:tc>
      </w:tr>
      <w:tr w14:paraId="71F61B96">
        <w:tblPrEx>
          <w:tblCellMar>
            <w:top w:w="0" w:type="dxa"/>
            <w:left w:w="28" w:type="dxa"/>
            <w:bottom w:w="0" w:type="dxa"/>
            <w:right w:w="28" w:type="dxa"/>
          </w:tblCellMar>
        </w:tblPrEx>
        <w:trPr>
          <w:jc w:val="center"/>
        </w:trPr>
        <w:tc>
          <w:tcPr>
            <w:tcW w:w="840" w:type="dxa"/>
            <w:tcBorders>
              <w:top w:val="single" w:color="auto" w:sz="6" w:space="0"/>
              <w:left w:val="single" w:color="auto" w:sz="6" w:space="0"/>
              <w:bottom w:val="single" w:color="auto" w:sz="6" w:space="0"/>
            </w:tcBorders>
          </w:tcPr>
          <w:p w14:paraId="59D41C9A">
            <w:pPr>
              <w:spacing w:line="400" w:lineRule="atLeast"/>
              <w:rPr>
                <w:color w:val="auto"/>
                <w:sz w:val="24"/>
                <w:szCs w:val="24"/>
                <w:highlight w:val="none"/>
              </w:rPr>
            </w:pPr>
          </w:p>
        </w:tc>
        <w:tc>
          <w:tcPr>
            <w:tcW w:w="1830" w:type="dxa"/>
            <w:tcBorders>
              <w:top w:val="single" w:color="auto" w:sz="6" w:space="0"/>
              <w:left w:val="single" w:color="auto" w:sz="6" w:space="0"/>
              <w:bottom w:val="single" w:color="auto" w:sz="6" w:space="0"/>
              <w:right w:val="single" w:color="auto" w:sz="6" w:space="0"/>
            </w:tcBorders>
          </w:tcPr>
          <w:p w14:paraId="45C5CEA7">
            <w:pPr>
              <w:spacing w:line="400" w:lineRule="atLeast"/>
              <w:rPr>
                <w:color w:val="auto"/>
                <w:sz w:val="24"/>
                <w:szCs w:val="24"/>
                <w:highlight w:val="none"/>
              </w:rPr>
            </w:pPr>
          </w:p>
        </w:tc>
        <w:tc>
          <w:tcPr>
            <w:tcW w:w="1830" w:type="dxa"/>
            <w:tcBorders>
              <w:top w:val="single" w:color="auto" w:sz="6" w:space="0"/>
              <w:left w:val="nil"/>
              <w:bottom w:val="single" w:color="auto" w:sz="6" w:space="0"/>
            </w:tcBorders>
          </w:tcPr>
          <w:p w14:paraId="1870077C">
            <w:pPr>
              <w:spacing w:line="400" w:lineRule="atLeast"/>
              <w:rPr>
                <w:color w:val="auto"/>
                <w:sz w:val="24"/>
                <w:szCs w:val="24"/>
                <w:highlight w:val="none"/>
              </w:rPr>
            </w:pPr>
          </w:p>
        </w:tc>
        <w:tc>
          <w:tcPr>
            <w:tcW w:w="1830" w:type="dxa"/>
            <w:tcBorders>
              <w:top w:val="single" w:color="auto" w:sz="6" w:space="0"/>
              <w:left w:val="single" w:color="auto" w:sz="6" w:space="0"/>
              <w:bottom w:val="single" w:color="auto" w:sz="6" w:space="0"/>
              <w:right w:val="single" w:color="auto" w:sz="6" w:space="0"/>
            </w:tcBorders>
          </w:tcPr>
          <w:p w14:paraId="3EE57017">
            <w:pPr>
              <w:spacing w:line="400" w:lineRule="atLeast"/>
              <w:rPr>
                <w:color w:val="auto"/>
                <w:sz w:val="24"/>
                <w:szCs w:val="24"/>
                <w:highlight w:val="none"/>
              </w:rPr>
            </w:pPr>
          </w:p>
        </w:tc>
        <w:tc>
          <w:tcPr>
            <w:tcW w:w="1830" w:type="dxa"/>
            <w:tcBorders>
              <w:top w:val="single" w:color="auto" w:sz="6" w:space="0"/>
              <w:left w:val="nil"/>
              <w:bottom w:val="single" w:color="auto" w:sz="6" w:space="0"/>
              <w:right w:val="single" w:color="auto" w:sz="6" w:space="0"/>
            </w:tcBorders>
          </w:tcPr>
          <w:p w14:paraId="138909DF">
            <w:pPr>
              <w:spacing w:line="400" w:lineRule="atLeast"/>
              <w:rPr>
                <w:color w:val="auto"/>
                <w:sz w:val="24"/>
                <w:szCs w:val="24"/>
                <w:highlight w:val="none"/>
              </w:rPr>
            </w:pPr>
          </w:p>
        </w:tc>
      </w:tr>
      <w:tr w14:paraId="6DBA446A">
        <w:tblPrEx>
          <w:tblCellMar>
            <w:top w:w="0" w:type="dxa"/>
            <w:left w:w="28" w:type="dxa"/>
            <w:bottom w:w="0" w:type="dxa"/>
            <w:right w:w="28" w:type="dxa"/>
          </w:tblCellMar>
        </w:tblPrEx>
        <w:trPr>
          <w:jc w:val="center"/>
        </w:trPr>
        <w:tc>
          <w:tcPr>
            <w:tcW w:w="840" w:type="dxa"/>
            <w:tcBorders>
              <w:top w:val="single" w:color="auto" w:sz="6" w:space="0"/>
              <w:left w:val="single" w:color="auto" w:sz="6" w:space="0"/>
              <w:bottom w:val="single" w:color="auto" w:sz="6" w:space="0"/>
            </w:tcBorders>
          </w:tcPr>
          <w:p w14:paraId="073E4172">
            <w:pPr>
              <w:spacing w:line="400" w:lineRule="atLeast"/>
              <w:rPr>
                <w:color w:val="auto"/>
                <w:sz w:val="24"/>
                <w:szCs w:val="24"/>
                <w:highlight w:val="none"/>
              </w:rPr>
            </w:pPr>
          </w:p>
        </w:tc>
        <w:tc>
          <w:tcPr>
            <w:tcW w:w="1830" w:type="dxa"/>
            <w:tcBorders>
              <w:top w:val="single" w:color="auto" w:sz="6" w:space="0"/>
              <w:left w:val="single" w:color="auto" w:sz="6" w:space="0"/>
              <w:bottom w:val="single" w:color="auto" w:sz="6" w:space="0"/>
              <w:right w:val="single" w:color="auto" w:sz="6" w:space="0"/>
            </w:tcBorders>
          </w:tcPr>
          <w:p w14:paraId="4C43B457">
            <w:pPr>
              <w:spacing w:line="400" w:lineRule="atLeast"/>
              <w:rPr>
                <w:color w:val="auto"/>
                <w:sz w:val="24"/>
                <w:szCs w:val="24"/>
                <w:highlight w:val="none"/>
              </w:rPr>
            </w:pPr>
          </w:p>
        </w:tc>
        <w:tc>
          <w:tcPr>
            <w:tcW w:w="1830" w:type="dxa"/>
            <w:tcBorders>
              <w:top w:val="single" w:color="auto" w:sz="6" w:space="0"/>
              <w:left w:val="nil"/>
              <w:bottom w:val="single" w:color="auto" w:sz="6" w:space="0"/>
            </w:tcBorders>
          </w:tcPr>
          <w:p w14:paraId="0563E333">
            <w:pPr>
              <w:spacing w:line="400" w:lineRule="atLeast"/>
              <w:rPr>
                <w:color w:val="auto"/>
                <w:sz w:val="24"/>
                <w:szCs w:val="24"/>
                <w:highlight w:val="none"/>
              </w:rPr>
            </w:pPr>
          </w:p>
        </w:tc>
        <w:tc>
          <w:tcPr>
            <w:tcW w:w="1830" w:type="dxa"/>
            <w:tcBorders>
              <w:top w:val="single" w:color="auto" w:sz="6" w:space="0"/>
              <w:left w:val="single" w:color="auto" w:sz="6" w:space="0"/>
              <w:bottom w:val="single" w:color="auto" w:sz="6" w:space="0"/>
              <w:right w:val="single" w:color="auto" w:sz="6" w:space="0"/>
            </w:tcBorders>
          </w:tcPr>
          <w:p w14:paraId="2827D2A5">
            <w:pPr>
              <w:spacing w:line="400" w:lineRule="atLeast"/>
              <w:rPr>
                <w:color w:val="auto"/>
                <w:sz w:val="24"/>
                <w:szCs w:val="24"/>
                <w:highlight w:val="none"/>
              </w:rPr>
            </w:pPr>
          </w:p>
        </w:tc>
        <w:tc>
          <w:tcPr>
            <w:tcW w:w="1830" w:type="dxa"/>
            <w:tcBorders>
              <w:top w:val="single" w:color="auto" w:sz="6" w:space="0"/>
              <w:left w:val="nil"/>
              <w:bottom w:val="single" w:color="auto" w:sz="6" w:space="0"/>
              <w:right w:val="single" w:color="auto" w:sz="6" w:space="0"/>
            </w:tcBorders>
          </w:tcPr>
          <w:p w14:paraId="2825646E">
            <w:pPr>
              <w:spacing w:line="400" w:lineRule="atLeast"/>
              <w:rPr>
                <w:color w:val="auto"/>
                <w:sz w:val="24"/>
                <w:szCs w:val="24"/>
                <w:highlight w:val="none"/>
              </w:rPr>
            </w:pPr>
          </w:p>
        </w:tc>
      </w:tr>
      <w:tr w14:paraId="525BA385">
        <w:tblPrEx>
          <w:tblCellMar>
            <w:top w:w="0" w:type="dxa"/>
            <w:left w:w="28" w:type="dxa"/>
            <w:bottom w:w="0" w:type="dxa"/>
            <w:right w:w="28" w:type="dxa"/>
          </w:tblCellMar>
        </w:tblPrEx>
        <w:trPr>
          <w:jc w:val="center"/>
        </w:trPr>
        <w:tc>
          <w:tcPr>
            <w:tcW w:w="840" w:type="dxa"/>
            <w:tcBorders>
              <w:top w:val="single" w:color="auto" w:sz="6" w:space="0"/>
              <w:left w:val="single" w:color="auto" w:sz="6" w:space="0"/>
              <w:bottom w:val="single" w:color="auto" w:sz="6" w:space="0"/>
            </w:tcBorders>
          </w:tcPr>
          <w:p w14:paraId="601DD3A3">
            <w:pPr>
              <w:spacing w:line="400" w:lineRule="atLeast"/>
              <w:rPr>
                <w:color w:val="auto"/>
                <w:sz w:val="24"/>
                <w:szCs w:val="24"/>
                <w:highlight w:val="none"/>
              </w:rPr>
            </w:pPr>
          </w:p>
        </w:tc>
        <w:tc>
          <w:tcPr>
            <w:tcW w:w="1830" w:type="dxa"/>
            <w:tcBorders>
              <w:top w:val="single" w:color="auto" w:sz="6" w:space="0"/>
              <w:left w:val="single" w:color="auto" w:sz="6" w:space="0"/>
              <w:bottom w:val="single" w:color="auto" w:sz="6" w:space="0"/>
              <w:right w:val="single" w:color="auto" w:sz="6" w:space="0"/>
            </w:tcBorders>
          </w:tcPr>
          <w:p w14:paraId="413808E9">
            <w:pPr>
              <w:spacing w:line="400" w:lineRule="atLeast"/>
              <w:rPr>
                <w:color w:val="auto"/>
                <w:sz w:val="24"/>
                <w:szCs w:val="24"/>
                <w:highlight w:val="none"/>
              </w:rPr>
            </w:pPr>
          </w:p>
        </w:tc>
        <w:tc>
          <w:tcPr>
            <w:tcW w:w="1830" w:type="dxa"/>
            <w:tcBorders>
              <w:top w:val="single" w:color="auto" w:sz="6" w:space="0"/>
              <w:left w:val="nil"/>
              <w:bottom w:val="single" w:color="auto" w:sz="6" w:space="0"/>
            </w:tcBorders>
          </w:tcPr>
          <w:p w14:paraId="4629FAAA">
            <w:pPr>
              <w:spacing w:line="400" w:lineRule="atLeast"/>
              <w:rPr>
                <w:color w:val="auto"/>
                <w:sz w:val="24"/>
                <w:szCs w:val="24"/>
                <w:highlight w:val="none"/>
              </w:rPr>
            </w:pPr>
          </w:p>
        </w:tc>
        <w:tc>
          <w:tcPr>
            <w:tcW w:w="1830" w:type="dxa"/>
            <w:tcBorders>
              <w:top w:val="single" w:color="auto" w:sz="6" w:space="0"/>
              <w:left w:val="single" w:color="auto" w:sz="6" w:space="0"/>
              <w:bottom w:val="single" w:color="auto" w:sz="6" w:space="0"/>
              <w:right w:val="single" w:color="auto" w:sz="6" w:space="0"/>
            </w:tcBorders>
          </w:tcPr>
          <w:p w14:paraId="301591A2">
            <w:pPr>
              <w:spacing w:line="400" w:lineRule="atLeast"/>
              <w:rPr>
                <w:color w:val="auto"/>
                <w:sz w:val="24"/>
                <w:szCs w:val="24"/>
                <w:highlight w:val="none"/>
              </w:rPr>
            </w:pPr>
          </w:p>
        </w:tc>
        <w:tc>
          <w:tcPr>
            <w:tcW w:w="1830" w:type="dxa"/>
            <w:tcBorders>
              <w:top w:val="single" w:color="auto" w:sz="6" w:space="0"/>
              <w:left w:val="nil"/>
              <w:bottom w:val="single" w:color="auto" w:sz="6" w:space="0"/>
              <w:right w:val="single" w:color="auto" w:sz="6" w:space="0"/>
            </w:tcBorders>
          </w:tcPr>
          <w:p w14:paraId="61CB3A35">
            <w:pPr>
              <w:spacing w:line="400" w:lineRule="atLeast"/>
              <w:rPr>
                <w:color w:val="auto"/>
                <w:sz w:val="24"/>
                <w:szCs w:val="24"/>
                <w:highlight w:val="none"/>
              </w:rPr>
            </w:pPr>
          </w:p>
        </w:tc>
      </w:tr>
      <w:tr w14:paraId="69567933">
        <w:tblPrEx>
          <w:tblCellMar>
            <w:top w:w="0" w:type="dxa"/>
            <w:left w:w="28" w:type="dxa"/>
            <w:bottom w:w="0" w:type="dxa"/>
            <w:right w:w="28" w:type="dxa"/>
          </w:tblCellMar>
        </w:tblPrEx>
        <w:trPr>
          <w:jc w:val="center"/>
        </w:trPr>
        <w:tc>
          <w:tcPr>
            <w:tcW w:w="840" w:type="dxa"/>
            <w:tcBorders>
              <w:top w:val="single" w:color="auto" w:sz="6" w:space="0"/>
              <w:left w:val="single" w:color="auto" w:sz="6" w:space="0"/>
              <w:bottom w:val="single" w:color="auto" w:sz="6" w:space="0"/>
            </w:tcBorders>
          </w:tcPr>
          <w:p w14:paraId="5868BDEE">
            <w:pPr>
              <w:spacing w:line="400" w:lineRule="atLeast"/>
              <w:rPr>
                <w:color w:val="auto"/>
                <w:sz w:val="24"/>
                <w:szCs w:val="24"/>
                <w:highlight w:val="none"/>
              </w:rPr>
            </w:pPr>
          </w:p>
        </w:tc>
        <w:tc>
          <w:tcPr>
            <w:tcW w:w="1830" w:type="dxa"/>
            <w:tcBorders>
              <w:top w:val="single" w:color="auto" w:sz="6" w:space="0"/>
              <w:left w:val="single" w:color="auto" w:sz="6" w:space="0"/>
              <w:bottom w:val="single" w:color="auto" w:sz="6" w:space="0"/>
              <w:right w:val="single" w:color="auto" w:sz="6" w:space="0"/>
            </w:tcBorders>
          </w:tcPr>
          <w:p w14:paraId="5F561D21">
            <w:pPr>
              <w:spacing w:line="400" w:lineRule="atLeast"/>
              <w:rPr>
                <w:color w:val="auto"/>
                <w:sz w:val="24"/>
                <w:szCs w:val="24"/>
                <w:highlight w:val="none"/>
              </w:rPr>
            </w:pPr>
          </w:p>
        </w:tc>
        <w:tc>
          <w:tcPr>
            <w:tcW w:w="1830" w:type="dxa"/>
            <w:tcBorders>
              <w:top w:val="single" w:color="auto" w:sz="6" w:space="0"/>
              <w:left w:val="nil"/>
              <w:bottom w:val="single" w:color="auto" w:sz="6" w:space="0"/>
            </w:tcBorders>
          </w:tcPr>
          <w:p w14:paraId="4AC8EED4">
            <w:pPr>
              <w:spacing w:line="400" w:lineRule="atLeast"/>
              <w:rPr>
                <w:color w:val="auto"/>
                <w:sz w:val="24"/>
                <w:szCs w:val="24"/>
                <w:highlight w:val="none"/>
              </w:rPr>
            </w:pPr>
          </w:p>
        </w:tc>
        <w:tc>
          <w:tcPr>
            <w:tcW w:w="1830" w:type="dxa"/>
            <w:tcBorders>
              <w:top w:val="single" w:color="auto" w:sz="6" w:space="0"/>
              <w:left w:val="single" w:color="auto" w:sz="6" w:space="0"/>
              <w:bottom w:val="single" w:color="auto" w:sz="6" w:space="0"/>
              <w:right w:val="single" w:color="auto" w:sz="6" w:space="0"/>
            </w:tcBorders>
          </w:tcPr>
          <w:p w14:paraId="545E337E">
            <w:pPr>
              <w:spacing w:line="400" w:lineRule="atLeast"/>
              <w:rPr>
                <w:color w:val="auto"/>
                <w:sz w:val="24"/>
                <w:szCs w:val="24"/>
                <w:highlight w:val="none"/>
              </w:rPr>
            </w:pPr>
          </w:p>
        </w:tc>
        <w:tc>
          <w:tcPr>
            <w:tcW w:w="1830" w:type="dxa"/>
            <w:tcBorders>
              <w:top w:val="single" w:color="auto" w:sz="6" w:space="0"/>
              <w:left w:val="nil"/>
              <w:bottom w:val="single" w:color="auto" w:sz="6" w:space="0"/>
              <w:right w:val="single" w:color="auto" w:sz="6" w:space="0"/>
            </w:tcBorders>
          </w:tcPr>
          <w:p w14:paraId="42BF5287">
            <w:pPr>
              <w:spacing w:line="400" w:lineRule="atLeast"/>
              <w:rPr>
                <w:color w:val="auto"/>
                <w:sz w:val="24"/>
                <w:szCs w:val="24"/>
                <w:highlight w:val="none"/>
              </w:rPr>
            </w:pPr>
          </w:p>
        </w:tc>
      </w:tr>
      <w:tr w14:paraId="65C90516">
        <w:tblPrEx>
          <w:tblCellMar>
            <w:top w:w="0" w:type="dxa"/>
            <w:left w:w="28" w:type="dxa"/>
            <w:bottom w:w="0" w:type="dxa"/>
            <w:right w:w="28" w:type="dxa"/>
          </w:tblCellMar>
        </w:tblPrEx>
        <w:trPr>
          <w:jc w:val="center"/>
        </w:trPr>
        <w:tc>
          <w:tcPr>
            <w:tcW w:w="840" w:type="dxa"/>
            <w:tcBorders>
              <w:top w:val="single" w:color="auto" w:sz="6" w:space="0"/>
              <w:left w:val="single" w:color="auto" w:sz="6" w:space="0"/>
              <w:bottom w:val="single" w:color="auto" w:sz="6" w:space="0"/>
            </w:tcBorders>
          </w:tcPr>
          <w:p w14:paraId="5026DC83">
            <w:pPr>
              <w:spacing w:line="400" w:lineRule="atLeast"/>
              <w:rPr>
                <w:color w:val="auto"/>
                <w:sz w:val="24"/>
                <w:szCs w:val="24"/>
                <w:highlight w:val="none"/>
              </w:rPr>
            </w:pPr>
          </w:p>
        </w:tc>
        <w:tc>
          <w:tcPr>
            <w:tcW w:w="1830" w:type="dxa"/>
            <w:tcBorders>
              <w:top w:val="single" w:color="auto" w:sz="6" w:space="0"/>
              <w:left w:val="single" w:color="auto" w:sz="6" w:space="0"/>
              <w:bottom w:val="single" w:color="auto" w:sz="6" w:space="0"/>
              <w:right w:val="single" w:color="auto" w:sz="6" w:space="0"/>
            </w:tcBorders>
          </w:tcPr>
          <w:p w14:paraId="71657DDE">
            <w:pPr>
              <w:spacing w:line="400" w:lineRule="atLeast"/>
              <w:rPr>
                <w:color w:val="auto"/>
                <w:sz w:val="24"/>
                <w:szCs w:val="24"/>
                <w:highlight w:val="none"/>
              </w:rPr>
            </w:pPr>
          </w:p>
        </w:tc>
        <w:tc>
          <w:tcPr>
            <w:tcW w:w="1830" w:type="dxa"/>
            <w:tcBorders>
              <w:top w:val="single" w:color="auto" w:sz="6" w:space="0"/>
              <w:left w:val="nil"/>
              <w:bottom w:val="single" w:color="auto" w:sz="6" w:space="0"/>
            </w:tcBorders>
          </w:tcPr>
          <w:p w14:paraId="4CFDF4D8">
            <w:pPr>
              <w:spacing w:line="400" w:lineRule="atLeast"/>
              <w:rPr>
                <w:color w:val="auto"/>
                <w:sz w:val="24"/>
                <w:szCs w:val="24"/>
                <w:highlight w:val="none"/>
              </w:rPr>
            </w:pPr>
          </w:p>
        </w:tc>
        <w:tc>
          <w:tcPr>
            <w:tcW w:w="1830" w:type="dxa"/>
            <w:tcBorders>
              <w:top w:val="single" w:color="auto" w:sz="6" w:space="0"/>
              <w:left w:val="single" w:color="auto" w:sz="6" w:space="0"/>
              <w:bottom w:val="single" w:color="auto" w:sz="6" w:space="0"/>
              <w:right w:val="single" w:color="auto" w:sz="6" w:space="0"/>
            </w:tcBorders>
          </w:tcPr>
          <w:p w14:paraId="1B6670EF">
            <w:pPr>
              <w:spacing w:line="400" w:lineRule="atLeast"/>
              <w:rPr>
                <w:color w:val="auto"/>
                <w:sz w:val="24"/>
                <w:szCs w:val="24"/>
                <w:highlight w:val="none"/>
              </w:rPr>
            </w:pPr>
          </w:p>
        </w:tc>
        <w:tc>
          <w:tcPr>
            <w:tcW w:w="1830" w:type="dxa"/>
            <w:tcBorders>
              <w:top w:val="single" w:color="auto" w:sz="6" w:space="0"/>
              <w:left w:val="nil"/>
              <w:bottom w:val="single" w:color="auto" w:sz="6" w:space="0"/>
              <w:right w:val="single" w:color="auto" w:sz="6" w:space="0"/>
            </w:tcBorders>
          </w:tcPr>
          <w:p w14:paraId="5109A622">
            <w:pPr>
              <w:spacing w:line="400" w:lineRule="atLeast"/>
              <w:rPr>
                <w:color w:val="auto"/>
                <w:sz w:val="24"/>
                <w:szCs w:val="24"/>
                <w:highlight w:val="none"/>
              </w:rPr>
            </w:pPr>
          </w:p>
        </w:tc>
      </w:tr>
      <w:tr w14:paraId="45E7FE84">
        <w:tblPrEx>
          <w:tblCellMar>
            <w:top w:w="0" w:type="dxa"/>
            <w:left w:w="28" w:type="dxa"/>
            <w:bottom w:w="0" w:type="dxa"/>
            <w:right w:w="28" w:type="dxa"/>
          </w:tblCellMar>
        </w:tblPrEx>
        <w:trPr>
          <w:jc w:val="center"/>
        </w:trPr>
        <w:tc>
          <w:tcPr>
            <w:tcW w:w="840" w:type="dxa"/>
            <w:tcBorders>
              <w:top w:val="single" w:color="auto" w:sz="6" w:space="0"/>
              <w:left w:val="single" w:color="auto" w:sz="6" w:space="0"/>
              <w:bottom w:val="single" w:color="auto" w:sz="6" w:space="0"/>
            </w:tcBorders>
          </w:tcPr>
          <w:p w14:paraId="5E340496">
            <w:pPr>
              <w:spacing w:line="400" w:lineRule="atLeast"/>
              <w:rPr>
                <w:color w:val="auto"/>
                <w:sz w:val="24"/>
                <w:szCs w:val="24"/>
                <w:highlight w:val="none"/>
              </w:rPr>
            </w:pPr>
          </w:p>
        </w:tc>
        <w:tc>
          <w:tcPr>
            <w:tcW w:w="1830" w:type="dxa"/>
            <w:tcBorders>
              <w:top w:val="single" w:color="auto" w:sz="6" w:space="0"/>
              <w:left w:val="single" w:color="auto" w:sz="6" w:space="0"/>
              <w:bottom w:val="single" w:color="auto" w:sz="6" w:space="0"/>
              <w:right w:val="single" w:color="auto" w:sz="6" w:space="0"/>
            </w:tcBorders>
          </w:tcPr>
          <w:p w14:paraId="20EDE87A">
            <w:pPr>
              <w:spacing w:line="400" w:lineRule="atLeast"/>
              <w:rPr>
                <w:color w:val="auto"/>
                <w:sz w:val="24"/>
                <w:szCs w:val="24"/>
                <w:highlight w:val="none"/>
              </w:rPr>
            </w:pPr>
          </w:p>
        </w:tc>
        <w:tc>
          <w:tcPr>
            <w:tcW w:w="1830" w:type="dxa"/>
            <w:tcBorders>
              <w:top w:val="single" w:color="auto" w:sz="6" w:space="0"/>
              <w:left w:val="nil"/>
              <w:bottom w:val="single" w:color="auto" w:sz="6" w:space="0"/>
            </w:tcBorders>
          </w:tcPr>
          <w:p w14:paraId="789D5EFF">
            <w:pPr>
              <w:spacing w:line="400" w:lineRule="atLeast"/>
              <w:rPr>
                <w:color w:val="auto"/>
                <w:sz w:val="24"/>
                <w:szCs w:val="24"/>
                <w:highlight w:val="none"/>
              </w:rPr>
            </w:pPr>
          </w:p>
        </w:tc>
        <w:tc>
          <w:tcPr>
            <w:tcW w:w="1830" w:type="dxa"/>
            <w:tcBorders>
              <w:top w:val="single" w:color="auto" w:sz="6" w:space="0"/>
              <w:left w:val="single" w:color="auto" w:sz="6" w:space="0"/>
              <w:bottom w:val="single" w:color="auto" w:sz="6" w:space="0"/>
              <w:right w:val="single" w:color="auto" w:sz="6" w:space="0"/>
            </w:tcBorders>
          </w:tcPr>
          <w:p w14:paraId="302356B5">
            <w:pPr>
              <w:spacing w:line="400" w:lineRule="atLeast"/>
              <w:rPr>
                <w:color w:val="auto"/>
                <w:sz w:val="24"/>
                <w:szCs w:val="24"/>
                <w:highlight w:val="none"/>
              </w:rPr>
            </w:pPr>
          </w:p>
        </w:tc>
        <w:tc>
          <w:tcPr>
            <w:tcW w:w="1830" w:type="dxa"/>
            <w:tcBorders>
              <w:top w:val="single" w:color="auto" w:sz="6" w:space="0"/>
              <w:left w:val="nil"/>
              <w:bottom w:val="single" w:color="auto" w:sz="6" w:space="0"/>
              <w:right w:val="single" w:color="auto" w:sz="6" w:space="0"/>
            </w:tcBorders>
          </w:tcPr>
          <w:p w14:paraId="23BA6E6A">
            <w:pPr>
              <w:spacing w:line="400" w:lineRule="atLeast"/>
              <w:rPr>
                <w:color w:val="auto"/>
                <w:sz w:val="24"/>
                <w:szCs w:val="24"/>
                <w:highlight w:val="none"/>
              </w:rPr>
            </w:pPr>
          </w:p>
        </w:tc>
      </w:tr>
      <w:tr w14:paraId="1FE9EA0A">
        <w:tblPrEx>
          <w:tblCellMar>
            <w:top w:w="0" w:type="dxa"/>
            <w:left w:w="28" w:type="dxa"/>
            <w:bottom w:w="0" w:type="dxa"/>
            <w:right w:w="28" w:type="dxa"/>
          </w:tblCellMar>
        </w:tblPrEx>
        <w:trPr>
          <w:jc w:val="center"/>
        </w:trPr>
        <w:tc>
          <w:tcPr>
            <w:tcW w:w="840" w:type="dxa"/>
            <w:tcBorders>
              <w:top w:val="single" w:color="auto" w:sz="6" w:space="0"/>
              <w:left w:val="single" w:color="auto" w:sz="6" w:space="0"/>
              <w:bottom w:val="single" w:color="auto" w:sz="6" w:space="0"/>
            </w:tcBorders>
          </w:tcPr>
          <w:p w14:paraId="3E0A1B3B">
            <w:pPr>
              <w:spacing w:line="400" w:lineRule="atLeast"/>
              <w:rPr>
                <w:color w:val="auto"/>
                <w:sz w:val="24"/>
                <w:szCs w:val="24"/>
                <w:highlight w:val="none"/>
              </w:rPr>
            </w:pPr>
          </w:p>
        </w:tc>
        <w:tc>
          <w:tcPr>
            <w:tcW w:w="1830" w:type="dxa"/>
            <w:tcBorders>
              <w:top w:val="single" w:color="auto" w:sz="6" w:space="0"/>
              <w:left w:val="single" w:color="auto" w:sz="6" w:space="0"/>
              <w:bottom w:val="single" w:color="auto" w:sz="6" w:space="0"/>
              <w:right w:val="single" w:color="auto" w:sz="6" w:space="0"/>
            </w:tcBorders>
          </w:tcPr>
          <w:p w14:paraId="3B0AE064">
            <w:pPr>
              <w:spacing w:line="400" w:lineRule="atLeast"/>
              <w:rPr>
                <w:color w:val="auto"/>
                <w:sz w:val="24"/>
                <w:szCs w:val="24"/>
                <w:highlight w:val="none"/>
              </w:rPr>
            </w:pPr>
          </w:p>
        </w:tc>
        <w:tc>
          <w:tcPr>
            <w:tcW w:w="1830" w:type="dxa"/>
            <w:tcBorders>
              <w:top w:val="single" w:color="auto" w:sz="6" w:space="0"/>
              <w:left w:val="nil"/>
              <w:bottom w:val="single" w:color="auto" w:sz="6" w:space="0"/>
            </w:tcBorders>
          </w:tcPr>
          <w:p w14:paraId="675A6EBC">
            <w:pPr>
              <w:spacing w:line="400" w:lineRule="atLeast"/>
              <w:rPr>
                <w:color w:val="auto"/>
                <w:sz w:val="24"/>
                <w:szCs w:val="24"/>
                <w:highlight w:val="none"/>
              </w:rPr>
            </w:pPr>
          </w:p>
        </w:tc>
        <w:tc>
          <w:tcPr>
            <w:tcW w:w="1830" w:type="dxa"/>
            <w:tcBorders>
              <w:top w:val="single" w:color="auto" w:sz="6" w:space="0"/>
              <w:left w:val="single" w:color="auto" w:sz="6" w:space="0"/>
              <w:bottom w:val="single" w:color="auto" w:sz="6" w:space="0"/>
              <w:right w:val="single" w:color="auto" w:sz="6" w:space="0"/>
            </w:tcBorders>
          </w:tcPr>
          <w:p w14:paraId="33C600C7">
            <w:pPr>
              <w:spacing w:line="400" w:lineRule="atLeast"/>
              <w:rPr>
                <w:color w:val="auto"/>
                <w:sz w:val="24"/>
                <w:szCs w:val="24"/>
                <w:highlight w:val="none"/>
              </w:rPr>
            </w:pPr>
          </w:p>
        </w:tc>
        <w:tc>
          <w:tcPr>
            <w:tcW w:w="1830" w:type="dxa"/>
            <w:tcBorders>
              <w:top w:val="single" w:color="auto" w:sz="6" w:space="0"/>
              <w:left w:val="nil"/>
              <w:bottom w:val="single" w:color="auto" w:sz="6" w:space="0"/>
              <w:right w:val="single" w:color="auto" w:sz="6" w:space="0"/>
            </w:tcBorders>
          </w:tcPr>
          <w:p w14:paraId="443486E0">
            <w:pPr>
              <w:spacing w:line="400" w:lineRule="atLeast"/>
              <w:rPr>
                <w:color w:val="auto"/>
                <w:sz w:val="24"/>
                <w:szCs w:val="24"/>
                <w:highlight w:val="none"/>
              </w:rPr>
            </w:pPr>
          </w:p>
        </w:tc>
      </w:tr>
      <w:tr w14:paraId="53E14331">
        <w:tblPrEx>
          <w:tblCellMar>
            <w:top w:w="0" w:type="dxa"/>
            <w:left w:w="28" w:type="dxa"/>
            <w:bottom w:w="0" w:type="dxa"/>
            <w:right w:w="28" w:type="dxa"/>
          </w:tblCellMar>
        </w:tblPrEx>
        <w:trPr>
          <w:jc w:val="center"/>
        </w:trPr>
        <w:tc>
          <w:tcPr>
            <w:tcW w:w="840" w:type="dxa"/>
            <w:tcBorders>
              <w:top w:val="single" w:color="auto" w:sz="6" w:space="0"/>
              <w:left w:val="single" w:color="auto" w:sz="6" w:space="0"/>
              <w:bottom w:val="single" w:color="auto" w:sz="6" w:space="0"/>
            </w:tcBorders>
          </w:tcPr>
          <w:p w14:paraId="7E7F5896">
            <w:pPr>
              <w:spacing w:line="400" w:lineRule="atLeast"/>
              <w:rPr>
                <w:color w:val="auto"/>
                <w:sz w:val="24"/>
                <w:szCs w:val="24"/>
                <w:highlight w:val="none"/>
              </w:rPr>
            </w:pPr>
          </w:p>
        </w:tc>
        <w:tc>
          <w:tcPr>
            <w:tcW w:w="1830" w:type="dxa"/>
            <w:tcBorders>
              <w:top w:val="single" w:color="auto" w:sz="6" w:space="0"/>
              <w:left w:val="single" w:color="auto" w:sz="6" w:space="0"/>
              <w:bottom w:val="single" w:color="auto" w:sz="6" w:space="0"/>
              <w:right w:val="single" w:color="auto" w:sz="6" w:space="0"/>
            </w:tcBorders>
          </w:tcPr>
          <w:p w14:paraId="34765B87">
            <w:pPr>
              <w:spacing w:line="400" w:lineRule="atLeast"/>
              <w:rPr>
                <w:color w:val="auto"/>
                <w:sz w:val="24"/>
                <w:szCs w:val="24"/>
                <w:highlight w:val="none"/>
              </w:rPr>
            </w:pPr>
          </w:p>
        </w:tc>
        <w:tc>
          <w:tcPr>
            <w:tcW w:w="1830" w:type="dxa"/>
            <w:tcBorders>
              <w:top w:val="single" w:color="auto" w:sz="6" w:space="0"/>
              <w:left w:val="nil"/>
              <w:bottom w:val="single" w:color="auto" w:sz="6" w:space="0"/>
            </w:tcBorders>
          </w:tcPr>
          <w:p w14:paraId="1CFAD6B2">
            <w:pPr>
              <w:spacing w:line="400" w:lineRule="atLeast"/>
              <w:rPr>
                <w:color w:val="auto"/>
                <w:sz w:val="24"/>
                <w:szCs w:val="24"/>
                <w:highlight w:val="none"/>
              </w:rPr>
            </w:pPr>
          </w:p>
        </w:tc>
        <w:tc>
          <w:tcPr>
            <w:tcW w:w="1830" w:type="dxa"/>
            <w:tcBorders>
              <w:top w:val="single" w:color="auto" w:sz="6" w:space="0"/>
              <w:left w:val="single" w:color="auto" w:sz="6" w:space="0"/>
              <w:bottom w:val="single" w:color="auto" w:sz="6" w:space="0"/>
              <w:right w:val="single" w:color="auto" w:sz="6" w:space="0"/>
            </w:tcBorders>
          </w:tcPr>
          <w:p w14:paraId="519CCB87">
            <w:pPr>
              <w:spacing w:line="400" w:lineRule="atLeast"/>
              <w:rPr>
                <w:color w:val="auto"/>
                <w:sz w:val="24"/>
                <w:szCs w:val="24"/>
                <w:highlight w:val="none"/>
              </w:rPr>
            </w:pPr>
          </w:p>
        </w:tc>
        <w:tc>
          <w:tcPr>
            <w:tcW w:w="1830" w:type="dxa"/>
            <w:tcBorders>
              <w:top w:val="single" w:color="auto" w:sz="6" w:space="0"/>
              <w:left w:val="nil"/>
              <w:bottom w:val="single" w:color="auto" w:sz="6" w:space="0"/>
              <w:right w:val="single" w:color="auto" w:sz="6" w:space="0"/>
            </w:tcBorders>
          </w:tcPr>
          <w:p w14:paraId="200D6B78">
            <w:pPr>
              <w:spacing w:line="400" w:lineRule="atLeast"/>
              <w:rPr>
                <w:color w:val="auto"/>
                <w:sz w:val="24"/>
                <w:szCs w:val="24"/>
                <w:highlight w:val="none"/>
              </w:rPr>
            </w:pPr>
          </w:p>
        </w:tc>
      </w:tr>
      <w:tr w14:paraId="16606958">
        <w:tblPrEx>
          <w:tblCellMar>
            <w:top w:w="0" w:type="dxa"/>
            <w:left w:w="28" w:type="dxa"/>
            <w:bottom w:w="0" w:type="dxa"/>
            <w:right w:w="28" w:type="dxa"/>
          </w:tblCellMar>
        </w:tblPrEx>
        <w:trPr>
          <w:jc w:val="center"/>
        </w:trPr>
        <w:tc>
          <w:tcPr>
            <w:tcW w:w="840" w:type="dxa"/>
            <w:tcBorders>
              <w:top w:val="single" w:color="auto" w:sz="6" w:space="0"/>
              <w:left w:val="single" w:color="auto" w:sz="6" w:space="0"/>
              <w:bottom w:val="single" w:color="auto" w:sz="6" w:space="0"/>
            </w:tcBorders>
          </w:tcPr>
          <w:p w14:paraId="717A95EF">
            <w:pPr>
              <w:spacing w:line="400" w:lineRule="atLeast"/>
              <w:rPr>
                <w:color w:val="auto"/>
                <w:highlight w:val="none"/>
              </w:rPr>
            </w:pPr>
          </w:p>
        </w:tc>
        <w:tc>
          <w:tcPr>
            <w:tcW w:w="1830" w:type="dxa"/>
            <w:tcBorders>
              <w:top w:val="single" w:color="auto" w:sz="6" w:space="0"/>
              <w:left w:val="single" w:color="auto" w:sz="6" w:space="0"/>
              <w:bottom w:val="single" w:color="auto" w:sz="6" w:space="0"/>
              <w:right w:val="single" w:color="auto" w:sz="6" w:space="0"/>
            </w:tcBorders>
          </w:tcPr>
          <w:p w14:paraId="0DAA12E2">
            <w:pPr>
              <w:spacing w:line="400" w:lineRule="atLeast"/>
              <w:rPr>
                <w:color w:val="auto"/>
                <w:highlight w:val="none"/>
              </w:rPr>
            </w:pPr>
          </w:p>
        </w:tc>
        <w:tc>
          <w:tcPr>
            <w:tcW w:w="1830" w:type="dxa"/>
            <w:tcBorders>
              <w:top w:val="single" w:color="auto" w:sz="6" w:space="0"/>
              <w:left w:val="nil"/>
              <w:bottom w:val="single" w:color="auto" w:sz="6" w:space="0"/>
            </w:tcBorders>
          </w:tcPr>
          <w:p w14:paraId="45C28366">
            <w:pPr>
              <w:spacing w:line="400" w:lineRule="atLeast"/>
              <w:rPr>
                <w:color w:val="auto"/>
                <w:highlight w:val="none"/>
              </w:rPr>
            </w:pPr>
          </w:p>
        </w:tc>
        <w:tc>
          <w:tcPr>
            <w:tcW w:w="1830" w:type="dxa"/>
            <w:tcBorders>
              <w:top w:val="single" w:color="auto" w:sz="6" w:space="0"/>
              <w:left w:val="single" w:color="auto" w:sz="6" w:space="0"/>
              <w:bottom w:val="single" w:color="auto" w:sz="6" w:space="0"/>
              <w:right w:val="single" w:color="auto" w:sz="6" w:space="0"/>
            </w:tcBorders>
          </w:tcPr>
          <w:p w14:paraId="16D8C5DA">
            <w:pPr>
              <w:spacing w:line="400" w:lineRule="atLeast"/>
              <w:rPr>
                <w:color w:val="auto"/>
                <w:highlight w:val="none"/>
              </w:rPr>
            </w:pPr>
          </w:p>
        </w:tc>
        <w:tc>
          <w:tcPr>
            <w:tcW w:w="1830" w:type="dxa"/>
            <w:tcBorders>
              <w:top w:val="single" w:color="auto" w:sz="6" w:space="0"/>
              <w:left w:val="nil"/>
              <w:bottom w:val="single" w:color="auto" w:sz="6" w:space="0"/>
              <w:right w:val="single" w:color="auto" w:sz="6" w:space="0"/>
            </w:tcBorders>
          </w:tcPr>
          <w:p w14:paraId="285D33F6">
            <w:pPr>
              <w:spacing w:line="400" w:lineRule="atLeast"/>
              <w:rPr>
                <w:color w:val="auto"/>
                <w:highlight w:val="none"/>
              </w:rPr>
            </w:pPr>
          </w:p>
        </w:tc>
      </w:tr>
      <w:tr w14:paraId="40FC858B">
        <w:tblPrEx>
          <w:tblCellMar>
            <w:top w:w="0" w:type="dxa"/>
            <w:left w:w="28" w:type="dxa"/>
            <w:bottom w:w="0" w:type="dxa"/>
            <w:right w:w="28" w:type="dxa"/>
          </w:tblCellMar>
        </w:tblPrEx>
        <w:trPr>
          <w:jc w:val="center"/>
        </w:trPr>
        <w:tc>
          <w:tcPr>
            <w:tcW w:w="840" w:type="dxa"/>
            <w:tcBorders>
              <w:top w:val="single" w:color="auto" w:sz="6" w:space="0"/>
              <w:left w:val="single" w:color="auto" w:sz="6" w:space="0"/>
              <w:bottom w:val="single" w:color="auto" w:sz="6" w:space="0"/>
            </w:tcBorders>
          </w:tcPr>
          <w:p w14:paraId="17DA06EA">
            <w:pPr>
              <w:spacing w:line="400" w:lineRule="atLeast"/>
              <w:rPr>
                <w:color w:val="auto"/>
                <w:highlight w:val="none"/>
              </w:rPr>
            </w:pPr>
          </w:p>
        </w:tc>
        <w:tc>
          <w:tcPr>
            <w:tcW w:w="1830" w:type="dxa"/>
            <w:tcBorders>
              <w:top w:val="single" w:color="auto" w:sz="6" w:space="0"/>
              <w:left w:val="single" w:color="auto" w:sz="6" w:space="0"/>
              <w:bottom w:val="single" w:color="auto" w:sz="6" w:space="0"/>
              <w:right w:val="single" w:color="auto" w:sz="6" w:space="0"/>
            </w:tcBorders>
          </w:tcPr>
          <w:p w14:paraId="2D103A4E">
            <w:pPr>
              <w:spacing w:line="400" w:lineRule="atLeast"/>
              <w:rPr>
                <w:color w:val="auto"/>
                <w:highlight w:val="none"/>
              </w:rPr>
            </w:pPr>
          </w:p>
        </w:tc>
        <w:tc>
          <w:tcPr>
            <w:tcW w:w="1830" w:type="dxa"/>
            <w:tcBorders>
              <w:top w:val="single" w:color="auto" w:sz="6" w:space="0"/>
              <w:left w:val="nil"/>
              <w:bottom w:val="single" w:color="auto" w:sz="6" w:space="0"/>
            </w:tcBorders>
          </w:tcPr>
          <w:p w14:paraId="43D6CB00">
            <w:pPr>
              <w:spacing w:line="400" w:lineRule="atLeast"/>
              <w:rPr>
                <w:color w:val="auto"/>
                <w:highlight w:val="none"/>
              </w:rPr>
            </w:pPr>
          </w:p>
        </w:tc>
        <w:tc>
          <w:tcPr>
            <w:tcW w:w="1830" w:type="dxa"/>
            <w:tcBorders>
              <w:top w:val="single" w:color="auto" w:sz="6" w:space="0"/>
              <w:left w:val="single" w:color="auto" w:sz="6" w:space="0"/>
              <w:bottom w:val="single" w:color="auto" w:sz="6" w:space="0"/>
              <w:right w:val="single" w:color="auto" w:sz="6" w:space="0"/>
            </w:tcBorders>
          </w:tcPr>
          <w:p w14:paraId="54839E07">
            <w:pPr>
              <w:spacing w:line="400" w:lineRule="atLeast"/>
              <w:rPr>
                <w:color w:val="auto"/>
                <w:highlight w:val="none"/>
              </w:rPr>
            </w:pPr>
          </w:p>
        </w:tc>
        <w:tc>
          <w:tcPr>
            <w:tcW w:w="1830" w:type="dxa"/>
            <w:tcBorders>
              <w:top w:val="single" w:color="auto" w:sz="6" w:space="0"/>
              <w:left w:val="nil"/>
              <w:bottom w:val="single" w:color="auto" w:sz="6" w:space="0"/>
              <w:right w:val="single" w:color="auto" w:sz="6" w:space="0"/>
            </w:tcBorders>
          </w:tcPr>
          <w:p w14:paraId="684E75A3">
            <w:pPr>
              <w:spacing w:line="400" w:lineRule="atLeast"/>
              <w:rPr>
                <w:color w:val="auto"/>
                <w:highlight w:val="none"/>
              </w:rPr>
            </w:pPr>
          </w:p>
        </w:tc>
      </w:tr>
      <w:tr w14:paraId="110B5160">
        <w:tblPrEx>
          <w:tblCellMar>
            <w:top w:w="0" w:type="dxa"/>
            <w:left w:w="28" w:type="dxa"/>
            <w:bottom w:w="0" w:type="dxa"/>
            <w:right w:w="28" w:type="dxa"/>
          </w:tblCellMar>
        </w:tblPrEx>
        <w:trPr>
          <w:jc w:val="center"/>
        </w:trPr>
        <w:tc>
          <w:tcPr>
            <w:tcW w:w="840" w:type="dxa"/>
            <w:tcBorders>
              <w:top w:val="single" w:color="auto" w:sz="6" w:space="0"/>
              <w:left w:val="single" w:color="auto" w:sz="6" w:space="0"/>
              <w:bottom w:val="single" w:color="auto" w:sz="6" w:space="0"/>
            </w:tcBorders>
          </w:tcPr>
          <w:p w14:paraId="657D49DF">
            <w:pPr>
              <w:spacing w:line="400" w:lineRule="atLeast"/>
              <w:rPr>
                <w:color w:val="auto"/>
                <w:highlight w:val="none"/>
              </w:rPr>
            </w:pPr>
          </w:p>
        </w:tc>
        <w:tc>
          <w:tcPr>
            <w:tcW w:w="1830" w:type="dxa"/>
            <w:tcBorders>
              <w:top w:val="single" w:color="auto" w:sz="6" w:space="0"/>
              <w:left w:val="single" w:color="auto" w:sz="6" w:space="0"/>
              <w:bottom w:val="single" w:color="auto" w:sz="6" w:space="0"/>
              <w:right w:val="single" w:color="auto" w:sz="6" w:space="0"/>
            </w:tcBorders>
          </w:tcPr>
          <w:p w14:paraId="484752FB">
            <w:pPr>
              <w:spacing w:line="400" w:lineRule="atLeast"/>
              <w:rPr>
                <w:color w:val="auto"/>
                <w:highlight w:val="none"/>
              </w:rPr>
            </w:pPr>
          </w:p>
        </w:tc>
        <w:tc>
          <w:tcPr>
            <w:tcW w:w="1830" w:type="dxa"/>
            <w:tcBorders>
              <w:top w:val="single" w:color="auto" w:sz="6" w:space="0"/>
              <w:left w:val="nil"/>
              <w:bottom w:val="single" w:color="auto" w:sz="6" w:space="0"/>
            </w:tcBorders>
          </w:tcPr>
          <w:p w14:paraId="7F12AFBD">
            <w:pPr>
              <w:spacing w:line="400" w:lineRule="atLeast"/>
              <w:rPr>
                <w:color w:val="auto"/>
                <w:highlight w:val="none"/>
              </w:rPr>
            </w:pPr>
          </w:p>
        </w:tc>
        <w:tc>
          <w:tcPr>
            <w:tcW w:w="1830" w:type="dxa"/>
            <w:tcBorders>
              <w:top w:val="single" w:color="auto" w:sz="6" w:space="0"/>
              <w:left w:val="single" w:color="auto" w:sz="6" w:space="0"/>
              <w:bottom w:val="single" w:color="auto" w:sz="6" w:space="0"/>
              <w:right w:val="single" w:color="auto" w:sz="6" w:space="0"/>
            </w:tcBorders>
          </w:tcPr>
          <w:p w14:paraId="5F259F31">
            <w:pPr>
              <w:spacing w:line="400" w:lineRule="atLeast"/>
              <w:rPr>
                <w:color w:val="auto"/>
                <w:highlight w:val="none"/>
              </w:rPr>
            </w:pPr>
          </w:p>
        </w:tc>
        <w:tc>
          <w:tcPr>
            <w:tcW w:w="1830" w:type="dxa"/>
            <w:tcBorders>
              <w:top w:val="single" w:color="auto" w:sz="6" w:space="0"/>
              <w:left w:val="nil"/>
              <w:bottom w:val="single" w:color="auto" w:sz="6" w:space="0"/>
              <w:right w:val="single" w:color="auto" w:sz="6" w:space="0"/>
            </w:tcBorders>
          </w:tcPr>
          <w:p w14:paraId="6BCC5584">
            <w:pPr>
              <w:spacing w:line="400" w:lineRule="atLeast"/>
              <w:rPr>
                <w:color w:val="auto"/>
                <w:highlight w:val="none"/>
              </w:rPr>
            </w:pPr>
          </w:p>
        </w:tc>
      </w:tr>
    </w:tbl>
    <w:p w14:paraId="5CEFE282">
      <w:pPr>
        <w:spacing w:line="360" w:lineRule="auto"/>
        <w:rPr>
          <w:rFonts w:ascii="宋体"/>
          <w:b/>
          <w:color w:val="auto"/>
          <w:szCs w:val="28"/>
          <w:highlight w:val="none"/>
        </w:rPr>
      </w:pPr>
    </w:p>
    <w:p w14:paraId="6452CE0A">
      <w:pPr>
        <w:pStyle w:val="181"/>
        <w:rPr>
          <w:rFonts w:hint="eastAsia" w:ascii="宋体" w:hAnsi="宋体" w:eastAsia="宋体" w:cs="宋体"/>
          <w:color w:val="auto"/>
          <w:highlight w:val="none"/>
        </w:rPr>
      </w:pPr>
      <w:r>
        <w:rPr>
          <w:rFonts w:ascii="宋体"/>
          <w:b/>
          <w:color w:val="auto"/>
          <w:sz w:val="30"/>
          <w:szCs w:val="30"/>
          <w:highlight w:val="none"/>
        </w:rPr>
        <w:br w:type="page"/>
      </w:r>
    </w:p>
    <w:bookmarkEnd w:id="93"/>
    <w:bookmarkEnd w:id="94"/>
    <w:bookmarkEnd w:id="95"/>
    <w:bookmarkEnd w:id="96"/>
    <w:bookmarkEnd w:id="97"/>
    <w:p w14:paraId="3248A5B6">
      <w:pPr>
        <w:pStyle w:val="181"/>
        <w:rPr>
          <w:rFonts w:hint="eastAsia" w:ascii="宋体" w:hAnsi="宋体" w:eastAsia="宋体" w:cs="宋体"/>
          <w:b/>
          <w:color w:val="auto"/>
          <w:sz w:val="30"/>
          <w:szCs w:val="30"/>
          <w:highlight w:val="none"/>
        </w:rPr>
      </w:pPr>
      <w:bookmarkStart w:id="101" w:name="_Toc334015530"/>
      <w:bookmarkStart w:id="102" w:name="_Toc380835220"/>
      <w:bookmarkStart w:id="103" w:name="_Toc415140566"/>
      <w:bookmarkStart w:id="104" w:name="_Toc367697183"/>
      <w:bookmarkStart w:id="105" w:name="_Toc5370792"/>
      <w:r>
        <w:rPr>
          <w:rFonts w:hint="eastAsia" w:ascii="宋体" w:hAnsi="宋体" w:eastAsia="宋体" w:cs="宋体"/>
          <w:b/>
          <w:color w:val="auto"/>
          <w:sz w:val="30"/>
          <w:szCs w:val="30"/>
          <w:highlight w:val="none"/>
        </w:rPr>
        <w:t>附件11  附图</w:t>
      </w:r>
      <w:bookmarkEnd w:id="101"/>
    </w:p>
    <w:p w14:paraId="483C752F">
      <w:pPr>
        <w:pStyle w:val="181"/>
        <w:rPr>
          <w:rFonts w:hint="eastAsia" w:ascii="宋体" w:hAnsi="宋体" w:eastAsia="宋体" w:cs="宋体"/>
          <w:color w:val="auto"/>
          <w:sz w:val="30"/>
          <w:szCs w:val="30"/>
          <w:highlight w:val="none"/>
        </w:rPr>
      </w:pPr>
      <w:r>
        <w:rPr>
          <w:rFonts w:hint="eastAsia" w:ascii="宋体" w:hAnsi="宋体" w:eastAsia="宋体" w:cs="宋体"/>
          <w:b/>
          <w:color w:val="auto"/>
          <w:sz w:val="30"/>
          <w:szCs w:val="30"/>
          <w:highlight w:val="none"/>
          <w:lang w:val="en-US" w:eastAsia="zh-CN"/>
        </w:rPr>
        <w:t>无</w:t>
      </w:r>
    </w:p>
    <w:p w14:paraId="1E3049C0">
      <w:pPr>
        <w:rPr>
          <w:rFonts w:hint="eastAsia" w:ascii="宋体" w:hAnsi="宋体" w:eastAsia="宋体" w:cs="宋体"/>
          <w:color w:val="auto"/>
          <w:highlight w:val="none"/>
        </w:rPr>
      </w:pPr>
      <w:r>
        <w:rPr>
          <w:rFonts w:hint="eastAsia" w:ascii="宋体" w:hAnsi="宋体" w:eastAsia="宋体" w:cs="宋体"/>
          <w:color w:val="auto"/>
          <w:highlight w:val="none"/>
        </w:rPr>
        <w:br w:type="page"/>
      </w:r>
    </w:p>
    <w:p w14:paraId="7421C018">
      <w:pPr>
        <w:spacing w:line="360" w:lineRule="auto"/>
        <w:outlineLvl w:val="0"/>
        <w:rPr>
          <w:b/>
          <w:color w:val="auto"/>
          <w:sz w:val="30"/>
          <w:szCs w:val="30"/>
          <w:highlight w:val="none"/>
        </w:rPr>
      </w:pPr>
      <w:bookmarkStart w:id="106" w:name="_Toc334015531"/>
      <w:r>
        <w:rPr>
          <w:rFonts w:hint="eastAsia"/>
          <w:b/>
          <w:color w:val="auto"/>
          <w:sz w:val="30"/>
          <w:szCs w:val="30"/>
          <w:highlight w:val="none"/>
        </w:rPr>
        <w:t>附件</w:t>
      </w:r>
      <w:r>
        <w:rPr>
          <w:b/>
          <w:color w:val="auto"/>
          <w:sz w:val="30"/>
          <w:szCs w:val="30"/>
          <w:highlight w:val="none"/>
        </w:rPr>
        <w:t xml:space="preserve">12 </w:t>
      </w:r>
      <w:r>
        <w:rPr>
          <w:rFonts w:hint="eastAsia"/>
          <w:b/>
          <w:color w:val="auto"/>
          <w:sz w:val="30"/>
          <w:szCs w:val="30"/>
          <w:highlight w:val="none"/>
        </w:rPr>
        <w:t>性能考核</w:t>
      </w:r>
      <w:bookmarkEnd w:id="106"/>
    </w:p>
    <w:p w14:paraId="0B1D3A69">
      <w:pPr>
        <w:adjustRightInd w:val="0"/>
        <w:spacing w:line="360" w:lineRule="auto"/>
        <w:ind w:firstLine="480" w:firstLineChars="200"/>
        <w:textAlignment w:val="baseline"/>
        <w:rPr>
          <w:rFonts w:ascii="宋体" w:hAnsi="宋体"/>
          <w:color w:val="auto"/>
          <w:sz w:val="24"/>
          <w:szCs w:val="24"/>
          <w:highlight w:val="none"/>
        </w:rPr>
      </w:pPr>
      <w:r>
        <w:rPr>
          <w:rFonts w:hint="eastAsia" w:ascii="宋体" w:hAnsi="宋体"/>
          <w:color w:val="auto"/>
          <w:sz w:val="24"/>
          <w:szCs w:val="24"/>
          <w:highlight w:val="none"/>
        </w:rPr>
        <w:t>1、主机（服务器、工作站）稳定性：发生死机，投标人免费整改至技术规范书的要求，并支付</w:t>
      </w:r>
      <w:r>
        <w:rPr>
          <w:rFonts w:hint="eastAsia"/>
          <w:color w:val="auto"/>
          <w:sz w:val="24"/>
          <w:szCs w:val="24"/>
          <w:highlight w:val="none"/>
          <w:lang w:val="en-US" w:eastAsia="zh-CN"/>
        </w:rPr>
        <w:t>1</w:t>
      </w:r>
      <w:r>
        <w:rPr>
          <w:rFonts w:hint="eastAsia" w:ascii="宋体" w:hAnsi="宋体"/>
          <w:color w:val="auto"/>
          <w:sz w:val="24"/>
          <w:szCs w:val="24"/>
          <w:highlight w:val="none"/>
        </w:rPr>
        <w:t>万元/台次的违约金。</w:t>
      </w:r>
    </w:p>
    <w:p w14:paraId="1178442E">
      <w:pPr>
        <w:adjustRightInd w:val="0"/>
        <w:spacing w:line="360" w:lineRule="auto"/>
        <w:ind w:firstLine="480" w:firstLineChars="200"/>
        <w:textAlignment w:val="baseline"/>
        <w:rPr>
          <w:rFonts w:ascii="宋体" w:hAnsi="宋体"/>
          <w:color w:val="auto"/>
          <w:sz w:val="24"/>
          <w:szCs w:val="24"/>
          <w:highlight w:val="none"/>
        </w:rPr>
      </w:pPr>
      <w:r>
        <w:rPr>
          <w:rFonts w:hint="eastAsia" w:ascii="宋体" w:hAnsi="宋体"/>
          <w:color w:val="auto"/>
          <w:sz w:val="24"/>
          <w:szCs w:val="24"/>
          <w:highlight w:val="none"/>
        </w:rPr>
        <w:t>2、网络/总线中断：发生全中断，投标人免费整改至技术规范书的要求，并支付</w:t>
      </w:r>
      <w:r>
        <w:rPr>
          <w:rFonts w:hint="eastAsia"/>
          <w:color w:val="auto"/>
          <w:sz w:val="24"/>
          <w:szCs w:val="24"/>
          <w:highlight w:val="none"/>
          <w:lang w:val="en-US" w:eastAsia="zh-CN"/>
        </w:rPr>
        <w:t>0.5</w:t>
      </w:r>
      <w:r>
        <w:rPr>
          <w:rFonts w:hint="eastAsia" w:ascii="宋体" w:hAnsi="宋体"/>
          <w:color w:val="auto"/>
          <w:sz w:val="24"/>
          <w:szCs w:val="24"/>
          <w:highlight w:val="none"/>
        </w:rPr>
        <w:t>万元/次的违约金。</w:t>
      </w:r>
    </w:p>
    <w:p w14:paraId="747F0CE1">
      <w:pPr>
        <w:adjustRightInd w:val="0"/>
        <w:spacing w:line="360" w:lineRule="auto"/>
        <w:ind w:firstLine="480" w:firstLineChars="200"/>
        <w:textAlignment w:val="baseline"/>
        <w:rPr>
          <w:rFonts w:ascii="宋体" w:hAnsi="宋体"/>
          <w:color w:val="auto"/>
          <w:sz w:val="24"/>
          <w:szCs w:val="24"/>
          <w:highlight w:val="none"/>
        </w:rPr>
      </w:pPr>
      <w:r>
        <w:rPr>
          <w:rFonts w:hint="eastAsia" w:ascii="宋体" w:hAnsi="宋体"/>
          <w:color w:val="auto"/>
          <w:sz w:val="24"/>
          <w:szCs w:val="24"/>
          <w:highlight w:val="none"/>
        </w:rPr>
        <w:t>3、测量精度：测量精度不符合要求，投标人免费整改至技术规范书的要求，并支付0.05万元/台次的违约金。</w:t>
      </w:r>
    </w:p>
    <w:p w14:paraId="6A70A3DC">
      <w:pPr>
        <w:adjustRightInd w:val="0"/>
        <w:spacing w:line="360" w:lineRule="auto"/>
        <w:ind w:firstLine="480" w:firstLineChars="200"/>
        <w:textAlignment w:val="baseline"/>
        <w:rPr>
          <w:rFonts w:ascii="宋体" w:hAnsi="宋体"/>
          <w:color w:val="auto"/>
          <w:sz w:val="24"/>
          <w:szCs w:val="24"/>
          <w:highlight w:val="none"/>
        </w:rPr>
      </w:pPr>
      <w:r>
        <w:rPr>
          <w:rFonts w:hint="eastAsia" w:ascii="宋体" w:hAnsi="宋体"/>
          <w:color w:val="auto"/>
          <w:sz w:val="24"/>
          <w:szCs w:val="24"/>
          <w:highlight w:val="none"/>
        </w:rPr>
        <w:t>4、动作正确性：发生拒动、误动，投标人免费整改至技术规范书的要求，并支付</w:t>
      </w:r>
      <w:r>
        <w:rPr>
          <w:rFonts w:hint="eastAsia"/>
          <w:color w:val="auto"/>
          <w:sz w:val="24"/>
          <w:szCs w:val="24"/>
          <w:highlight w:val="none"/>
          <w:lang w:val="en-US" w:eastAsia="zh-CN"/>
        </w:rPr>
        <w:t>0.5</w:t>
      </w:r>
      <w:r>
        <w:rPr>
          <w:rFonts w:hint="eastAsia" w:ascii="宋体" w:hAnsi="宋体"/>
          <w:color w:val="auto"/>
          <w:sz w:val="24"/>
          <w:szCs w:val="24"/>
          <w:highlight w:val="none"/>
        </w:rPr>
        <w:t>万元/次的违约金。</w:t>
      </w:r>
    </w:p>
    <w:bookmarkEnd w:id="102"/>
    <w:bookmarkEnd w:id="103"/>
    <w:bookmarkEnd w:id="104"/>
    <w:bookmarkEnd w:id="105"/>
    <w:p w14:paraId="73E2D04C">
      <w:pPr>
        <w:widowControl/>
        <w:ind w:firstLine="0"/>
        <w:rPr>
          <w:rFonts w:hint="eastAsia" w:ascii="Calibri" w:hAnsi="Calibri" w:cs="Times New Roman"/>
          <w:color w:val="auto"/>
          <w:kern w:val="2"/>
          <w:highlight w:val="none"/>
          <w:lang w:eastAsia="zh-CN"/>
        </w:rPr>
      </w:pPr>
      <w:r>
        <w:rPr>
          <w:rFonts w:hint="eastAsia" w:ascii="Calibri" w:hAnsi="Calibri" w:cs="Times New Roman"/>
          <w:color w:val="auto"/>
          <w:kern w:val="2"/>
          <w:highlight w:val="none"/>
          <w:lang w:eastAsia="zh-CN"/>
        </w:rPr>
        <w:br w:type="page"/>
      </w:r>
    </w:p>
    <w:p w14:paraId="6FE54BA7">
      <w:pPr>
        <w:pStyle w:val="3"/>
        <w:rPr>
          <w:rFonts w:hint="eastAsia" w:ascii="宋体" w:hAnsi="宋体" w:eastAsia="宋体" w:cs="宋体"/>
          <w:color w:val="auto"/>
          <w:sz w:val="30"/>
          <w:szCs w:val="30"/>
          <w:highlight w:val="none"/>
        </w:rPr>
      </w:pPr>
      <w:bookmarkStart w:id="107" w:name="_Toc28940970"/>
      <w:bookmarkStart w:id="108" w:name="_Toc197658021"/>
      <w:bookmarkStart w:id="109" w:name="_Toc203236148"/>
      <w:bookmarkStart w:id="110" w:name="_Toc27813181"/>
      <w:bookmarkStart w:id="111" w:name="_Toc28348699"/>
      <w:bookmarkStart w:id="112" w:name="_Toc334015532"/>
      <w:r>
        <w:rPr>
          <w:rFonts w:hint="eastAsia" w:ascii="宋体" w:hAnsi="宋体" w:eastAsia="宋体" w:cs="宋体"/>
          <w:color w:val="auto"/>
          <w:sz w:val="30"/>
          <w:szCs w:val="30"/>
          <w:highlight w:val="none"/>
        </w:rPr>
        <w:t xml:space="preserve">附件13 </w:t>
      </w:r>
      <w:bookmarkEnd w:id="107"/>
      <w:bookmarkEnd w:id="108"/>
      <w:bookmarkEnd w:id="109"/>
      <w:bookmarkEnd w:id="110"/>
      <w:bookmarkEnd w:id="111"/>
      <w:r>
        <w:rPr>
          <w:rFonts w:hint="eastAsia" w:ascii="宋体" w:hAnsi="宋体" w:eastAsia="宋体" w:cs="宋体"/>
          <w:color w:val="auto"/>
          <w:kern w:val="2"/>
          <w:sz w:val="30"/>
          <w:szCs w:val="30"/>
          <w:highlight w:val="none"/>
        </w:rPr>
        <w:t>投标人需要说明的其他问题（质量承诺及售后服务承诺等）</w:t>
      </w:r>
      <w:bookmarkEnd w:id="112"/>
    </w:p>
    <w:p w14:paraId="48E83E72">
      <w:pPr>
        <w:spacing w:line="360" w:lineRule="auto"/>
        <w:ind w:firstLine="420"/>
        <w:rPr>
          <w:rFonts w:hAnsi="宋体"/>
          <w:color w:val="auto"/>
          <w:sz w:val="24"/>
          <w:highlight w:val="none"/>
        </w:rPr>
      </w:pPr>
    </w:p>
    <w:p w14:paraId="313433AD">
      <w:pPr>
        <w:spacing w:line="360" w:lineRule="auto"/>
        <w:ind w:firstLine="420"/>
        <w:rPr>
          <w:color w:val="auto"/>
          <w:sz w:val="24"/>
          <w:highlight w:val="none"/>
        </w:rPr>
      </w:pPr>
      <w:r>
        <w:rPr>
          <w:rFonts w:hAnsi="宋体"/>
          <w:color w:val="auto"/>
          <w:sz w:val="24"/>
          <w:highlight w:val="none"/>
        </w:rPr>
        <w:t>投标人提供在专业技术、设备设施、人员组织、业绩经验等方面具有设计、制造、质量控制、经营管理的相应的资格和能力的资料。</w:t>
      </w:r>
    </w:p>
    <w:p w14:paraId="7CB430DC">
      <w:pPr>
        <w:pStyle w:val="21"/>
        <w:rPr>
          <w:rFonts w:hint="eastAsia"/>
          <w:color w:val="auto"/>
          <w:highlight w:val="none"/>
          <w:lang w:eastAsia="zh-CN"/>
        </w:rPr>
      </w:pPr>
    </w:p>
    <w:sectPr>
      <w:headerReference r:id="rId9" w:type="default"/>
      <w:footerReference r:id="rId10" w:type="default"/>
      <w:pgSz w:w="12240" w:h="15840"/>
      <w:pgMar w:top="1440" w:right="1800" w:bottom="1440" w:left="1800" w:header="720" w:footer="720" w:gutter="0"/>
      <w:pgNumType w:fmt="decimal"/>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4F"/>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S Gothic">
    <w:panose1 w:val="020B0609070205080204"/>
    <w:charset w:val="80"/>
    <w:family w:val="auto"/>
    <w:pitch w:val="default"/>
    <w:sig w:usb0="E00002FF" w:usb1="6AC7FDFB" w:usb2="08000012" w:usb3="00000000" w:csb0="4002009F" w:csb1="DFD70000"/>
  </w:font>
  <w:font w:name="Courier">
    <w:altName w:val="Courier New"/>
    <w:panose1 w:val="02060409020205020404"/>
    <w:charset w:val="00"/>
    <w:family w:val="auto"/>
    <w:pitch w:val="default"/>
    <w:sig w:usb0="00000000" w:usb1="00000000" w:usb2="00000000" w:usb3="00000000" w:csb0="00000000" w:csb1="00000000"/>
  </w:font>
  <w:font w:name="ＭＳ 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 w:name="EU-F1">
    <w:altName w:val="宋体"/>
    <w:panose1 w:val="00000000000000000000"/>
    <w:charset w:val="86"/>
    <w:family w:val="script"/>
    <w:pitch w:val="default"/>
    <w:sig w:usb0="00000000" w:usb1="00000000" w:usb2="00000010" w:usb3="00000000" w:csb0="00040000" w:csb1="00000000"/>
  </w:font>
  <w:font w:name="Book Antiqua">
    <w:panose1 w:val="02040602050305030304"/>
    <w:charset w:val="00"/>
    <w:family w:val="roman"/>
    <w:pitch w:val="default"/>
    <w:sig w:usb0="00000287" w:usb1="00000000" w:usb2="00000000" w:usb3="00000000" w:csb0="2000009F" w:csb1="DFD7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EC8414">
    <w:pPr>
      <w:pStyle w:val="31"/>
      <w:tabs>
        <w:tab w:val="center" w:pos="4153"/>
        <w:tab w:val="right" w:pos="8306"/>
        <w:tab w:val="clear" w:pos="4680"/>
        <w:tab w:val="clear" w:pos="9360"/>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497078">
    <w:pPr>
      <w:pStyle w:val="31"/>
      <w:tabs>
        <w:tab w:val="center" w:pos="4153"/>
        <w:tab w:val="right" w:pos="8306"/>
        <w:tab w:val="clear" w:pos="4680"/>
        <w:tab w:val="clear" w:pos="9360"/>
      </w:tabs>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2ECBD9">
    <w:pPr>
      <w:pStyle w:val="31"/>
      <w:tabs>
        <w:tab w:val="center" w:pos="4153"/>
        <w:tab w:val="right" w:pos="8306"/>
        <w:tab w:val="clear" w:pos="4680"/>
        <w:tab w:val="clear" w:pos="9360"/>
      </w:tabs>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E78842B">
                          <w:pPr>
                            <w:pStyle w:val="31"/>
                            <w:tabs>
                              <w:tab w:val="center" w:pos="4153"/>
                              <w:tab w:val="right" w:pos="8306"/>
                              <w:tab w:val="clear" w:pos="4680"/>
                              <w:tab w:val="clear" w:pos="9360"/>
                            </w:tabs>
                            <w:rPr>
                              <w:rFonts w:hint="eastAsia"/>
                            </w:rPr>
                          </w:pPr>
                          <w:r>
                            <w:rPr>
                              <w:rFonts w:hint="eastAsia"/>
                            </w:rPr>
                            <w:fldChar w:fldCharType="begin"/>
                          </w:r>
                          <w:r>
                            <w:rPr>
                              <w:rFonts w:hint="eastAsia"/>
                            </w:rPr>
                            <w:instrText xml:space="preserve"> PAGE  \* MERGEFORMAT </w:instrText>
                          </w:r>
                          <w:r>
                            <w:rPr>
                              <w:rFonts w:hint="eastAsia"/>
                            </w:rPr>
                            <w:fldChar w:fldCharType="separate"/>
                          </w:r>
                          <w:r>
                            <w:rPr>
                              <w:rFonts w:hint="eastAsia"/>
                            </w:rPr>
                            <w:t>- 1 -</w:t>
                          </w:r>
                          <w:r>
                            <w:rPr>
                              <w:rFonts w:hint="eastAsia"/>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JDkjEckBAACZAwAADgAAAGRycy9lMm9Eb2MueG1srVPNjtMwEL4j8Q6W&#10;79TZSou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NieMWB37++eP868/593dy&#10;neXpA9SYdR8wLw3v/IBLM/sBnZn1oKLNX+RDMI7ini7iyiERkR+tlqtVhSGBsfmC+OzheYiQ3ktv&#10;STYaGnF6RVR+/AhpTJ1TcjXn77QxZYLG/eNAzOxhufexx2ylYTdMhHa+PSGfHgffUId7Ton54FDX&#10;vCOzEWdjNxuHEPW+K0uU60G4PSRsovSWK4ywU2GcWGE3bVdeicf3kvXwR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kOSMRyQEAAJkDAAAOAAAAAAAAAAEAIAAAAB4BAABkcnMvZTJvRG9j&#10;LnhtbFBLBQYAAAAABgAGAFkBAABZBQAAAAA=&#10;">
              <v:fill on="f" focussize="0,0"/>
              <v:stroke on="f"/>
              <v:imagedata o:title=""/>
              <o:lock v:ext="edit" aspectratio="f"/>
              <v:textbox inset="0mm,0mm,0mm,0mm" style="mso-fit-shape-to-text:t;">
                <w:txbxContent>
                  <w:p w14:paraId="7E78842B">
                    <w:pPr>
                      <w:pStyle w:val="31"/>
                      <w:tabs>
                        <w:tab w:val="center" w:pos="4153"/>
                        <w:tab w:val="right" w:pos="8306"/>
                        <w:tab w:val="clear" w:pos="4680"/>
                        <w:tab w:val="clear" w:pos="9360"/>
                      </w:tabs>
                      <w:rPr>
                        <w:rFonts w:hint="eastAsia"/>
                      </w:rPr>
                    </w:pPr>
                    <w:r>
                      <w:rPr>
                        <w:rFonts w:hint="eastAsia"/>
                      </w:rPr>
                      <w:fldChar w:fldCharType="begin"/>
                    </w:r>
                    <w:r>
                      <w:rPr>
                        <w:rFonts w:hint="eastAsia"/>
                      </w:rPr>
                      <w:instrText xml:space="preserve"> PAGE  \* MERGEFORMAT </w:instrText>
                    </w:r>
                    <w:r>
                      <w:rPr>
                        <w:rFonts w:hint="eastAsia"/>
                      </w:rPr>
                      <w:fldChar w:fldCharType="separate"/>
                    </w:r>
                    <w:r>
                      <w:rPr>
                        <w:rFonts w:hint="eastAsia"/>
                      </w:rPr>
                      <w:t>- 1 -</w:t>
                    </w:r>
                    <w:r>
                      <w:rPr>
                        <w:rFonts w:hint="eastAsia"/>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5CA1E2">
    <w:pPr>
      <w:pStyle w:val="31"/>
    </w:pPr>
    <w:r>
      <w:rPr>
        <w:sz w:val="21"/>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9E0E43F">
                          <w:pPr>
                            <w:pStyle w:val="31"/>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- 1 -</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69E0E43F">
                    <w:pPr>
                      <w:pStyle w:val="31"/>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- 1 -</w:t>
                    </w:r>
                    <w:r>
                      <w:rPr>
                        <w:rFonts w:hint="eastAsia"/>
                        <w:lang w:eastAsia="zh-CN"/>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2A1972">
    <w:pPr>
      <w:pStyle w:val="32"/>
      <w:pBdr>
        <w:bottom w:val="single" w:color="auto" w:sz="4" w:space="0"/>
      </w:pBdr>
      <w:tabs>
        <w:tab w:val="center" w:pos="4153"/>
        <w:tab w:val="right" w:pos="8306"/>
        <w:tab w:val="clear" w:pos="4680"/>
        <w:tab w:val="clear" w:pos="9360"/>
      </w:tabs>
      <w:rPr>
        <w:rFonts w:asciiTheme="minorEastAsia" w:hAnsiTheme="minorEastAsia" w:cstheme="minorEastAsia"/>
        <w:sz w:val="18"/>
        <w:szCs w:val="18"/>
      </w:rPr>
    </w:pPr>
    <w:r>
      <w:rPr>
        <w:rFonts w:hint="default" w:asciiTheme="minorEastAsia" w:hAnsiTheme="minorEastAsia" w:cstheme="minorEastAsia"/>
        <w:sz w:val="18"/>
        <w:szCs w:val="18"/>
      </w:rPr>
      <w:t>浙能武威</w:t>
    </w:r>
    <w:r>
      <w:rPr>
        <w:rFonts w:hint="eastAsia"/>
      </w:rPr>
      <w:t>2×1000 MW</w:t>
    </w:r>
    <w:r>
      <w:rPr>
        <w:rFonts w:hint="default" w:asciiTheme="minorEastAsia" w:hAnsiTheme="minorEastAsia" w:cstheme="minorEastAsia"/>
        <w:sz w:val="18"/>
        <w:szCs w:val="18"/>
      </w:rPr>
      <w:t>调峰火电机组工程</w:t>
    </w:r>
    <w:r>
      <w:rPr>
        <w:rFonts w:hint="default" w:asciiTheme="minorEastAsia" w:hAnsiTheme="minorEastAsia" w:cstheme="minorEastAsia"/>
        <w:sz w:val="18"/>
        <w:szCs w:val="18"/>
        <w:lang w:val="en-US" w:eastAsia="zh-CN"/>
      </w:rPr>
      <w:t xml:space="preserve">     </w:t>
    </w:r>
    <w:r>
      <w:rPr>
        <w:rFonts w:hint="eastAsia" w:asciiTheme="minorEastAsia" w:hAnsiTheme="minorEastAsia" w:cstheme="minorEastAsia"/>
        <w:sz w:val="18"/>
        <w:szCs w:val="18"/>
        <w:lang w:val="en-US" w:eastAsia="zh-CN"/>
      </w:rPr>
      <w:t xml:space="preserve">                  </w:t>
    </w:r>
    <w:r>
      <w:rPr>
        <w:rFonts w:hint="default" w:asciiTheme="minorEastAsia" w:hAnsiTheme="minorEastAsia" w:cstheme="minorEastAsia"/>
        <w:sz w:val="18"/>
        <w:szCs w:val="18"/>
        <w:lang w:val="en-US" w:eastAsia="zh-CN"/>
      </w:rPr>
      <w:t xml:space="preserve">   </w:t>
    </w:r>
    <w:r>
      <w:rPr>
        <w:rFonts w:hint="default" w:eastAsia="宋体" w:asciiTheme="minorEastAsia" w:hAnsiTheme="minorEastAsia" w:cstheme="minorEastAsia"/>
        <w:b w:val="0"/>
        <w:bCs w:val="0"/>
        <w:kern w:val="0"/>
        <w:sz w:val="18"/>
        <w:szCs w:val="18"/>
        <w:lang w:eastAsia="zh-CN"/>
      </w:rPr>
      <w:t>宽频同步相量测量装置</w:t>
    </w:r>
    <w:r>
      <w:rPr>
        <w:rFonts w:hint="default" w:asciiTheme="minorEastAsia" w:hAnsiTheme="minorEastAsia" w:cstheme="minorEastAsia"/>
        <w:sz w:val="18"/>
        <w:szCs w:val="18"/>
      </w:rPr>
      <w:t>招标文件技术规范书</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766E9B">
    <w:pPr>
      <w:pBdr>
        <w:bottom w:val="single" w:color="auto" w:sz="4" w:space="0"/>
      </w:pBdr>
      <w:jc w:val="right"/>
      <w:rPr>
        <w:rFonts w:hint="default" w:eastAsia="宋体"/>
        <w:lang w:val="en-US" w:eastAsia="zh-CN"/>
      </w:rPr>
    </w:pPr>
    <w:r>
      <w:rPr>
        <w:rFonts w:hint="default" w:asciiTheme="minorEastAsia" w:hAnsiTheme="minorEastAsia" w:cstheme="minorEastAsia"/>
        <w:sz w:val="18"/>
        <w:szCs w:val="18"/>
        <w:u w:val="none"/>
      </w:rPr>
      <w:t>浙能武威</w:t>
    </w:r>
    <w:r>
      <w:rPr>
        <w:rFonts w:hint="eastAsia"/>
        <w:u w:val="none"/>
      </w:rPr>
      <w:t>2×1000 MW</w:t>
    </w:r>
    <w:r>
      <w:rPr>
        <w:rFonts w:hint="default" w:asciiTheme="minorEastAsia" w:hAnsiTheme="minorEastAsia" w:cstheme="minorEastAsia"/>
        <w:sz w:val="18"/>
        <w:szCs w:val="18"/>
        <w:u w:val="none"/>
      </w:rPr>
      <w:t>调峰火电机组工程</w:t>
    </w:r>
    <w:r>
      <w:rPr>
        <w:rFonts w:hint="default" w:asciiTheme="minorEastAsia" w:hAnsiTheme="minorEastAsia" w:cstheme="minorEastAsia"/>
        <w:sz w:val="18"/>
        <w:szCs w:val="18"/>
        <w:u w:val="none"/>
        <w:lang w:val="en-US" w:eastAsia="zh-CN"/>
      </w:rPr>
      <w:t xml:space="preserve">     </w:t>
    </w:r>
    <w:r>
      <w:rPr>
        <w:rFonts w:hint="eastAsia" w:asciiTheme="minorEastAsia" w:hAnsiTheme="minorEastAsia" w:cstheme="minorEastAsia"/>
        <w:sz w:val="18"/>
        <w:szCs w:val="18"/>
        <w:u w:val="none"/>
        <w:lang w:val="en-US" w:eastAsia="zh-CN"/>
      </w:rPr>
      <w:t xml:space="preserve">                  </w:t>
    </w:r>
    <w:r>
      <w:rPr>
        <w:rFonts w:hint="default" w:asciiTheme="minorEastAsia" w:hAnsiTheme="minorEastAsia" w:cstheme="minorEastAsia"/>
        <w:sz w:val="18"/>
        <w:szCs w:val="18"/>
        <w:u w:val="none"/>
        <w:lang w:val="en-US" w:eastAsia="zh-CN"/>
      </w:rPr>
      <w:t xml:space="preserve">   </w:t>
    </w:r>
    <w:r>
      <w:rPr>
        <w:rFonts w:hint="default" w:eastAsia="宋体" w:asciiTheme="minorEastAsia" w:hAnsiTheme="minorEastAsia" w:cstheme="minorEastAsia"/>
        <w:b w:val="0"/>
        <w:bCs w:val="0"/>
        <w:kern w:val="0"/>
        <w:sz w:val="18"/>
        <w:szCs w:val="18"/>
        <w:u w:val="none"/>
        <w:lang w:eastAsia="zh-CN"/>
      </w:rPr>
      <w:t>宽频同步相量测量装置</w:t>
    </w:r>
    <w:r>
      <w:rPr>
        <w:rFonts w:hint="default" w:asciiTheme="minorEastAsia" w:hAnsiTheme="minorEastAsia" w:cstheme="minorEastAsia"/>
        <w:sz w:val="18"/>
        <w:szCs w:val="18"/>
        <w:u w:val="none"/>
      </w:rPr>
      <w:t>招标文件技术规范书</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7FE3FF0"/>
    <w:multiLevelType w:val="singleLevel"/>
    <w:tmpl w:val="F7FE3FF0"/>
    <w:lvl w:ilvl="0" w:tentative="0">
      <w:start w:val="1"/>
      <w:numFmt w:val="decimal"/>
      <w:lvlText w:val="%1)"/>
      <w:lvlJc w:val="left"/>
      <w:pPr>
        <w:tabs>
          <w:tab w:val="left" w:pos="927"/>
        </w:tabs>
        <w:ind w:left="567" w:firstLine="0"/>
      </w:pPr>
      <w:rPr>
        <w:rFonts w:hint="default" w:ascii="Book Antiqua" w:hAnsi="Book Antiqua"/>
      </w:rPr>
    </w:lvl>
  </w:abstractNum>
  <w:abstractNum w:abstractNumId="1">
    <w:nsid w:val="FFFFFF7E"/>
    <w:multiLevelType w:val="singleLevel"/>
    <w:tmpl w:val="FFFFFF7E"/>
    <w:lvl w:ilvl="0" w:tentative="0">
      <w:start w:val="1"/>
      <w:numFmt w:val="decimal"/>
      <w:pStyle w:val="23"/>
      <w:lvlText w:val="%1."/>
      <w:lvlJc w:val="left"/>
      <w:pPr>
        <w:tabs>
          <w:tab w:val="left" w:pos="1080"/>
        </w:tabs>
        <w:ind w:left="1080" w:hanging="360"/>
      </w:pPr>
    </w:lvl>
  </w:abstractNum>
  <w:abstractNum w:abstractNumId="2">
    <w:nsid w:val="FFFFFF7F"/>
    <w:multiLevelType w:val="singleLevel"/>
    <w:tmpl w:val="FFFFFF7F"/>
    <w:lvl w:ilvl="0" w:tentative="0">
      <w:start w:val="1"/>
      <w:numFmt w:val="decimal"/>
      <w:pStyle w:val="14"/>
      <w:lvlText w:val="%1."/>
      <w:lvlJc w:val="left"/>
      <w:pPr>
        <w:tabs>
          <w:tab w:val="left" w:pos="720"/>
        </w:tabs>
        <w:ind w:left="720" w:hanging="360"/>
      </w:pPr>
    </w:lvl>
  </w:abstractNum>
  <w:abstractNum w:abstractNumId="3">
    <w:nsid w:val="FFFFFF82"/>
    <w:multiLevelType w:val="singleLevel"/>
    <w:tmpl w:val="FFFFFF82"/>
    <w:lvl w:ilvl="0" w:tentative="0">
      <w:start w:val="1"/>
      <w:numFmt w:val="bullet"/>
      <w:pStyle w:val="20"/>
      <w:lvlText w:val=""/>
      <w:lvlJc w:val="left"/>
      <w:pPr>
        <w:tabs>
          <w:tab w:val="left" w:pos="1080"/>
        </w:tabs>
        <w:ind w:left="1080" w:hanging="360"/>
      </w:pPr>
      <w:rPr>
        <w:rFonts w:hint="default" w:ascii="Symbol" w:hAnsi="Symbol"/>
      </w:rPr>
    </w:lvl>
  </w:abstractNum>
  <w:abstractNum w:abstractNumId="4">
    <w:nsid w:val="FFFFFF83"/>
    <w:multiLevelType w:val="singleLevel"/>
    <w:tmpl w:val="FFFFFF83"/>
    <w:lvl w:ilvl="0" w:tentative="0">
      <w:start w:val="1"/>
      <w:numFmt w:val="bullet"/>
      <w:pStyle w:val="26"/>
      <w:lvlText w:val=""/>
      <w:lvlJc w:val="left"/>
      <w:pPr>
        <w:tabs>
          <w:tab w:val="left" w:pos="720"/>
        </w:tabs>
        <w:ind w:left="720" w:hanging="360"/>
      </w:pPr>
      <w:rPr>
        <w:rFonts w:hint="default" w:ascii="Symbol" w:hAnsi="Symbol"/>
      </w:rPr>
    </w:lvl>
  </w:abstractNum>
  <w:abstractNum w:abstractNumId="5">
    <w:nsid w:val="FFFFFF88"/>
    <w:multiLevelType w:val="singleLevel"/>
    <w:tmpl w:val="FFFFFF88"/>
    <w:lvl w:ilvl="0" w:tentative="0">
      <w:start w:val="1"/>
      <w:numFmt w:val="decimal"/>
      <w:pStyle w:val="15"/>
      <w:lvlText w:val="%1."/>
      <w:lvlJc w:val="left"/>
      <w:pPr>
        <w:tabs>
          <w:tab w:val="left" w:pos="360"/>
        </w:tabs>
        <w:ind w:left="360" w:hanging="360"/>
      </w:pPr>
    </w:lvl>
  </w:abstractNum>
  <w:abstractNum w:abstractNumId="6">
    <w:nsid w:val="FFFFFF89"/>
    <w:multiLevelType w:val="singleLevel"/>
    <w:tmpl w:val="FFFFFF89"/>
    <w:lvl w:ilvl="0" w:tentative="0">
      <w:start w:val="1"/>
      <w:numFmt w:val="bullet"/>
      <w:pStyle w:val="17"/>
      <w:lvlText w:val=""/>
      <w:lvlJc w:val="left"/>
      <w:pPr>
        <w:tabs>
          <w:tab w:val="left" w:pos="360"/>
        </w:tabs>
        <w:ind w:left="360" w:hanging="360"/>
      </w:pPr>
      <w:rPr>
        <w:rFonts w:hint="default" w:ascii="Symbol" w:hAnsi="Symbol"/>
      </w:rPr>
    </w:lvl>
  </w:abstractNum>
  <w:abstractNum w:abstractNumId="7">
    <w:nsid w:val="00000009"/>
    <w:multiLevelType w:val="multilevel"/>
    <w:tmpl w:val="00000009"/>
    <w:lvl w:ilvl="0" w:tentative="0">
      <w:start w:val="1"/>
      <w:numFmt w:val="decimal"/>
      <w:pStyle w:val="147"/>
      <w:lvlText w:val="（%1）"/>
      <w:lvlJc w:val="left"/>
      <w:pPr>
        <w:tabs>
          <w:tab w:val="left" w:pos="882"/>
        </w:tabs>
        <w:ind w:left="4498" w:hanging="88"/>
      </w:pPr>
      <w:rPr>
        <w:rFonts w:hint="eastAsia"/>
        <w:lang w:val="en-US"/>
      </w:rPr>
    </w:lvl>
    <w:lvl w:ilvl="1" w:tentative="0">
      <w:start w:val="1"/>
      <w:numFmt w:val="decimal"/>
      <w:lvlText w:val="%2、"/>
      <w:lvlJc w:val="left"/>
      <w:pPr>
        <w:ind w:left="5190" w:hanging="360"/>
      </w:pPr>
      <w:rPr>
        <w:rFonts w:hint="default"/>
      </w:rPr>
    </w:lvl>
    <w:lvl w:ilvl="2" w:tentative="0">
      <w:start w:val="1"/>
      <w:numFmt w:val="lowerRoman"/>
      <w:lvlText w:val="%3."/>
      <w:lvlJc w:val="right"/>
      <w:pPr>
        <w:ind w:left="5670" w:hanging="420"/>
      </w:pPr>
      <w:rPr>
        <w:rFonts w:hint="eastAsia"/>
      </w:rPr>
    </w:lvl>
    <w:lvl w:ilvl="3" w:tentative="0">
      <w:start w:val="1"/>
      <w:numFmt w:val="decimal"/>
      <w:lvlText w:val="%4."/>
      <w:lvlJc w:val="left"/>
      <w:pPr>
        <w:ind w:left="6090" w:hanging="420"/>
      </w:pPr>
      <w:rPr>
        <w:rFonts w:hint="eastAsia"/>
      </w:rPr>
    </w:lvl>
    <w:lvl w:ilvl="4" w:tentative="0">
      <w:start w:val="1"/>
      <w:numFmt w:val="lowerLetter"/>
      <w:lvlText w:val="%5)"/>
      <w:lvlJc w:val="left"/>
      <w:pPr>
        <w:ind w:left="6510" w:hanging="420"/>
      </w:pPr>
      <w:rPr>
        <w:rFonts w:hint="eastAsia"/>
      </w:rPr>
    </w:lvl>
    <w:lvl w:ilvl="5" w:tentative="0">
      <w:start w:val="1"/>
      <w:numFmt w:val="lowerRoman"/>
      <w:lvlText w:val="%6."/>
      <w:lvlJc w:val="right"/>
      <w:pPr>
        <w:ind w:left="6930" w:hanging="420"/>
      </w:pPr>
      <w:rPr>
        <w:rFonts w:hint="eastAsia"/>
      </w:rPr>
    </w:lvl>
    <w:lvl w:ilvl="6" w:tentative="0">
      <w:start w:val="1"/>
      <w:numFmt w:val="decimal"/>
      <w:lvlText w:val="%7."/>
      <w:lvlJc w:val="left"/>
      <w:pPr>
        <w:ind w:left="7350" w:hanging="420"/>
      </w:pPr>
      <w:rPr>
        <w:rFonts w:hint="eastAsia"/>
      </w:rPr>
    </w:lvl>
    <w:lvl w:ilvl="7" w:tentative="0">
      <w:start w:val="1"/>
      <w:numFmt w:val="lowerLetter"/>
      <w:lvlText w:val="%8)"/>
      <w:lvlJc w:val="left"/>
      <w:pPr>
        <w:ind w:left="7770" w:hanging="420"/>
      </w:pPr>
      <w:rPr>
        <w:rFonts w:hint="eastAsia"/>
      </w:rPr>
    </w:lvl>
    <w:lvl w:ilvl="8" w:tentative="0">
      <w:start w:val="1"/>
      <w:numFmt w:val="lowerRoman"/>
      <w:lvlText w:val="%9."/>
      <w:lvlJc w:val="right"/>
      <w:pPr>
        <w:ind w:left="8190" w:hanging="420"/>
      </w:pPr>
      <w:rPr>
        <w:rFonts w:hint="eastAsia"/>
      </w:rPr>
    </w:lvl>
  </w:abstractNum>
  <w:abstractNum w:abstractNumId="8">
    <w:nsid w:val="027457BE"/>
    <w:multiLevelType w:val="singleLevel"/>
    <w:tmpl w:val="027457BE"/>
    <w:lvl w:ilvl="0" w:tentative="0">
      <w:start w:val="1"/>
      <w:numFmt w:val="decimal"/>
      <w:lvlText w:val="%1)"/>
      <w:lvlJc w:val="left"/>
      <w:pPr>
        <w:tabs>
          <w:tab w:val="left" w:pos="927"/>
        </w:tabs>
        <w:ind w:left="567" w:firstLine="0"/>
      </w:pPr>
      <w:rPr>
        <w:rFonts w:hint="default" w:ascii="Book Antiqua" w:hAnsi="Book Antiqua"/>
      </w:rPr>
    </w:lvl>
  </w:abstractNum>
  <w:abstractNum w:abstractNumId="9">
    <w:nsid w:val="415F1946"/>
    <w:multiLevelType w:val="singleLevel"/>
    <w:tmpl w:val="415F1946"/>
    <w:lvl w:ilvl="0" w:tentative="0">
      <w:start w:val="1"/>
      <w:numFmt w:val="decimal"/>
      <w:lvlText w:val="%1)"/>
      <w:lvlJc w:val="left"/>
      <w:pPr>
        <w:tabs>
          <w:tab w:val="left" w:pos="927"/>
        </w:tabs>
        <w:ind w:left="567" w:firstLine="0"/>
      </w:pPr>
      <w:rPr>
        <w:rFonts w:hint="default" w:ascii="Book Antiqua" w:hAnsi="Book Antiqua"/>
      </w:rPr>
    </w:lvl>
  </w:abstractNum>
  <w:abstractNum w:abstractNumId="10">
    <w:nsid w:val="4CB8057A"/>
    <w:multiLevelType w:val="singleLevel"/>
    <w:tmpl w:val="4CB8057A"/>
    <w:lvl w:ilvl="0" w:tentative="0">
      <w:start w:val="1"/>
      <w:numFmt w:val="decimal"/>
      <w:lvlText w:val="%1)"/>
      <w:lvlJc w:val="left"/>
      <w:pPr>
        <w:tabs>
          <w:tab w:val="left" w:pos="927"/>
        </w:tabs>
        <w:ind w:left="567" w:firstLine="0"/>
      </w:pPr>
      <w:rPr>
        <w:rFonts w:hint="default" w:ascii="Book Antiqua" w:hAnsi="Book Antiqua"/>
      </w:rPr>
    </w:lvl>
  </w:abstractNum>
  <w:abstractNum w:abstractNumId="11">
    <w:nsid w:val="657E7161"/>
    <w:multiLevelType w:val="singleLevel"/>
    <w:tmpl w:val="657E7161"/>
    <w:lvl w:ilvl="0" w:tentative="0">
      <w:start w:val="1"/>
      <w:numFmt w:val="decimal"/>
      <w:lvlText w:val="%1、"/>
      <w:lvlJc w:val="left"/>
      <w:pPr>
        <w:tabs>
          <w:tab w:val="left" w:pos="1005"/>
        </w:tabs>
        <w:ind w:left="1005" w:hanging="435"/>
      </w:pPr>
    </w:lvl>
  </w:abstractNum>
  <w:num w:numId="1">
    <w:abstractNumId w:val="2"/>
  </w:num>
  <w:num w:numId="2">
    <w:abstractNumId w:val="5"/>
  </w:num>
  <w:num w:numId="3">
    <w:abstractNumId w:val="6"/>
  </w:num>
  <w:num w:numId="4">
    <w:abstractNumId w:val="3"/>
  </w:num>
  <w:num w:numId="5">
    <w:abstractNumId w:val="1"/>
  </w:num>
  <w:num w:numId="6">
    <w:abstractNumId w:val="4"/>
  </w:num>
  <w:num w:numId="7">
    <w:abstractNumId w:val="7"/>
  </w:num>
  <w:num w:numId="8">
    <w:abstractNumId w:val="8"/>
  </w:num>
  <w:num w:numId="9">
    <w:abstractNumId w:val="0"/>
  </w:num>
  <w:num w:numId="10">
    <w:abstractNumId w:val="9"/>
  </w:num>
  <w:num w:numId="11">
    <w:abstractNumId w:val="10"/>
  </w:num>
  <w:num w:numId="12">
    <w:abstractNumId w:val="1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revisionView w:markup="0"/>
  <w:documentProtection w:enforcement="0"/>
  <w:defaultTabStop w:val="720"/>
  <w:noPunctuationKerning w:val="1"/>
  <w:characterSpacingControl w:val="doNotCompress"/>
  <w:footnotePr>
    <w:footnote w:id="0"/>
    <w:footnote w:id="1"/>
  </w:footnotePr>
  <w:endnotePr>
    <w:numFmt w:val="decimal"/>
    <w:endnote w:id="0"/>
    <w:endnote w:id="1"/>
  </w:end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BlNmVlZWM4MWEwZjg5OTk4YWJjMjhhNGVhMGUxZmYifQ=="/>
    <w:docVar w:name="KSO_WPS_MARK_KEY" w:val="928d1f8c-c516-45a3-9e09-c6e7bef2d88d"/>
  </w:docVars>
  <w:rsids>
    <w:rsidRoot w:val="00B47730"/>
    <w:rsid w:val="000244D3"/>
    <w:rsid w:val="00034616"/>
    <w:rsid w:val="0006063C"/>
    <w:rsid w:val="00125861"/>
    <w:rsid w:val="0015074B"/>
    <w:rsid w:val="0029639D"/>
    <w:rsid w:val="00301B47"/>
    <w:rsid w:val="00326F90"/>
    <w:rsid w:val="006B35D8"/>
    <w:rsid w:val="008F7FCA"/>
    <w:rsid w:val="00AA1D8D"/>
    <w:rsid w:val="00B47730"/>
    <w:rsid w:val="00CA7FC8"/>
    <w:rsid w:val="00CB0664"/>
    <w:rsid w:val="00D348C5"/>
    <w:rsid w:val="00EC584F"/>
    <w:rsid w:val="00F014DA"/>
    <w:rsid w:val="00FC693F"/>
    <w:rsid w:val="01444924"/>
    <w:rsid w:val="018B547F"/>
    <w:rsid w:val="01A80271"/>
    <w:rsid w:val="01D403CC"/>
    <w:rsid w:val="01EC5B5C"/>
    <w:rsid w:val="01F20280"/>
    <w:rsid w:val="021F7936"/>
    <w:rsid w:val="02774C18"/>
    <w:rsid w:val="02B678B2"/>
    <w:rsid w:val="02BC6A6F"/>
    <w:rsid w:val="02D77F65"/>
    <w:rsid w:val="02FB6C9C"/>
    <w:rsid w:val="031E14F1"/>
    <w:rsid w:val="0350230E"/>
    <w:rsid w:val="038219BF"/>
    <w:rsid w:val="03BA1D66"/>
    <w:rsid w:val="03D16944"/>
    <w:rsid w:val="03DD23FC"/>
    <w:rsid w:val="04127AB8"/>
    <w:rsid w:val="044542E3"/>
    <w:rsid w:val="047869B7"/>
    <w:rsid w:val="048067A4"/>
    <w:rsid w:val="04AE18D7"/>
    <w:rsid w:val="04E020AD"/>
    <w:rsid w:val="053B5ED5"/>
    <w:rsid w:val="054B4FD1"/>
    <w:rsid w:val="05544226"/>
    <w:rsid w:val="056A57F8"/>
    <w:rsid w:val="058C6655"/>
    <w:rsid w:val="05B31A41"/>
    <w:rsid w:val="066466EB"/>
    <w:rsid w:val="066B0BF7"/>
    <w:rsid w:val="067F18F3"/>
    <w:rsid w:val="06AC3D3D"/>
    <w:rsid w:val="06DE3165"/>
    <w:rsid w:val="0751611A"/>
    <w:rsid w:val="07B31D8E"/>
    <w:rsid w:val="07C24245"/>
    <w:rsid w:val="07EA7164"/>
    <w:rsid w:val="080C1021"/>
    <w:rsid w:val="084A54AD"/>
    <w:rsid w:val="0899074D"/>
    <w:rsid w:val="08A875BD"/>
    <w:rsid w:val="08CA5973"/>
    <w:rsid w:val="08CE45E6"/>
    <w:rsid w:val="090507A1"/>
    <w:rsid w:val="094333C6"/>
    <w:rsid w:val="09C3197A"/>
    <w:rsid w:val="0A9B0C97"/>
    <w:rsid w:val="0AE93AFB"/>
    <w:rsid w:val="0B03227E"/>
    <w:rsid w:val="0BC419DA"/>
    <w:rsid w:val="0BEC7828"/>
    <w:rsid w:val="0C5252FE"/>
    <w:rsid w:val="0CF047A2"/>
    <w:rsid w:val="0D03198A"/>
    <w:rsid w:val="0D192952"/>
    <w:rsid w:val="0D1A5D55"/>
    <w:rsid w:val="0D307327"/>
    <w:rsid w:val="0D42257D"/>
    <w:rsid w:val="0D4508F8"/>
    <w:rsid w:val="0D8B4B34"/>
    <w:rsid w:val="0DC857B1"/>
    <w:rsid w:val="0E4B12F7"/>
    <w:rsid w:val="0E7B2DAE"/>
    <w:rsid w:val="0EDF31D7"/>
    <w:rsid w:val="0F0525EE"/>
    <w:rsid w:val="0F375389"/>
    <w:rsid w:val="10A31AB8"/>
    <w:rsid w:val="10A711E7"/>
    <w:rsid w:val="10B1077E"/>
    <w:rsid w:val="11583F8D"/>
    <w:rsid w:val="115A0078"/>
    <w:rsid w:val="122B6A2F"/>
    <w:rsid w:val="124670B3"/>
    <w:rsid w:val="128851DE"/>
    <w:rsid w:val="134B09C1"/>
    <w:rsid w:val="137F4B64"/>
    <w:rsid w:val="13CE7899"/>
    <w:rsid w:val="142C18B1"/>
    <w:rsid w:val="14890695"/>
    <w:rsid w:val="14C72792"/>
    <w:rsid w:val="14CB38CA"/>
    <w:rsid w:val="153F01EC"/>
    <w:rsid w:val="154E75BC"/>
    <w:rsid w:val="15EE7D7F"/>
    <w:rsid w:val="16B9038D"/>
    <w:rsid w:val="175F205F"/>
    <w:rsid w:val="17831543"/>
    <w:rsid w:val="183D149F"/>
    <w:rsid w:val="18B15A48"/>
    <w:rsid w:val="18E213A2"/>
    <w:rsid w:val="19014E0B"/>
    <w:rsid w:val="1908555D"/>
    <w:rsid w:val="192F52C6"/>
    <w:rsid w:val="19560C29"/>
    <w:rsid w:val="1A144382"/>
    <w:rsid w:val="1AAB4490"/>
    <w:rsid w:val="1BA07D6D"/>
    <w:rsid w:val="1C677411"/>
    <w:rsid w:val="1C7A7A4F"/>
    <w:rsid w:val="1C8427D1"/>
    <w:rsid w:val="1D804AEA"/>
    <w:rsid w:val="1DC948C9"/>
    <w:rsid w:val="1DFE6FCD"/>
    <w:rsid w:val="1E042056"/>
    <w:rsid w:val="1E2E71D9"/>
    <w:rsid w:val="1E8A6AB3"/>
    <w:rsid w:val="1F0C0FFB"/>
    <w:rsid w:val="1F152C56"/>
    <w:rsid w:val="1F163920"/>
    <w:rsid w:val="1F5C065E"/>
    <w:rsid w:val="1F8C1F12"/>
    <w:rsid w:val="1FB22212"/>
    <w:rsid w:val="20182744"/>
    <w:rsid w:val="201A693E"/>
    <w:rsid w:val="20344F28"/>
    <w:rsid w:val="214A0151"/>
    <w:rsid w:val="217C4378"/>
    <w:rsid w:val="218D48F0"/>
    <w:rsid w:val="225561FF"/>
    <w:rsid w:val="228C1731"/>
    <w:rsid w:val="22C17821"/>
    <w:rsid w:val="23035E75"/>
    <w:rsid w:val="232D653D"/>
    <w:rsid w:val="23615FDD"/>
    <w:rsid w:val="236C49D9"/>
    <w:rsid w:val="237A0EA4"/>
    <w:rsid w:val="23B1063E"/>
    <w:rsid w:val="23D52694"/>
    <w:rsid w:val="23D7202E"/>
    <w:rsid w:val="240444D1"/>
    <w:rsid w:val="24574EF3"/>
    <w:rsid w:val="248021E0"/>
    <w:rsid w:val="24B94AC9"/>
    <w:rsid w:val="24CF3471"/>
    <w:rsid w:val="2536704D"/>
    <w:rsid w:val="25797575"/>
    <w:rsid w:val="25E66714"/>
    <w:rsid w:val="25EB6089"/>
    <w:rsid w:val="25F56355"/>
    <w:rsid w:val="26153106"/>
    <w:rsid w:val="267810FD"/>
    <w:rsid w:val="268A01FC"/>
    <w:rsid w:val="26CF70BA"/>
    <w:rsid w:val="26D40252"/>
    <w:rsid w:val="26E845BC"/>
    <w:rsid w:val="271A5416"/>
    <w:rsid w:val="275F79AD"/>
    <w:rsid w:val="2830188E"/>
    <w:rsid w:val="286E3BC6"/>
    <w:rsid w:val="28A37A3F"/>
    <w:rsid w:val="292E7B56"/>
    <w:rsid w:val="29427004"/>
    <w:rsid w:val="29691FD0"/>
    <w:rsid w:val="29917D5A"/>
    <w:rsid w:val="29A74C22"/>
    <w:rsid w:val="29B36EBE"/>
    <w:rsid w:val="29B37BB0"/>
    <w:rsid w:val="29BC17C9"/>
    <w:rsid w:val="29E87A02"/>
    <w:rsid w:val="2A964729"/>
    <w:rsid w:val="2AA42CAA"/>
    <w:rsid w:val="2AAB4039"/>
    <w:rsid w:val="2AC62689"/>
    <w:rsid w:val="2AF37FDF"/>
    <w:rsid w:val="2B3962F8"/>
    <w:rsid w:val="2B3B0DE0"/>
    <w:rsid w:val="2B3C11EE"/>
    <w:rsid w:val="2B4D1754"/>
    <w:rsid w:val="2B52134D"/>
    <w:rsid w:val="2B780683"/>
    <w:rsid w:val="2B8832F8"/>
    <w:rsid w:val="2BF45964"/>
    <w:rsid w:val="2C3B0B44"/>
    <w:rsid w:val="2C624BCB"/>
    <w:rsid w:val="2C6D46F6"/>
    <w:rsid w:val="2CC6192B"/>
    <w:rsid w:val="2D6A22AA"/>
    <w:rsid w:val="2DE75388"/>
    <w:rsid w:val="2E0777D8"/>
    <w:rsid w:val="2E335CFD"/>
    <w:rsid w:val="2EAF3A47"/>
    <w:rsid w:val="2EBD433B"/>
    <w:rsid w:val="2EC4143B"/>
    <w:rsid w:val="2F01044C"/>
    <w:rsid w:val="2F054197"/>
    <w:rsid w:val="2FFD7EE2"/>
    <w:rsid w:val="305F4962"/>
    <w:rsid w:val="307727F3"/>
    <w:rsid w:val="30801AC4"/>
    <w:rsid w:val="314B1BB3"/>
    <w:rsid w:val="31554CFE"/>
    <w:rsid w:val="315A1A0E"/>
    <w:rsid w:val="315D04A6"/>
    <w:rsid w:val="3175714F"/>
    <w:rsid w:val="31AE01D2"/>
    <w:rsid w:val="31D35DB6"/>
    <w:rsid w:val="321E1B8E"/>
    <w:rsid w:val="32304733"/>
    <w:rsid w:val="323123C0"/>
    <w:rsid w:val="326F1751"/>
    <w:rsid w:val="329931AB"/>
    <w:rsid w:val="32B311DB"/>
    <w:rsid w:val="32C60E74"/>
    <w:rsid w:val="33964380"/>
    <w:rsid w:val="33A93235"/>
    <w:rsid w:val="33CF6C53"/>
    <w:rsid w:val="33D4356C"/>
    <w:rsid w:val="342A0F9E"/>
    <w:rsid w:val="346D1F72"/>
    <w:rsid w:val="347731B4"/>
    <w:rsid w:val="34A42225"/>
    <w:rsid w:val="355552CD"/>
    <w:rsid w:val="358C1270"/>
    <w:rsid w:val="35CB5C62"/>
    <w:rsid w:val="362817E8"/>
    <w:rsid w:val="36441BE8"/>
    <w:rsid w:val="365034F8"/>
    <w:rsid w:val="36FF7BE6"/>
    <w:rsid w:val="37565755"/>
    <w:rsid w:val="386D0B7F"/>
    <w:rsid w:val="38765546"/>
    <w:rsid w:val="38AE3C12"/>
    <w:rsid w:val="38D45923"/>
    <w:rsid w:val="39305FFB"/>
    <w:rsid w:val="39AC56D7"/>
    <w:rsid w:val="39C649EB"/>
    <w:rsid w:val="39C6596F"/>
    <w:rsid w:val="39D32E19"/>
    <w:rsid w:val="3A243277"/>
    <w:rsid w:val="3BFF5EFB"/>
    <w:rsid w:val="3C125A84"/>
    <w:rsid w:val="3C3618B6"/>
    <w:rsid w:val="3C8A6175"/>
    <w:rsid w:val="3CD268BC"/>
    <w:rsid w:val="3CEF619B"/>
    <w:rsid w:val="3DDC5BF0"/>
    <w:rsid w:val="3E4C5665"/>
    <w:rsid w:val="3E8E3A28"/>
    <w:rsid w:val="3EA36F25"/>
    <w:rsid w:val="3EC86431"/>
    <w:rsid w:val="3EDD701A"/>
    <w:rsid w:val="3F626D52"/>
    <w:rsid w:val="3F632CDC"/>
    <w:rsid w:val="3F726255"/>
    <w:rsid w:val="401A04CC"/>
    <w:rsid w:val="4025683A"/>
    <w:rsid w:val="404F20B3"/>
    <w:rsid w:val="40CD1A1B"/>
    <w:rsid w:val="40E7190F"/>
    <w:rsid w:val="411B038C"/>
    <w:rsid w:val="41745439"/>
    <w:rsid w:val="41F03358"/>
    <w:rsid w:val="41F227C1"/>
    <w:rsid w:val="425B0982"/>
    <w:rsid w:val="43466861"/>
    <w:rsid w:val="438429B9"/>
    <w:rsid w:val="43B46D17"/>
    <w:rsid w:val="44282CF3"/>
    <w:rsid w:val="44907E94"/>
    <w:rsid w:val="45120AE5"/>
    <w:rsid w:val="451A6B37"/>
    <w:rsid w:val="45B1654F"/>
    <w:rsid w:val="45B36C0E"/>
    <w:rsid w:val="45EF0E26"/>
    <w:rsid w:val="460056EB"/>
    <w:rsid w:val="4621355A"/>
    <w:rsid w:val="46B85270"/>
    <w:rsid w:val="46F01C90"/>
    <w:rsid w:val="47355D78"/>
    <w:rsid w:val="475E45CF"/>
    <w:rsid w:val="488D5B16"/>
    <w:rsid w:val="48A77D4C"/>
    <w:rsid w:val="49013ECC"/>
    <w:rsid w:val="491C2F38"/>
    <w:rsid w:val="4922027B"/>
    <w:rsid w:val="495B4ADA"/>
    <w:rsid w:val="497F4C72"/>
    <w:rsid w:val="49E02F31"/>
    <w:rsid w:val="4A276055"/>
    <w:rsid w:val="4A3C6B42"/>
    <w:rsid w:val="4A564181"/>
    <w:rsid w:val="4A7278EE"/>
    <w:rsid w:val="4A99237D"/>
    <w:rsid w:val="4B1F31A4"/>
    <w:rsid w:val="4B28408E"/>
    <w:rsid w:val="4B351E3F"/>
    <w:rsid w:val="4B391802"/>
    <w:rsid w:val="4B706010"/>
    <w:rsid w:val="4B950485"/>
    <w:rsid w:val="4BA27822"/>
    <w:rsid w:val="4BD5286C"/>
    <w:rsid w:val="4BE00A8E"/>
    <w:rsid w:val="4BF64E10"/>
    <w:rsid w:val="4C261319"/>
    <w:rsid w:val="4DD9520D"/>
    <w:rsid w:val="4DE020DC"/>
    <w:rsid w:val="4E140F07"/>
    <w:rsid w:val="4E2564F1"/>
    <w:rsid w:val="4E3619F2"/>
    <w:rsid w:val="4E413D8E"/>
    <w:rsid w:val="4E567A40"/>
    <w:rsid w:val="4E9C506D"/>
    <w:rsid w:val="4EE17B16"/>
    <w:rsid w:val="4F266DFC"/>
    <w:rsid w:val="4F351A95"/>
    <w:rsid w:val="4FD578BF"/>
    <w:rsid w:val="4FD8247D"/>
    <w:rsid w:val="51306233"/>
    <w:rsid w:val="514F0E44"/>
    <w:rsid w:val="5172219C"/>
    <w:rsid w:val="517E39C3"/>
    <w:rsid w:val="52614E59"/>
    <w:rsid w:val="52AD06A1"/>
    <w:rsid w:val="52F46F14"/>
    <w:rsid w:val="530553D5"/>
    <w:rsid w:val="53312C06"/>
    <w:rsid w:val="535976B3"/>
    <w:rsid w:val="53795CE0"/>
    <w:rsid w:val="539768A3"/>
    <w:rsid w:val="53BC4030"/>
    <w:rsid w:val="53EC4BD2"/>
    <w:rsid w:val="5417285C"/>
    <w:rsid w:val="543B36FF"/>
    <w:rsid w:val="548F283F"/>
    <w:rsid w:val="54C7122A"/>
    <w:rsid w:val="5503044A"/>
    <w:rsid w:val="55126DB0"/>
    <w:rsid w:val="55166911"/>
    <w:rsid w:val="55783729"/>
    <w:rsid w:val="55FF533F"/>
    <w:rsid w:val="560640C8"/>
    <w:rsid w:val="56396D37"/>
    <w:rsid w:val="56BE2275"/>
    <w:rsid w:val="56CC365E"/>
    <w:rsid w:val="56CE7BA0"/>
    <w:rsid w:val="56F53BB0"/>
    <w:rsid w:val="57266671"/>
    <w:rsid w:val="576E0216"/>
    <w:rsid w:val="57764519"/>
    <w:rsid w:val="57C90103"/>
    <w:rsid w:val="5820757D"/>
    <w:rsid w:val="58544F9E"/>
    <w:rsid w:val="58B235F6"/>
    <w:rsid w:val="58CD6E13"/>
    <w:rsid w:val="59492CF4"/>
    <w:rsid w:val="596767DC"/>
    <w:rsid w:val="59A444A5"/>
    <w:rsid w:val="59BD32BD"/>
    <w:rsid w:val="59FC6029"/>
    <w:rsid w:val="5A1371E0"/>
    <w:rsid w:val="5A4E69DA"/>
    <w:rsid w:val="5A7232F7"/>
    <w:rsid w:val="5A841F64"/>
    <w:rsid w:val="5A9C0D68"/>
    <w:rsid w:val="5AC63E55"/>
    <w:rsid w:val="5AD86F56"/>
    <w:rsid w:val="5AF71447"/>
    <w:rsid w:val="5B31273B"/>
    <w:rsid w:val="5B4A7DC9"/>
    <w:rsid w:val="5B76193C"/>
    <w:rsid w:val="5B7C13EF"/>
    <w:rsid w:val="5B9A681B"/>
    <w:rsid w:val="5BAF59F3"/>
    <w:rsid w:val="5BD0228F"/>
    <w:rsid w:val="5C5B5280"/>
    <w:rsid w:val="5CAD3999"/>
    <w:rsid w:val="5CB668D3"/>
    <w:rsid w:val="5D053827"/>
    <w:rsid w:val="5D3A5E0D"/>
    <w:rsid w:val="5D6D4FFA"/>
    <w:rsid w:val="5DF705B5"/>
    <w:rsid w:val="5E895E91"/>
    <w:rsid w:val="5EDA721E"/>
    <w:rsid w:val="5F213181"/>
    <w:rsid w:val="5F2F7ADB"/>
    <w:rsid w:val="5F772DB4"/>
    <w:rsid w:val="5FC05DDC"/>
    <w:rsid w:val="606E15DD"/>
    <w:rsid w:val="607D18C6"/>
    <w:rsid w:val="60CA5AB4"/>
    <w:rsid w:val="611B301F"/>
    <w:rsid w:val="61670A8D"/>
    <w:rsid w:val="61E17B48"/>
    <w:rsid w:val="62810FF8"/>
    <w:rsid w:val="62A63094"/>
    <w:rsid w:val="62C4220C"/>
    <w:rsid w:val="62CF32BC"/>
    <w:rsid w:val="62F71126"/>
    <w:rsid w:val="635B7D59"/>
    <w:rsid w:val="64065861"/>
    <w:rsid w:val="643E149E"/>
    <w:rsid w:val="647A4A0A"/>
    <w:rsid w:val="648F1461"/>
    <w:rsid w:val="64D12E41"/>
    <w:rsid w:val="653745A1"/>
    <w:rsid w:val="6557174C"/>
    <w:rsid w:val="657106D1"/>
    <w:rsid w:val="65960E66"/>
    <w:rsid w:val="65EB2F60"/>
    <w:rsid w:val="661C2FA6"/>
    <w:rsid w:val="662D3DBE"/>
    <w:rsid w:val="668016A2"/>
    <w:rsid w:val="66CD1FB2"/>
    <w:rsid w:val="671B17C2"/>
    <w:rsid w:val="672545FD"/>
    <w:rsid w:val="67FB2813"/>
    <w:rsid w:val="68104F00"/>
    <w:rsid w:val="688E1ED6"/>
    <w:rsid w:val="68957410"/>
    <w:rsid w:val="69031BD3"/>
    <w:rsid w:val="690A5DF3"/>
    <w:rsid w:val="69D01876"/>
    <w:rsid w:val="69D104F4"/>
    <w:rsid w:val="69EC72A7"/>
    <w:rsid w:val="69F747D5"/>
    <w:rsid w:val="69FE473A"/>
    <w:rsid w:val="6A2B32C2"/>
    <w:rsid w:val="6A884229"/>
    <w:rsid w:val="6AA217EA"/>
    <w:rsid w:val="6AC42E8F"/>
    <w:rsid w:val="6B110A2E"/>
    <w:rsid w:val="6B353EEB"/>
    <w:rsid w:val="6B68542E"/>
    <w:rsid w:val="6BAA55C4"/>
    <w:rsid w:val="6BBC3B68"/>
    <w:rsid w:val="6C1F3963"/>
    <w:rsid w:val="6C29064D"/>
    <w:rsid w:val="6C2C42D2"/>
    <w:rsid w:val="6C854B98"/>
    <w:rsid w:val="6CBF1278"/>
    <w:rsid w:val="6D2660A3"/>
    <w:rsid w:val="6D542D1D"/>
    <w:rsid w:val="6D667178"/>
    <w:rsid w:val="6D9A27BF"/>
    <w:rsid w:val="6DBF2650"/>
    <w:rsid w:val="6DE13D64"/>
    <w:rsid w:val="6DF6676A"/>
    <w:rsid w:val="6E2C2368"/>
    <w:rsid w:val="6F184CDC"/>
    <w:rsid w:val="6F5018B5"/>
    <w:rsid w:val="6FA41033"/>
    <w:rsid w:val="6FFA7467"/>
    <w:rsid w:val="701268ED"/>
    <w:rsid w:val="701511C7"/>
    <w:rsid w:val="70325E5F"/>
    <w:rsid w:val="70934AB2"/>
    <w:rsid w:val="70E60EF4"/>
    <w:rsid w:val="716F59BA"/>
    <w:rsid w:val="717056A1"/>
    <w:rsid w:val="72136023"/>
    <w:rsid w:val="723D6113"/>
    <w:rsid w:val="723D6359"/>
    <w:rsid w:val="7244156E"/>
    <w:rsid w:val="725944B6"/>
    <w:rsid w:val="732B43BB"/>
    <w:rsid w:val="73605C9C"/>
    <w:rsid w:val="739C650A"/>
    <w:rsid w:val="73F27127"/>
    <w:rsid w:val="741846A0"/>
    <w:rsid w:val="74586303"/>
    <w:rsid w:val="747845CC"/>
    <w:rsid w:val="74793847"/>
    <w:rsid w:val="748D4EED"/>
    <w:rsid w:val="74A054D8"/>
    <w:rsid w:val="74FD4A5E"/>
    <w:rsid w:val="753A0A0B"/>
    <w:rsid w:val="7557321B"/>
    <w:rsid w:val="75F671B0"/>
    <w:rsid w:val="76554219"/>
    <w:rsid w:val="77427649"/>
    <w:rsid w:val="77D870BC"/>
    <w:rsid w:val="77E83751"/>
    <w:rsid w:val="78100CB9"/>
    <w:rsid w:val="78661C7D"/>
    <w:rsid w:val="787E7C64"/>
    <w:rsid w:val="78B74F24"/>
    <w:rsid w:val="79222CE5"/>
    <w:rsid w:val="79337CB0"/>
    <w:rsid w:val="796432FD"/>
    <w:rsid w:val="7A80109B"/>
    <w:rsid w:val="7AAF61CC"/>
    <w:rsid w:val="7B5B24DE"/>
    <w:rsid w:val="7B8326BB"/>
    <w:rsid w:val="7B8A2F92"/>
    <w:rsid w:val="7BC5770A"/>
    <w:rsid w:val="7C1048A1"/>
    <w:rsid w:val="7C1065D7"/>
    <w:rsid w:val="7C194B90"/>
    <w:rsid w:val="7C1D5AC6"/>
    <w:rsid w:val="7C2D23E0"/>
    <w:rsid w:val="7C373C1B"/>
    <w:rsid w:val="7C7A6994"/>
    <w:rsid w:val="7CF32E5F"/>
    <w:rsid w:val="7CF97A71"/>
    <w:rsid w:val="7D0A6DBD"/>
    <w:rsid w:val="7D510386"/>
    <w:rsid w:val="7DAE4B47"/>
    <w:rsid w:val="7DF05160"/>
    <w:rsid w:val="7E14057F"/>
    <w:rsid w:val="7E682501"/>
    <w:rsid w:val="7EC34622"/>
    <w:rsid w:val="7ECF41B1"/>
    <w:rsid w:val="7ED14F8F"/>
    <w:rsid w:val="7ED25E42"/>
    <w:rsid w:val="7F811FAB"/>
    <w:rsid w:val="7F90618C"/>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clrSchemeMapping w:bg1="light1" w:t1="dark1" w:bg2="light2" w:t2="dark2" w:accent1="accent1" w:accent2="accent2" w:accent3="accent3" w:accent4="accent4" w:accent5="accent5" w:accent6="accent6" w:hyperlink="hyperlink" w:followedHyperlink="followedHyperlink"/>
  <w14:defaultImageDpi w14:val="300"/>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name="toc 1"/>
    <w:lsdException w:qFormat="1" w:uiPriority="39" w:name="toc 2"/>
    <w:lsdException w:qFormat="1"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qFormat="1" w:uiPriority="99" w:semiHidden="0" w:name="macro"/>
    <w:lsdException w:uiPriority="99" w:name="toa heading"/>
    <w:lsdException w:qFormat="1" w:uiPriority="99" w:semiHidden="0" w:name="List"/>
    <w:lsdException w:qFormat="1" w:uiPriority="99" w:semiHidden="0" w:name="List Bullet"/>
    <w:lsdException w:qFormat="1" w:uiPriority="99" w:semiHidden="0" w:name="List Number"/>
    <w:lsdException w:qFormat="1" w:uiPriority="99" w:semiHidden="0" w:name="List 2"/>
    <w:lsdException w:qFormat="1" w:uiPriority="99" w:semiHidden="0" w:name="List 3"/>
    <w:lsdException w:uiPriority="99" w:name="List 4"/>
    <w:lsdException w:uiPriority="99" w:name="List 5"/>
    <w:lsdException w:qFormat="1" w:uiPriority="99" w:semiHidden="0" w:name="List Bullet 2"/>
    <w:lsdException w:qFormat="1" w:uiPriority="99" w:semiHidden="0" w:name="List Bullet 3"/>
    <w:lsdException w:uiPriority="99" w:name="List Bullet 4"/>
    <w:lsdException w:uiPriority="99" w:name="List Bullet 5"/>
    <w:lsdException w:qFormat="1" w:uiPriority="99" w:semiHidden="0" w:name="List Number 2"/>
    <w:lsdException w:qFormat="1" w:uiPriority="99" w:semiHidden="0"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qFormat="1" w:unhideWhenUsed="0" w:uiPriority="0" w:semiHidden="0" w:name="Body Text Indent"/>
    <w:lsdException w:qFormat="1" w:uiPriority="99" w:semiHidden="0" w:name="List Continue"/>
    <w:lsdException w:qFormat="1" w:uiPriority="99" w:semiHidden="0" w:name="List Continue 2"/>
    <w:lsdException w:qFormat="1" w:uiPriority="99" w:semiHidden="0"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qFormat="1" w:uiPriority="99" w:semiHidden="0" w:name="Body Text 2"/>
    <w:lsdException w:qFormat="1" w:uiPriority="99" w:semiHidden="0" w:name="Body Text 3"/>
    <w:lsdException w:qFormat="1" w:unhideWhenUsed="0" w:uiPriority="0" w:semiHidden="0"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qFormat="1" w:unhideWhenUsed="0" w:uiPriority="1" w:semiHidden="0" w:name="No Spacing"/>
    <w:lsdException w:qFormat="1" w:unhideWhenUsed="0" w:uiPriority="60" w:semiHidden="0" w:name="Light Shading"/>
    <w:lsdException w:qFormat="1" w:unhideWhenUsed="0" w:uiPriority="61" w:semiHidden="0" w:name="Light List"/>
    <w:lsdException w:qFormat="1" w:unhideWhenUsed="0" w:uiPriority="62" w:semiHidden="0" w:name="Light Grid"/>
    <w:lsdException w:qFormat="1" w:unhideWhenUsed="0" w:uiPriority="63" w:semiHidden="0" w:name="Medium Shading 1"/>
    <w:lsdException w:qFormat="1" w:unhideWhenUsed="0" w:uiPriority="64" w:semiHidden="0" w:name="Medium Shading 2"/>
    <w:lsdException w:qFormat="1" w:unhideWhenUsed="0" w:uiPriority="65" w:semiHidden="0" w:name="Medium List 1"/>
    <w:lsdException w:qFormat="1" w:unhideWhenUsed="0" w:uiPriority="66" w:semiHidden="0" w:name="Medium List 2"/>
    <w:lsdException w:qFormat="1" w:unhideWhenUsed="0" w:uiPriority="67" w:semiHidden="0" w:name="Medium Grid 1"/>
    <w:lsdException w:qFormat="1" w:unhideWhenUsed="0" w:uiPriority="68" w:semiHidden="0" w:name="Medium Grid 2"/>
    <w:lsdException w:qFormat="1" w:unhideWhenUsed="0" w:uiPriority="69" w:semiHidden="0" w:name="Medium Grid 3"/>
    <w:lsdException w:qFormat="1" w:unhideWhenUsed="0" w:uiPriority="70" w:semiHidden="0" w:name="Dark List"/>
    <w:lsdException w:qFormat="1" w:unhideWhenUsed="0" w:uiPriority="71" w:semiHidden="0" w:name="Colorful Shading"/>
    <w:lsdException w:qFormat="1" w:unhideWhenUsed="0" w:uiPriority="72" w:semiHidden="0" w:name="Colorful List"/>
    <w:lsdException w:qFormat="1" w:unhideWhenUsed="0" w:uiPriority="73" w:semiHidden="0" w:name="Colorful Grid"/>
    <w:lsdException w:qFormat="1" w:unhideWhenUsed="0" w:uiPriority="60" w:semiHidden="0" w:name="Light Shading Accent 1"/>
    <w:lsdException w:qFormat="1" w:unhideWhenUsed="0" w:uiPriority="61" w:semiHidden="0" w:name="Light List Accent 1"/>
    <w:lsdException w:qFormat="1" w:unhideWhenUsed="0" w:uiPriority="62" w:semiHidden="0" w:name="Light Grid Accent 1"/>
    <w:lsdException w:qFormat="1" w:unhideWhenUsed="0" w:uiPriority="63" w:semiHidden="0" w:name="Medium Shading 1 Accent 1"/>
    <w:lsdException w:qFormat="1" w:unhideWhenUsed="0" w:uiPriority="64" w:semiHidden="0" w:name="Medium Shading 2 Accent 1"/>
    <w:lsdException w:qFormat="1"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qFormat="1" w:unhideWhenUsed="0" w:uiPriority="66" w:semiHidden="0" w:name="Medium List 2 Accent 1"/>
    <w:lsdException w:qFormat="1" w:unhideWhenUsed="0" w:uiPriority="67" w:semiHidden="0" w:name="Medium Grid 1 Accent 1"/>
    <w:lsdException w:qFormat="1" w:unhideWhenUsed="0" w:uiPriority="68" w:semiHidden="0" w:name="Medium Grid 2 Accent 1"/>
    <w:lsdException w:qFormat="1" w:unhideWhenUsed="0" w:uiPriority="69" w:semiHidden="0" w:name="Medium Grid 3 Accent 1"/>
    <w:lsdException w:qFormat="1" w:unhideWhenUsed="0" w:uiPriority="70" w:semiHidden="0" w:name="Dark List Accent 1"/>
    <w:lsdException w:qFormat="1" w:unhideWhenUsed="0" w:uiPriority="71" w:semiHidden="0" w:name="Colorful Shading Accent 1"/>
    <w:lsdException w:qFormat="1" w:unhideWhenUsed="0" w:uiPriority="72" w:semiHidden="0" w:name="Colorful List Accent 1"/>
    <w:lsdException w:qFormat="1" w:unhideWhenUsed="0" w:uiPriority="73" w:semiHidden="0" w:name="Colorful Grid Accent 1"/>
    <w:lsdException w:qFormat="1" w:unhideWhenUsed="0" w:uiPriority="60" w:semiHidden="0" w:name="Light Shading Accent 2"/>
    <w:lsdException w:qFormat="1" w:unhideWhenUsed="0" w:uiPriority="61" w:semiHidden="0" w:name="Light List Accent 2"/>
    <w:lsdException w:qFormat="1" w:unhideWhenUsed="0" w:uiPriority="62" w:semiHidden="0" w:name="Light Grid Accent 2"/>
    <w:lsdException w:qFormat="1" w:unhideWhenUsed="0" w:uiPriority="63" w:semiHidden="0" w:name="Medium Shading 1 Accent 2"/>
    <w:lsdException w:qFormat="1" w:unhideWhenUsed="0" w:uiPriority="64" w:semiHidden="0" w:name="Medium Shading 2 Accent 2"/>
    <w:lsdException w:qFormat="1" w:unhideWhenUsed="0" w:uiPriority="65" w:semiHidden="0" w:name="Medium List 1 Accent 2"/>
    <w:lsdException w:qFormat="1" w:unhideWhenUsed="0" w:uiPriority="66" w:semiHidden="0" w:name="Medium List 2 Accent 2"/>
    <w:lsdException w:qFormat="1" w:unhideWhenUsed="0" w:uiPriority="67" w:semiHidden="0" w:name="Medium Grid 1 Accent 2"/>
    <w:lsdException w:qFormat="1" w:unhideWhenUsed="0" w:uiPriority="68" w:semiHidden="0" w:name="Medium Grid 2 Accent 2"/>
    <w:lsdException w:qFormat="1" w:unhideWhenUsed="0" w:uiPriority="69" w:semiHidden="0" w:name="Medium Grid 3 Accent 2"/>
    <w:lsdException w:qFormat="1" w:unhideWhenUsed="0" w:uiPriority="70" w:semiHidden="0" w:name="Dark List Accent 2"/>
    <w:lsdException w:qFormat="1" w:unhideWhenUsed="0" w:uiPriority="71" w:semiHidden="0" w:name="Colorful Shading Accent 2"/>
    <w:lsdException w:qFormat="1" w:unhideWhenUsed="0" w:uiPriority="72" w:semiHidden="0" w:name="Colorful List Accent 2"/>
    <w:lsdException w:qFormat="1" w:unhideWhenUsed="0" w:uiPriority="73" w:semiHidden="0" w:name="Colorful Grid Accent 2"/>
    <w:lsdException w:qFormat="1" w:unhideWhenUsed="0" w:uiPriority="60" w:semiHidden="0" w:name="Light Shading Accent 3"/>
    <w:lsdException w:qFormat="1" w:unhideWhenUsed="0" w:uiPriority="61" w:semiHidden="0" w:name="Light List Accent 3"/>
    <w:lsdException w:qFormat="1" w:unhideWhenUsed="0" w:uiPriority="62" w:semiHidden="0" w:name="Light Grid Accent 3"/>
    <w:lsdException w:qFormat="1" w:unhideWhenUsed="0" w:uiPriority="63" w:semiHidden="0" w:name="Medium Shading 1 Accent 3"/>
    <w:lsdException w:qFormat="1" w:unhideWhenUsed="0" w:uiPriority="64" w:semiHidden="0" w:name="Medium Shading 2 Accent 3"/>
    <w:lsdException w:qFormat="1" w:unhideWhenUsed="0" w:uiPriority="65" w:semiHidden="0" w:name="Medium List 1 Accent 3"/>
    <w:lsdException w:qFormat="1" w:unhideWhenUsed="0" w:uiPriority="66" w:semiHidden="0" w:name="Medium List 2 Accent 3"/>
    <w:lsdException w:qFormat="1" w:unhideWhenUsed="0" w:uiPriority="67" w:semiHidden="0" w:name="Medium Grid 1 Accent 3"/>
    <w:lsdException w:qFormat="1" w:unhideWhenUsed="0" w:uiPriority="68" w:semiHidden="0" w:name="Medium Grid 2 Accent 3"/>
    <w:lsdException w:qFormat="1" w:unhideWhenUsed="0" w:uiPriority="69" w:semiHidden="0" w:name="Medium Grid 3 Accent 3"/>
    <w:lsdException w:qFormat="1" w:unhideWhenUsed="0" w:uiPriority="70" w:semiHidden="0" w:name="Dark List Accent 3"/>
    <w:lsdException w:qFormat="1" w:unhideWhenUsed="0" w:uiPriority="71" w:semiHidden="0" w:name="Colorful Shading Accent 3"/>
    <w:lsdException w:qFormat="1" w:unhideWhenUsed="0" w:uiPriority="72" w:semiHidden="0" w:name="Colorful List Accent 3"/>
    <w:lsdException w:qFormat="1" w:unhideWhenUsed="0" w:uiPriority="73" w:semiHidden="0" w:name="Colorful Grid Accent 3"/>
    <w:lsdException w:qFormat="1" w:unhideWhenUsed="0" w:uiPriority="60" w:semiHidden="0" w:name="Light Shading Accent 4"/>
    <w:lsdException w:qFormat="1" w:unhideWhenUsed="0" w:uiPriority="61" w:semiHidden="0" w:name="Light List Accent 4"/>
    <w:lsdException w:qFormat="1" w:unhideWhenUsed="0" w:uiPriority="62" w:semiHidden="0" w:name="Light Grid Accent 4"/>
    <w:lsdException w:qFormat="1" w:unhideWhenUsed="0" w:uiPriority="63" w:semiHidden="0" w:name="Medium Shading 1 Accent 4"/>
    <w:lsdException w:qFormat="1" w:unhideWhenUsed="0" w:uiPriority="64" w:semiHidden="0" w:name="Medium Shading 2 Accent 4"/>
    <w:lsdException w:qFormat="1" w:unhideWhenUsed="0" w:uiPriority="65" w:semiHidden="0" w:name="Medium List 1 Accent 4"/>
    <w:lsdException w:qFormat="1" w:unhideWhenUsed="0" w:uiPriority="66" w:semiHidden="0" w:name="Medium List 2 Accent 4"/>
    <w:lsdException w:qFormat="1" w:unhideWhenUsed="0" w:uiPriority="67" w:semiHidden="0" w:name="Medium Grid 1 Accent 4"/>
    <w:lsdException w:qFormat="1" w:unhideWhenUsed="0" w:uiPriority="68" w:semiHidden="0" w:name="Medium Grid 2 Accent 4"/>
    <w:lsdException w:qFormat="1" w:unhideWhenUsed="0" w:uiPriority="69" w:semiHidden="0" w:name="Medium Grid 3 Accent 4"/>
    <w:lsdException w:qFormat="1" w:unhideWhenUsed="0" w:uiPriority="70" w:semiHidden="0" w:name="Dark List Accent 4"/>
    <w:lsdException w:qFormat="1" w:unhideWhenUsed="0" w:uiPriority="71" w:semiHidden="0" w:name="Colorful Shading Accent 4"/>
    <w:lsdException w:qFormat="1" w:unhideWhenUsed="0" w:uiPriority="72" w:semiHidden="0" w:name="Colorful List Accent 4"/>
    <w:lsdException w:qFormat="1" w:unhideWhenUsed="0" w:uiPriority="73" w:semiHidden="0" w:name="Colorful Grid Accent 4"/>
    <w:lsdException w:qFormat="1" w:unhideWhenUsed="0" w:uiPriority="60" w:semiHidden="0" w:name="Light Shading Accent 5"/>
    <w:lsdException w:qFormat="1" w:unhideWhenUsed="0" w:uiPriority="61" w:semiHidden="0" w:name="Light List Accent 5"/>
    <w:lsdException w:qFormat="1" w:unhideWhenUsed="0" w:uiPriority="62" w:semiHidden="0" w:name="Light Grid Accent 5"/>
    <w:lsdException w:qFormat="1" w:unhideWhenUsed="0" w:uiPriority="63" w:semiHidden="0" w:name="Medium Shading 1 Accent 5"/>
    <w:lsdException w:qFormat="1" w:unhideWhenUsed="0" w:uiPriority="64" w:semiHidden="0" w:name="Medium Shading 2 Accent 5"/>
    <w:lsdException w:qFormat="1" w:unhideWhenUsed="0" w:uiPriority="65" w:semiHidden="0" w:name="Medium List 1 Accent 5"/>
    <w:lsdException w:qFormat="1" w:unhideWhenUsed="0" w:uiPriority="66" w:semiHidden="0" w:name="Medium List 2 Accent 5"/>
    <w:lsdException w:qFormat="1" w:unhideWhenUsed="0" w:uiPriority="67" w:semiHidden="0" w:name="Medium Grid 1 Accent 5"/>
    <w:lsdException w:qFormat="1" w:unhideWhenUsed="0" w:uiPriority="68" w:semiHidden="0" w:name="Medium Grid 2 Accent 5"/>
    <w:lsdException w:qFormat="1" w:unhideWhenUsed="0" w:uiPriority="69" w:semiHidden="0" w:name="Medium Grid 3 Accent 5"/>
    <w:lsdException w:qFormat="1" w:unhideWhenUsed="0" w:uiPriority="70" w:semiHidden="0" w:name="Dark List Accent 5"/>
    <w:lsdException w:qFormat="1" w:unhideWhenUsed="0" w:uiPriority="71" w:semiHidden="0" w:name="Colorful Shading Accent 5"/>
    <w:lsdException w:qFormat="1" w:unhideWhenUsed="0" w:uiPriority="72" w:semiHidden="0" w:name="Colorful List Accent 5"/>
    <w:lsdException w:qFormat="1" w:unhideWhenUsed="0" w:uiPriority="73" w:semiHidden="0" w:name="Colorful Grid Accent 5"/>
    <w:lsdException w:qFormat="1" w:unhideWhenUsed="0" w:uiPriority="60" w:semiHidden="0" w:name="Light Shading Accent 6"/>
    <w:lsdException w:qFormat="1" w:unhideWhenUsed="0" w:uiPriority="61" w:semiHidden="0" w:name="Light List Accent 6"/>
    <w:lsdException w:qFormat="1" w:unhideWhenUsed="0" w:uiPriority="62" w:semiHidden="0" w:name="Light Grid Accent 6"/>
    <w:lsdException w:qFormat="1" w:unhideWhenUsed="0" w:uiPriority="63" w:semiHidden="0" w:name="Medium Shading 1 Accent 6"/>
    <w:lsdException w:qFormat="1" w:unhideWhenUsed="0" w:uiPriority="64" w:semiHidden="0" w:name="Medium Shading 2 Accent 6"/>
    <w:lsdException w:qFormat="1" w:unhideWhenUsed="0" w:uiPriority="65" w:semiHidden="0" w:name="Medium List 1 Accent 6"/>
    <w:lsdException w:qFormat="1" w:unhideWhenUsed="0" w:uiPriority="66" w:semiHidden="0" w:name="Medium List 2 Accent 6"/>
    <w:lsdException w:qFormat="1" w:unhideWhenUsed="0" w:uiPriority="67" w:semiHidden="0" w:name="Medium Grid 1 Accent 6"/>
    <w:lsdException w:qFormat="1" w:unhideWhenUsed="0" w:uiPriority="68" w:semiHidden="0" w:name="Medium Grid 2 Accent 6"/>
    <w:lsdException w:qFormat="1" w:unhideWhenUsed="0" w:uiPriority="69" w:semiHidden="0" w:name="Medium Grid 3 Accent 6"/>
    <w:lsdException w:qFormat="1" w:unhideWhenUsed="0" w:uiPriority="70" w:semiHidden="0" w:name="Dark List Accent 6"/>
    <w:lsdException w:qFormat="1" w:unhideWhenUsed="0" w:uiPriority="71" w:semiHidden="0" w:name="Colorful Shading Accent 6"/>
    <w:lsdException w:qFormat="1" w:unhideWhenUsed="0" w:uiPriority="72" w:semiHidden="0" w:name="Colorful List Accent 6"/>
    <w:lsdException w:qFormat="1" w:unhideWhenUsed="0" w:uiPriority="73" w:semiHidden="0" w:name="Colorful Grid Accent 6"/>
  </w:latentStyles>
  <w:style w:type="paragraph" w:default="1" w:styleId="1">
    <w:name w:val="Normal"/>
    <w:qFormat/>
    <w:uiPriority w:val="0"/>
    <w:pPr>
      <w:spacing w:before="0" w:after="0" w:line="315" w:lineRule="exact"/>
      <w:ind w:firstLine="0"/>
    </w:pPr>
    <w:rPr>
      <w:rFonts w:ascii="宋体" w:hAnsi="宋体" w:eastAsia="宋体" w:cstheme="minorBidi"/>
      <w:sz w:val="21"/>
      <w:szCs w:val="22"/>
      <w:lang w:val="en-US" w:eastAsia="en-US" w:bidi="ar-SA"/>
    </w:rPr>
  </w:style>
  <w:style w:type="paragraph" w:styleId="3">
    <w:name w:val="heading 1"/>
    <w:basedOn w:val="1"/>
    <w:next w:val="1"/>
    <w:link w:val="151"/>
    <w:qFormat/>
    <w:uiPriority w:val="9"/>
    <w:pPr>
      <w:keepNext/>
      <w:keepLines/>
      <w:spacing w:before="480" w:after="0"/>
      <w:outlineLvl w:val="0"/>
    </w:pPr>
    <w:rPr>
      <w:rFonts w:asciiTheme="majorHAnsi" w:hAnsiTheme="majorHAnsi" w:eastAsiaTheme="majorEastAsia" w:cstheme="majorBidi"/>
      <w:b/>
      <w:bCs/>
      <w:color w:val="376092" w:themeColor="accent1" w:themeShade="BF"/>
      <w:sz w:val="28"/>
      <w:szCs w:val="28"/>
    </w:rPr>
  </w:style>
  <w:style w:type="paragraph" w:styleId="4">
    <w:name w:val="heading 2"/>
    <w:basedOn w:val="1"/>
    <w:next w:val="1"/>
    <w:link w:val="152"/>
    <w:unhideWhenUsed/>
    <w:qFormat/>
    <w:uiPriority w:val="9"/>
    <w:pPr>
      <w:keepNext/>
      <w:keepLines/>
      <w:spacing w:before="200" w:after="0"/>
      <w:outlineLvl w:val="1"/>
    </w:pPr>
    <w:rPr>
      <w:rFonts w:asciiTheme="majorHAnsi" w:hAnsiTheme="majorHAnsi" w:eastAsiaTheme="majorEastAsia" w:cstheme="majorBidi"/>
      <w:b/>
      <w:bCs/>
      <w:color w:val="4F81BD" w:themeColor="accent1"/>
      <w:sz w:val="26"/>
      <w:szCs w:val="26"/>
      <w14:textFill>
        <w14:solidFill>
          <w14:schemeClr w14:val="accent1"/>
        </w14:solidFill>
      </w14:textFill>
    </w:rPr>
  </w:style>
  <w:style w:type="paragraph" w:styleId="5">
    <w:name w:val="heading 3"/>
    <w:basedOn w:val="1"/>
    <w:next w:val="6"/>
    <w:link w:val="153"/>
    <w:unhideWhenUsed/>
    <w:qFormat/>
    <w:uiPriority w:val="9"/>
    <w:pPr>
      <w:keepNext/>
      <w:keepLines/>
      <w:spacing w:before="200" w:after="0"/>
      <w:outlineLvl w:val="2"/>
    </w:pPr>
    <w:rPr>
      <w:rFonts w:asciiTheme="majorHAnsi" w:hAnsiTheme="majorHAnsi" w:eastAsiaTheme="majorEastAsia" w:cstheme="majorBidi"/>
      <w:b/>
      <w:bCs/>
      <w:color w:val="4F81BD" w:themeColor="accent1"/>
      <w14:textFill>
        <w14:solidFill>
          <w14:schemeClr w14:val="accent1"/>
        </w14:solidFill>
      </w14:textFill>
    </w:rPr>
  </w:style>
  <w:style w:type="paragraph" w:styleId="7">
    <w:name w:val="heading 4"/>
    <w:basedOn w:val="1"/>
    <w:next w:val="1"/>
    <w:link w:val="163"/>
    <w:semiHidden/>
    <w:unhideWhenUsed/>
    <w:qFormat/>
    <w:uiPriority w:val="9"/>
    <w:pPr>
      <w:keepNext/>
      <w:keepLines/>
      <w:spacing w:before="200" w:after="0"/>
      <w:outlineLvl w:val="3"/>
    </w:pPr>
    <w:rPr>
      <w:rFonts w:asciiTheme="majorHAnsi" w:hAnsiTheme="majorHAnsi" w:eastAsiaTheme="majorEastAsia" w:cstheme="majorBidi"/>
      <w:b/>
      <w:bCs/>
      <w:i/>
      <w:iCs/>
      <w:color w:val="4F81BD" w:themeColor="accent1"/>
      <w14:textFill>
        <w14:solidFill>
          <w14:schemeClr w14:val="accent1"/>
        </w14:solidFill>
      </w14:textFill>
    </w:rPr>
  </w:style>
  <w:style w:type="paragraph" w:styleId="8">
    <w:name w:val="heading 5"/>
    <w:basedOn w:val="1"/>
    <w:next w:val="1"/>
    <w:link w:val="164"/>
    <w:semiHidden/>
    <w:unhideWhenUsed/>
    <w:qFormat/>
    <w:uiPriority w:val="9"/>
    <w:pPr>
      <w:keepNext/>
      <w:keepLines/>
      <w:spacing w:before="200" w:after="0"/>
      <w:outlineLvl w:val="4"/>
    </w:pPr>
    <w:rPr>
      <w:rFonts w:asciiTheme="majorHAnsi" w:hAnsiTheme="majorHAnsi" w:eastAsiaTheme="majorEastAsia" w:cstheme="majorBidi"/>
      <w:color w:val="254061" w:themeColor="accent1" w:themeShade="80"/>
    </w:rPr>
  </w:style>
  <w:style w:type="paragraph" w:styleId="9">
    <w:name w:val="heading 6"/>
    <w:basedOn w:val="1"/>
    <w:next w:val="1"/>
    <w:link w:val="165"/>
    <w:semiHidden/>
    <w:unhideWhenUsed/>
    <w:qFormat/>
    <w:uiPriority w:val="9"/>
    <w:pPr>
      <w:keepNext/>
      <w:keepLines/>
      <w:spacing w:before="200" w:after="0"/>
      <w:outlineLvl w:val="5"/>
    </w:pPr>
    <w:rPr>
      <w:rFonts w:asciiTheme="majorHAnsi" w:hAnsiTheme="majorHAnsi" w:eastAsiaTheme="majorEastAsia" w:cstheme="majorBidi"/>
      <w:i/>
      <w:iCs/>
      <w:color w:val="254061" w:themeColor="accent1" w:themeShade="80"/>
    </w:rPr>
  </w:style>
  <w:style w:type="paragraph" w:styleId="10">
    <w:name w:val="heading 7"/>
    <w:basedOn w:val="1"/>
    <w:next w:val="1"/>
    <w:link w:val="166"/>
    <w:semiHidden/>
    <w:unhideWhenUsed/>
    <w:qFormat/>
    <w:uiPriority w:val="9"/>
    <w:pPr>
      <w:keepNext/>
      <w:keepLines/>
      <w:spacing w:before="200" w:after="0"/>
      <w:outlineLvl w:val="6"/>
    </w:pPr>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paragraph" w:styleId="11">
    <w:name w:val="heading 8"/>
    <w:basedOn w:val="1"/>
    <w:next w:val="1"/>
    <w:link w:val="167"/>
    <w:semiHidden/>
    <w:unhideWhenUsed/>
    <w:qFormat/>
    <w:uiPriority w:val="9"/>
    <w:pPr>
      <w:keepNext/>
      <w:keepLines/>
      <w:spacing w:before="200" w:after="0"/>
      <w:outlineLvl w:val="7"/>
    </w:pPr>
    <w:rPr>
      <w:rFonts w:asciiTheme="majorHAnsi" w:hAnsiTheme="majorHAnsi" w:eastAsiaTheme="majorEastAsia" w:cstheme="majorBidi"/>
      <w:color w:val="4F81BD" w:themeColor="accent1"/>
      <w:sz w:val="20"/>
      <w:szCs w:val="20"/>
      <w14:textFill>
        <w14:solidFill>
          <w14:schemeClr w14:val="accent1"/>
        </w14:solidFill>
      </w14:textFill>
    </w:rPr>
  </w:style>
  <w:style w:type="paragraph" w:styleId="12">
    <w:name w:val="heading 9"/>
    <w:basedOn w:val="1"/>
    <w:next w:val="1"/>
    <w:link w:val="168"/>
    <w:semiHidden/>
    <w:unhideWhenUsed/>
    <w:qFormat/>
    <w:uiPriority w:val="9"/>
    <w:pPr>
      <w:keepNext/>
      <w:keepLines/>
      <w:spacing w:before="200" w:after="0"/>
      <w:outlineLvl w:val="8"/>
    </w:pPr>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character" w:default="1" w:styleId="142">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styleId="2">
    <w:name w:val="macro"/>
    <w:link w:val="160"/>
    <w:unhideWhenUsed/>
    <w:qFormat/>
    <w:uiPriority w:val="99"/>
    <w:pPr>
      <w:tabs>
        <w:tab w:val="left" w:pos="576"/>
        <w:tab w:val="left" w:pos="1152"/>
        <w:tab w:val="left" w:pos="1728"/>
        <w:tab w:val="left" w:pos="2304"/>
        <w:tab w:val="left" w:pos="2880"/>
        <w:tab w:val="left" w:pos="3456"/>
        <w:tab w:val="left" w:pos="4032"/>
      </w:tabs>
      <w:spacing w:after="200" w:line="276" w:lineRule="auto"/>
    </w:pPr>
    <w:rPr>
      <w:rFonts w:ascii="Courier" w:hAnsi="Courier" w:eastAsiaTheme="minorEastAsia" w:cstheme="minorBidi"/>
      <w:sz w:val="20"/>
      <w:szCs w:val="20"/>
      <w:lang w:val="en-US" w:eastAsia="en-US" w:bidi="ar-SA"/>
    </w:rPr>
  </w:style>
  <w:style w:type="paragraph" w:styleId="6">
    <w:name w:val="Normal Indent"/>
    <w:basedOn w:val="1"/>
    <w:qFormat/>
    <w:uiPriority w:val="0"/>
    <w:pPr>
      <w:widowControl w:val="0"/>
      <w:adjustRightInd w:val="0"/>
      <w:spacing w:line="360" w:lineRule="atLeast"/>
      <w:ind w:firstLine="420"/>
      <w:jc w:val="left"/>
      <w:textAlignment w:val="baseline"/>
    </w:pPr>
    <w:rPr>
      <w:rFonts w:ascii="Times New Roman" w:hAnsi="Times New Roman" w:eastAsia="宋体" w:cs="Times New Roman"/>
      <w:kern w:val="0"/>
      <w:sz w:val="24"/>
      <w:lang w:val="en-US" w:eastAsia="zh-CN" w:bidi="ar-SA"/>
    </w:rPr>
  </w:style>
  <w:style w:type="paragraph" w:styleId="13">
    <w:name w:val="List 3"/>
    <w:basedOn w:val="1"/>
    <w:unhideWhenUsed/>
    <w:qFormat/>
    <w:uiPriority w:val="99"/>
    <w:pPr>
      <w:ind w:left="1080" w:hanging="360"/>
      <w:contextualSpacing/>
    </w:pPr>
  </w:style>
  <w:style w:type="paragraph" w:styleId="14">
    <w:name w:val="List Number 2"/>
    <w:basedOn w:val="1"/>
    <w:unhideWhenUsed/>
    <w:qFormat/>
    <w:uiPriority w:val="99"/>
    <w:pPr>
      <w:numPr>
        <w:ilvl w:val="0"/>
        <w:numId w:val="1"/>
      </w:numPr>
      <w:contextualSpacing/>
    </w:pPr>
  </w:style>
  <w:style w:type="paragraph" w:styleId="15">
    <w:name w:val="List Number"/>
    <w:basedOn w:val="1"/>
    <w:unhideWhenUsed/>
    <w:qFormat/>
    <w:uiPriority w:val="99"/>
    <w:pPr>
      <w:numPr>
        <w:ilvl w:val="0"/>
        <w:numId w:val="2"/>
      </w:numPr>
      <w:contextualSpacing/>
    </w:pPr>
  </w:style>
  <w:style w:type="paragraph" w:styleId="16">
    <w:name w:val="caption"/>
    <w:basedOn w:val="1"/>
    <w:next w:val="1"/>
    <w:semiHidden/>
    <w:unhideWhenUsed/>
    <w:qFormat/>
    <w:uiPriority w:val="35"/>
    <w:pPr>
      <w:spacing w:line="240" w:lineRule="auto"/>
    </w:pPr>
    <w:rPr>
      <w:b/>
      <w:bCs/>
      <w:color w:val="4F81BD" w:themeColor="accent1"/>
      <w:sz w:val="18"/>
      <w:szCs w:val="18"/>
      <w14:textFill>
        <w14:solidFill>
          <w14:schemeClr w14:val="accent1"/>
        </w14:solidFill>
      </w14:textFill>
    </w:rPr>
  </w:style>
  <w:style w:type="paragraph" w:styleId="17">
    <w:name w:val="List Bullet"/>
    <w:basedOn w:val="1"/>
    <w:unhideWhenUsed/>
    <w:qFormat/>
    <w:uiPriority w:val="99"/>
    <w:pPr>
      <w:numPr>
        <w:ilvl w:val="0"/>
        <w:numId w:val="3"/>
      </w:numPr>
      <w:contextualSpacing/>
    </w:pPr>
  </w:style>
  <w:style w:type="paragraph" w:styleId="18">
    <w:name w:val="annotation text"/>
    <w:basedOn w:val="1"/>
    <w:semiHidden/>
    <w:unhideWhenUsed/>
    <w:qFormat/>
    <w:uiPriority w:val="99"/>
    <w:pPr>
      <w:jc w:val="left"/>
    </w:pPr>
  </w:style>
  <w:style w:type="paragraph" w:styleId="19">
    <w:name w:val="Body Text 3"/>
    <w:basedOn w:val="1"/>
    <w:link w:val="159"/>
    <w:unhideWhenUsed/>
    <w:qFormat/>
    <w:uiPriority w:val="99"/>
    <w:pPr>
      <w:spacing w:after="120"/>
    </w:pPr>
    <w:rPr>
      <w:sz w:val="16"/>
      <w:szCs w:val="16"/>
    </w:rPr>
  </w:style>
  <w:style w:type="paragraph" w:styleId="20">
    <w:name w:val="List Bullet 3"/>
    <w:basedOn w:val="1"/>
    <w:unhideWhenUsed/>
    <w:qFormat/>
    <w:uiPriority w:val="99"/>
    <w:pPr>
      <w:numPr>
        <w:ilvl w:val="0"/>
        <w:numId w:val="4"/>
      </w:numPr>
      <w:contextualSpacing/>
    </w:pPr>
  </w:style>
  <w:style w:type="paragraph" w:styleId="21">
    <w:name w:val="Body Text"/>
    <w:basedOn w:val="1"/>
    <w:next w:val="1"/>
    <w:link w:val="157"/>
    <w:unhideWhenUsed/>
    <w:qFormat/>
    <w:uiPriority w:val="99"/>
    <w:pPr>
      <w:spacing w:after="120"/>
    </w:pPr>
  </w:style>
  <w:style w:type="paragraph" w:styleId="22">
    <w:name w:val="Body Text Indent"/>
    <w:basedOn w:val="1"/>
    <w:qFormat/>
    <w:uiPriority w:val="0"/>
    <w:pPr>
      <w:widowControl w:val="0"/>
      <w:wordWrap w:val="0"/>
      <w:spacing w:after="120" w:line="276" w:lineRule="auto"/>
      <w:ind w:left="420" w:leftChars="200"/>
      <w:jc w:val="both"/>
    </w:pPr>
    <w:rPr>
      <w:rFonts w:ascii="Times New Roman" w:hAnsi="Times New Roman" w:cs="Times New Roman"/>
      <w:color w:val="000000"/>
      <w:kern w:val="2"/>
      <w:szCs w:val="20"/>
      <w:lang w:eastAsia="zh-CN"/>
    </w:rPr>
  </w:style>
  <w:style w:type="paragraph" w:styleId="23">
    <w:name w:val="List Number 3"/>
    <w:basedOn w:val="1"/>
    <w:unhideWhenUsed/>
    <w:qFormat/>
    <w:uiPriority w:val="99"/>
    <w:pPr>
      <w:numPr>
        <w:ilvl w:val="0"/>
        <w:numId w:val="5"/>
      </w:numPr>
      <w:contextualSpacing/>
    </w:pPr>
  </w:style>
  <w:style w:type="paragraph" w:styleId="24">
    <w:name w:val="List 2"/>
    <w:basedOn w:val="1"/>
    <w:unhideWhenUsed/>
    <w:qFormat/>
    <w:uiPriority w:val="99"/>
    <w:pPr>
      <w:ind w:left="720" w:hanging="360"/>
      <w:contextualSpacing/>
    </w:pPr>
  </w:style>
  <w:style w:type="paragraph" w:styleId="25">
    <w:name w:val="List Continue"/>
    <w:basedOn w:val="1"/>
    <w:unhideWhenUsed/>
    <w:qFormat/>
    <w:uiPriority w:val="99"/>
    <w:pPr>
      <w:spacing w:after="120"/>
      <w:ind w:left="360"/>
      <w:contextualSpacing/>
    </w:pPr>
  </w:style>
  <w:style w:type="paragraph" w:styleId="26">
    <w:name w:val="List Bullet 2"/>
    <w:basedOn w:val="1"/>
    <w:unhideWhenUsed/>
    <w:qFormat/>
    <w:uiPriority w:val="99"/>
    <w:pPr>
      <w:numPr>
        <w:ilvl w:val="0"/>
        <w:numId w:val="6"/>
      </w:numPr>
      <w:contextualSpacing/>
    </w:pPr>
  </w:style>
  <w:style w:type="paragraph" w:styleId="27">
    <w:name w:val="toc 3"/>
    <w:basedOn w:val="1"/>
    <w:next w:val="1"/>
    <w:semiHidden/>
    <w:unhideWhenUsed/>
    <w:qFormat/>
    <w:uiPriority w:val="39"/>
    <w:pPr>
      <w:ind w:left="840" w:leftChars="400"/>
    </w:pPr>
  </w:style>
  <w:style w:type="paragraph" w:styleId="28">
    <w:name w:val="Plain Text"/>
    <w:basedOn w:val="1"/>
    <w:semiHidden/>
    <w:qFormat/>
    <w:uiPriority w:val="0"/>
    <w:rPr>
      <w:rFonts w:ascii="宋体" w:hAnsi="Courier New" w:cs="Courier New"/>
      <w:szCs w:val="21"/>
    </w:rPr>
  </w:style>
  <w:style w:type="paragraph" w:styleId="29">
    <w:name w:val="Date"/>
    <w:basedOn w:val="1"/>
    <w:next w:val="1"/>
    <w:qFormat/>
    <w:uiPriority w:val="0"/>
    <w:pPr>
      <w:adjustRightInd w:val="0"/>
      <w:spacing w:line="360" w:lineRule="atLeast"/>
      <w:textAlignment w:val="baseline"/>
    </w:pPr>
    <w:rPr>
      <w:rFonts w:ascii="宋体"/>
      <w:kern w:val="0"/>
      <w:sz w:val="24"/>
    </w:rPr>
  </w:style>
  <w:style w:type="paragraph" w:styleId="30">
    <w:name w:val="Body Text Indent 2"/>
    <w:basedOn w:val="1"/>
    <w:qFormat/>
    <w:uiPriority w:val="0"/>
    <w:pPr>
      <w:spacing w:after="120" w:line="480" w:lineRule="auto"/>
      <w:ind w:left="420" w:leftChars="200"/>
    </w:pPr>
    <w:rPr>
      <w:sz w:val="21"/>
    </w:rPr>
  </w:style>
  <w:style w:type="paragraph" w:styleId="31">
    <w:name w:val="footer"/>
    <w:basedOn w:val="1"/>
    <w:link w:val="149"/>
    <w:unhideWhenUsed/>
    <w:qFormat/>
    <w:uiPriority w:val="99"/>
    <w:pPr>
      <w:tabs>
        <w:tab w:val="center" w:pos="4680"/>
        <w:tab w:val="right" w:pos="9360"/>
      </w:tabs>
      <w:spacing w:after="0" w:line="240" w:lineRule="auto"/>
    </w:pPr>
  </w:style>
  <w:style w:type="paragraph" w:styleId="32">
    <w:name w:val="header"/>
    <w:basedOn w:val="1"/>
    <w:link w:val="148"/>
    <w:unhideWhenUsed/>
    <w:qFormat/>
    <w:uiPriority w:val="99"/>
    <w:pPr>
      <w:tabs>
        <w:tab w:val="center" w:pos="4680"/>
        <w:tab w:val="right" w:pos="9360"/>
      </w:tabs>
      <w:spacing w:after="0" w:line="240" w:lineRule="auto"/>
    </w:pPr>
  </w:style>
  <w:style w:type="paragraph" w:styleId="33">
    <w:name w:val="toc 1"/>
    <w:basedOn w:val="1"/>
    <w:next w:val="1"/>
    <w:semiHidden/>
    <w:unhideWhenUsed/>
    <w:qFormat/>
    <w:uiPriority w:val="39"/>
  </w:style>
  <w:style w:type="paragraph" w:styleId="34">
    <w:name w:val="Subtitle"/>
    <w:basedOn w:val="1"/>
    <w:next w:val="1"/>
    <w:link w:val="155"/>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35">
    <w:name w:val="List"/>
    <w:basedOn w:val="1"/>
    <w:unhideWhenUsed/>
    <w:qFormat/>
    <w:uiPriority w:val="99"/>
    <w:pPr>
      <w:ind w:left="360" w:hanging="360"/>
      <w:contextualSpacing/>
    </w:pPr>
  </w:style>
  <w:style w:type="paragraph" w:styleId="36">
    <w:name w:val="toc 2"/>
    <w:basedOn w:val="1"/>
    <w:next w:val="1"/>
    <w:semiHidden/>
    <w:unhideWhenUsed/>
    <w:qFormat/>
    <w:uiPriority w:val="39"/>
    <w:pPr>
      <w:ind w:left="420" w:leftChars="200"/>
    </w:pPr>
  </w:style>
  <w:style w:type="paragraph" w:styleId="37">
    <w:name w:val="Body Text 2"/>
    <w:basedOn w:val="1"/>
    <w:link w:val="158"/>
    <w:unhideWhenUsed/>
    <w:qFormat/>
    <w:uiPriority w:val="99"/>
    <w:pPr>
      <w:spacing w:after="120" w:line="480" w:lineRule="auto"/>
    </w:pPr>
  </w:style>
  <w:style w:type="paragraph" w:styleId="38">
    <w:name w:val="List Continue 2"/>
    <w:basedOn w:val="1"/>
    <w:unhideWhenUsed/>
    <w:qFormat/>
    <w:uiPriority w:val="99"/>
    <w:pPr>
      <w:spacing w:after="120"/>
      <w:ind w:left="720"/>
      <w:contextualSpacing/>
    </w:pPr>
  </w:style>
  <w:style w:type="paragraph" w:styleId="39">
    <w:name w:val="Normal (Web)"/>
    <w:basedOn w:val="1"/>
    <w:semiHidden/>
    <w:unhideWhenUsed/>
    <w:qFormat/>
    <w:uiPriority w:val="99"/>
    <w:rPr>
      <w:sz w:val="24"/>
    </w:rPr>
  </w:style>
  <w:style w:type="paragraph" w:styleId="40">
    <w:name w:val="List Continue 3"/>
    <w:basedOn w:val="1"/>
    <w:unhideWhenUsed/>
    <w:qFormat/>
    <w:uiPriority w:val="99"/>
    <w:pPr>
      <w:spacing w:after="120"/>
      <w:ind w:left="1080"/>
      <w:contextualSpacing/>
    </w:pPr>
  </w:style>
  <w:style w:type="paragraph" w:styleId="41">
    <w:name w:val="Title"/>
    <w:basedOn w:val="1"/>
    <w:next w:val="1"/>
    <w:link w:val="154"/>
    <w:qFormat/>
    <w:uiPriority w:val="10"/>
    <w:pPr>
      <w:pBdr>
        <w:bottom w:val="single" w:color="4F81BD" w:themeColor="accent1" w:sz="8" w:space="4"/>
      </w:pBdr>
      <w:spacing w:after="300" w:line="240" w:lineRule="auto"/>
      <w:contextualSpacing/>
    </w:pPr>
    <w:rPr>
      <w:rFonts w:asciiTheme="majorHAnsi" w:hAnsiTheme="majorHAnsi" w:eastAsiaTheme="majorEastAsia" w:cstheme="majorBidi"/>
      <w:color w:val="17375E" w:themeColor="text2" w:themeShade="BF"/>
      <w:spacing w:val="5"/>
      <w:kern w:val="28"/>
      <w:sz w:val="52"/>
      <w:szCs w:val="52"/>
    </w:rPr>
  </w:style>
  <w:style w:type="table" w:styleId="43">
    <w:name w:val="Table Grid"/>
    <w:basedOn w:val="42"/>
    <w:qFormat/>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44">
    <w:name w:val="Light Shading"/>
    <w:basedOn w:val="42"/>
    <w:qFormat/>
    <w:uiPriority w:val="60"/>
    <w:pPr>
      <w:spacing w:after="0" w:line="240" w:lineRule="auto"/>
    </w:pPr>
    <w:rPr>
      <w:color w:val="000000" w:themeColor="text1" w:themeShade="BF"/>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table" w:styleId="45">
    <w:name w:val="Light Shading Accent 1"/>
    <w:basedOn w:val="42"/>
    <w:qFormat/>
    <w:uiPriority w:val="60"/>
    <w:pPr>
      <w:spacing w:after="0" w:line="240" w:lineRule="auto"/>
    </w:pPr>
    <w:rPr>
      <w:color w:val="376092" w:themeColor="accent1" w:themeShade="BF"/>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46">
    <w:name w:val="Light Shading Accent 2"/>
    <w:basedOn w:val="42"/>
    <w:qFormat/>
    <w:uiPriority w:val="60"/>
    <w:pPr>
      <w:spacing w:after="0" w:line="240" w:lineRule="auto"/>
    </w:pPr>
    <w:rPr>
      <w:color w:val="953735" w:themeColor="accent2" w:themeShade="BF"/>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left w:val="nil"/>
          <w:right w:val="nil"/>
          <w:insideH w:val="nil"/>
          <w:insideV w:val="nil"/>
        </w:tcBorders>
        <w:shd w:val="clear" w:color="auto" w:fill="EFD3D3" w:themeFill="accent2" w:themeFillTint="3F"/>
      </w:tcPr>
    </w:tblStylePr>
  </w:style>
  <w:style w:type="table" w:styleId="47">
    <w:name w:val="Light Shading Accent 3"/>
    <w:basedOn w:val="42"/>
    <w:qFormat/>
    <w:uiPriority w:val="60"/>
    <w:pPr>
      <w:spacing w:after="0" w:line="240" w:lineRule="auto"/>
    </w:pPr>
    <w:rPr>
      <w:color w:val="77933C" w:themeColor="accent3" w:themeShade="BF"/>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8">
    <w:name w:val="Light Shading Accent 4"/>
    <w:basedOn w:val="42"/>
    <w:qFormat/>
    <w:uiPriority w:val="60"/>
    <w:pPr>
      <w:spacing w:after="0" w:line="240" w:lineRule="auto"/>
    </w:pPr>
    <w:rPr>
      <w:color w:val="604A7B" w:themeColor="accent4" w:themeShade="BF"/>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49">
    <w:name w:val="Light Shading Accent 5"/>
    <w:basedOn w:val="42"/>
    <w:qFormat/>
    <w:uiPriority w:val="60"/>
    <w:pPr>
      <w:spacing w:after="0" w:line="240" w:lineRule="auto"/>
    </w:pPr>
    <w:rPr>
      <w:color w:val="31859C" w:themeColor="accent5" w:themeShade="BF"/>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left w:val="nil"/>
          <w:right w:val="nil"/>
          <w:insideH w:val="nil"/>
          <w:insideV w:val="nil"/>
        </w:tcBorders>
        <w:shd w:val="clear" w:color="auto" w:fill="D2EAF0" w:themeFill="accent5" w:themeFillTint="3F"/>
      </w:tcPr>
    </w:tblStylePr>
  </w:style>
  <w:style w:type="table" w:styleId="50">
    <w:name w:val="Light Shading Accent 6"/>
    <w:basedOn w:val="42"/>
    <w:qFormat/>
    <w:uiPriority w:val="60"/>
    <w:pPr>
      <w:spacing w:after="0" w:line="240" w:lineRule="auto"/>
    </w:pPr>
    <w:rPr>
      <w:color w:val="E46C0A" w:themeColor="accent6" w:themeShade="BF"/>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left w:val="nil"/>
          <w:right w:val="nil"/>
          <w:insideH w:val="nil"/>
          <w:insideV w:val="nil"/>
        </w:tcBorders>
        <w:shd w:val="clear" w:color="auto" w:fill="FDE5D1" w:themeFill="accent6" w:themeFillTint="3F"/>
      </w:tcPr>
    </w:tblStylePr>
  </w:style>
  <w:style w:type="table" w:styleId="51">
    <w:name w:val="Light List"/>
    <w:basedOn w:val="42"/>
    <w:qFormat/>
    <w:uiPriority w:val="61"/>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52">
    <w:name w:val="Light List Accent 1"/>
    <w:basedOn w:val="42"/>
    <w:qFormat/>
    <w:uiPriority w:val="61"/>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53">
    <w:name w:val="Light List Accent 2"/>
    <w:basedOn w:val="42"/>
    <w:qFormat/>
    <w:uiPriority w:val="61"/>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54">
    <w:name w:val="Light List Accent 3"/>
    <w:basedOn w:val="42"/>
    <w:qFormat/>
    <w:uiPriority w:val="61"/>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55">
    <w:name w:val="Light List Accent 4"/>
    <w:basedOn w:val="42"/>
    <w:qFormat/>
    <w:uiPriority w:val="61"/>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56">
    <w:name w:val="Light List Accent 5"/>
    <w:basedOn w:val="42"/>
    <w:qFormat/>
    <w:uiPriority w:val="61"/>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57">
    <w:name w:val="Light List Accent 6"/>
    <w:basedOn w:val="42"/>
    <w:qFormat/>
    <w:uiPriority w:val="61"/>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58">
    <w:name w:val="Light Grid"/>
    <w:basedOn w:val="42"/>
    <w:qFormat/>
    <w:uiPriority w:val="62"/>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table" w:styleId="59">
    <w:name w:val="Light Grid Accent 1"/>
    <w:basedOn w:val="42"/>
    <w:qFormat/>
    <w:uiPriority w:val="62"/>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tcPr>
    </w:tblStylePr>
  </w:style>
  <w:style w:type="table" w:styleId="60">
    <w:name w:val="Light Grid Accent 2"/>
    <w:basedOn w:val="42"/>
    <w:qFormat/>
    <w:uiPriority w:val="62"/>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3"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shd w:val="clear" w:color="auto" w:fill="EFD3D3"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tcPr>
    </w:tblStylePr>
  </w:style>
  <w:style w:type="table" w:styleId="61">
    <w:name w:val="Light Grid Accent 3"/>
    <w:basedOn w:val="42"/>
    <w:qFormat/>
    <w:uiPriority w:val="62"/>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tcPr>
    </w:tblStylePr>
  </w:style>
  <w:style w:type="table" w:styleId="62">
    <w:name w:val="Light Grid Accent 4"/>
    <w:basedOn w:val="42"/>
    <w:qFormat/>
    <w:uiPriority w:val="62"/>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tcPr>
    </w:tblStylePr>
  </w:style>
  <w:style w:type="table" w:styleId="63">
    <w:name w:val="Light Grid Accent 5"/>
    <w:basedOn w:val="42"/>
    <w:qFormat/>
    <w:uiPriority w:val="62"/>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0"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shd w:val="clear" w:color="auto" w:fill="D2EAF0"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tcPr>
    </w:tblStylePr>
  </w:style>
  <w:style w:type="table" w:styleId="64">
    <w:name w:val="Light Grid Accent 6"/>
    <w:basedOn w:val="42"/>
    <w:qFormat/>
    <w:uiPriority w:val="62"/>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5D1"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shd w:val="clear" w:color="auto" w:fill="FDE5D1"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tcPr>
    </w:tblStylePr>
  </w:style>
  <w:style w:type="table" w:styleId="65">
    <w:name w:val="Medium Shading 1"/>
    <w:basedOn w:val="42"/>
    <w:qFormat/>
    <w:uiPriority w:val="63"/>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BFBFBF" w:themeFill="text1" w:themeFillTint="3F"/>
      </w:tcPr>
    </w:tblStylePr>
    <w:tblStylePr w:type="band1Horz">
      <w:tblPr/>
      <w:tcPr>
        <w:tcBorders>
          <w:insideH w:val="nil"/>
          <w:insideV w:val="nil"/>
        </w:tcBorders>
        <w:shd w:val="clear" w:color="auto" w:fill="BFBFBF" w:themeFill="text1" w:themeFillTint="3F"/>
      </w:tcPr>
    </w:tblStylePr>
    <w:tblStylePr w:type="band2Horz">
      <w:tblPr/>
      <w:tcPr>
        <w:tcBorders>
          <w:insideH w:val="nil"/>
          <w:insideV w:val="nil"/>
        </w:tcBorders>
      </w:tcPr>
    </w:tblStylePr>
  </w:style>
  <w:style w:type="table" w:styleId="66">
    <w:name w:val="Medium Shading 1 Accent 1"/>
    <w:basedOn w:val="42"/>
    <w:qFormat/>
    <w:uiPriority w:val="63"/>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67">
    <w:name w:val="Medium Shading 1 Accent 2"/>
    <w:basedOn w:val="42"/>
    <w:qFormat/>
    <w:uiPriority w:val="63"/>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3" w:themeFill="accent2" w:themeFillTint="3F"/>
      </w:tcPr>
    </w:tblStylePr>
    <w:tblStylePr w:type="band1Horz">
      <w:tblPr/>
      <w:tcPr>
        <w:tcBorders>
          <w:insideH w:val="nil"/>
          <w:insideV w:val="nil"/>
        </w:tcBorders>
        <w:shd w:val="clear" w:color="auto" w:fill="EFD3D3" w:themeFill="accent2" w:themeFillTint="3F"/>
      </w:tcPr>
    </w:tblStylePr>
    <w:tblStylePr w:type="band2Horz">
      <w:tblPr/>
      <w:tcPr>
        <w:tcBorders>
          <w:insideH w:val="nil"/>
          <w:insideV w:val="nil"/>
        </w:tcBorders>
      </w:tcPr>
    </w:tblStylePr>
  </w:style>
  <w:style w:type="table" w:styleId="68">
    <w:name w:val="Medium Shading 1 Accent 3"/>
    <w:basedOn w:val="42"/>
    <w:qFormat/>
    <w:uiPriority w:val="63"/>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4CC82" w:themeColor="accent3" w:themeTint="BF" w:sz="6"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69">
    <w:name w:val="Medium Shading 1 Accent 4"/>
    <w:basedOn w:val="42"/>
    <w:qFormat/>
    <w:uiPriority w:val="63"/>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70">
    <w:name w:val="Medium Shading 1 Accent 5"/>
    <w:basedOn w:val="42"/>
    <w:qFormat/>
    <w:uiPriority w:val="63"/>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0" w:themeFill="accent5" w:themeFillTint="3F"/>
      </w:tcPr>
    </w:tblStylePr>
    <w:tblStylePr w:type="band1Horz">
      <w:tblPr/>
      <w:tcPr>
        <w:tcBorders>
          <w:insideH w:val="nil"/>
          <w:insideV w:val="nil"/>
        </w:tcBorders>
        <w:shd w:val="clear" w:color="auto" w:fill="D2EAF0" w:themeFill="accent5" w:themeFillTint="3F"/>
      </w:tcPr>
    </w:tblStylePr>
    <w:tblStylePr w:type="band2Horz">
      <w:tblPr/>
      <w:tcPr>
        <w:tcBorders>
          <w:insideH w:val="nil"/>
          <w:insideV w:val="nil"/>
        </w:tcBorders>
      </w:tcPr>
    </w:tblStylePr>
  </w:style>
  <w:style w:type="table" w:styleId="71">
    <w:name w:val="Medium Shading 1 Accent 6"/>
    <w:basedOn w:val="42"/>
    <w:qFormat/>
    <w:uiPriority w:val="63"/>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5D1" w:themeFill="accent6" w:themeFillTint="3F"/>
      </w:tcPr>
    </w:tblStylePr>
    <w:tblStylePr w:type="band1Horz">
      <w:tblPr/>
      <w:tcPr>
        <w:tcBorders>
          <w:insideH w:val="nil"/>
          <w:insideV w:val="nil"/>
        </w:tcBorders>
        <w:shd w:val="clear" w:color="auto" w:fill="FDE5D1" w:themeFill="accent6" w:themeFillTint="3F"/>
      </w:tcPr>
    </w:tblStylePr>
    <w:tblStylePr w:type="band2Horz">
      <w:tblPr/>
      <w:tcPr>
        <w:tcBorders>
          <w:insideH w:val="nil"/>
          <w:insideV w:val="nil"/>
        </w:tcBorders>
      </w:tcPr>
    </w:tblStylePr>
  </w:style>
  <w:style w:type="table" w:styleId="72">
    <w:name w:val="Medium Shading 2"/>
    <w:basedOn w:val="42"/>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73">
    <w:name w:val="Medium Shading 2 Accent 1"/>
    <w:basedOn w:val="42"/>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74">
    <w:name w:val="Medium Shading 2 Accent 2"/>
    <w:basedOn w:val="42"/>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75">
    <w:name w:val="Medium Shading 2 Accent 3"/>
    <w:basedOn w:val="42"/>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76">
    <w:name w:val="Medium Shading 2 Accent 4"/>
    <w:basedOn w:val="42"/>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77">
    <w:name w:val="Medium Shading 2 Accent 5"/>
    <w:basedOn w:val="42"/>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78">
    <w:name w:val="Medium Shading 2 Accent 6"/>
    <w:basedOn w:val="42"/>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79">
    <w:name w:val="Medium List 1"/>
    <w:basedOn w:val="42"/>
    <w:qFormat/>
    <w:uiPriority w:val="65"/>
    <w:pPr>
      <w:spacing w:after="0" w:line="240" w:lineRule="auto"/>
    </w:pPr>
    <w:rPr>
      <w:color w:val="000000" w:themeColor="text1"/>
      <w14:textFill>
        <w14:solidFill>
          <w14:schemeClr w14:val="tx1"/>
        </w14:solidFill>
      </w14:textFill>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14:textFill>
          <w14:solidFill>
            <w14:schemeClr w14:val="tx2"/>
          </w14:solidFill>
        </w14:textFill>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BFBFBF" w:themeFill="text1" w:themeFillTint="3F"/>
      </w:tcPr>
    </w:tblStylePr>
    <w:tblStylePr w:type="band1Horz">
      <w:tblPr/>
      <w:tcPr>
        <w:shd w:val="clear" w:color="auto" w:fill="BFBFBF" w:themeFill="text1" w:themeFillTint="3F"/>
      </w:tcPr>
    </w:tblStylePr>
  </w:style>
  <w:style w:type="table" w:styleId="80">
    <w:name w:val="Medium List 1 Accent 1"/>
    <w:basedOn w:val="42"/>
    <w:qFormat/>
    <w:uiPriority w:val="65"/>
    <w:pPr>
      <w:spacing w:after="0" w:line="240" w:lineRule="auto"/>
    </w:pPr>
    <w:rPr>
      <w:color w:val="000000" w:themeColor="text1"/>
      <w14:textFill>
        <w14:solidFill>
          <w14:schemeClr w14:val="tx1"/>
        </w14:solidFill>
      </w14:textFill>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14:textFill>
          <w14:solidFill>
            <w14:schemeClr w14:val="tx2"/>
          </w14:solidFill>
        </w14:textFill>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81">
    <w:name w:val="Medium List 1 Accent 2"/>
    <w:basedOn w:val="42"/>
    <w:qFormat/>
    <w:uiPriority w:val="65"/>
    <w:pPr>
      <w:spacing w:after="0" w:line="240" w:lineRule="auto"/>
    </w:pPr>
    <w:rPr>
      <w:color w:val="000000" w:themeColor="text1"/>
      <w14:textFill>
        <w14:solidFill>
          <w14:schemeClr w14:val="tx1"/>
        </w14:solidFill>
      </w14:textFill>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14:textFill>
          <w14:solidFill>
            <w14:schemeClr w14:val="tx2"/>
          </w14:solidFill>
        </w14:textFill>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3" w:themeFill="accent2" w:themeFillTint="3F"/>
      </w:tcPr>
    </w:tblStylePr>
    <w:tblStylePr w:type="band1Horz">
      <w:tblPr/>
      <w:tcPr>
        <w:shd w:val="clear" w:color="auto" w:fill="EFD3D3" w:themeFill="accent2" w:themeFillTint="3F"/>
      </w:tcPr>
    </w:tblStylePr>
  </w:style>
  <w:style w:type="table" w:styleId="82">
    <w:name w:val="Medium List 1 Accent 3"/>
    <w:basedOn w:val="42"/>
    <w:qFormat/>
    <w:uiPriority w:val="65"/>
    <w:pPr>
      <w:spacing w:after="0" w:line="240" w:lineRule="auto"/>
    </w:pPr>
    <w:rPr>
      <w:color w:val="000000" w:themeColor="text1"/>
      <w14:textFill>
        <w14:solidFill>
          <w14:schemeClr w14:val="tx1"/>
        </w14:solidFill>
      </w14:textFill>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14:textFill>
          <w14:solidFill>
            <w14:schemeClr w14:val="tx2"/>
          </w14:solidFill>
        </w14:textFill>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83">
    <w:name w:val="Medium List 1 Accent 4"/>
    <w:basedOn w:val="42"/>
    <w:qFormat/>
    <w:uiPriority w:val="65"/>
    <w:pPr>
      <w:spacing w:after="0" w:line="240" w:lineRule="auto"/>
    </w:pPr>
    <w:rPr>
      <w:color w:val="000000" w:themeColor="text1"/>
      <w14:textFill>
        <w14:solidFill>
          <w14:schemeClr w14:val="tx1"/>
        </w14:solidFill>
      </w14:textFill>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14:textFill>
          <w14:solidFill>
            <w14:schemeClr w14:val="tx2"/>
          </w14:solidFill>
        </w14:textFill>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84">
    <w:name w:val="Medium List 1 Accent 5"/>
    <w:basedOn w:val="42"/>
    <w:qFormat/>
    <w:uiPriority w:val="65"/>
    <w:pPr>
      <w:spacing w:after="0" w:line="240" w:lineRule="auto"/>
    </w:pPr>
    <w:rPr>
      <w:color w:val="000000" w:themeColor="text1"/>
      <w14:textFill>
        <w14:solidFill>
          <w14:schemeClr w14:val="tx1"/>
        </w14:solidFill>
      </w14:textFill>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14:textFill>
          <w14:solidFill>
            <w14:schemeClr w14:val="tx2"/>
          </w14:solidFill>
        </w14:textFill>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0" w:themeFill="accent5" w:themeFillTint="3F"/>
      </w:tcPr>
    </w:tblStylePr>
    <w:tblStylePr w:type="band1Horz">
      <w:tblPr/>
      <w:tcPr>
        <w:shd w:val="clear" w:color="auto" w:fill="D2EAF0" w:themeFill="accent5" w:themeFillTint="3F"/>
      </w:tcPr>
    </w:tblStylePr>
  </w:style>
  <w:style w:type="table" w:styleId="85">
    <w:name w:val="Medium List 1 Accent 6"/>
    <w:basedOn w:val="42"/>
    <w:qFormat/>
    <w:uiPriority w:val="65"/>
    <w:pPr>
      <w:spacing w:after="0" w:line="240" w:lineRule="auto"/>
    </w:pPr>
    <w:rPr>
      <w:color w:val="000000" w:themeColor="text1"/>
      <w14:textFill>
        <w14:solidFill>
          <w14:schemeClr w14:val="tx1"/>
        </w14:solidFill>
      </w14:textFill>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14:textFill>
          <w14:solidFill>
            <w14:schemeClr w14:val="tx2"/>
          </w14:solidFill>
        </w14:textFill>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5D1" w:themeFill="accent6" w:themeFillTint="3F"/>
      </w:tcPr>
    </w:tblStylePr>
    <w:tblStylePr w:type="band1Horz">
      <w:tblPr/>
      <w:tcPr>
        <w:shd w:val="clear" w:color="auto" w:fill="FDE5D1" w:themeFill="accent6" w:themeFillTint="3F"/>
      </w:tcPr>
    </w:tblStylePr>
  </w:style>
  <w:style w:type="table" w:styleId="86">
    <w:name w:val="Medium List 2"/>
    <w:basedOn w:val="4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top w:val="nil"/>
          <w:bottom w:val="nil"/>
          <w:insideH w:val="nil"/>
          <w:insideV w:val="nil"/>
        </w:tcBorders>
        <w:shd w:val="clear" w:color="auto" w:fill="BFBFBF"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87">
    <w:name w:val="Medium List 2 Accent 1"/>
    <w:basedOn w:val="4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88">
    <w:name w:val="Medium List 2 Accent 2"/>
    <w:basedOn w:val="4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top w:val="nil"/>
          <w:bottom w:val="nil"/>
          <w:insideH w:val="nil"/>
          <w:insideV w:val="nil"/>
        </w:tcBorders>
        <w:shd w:val="clear" w:color="auto" w:fill="EFD3D3"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89">
    <w:name w:val="Medium List 2 Accent 3"/>
    <w:basedOn w:val="4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90">
    <w:name w:val="Medium List 2 Accent 4"/>
    <w:basedOn w:val="4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91">
    <w:name w:val="Medium List 2 Accent 5"/>
    <w:basedOn w:val="4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top w:val="nil"/>
          <w:bottom w:val="nil"/>
          <w:insideH w:val="nil"/>
          <w:insideV w:val="nil"/>
        </w:tcBorders>
        <w:shd w:val="clear" w:color="auto" w:fill="D2EA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92">
    <w:name w:val="Medium List 2 Accent 6"/>
    <w:basedOn w:val="4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top w:val="nil"/>
          <w:bottom w:val="nil"/>
          <w:insideH w:val="nil"/>
          <w:insideV w:val="nil"/>
        </w:tcBorders>
        <w:shd w:val="clear" w:color="auto" w:fill="FDE5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93">
    <w:name w:val="Medium Grid 1"/>
    <w:basedOn w:val="42"/>
    <w:qFormat/>
    <w:uiPriority w:val="67"/>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CellMar>
        <w:top w:w="0" w:type="dxa"/>
        <w:left w:w="108" w:type="dxa"/>
        <w:bottom w:w="0" w:type="dxa"/>
        <w:right w:w="108" w:type="dxa"/>
      </w:tblCellMar>
    </w:tblPr>
    <w:tcPr>
      <w:shd w:val="clear" w:color="auto" w:fill="BFBFBF" w:themeFill="text1" w:themeFillTint="3F"/>
    </w:tcPr>
    <w:tblStylePr w:type="firstRow">
      <w:rPr>
        <w:b/>
        <w:bCs/>
      </w:rPr>
    </w:tblStylePr>
    <w:tblStylePr w:type="lastRow">
      <w:rPr>
        <w:b/>
        <w:bCs/>
      </w:rPr>
      <w:tblPr/>
      <w:tcPr>
        <w:tcBorders>
          <w:top w:val="single" w:color="3F3F3F" w:themeColor="text1" w:themeTint="BF" w:sz="18" w:space="0"/>
        </w:tcBorders>
      </w:tcPr>
    </w:tblStylePr>
    <w:tblStylePr w:type="firstCol">
      <w:rPr>
        <w:b/>
        <w:bCs/>
      </w:rPr>
    </w:tblStylePr>
    <w:tblStylePr w:type="lastCol">
      <w:rPr>
        <w:b/>
        <w:bCs/>
      </w:r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94">
    <w:name w:val="Medium Grid 1 Accent 1"/>
    <w:basedOn w:val="42"/>
    <w:qFormat/>
    <w:uiPriority w:val="67"/>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95">
    <w:name w:val="Medium Grid 1 Accent 2"/>
    <w:basedOn w:val="42"/>
    <w:qFormat/>
    <w:uiPriority w:val="67"/>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CellMar>
        <w:top w:w="0" w:type="dxa"/>
        <w:left w:w="108" w:type="dxa"/>
        <w:bottom w:w="0" w:type="dxa"/>
        <w:right w:w="108" w:type="dxa"/>
      </w:tblCellMar>
    </w:tblPr>
    <w:tcPr>
      <w:shd w:val="clear" w:color="auto" w:fill="EFD3D3"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96">
    <w:name w:val="Medium Grid 1 Accent 3"/>
    <w:basedOn w:val="42"/>
    <w:qFormat/>
    <w:uiPriority w:val="67"/>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insideV w:val="single" w:color="B4CC82" w:themeColor="accent3" w:themeTint="BF" w:sz="8" w:space="0"/>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color="B4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97">
    <w:name w:val="Medium Grid 1 Accent 4"/>
    <w:basedOn w:val="42"/>
    <w:qFormat/>
    <w:uiPriority w:val="67"/>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98">
    <w:name w:val="Medium Grid 1 Accent 5"/>
    <w:basedOn w:val="42"/>
    <w:qFormat/>
    <w:uiPriority w:val="67"/>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CellMar>
        <w:top w:w="0" w:type="dxa"/>
        <w:left w:w="108" w:type="dxa"/>
        <w:bottom w:w="0" w:type="dxa"/>
        <w:right w:w="108" w:type="dxa"/>
      </w:tblCellMar>
    </w:tblPr>
    <w:tcPr>
      <w:shd w:val="clear" w:color="auto" w:fill="D2EAF0"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99">
    <w:name w:val="Medium Grid 1 Accent 6"/>
    <w:basedOn w:val="42"/>
    <w:qFormat/>
    <w:uiPriority w:val="67"/>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CellMar>
        <w:top w:w="0" w:type="dxa"/>
        <w:left w:w="108" w:type="dxa"/>
        <w:bottom w:w="0" w:type="dxa"/>
        <w:right w:w="108" w:type="dxa"/>
      </w:tblCellMar>
    </w:tblPr>
    <w:tcPr>
      <w:shd w:val="clear" w:color="auto" w:fill="FDE5D1"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100">
    <w:name w:val="Medium Grid 2"/>
    <w:basedOn w:val="4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cPr>
      <w:shd w:val="clear" w:color="auto" w:fill="BFBFBF" w:themeFill="text1" w:themeFillTint="3F"/>
    </w:tcPr>
    <w:tblStylePr w:type="firstRow">
      <w:rPr>
        <w:b/>
        <w:bCs/>
        <w:color w:val="000000" w:themeColor="text1"/>
        <w14:textFill>
          <w14:solidFill>
            <w14:schemeClr w14:val="tx1"/>
          </w14:solidFill>
        </w14:textFill>
      </w:rPr>
      <w:tblPr/>
      <w:tcPr>
        <w:shd w:val="clear" w:color="auto" w:fill="E5E5E5" w:themeFill="tex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7F7F7F" w:themeFill="text1" w:themeFillTint="7F"/>
      </w:tcPr>
    </w:tblStylePr>
    <w:tblStylePr w:type="band1Horz">
      <w:tblPr/>
      <w:tcPr>
        <w:tcBorders>
          <w:insideH w:val="single" w:sz="6" w:space="0"/>
          <w:insideV w:val="single" w:sz="6" w:space="0"/>
        </w:tcBorders>
        <w:shd w:val="clear" w:color="auto" w:fill="7F7F7F" w:themeFill="text1" w:themeFillTint="7F"/>
      </w:tcPr>
    </w:tblStylePr>
    <w:tblStylePr w:type="nwCell">
      <w:tblPr/>
      <w:tcPr>
        <w:shd w:val="clear" w:color="auto" w:fill="FFFFFF" w:themeFill="background1"/>
      </w:tcPr>
    </w:tblStylePr>
  </w:style>
  <w:style w:type="table" w:styleId="101">
    <w:name w:val="Medium Grid 2 Accent 1"/>
    <w:basedOn w:val="4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14:textFill>
          <w14:solidFill>
            <w14:schemeClr w14:val="tx1"/>
          </w14:solidFill>
        </w14:textFill>
      </w:rPr>
      <w:tblPr/>
      <w:tcPr>
        <w:shd w:val="clear" w:color="auto" w:fill="EDF2F8" w:themeFill="accen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C0DE" w:themeFill="accent1" w:themeFillTint="7F"/>
      </w:tcPr>
    </w:tblStylePr>
    <w:tblStylePr w:type="band1Horz">
      <w:tblPr/>
      <w:tcPr>
        <w:tcBorders>
          <w:insideH w:val="single" w:sz="6" w:space="0"/>
          <w:insideV w:val="single" w:sz="6" w:space="0"/>
        </w:tcBorders>
        <w:shd w:val="clear" w:color="auto" w:fill="A7C0DE" w:themeFill="accent1" w:themeFillTint="7F"/>
      </w:tcPr>
    </w:tblStylePr>
    <w:tblStylePr w:type="nwCell">
      <w:tblPr/>
      <w:tcPr>
        <w:shd w:val="clear" w:color="auto" w:fill="FFFFFF" w:themeFill="background1"/>
      </w:tcPr>
    </w:tblStylePr>
  </w:style>
  <w:style w:type="table" w:styleId="102">
    <w:name w:val="Medium Grid 2 Accent 2"/>
    <w:basedOn w:val="4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cPr>
      <w:shd w:val="clear" w:color="auto" w:fill="EFD3D3" w:themeFill="accent2" w:themeFillTint="3F"/>
    </w:tcPr>
    <w:tblStylePr w:type="firstRow">
      <w:rPr>
        <w:b/>
        <w:bCs/>
        <w:color w:val="000000" w:themeColor="text1"/>
        <w14:textFill>
          <w14:solidFill>
            <w14:schemeClr w14:val="tx1"/>
          </w14:solidFill>
        </w14:textFill>
      </w:rPr>
      <w:tblPr/>
      <w:tcPr>
        <w:shd w:val="clear" w:color="auto" w:fill="F8EDED" w:themeFill="accent2"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insideV w:val="single" w:sz="6" w:space="0"/>
        </w:tcBorders>
        <w:shd w:val="clear" w:color="auto" w:fill="DFA7A6" w:themeFill="accent2" w:themeFillTint="7F"/>
      </w:tcPr>
    </w:tblStylePr>
    <w:tblStylePr w:type="nwCell">
      <w:tblPr/>
      <w:tcPr>
        <w:shd w:val="clear" w:color="auto" w:fill="FFFFFF" w:themeFill="background1"/>
      </w:tcPr>
    </w:tblStylePr>
  </w:style>
  <w:style w:type="table" w:styleId="103">
    <w:name w:val="Medium Grid 2 Accent 3"/>
    <w:basedOn w:val="4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14:textFill>
          <w14:solidFill>
            <w14:schemeClr w14:val="tx1"/>
          </w14:solidFill>
        </w14:textFill>
      </w:rPr>
      <w:tblPr/>
      <w:tcPr>
        <w:shd w:val="clear" w:color="auto" w:fill="F5F8EE" w:themeFill="accent3"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insideV w:val="single" w:sz="6" w:space="0"/>
        </w:tcBorders>
        <w:shd w:val="clear" w:color="auto" w:fill="CDDDAC" w:themeFill="accent3" w:themeFillTint="7F"/>
      </w:tcPr>
    </w:tblStylePr>
    <w:tblStylePr w:type="nwCell">
      <w:tblPr/>
      <w:tcPr>
        <w:shd w:val="clear" w:color="auto" w:fill="FFFFFF" w:themeFill="background1"/>
      </w:tcPr>
    </w:tblStylePr>
  </w:style>
  <w:style w:type="table" w:styleId="104">
    <w:name w:val="Medium Grid 2 Accent 4"/>
    <w:basedOn w:val="4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14:textFill>
          <w14:solidFill>
            <w14:schemeClr w14:val="tx1"/>
          </w14:solidFill>
        </w14:textFill>
      </w:rPr>
      <w:tblPr/>
      <w:tcPr>
        <w:shd w:val="clear" w:color="auto" w:fill="F2EFF5" w:themeFill="accent4"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insideV w:val="single" w:sz="6" w:space="0"/>
        </w:tcBorders>
        <w:shd w:val="clear" w:color="auto" w:fill="BFB1D0" w:themeFill="accent4" w:themeFillTint="7F"/>
      </w:tcPr>
    </w:tblStylePr>
    <w:tblStylePr w:type="nwCell">
      <w:tblPr/>
      <w:tcPr>
        <w:shd w:val="clear" w:color="auto" w:fill="FFFFFF" w:themeFill="background1"/>
      </w:tcPr>
    </w:tblStylePr>
  </w:style>
  <w:style w:type="table" w:styleId="105">
    <w:name w:val="Medium Grid 2 Accent 5"/>
    <w:basedOn w:val="4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cPr>
      <w:shd w:val="clear" w:color="auto" w:fill="D2EAF0" w:themeFill="accent5" w:themeFillTint="3F"/>
    </w:tcPr>
    <w:tblStylePr w:type="firstRow">
      <w:rPr>
        <w:b/>
        <w:bCs/>
        <w:color w:val="000000" w:themeColor="text1"/>
        <w14:textFill>
          <w14:solidFill>
            <w14:schemeClr w14:val="tx1"/>
          </w14:solidFill>
        </w14:textFill>
      </w:rPr>
      <w:tblPr/>
      <w:tcPr>
        <w:shd w:val="clear" w:color="auto" w:fill="EDF6F9" w:themeFill="accent5"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insideV w:val="single" w:sz="6" w:space="0"/>
        </w:tcBorders>
        <w:shd w:val="clear" w:color="auto" w:fill="A5D5E2" w:themeFill="accent5" w:themeFillTint="7F"/>
      </w:tcPr>
    </w:tblStylePr>
    <w:tblStylePr w:type="nwCell">
      <w:tblPr/>
      <w:tcPr>
        <w:shd w:val="clear" w:color="auto" w:fill="FFFFFF" w:themeFill="background1"/>
      </w:tcPr>
    </w:tblStylePr>
  </w:style>
  <w:style w:type="table" w:styleId="106">
    <w:name w:val="Medium Grid 2 Accent 6"/>
    <w:basedOn w:val="4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cPr>
      <w:shd w:val="clear" w:color="auto" w:fill="FDE5D1" w:themeFill="accent6" w:themeFillTint="3F"/>
    </w:tcPr>
    <w:tblStylePr w:type="firstRow">
      <w:rPr>
        <w:b/>
        <w:bCs/>
        <w:color w:val="000000" w:themeColor="text1"/>
        <w14:textFill>
          <w14:solidFill>
            <w14:schemeClr w14:val="tx1"/>
          </w14:solidFill>
        </w14:textFill>
      </w:rPr>
      <w:tblPr/>
      <w:tcPr>
        <w:shd w:val="clear" w:color="auto" w:fill="FEF4EC" w:themeFill="accent6"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insideV w:val="single" w:sz="6" w:space="0"/>
        </w:tcBorders>
        <w:shd w:val="clear" w:color="auto" w:fill="FBCAA2" w:themeFill="accent6" w:themeFillTint="7F"/>
      </w:tcPr>
    </w:tblStylePr>
    <w:tblStylePr w:type="nwCell">
      <w:tblPr/>
      <w:tcPr>
        <w:shd w:val="clear" w:color="auto" w:fill="FFFFFF" w:themeFill="background1"/>
      </w:tcPr>
    </w:tblStylePr>
  </w:style>
  <w:style w:type="table" w:styleId="107">
    <w:name w:val="Medium Grid 3"/>
    <w:basedOn w:val="4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BFBFBF" w:themeFill="tex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000000" w:themeFill="tex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000000" w:themeFill="tex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F7F7F"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7F7F7F" w:themeFill="text1" w:themeFillTint="7F"/>
      </w:tcPr>
    </w:tblStylePr>
  </w:style>
  <w:style w:type="table" w:styleId="108">
    <w:name w:val="Medium Grid 3 Accent 1"/>
    <w:basedOn w:val="4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F81BD" w:themeFill="accen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F81BD" w:themeFill="accen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C0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7C0DE" w:themeFill="accent1" w:themeFillTint="7F"/>
      </w:tcPr>
    </w:tblStylePr>
  </w:style>
  <w:style w:type="table" w:styleId="109">
    <w:name w:val="Medium Grid 3 Accent 2"/>
    <w:basedOn w:val="4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FD3D3" w:themeFill="accent2"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C0504D" w:themeFill="accent2"/>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C0504D" w:themeFill="accent2"/>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DFA7A6" w:themeFill="accent2" w:themeFillTint="7F"/>
      </w:tcPr>
    </w:tblStylePr>
  </w:style>
  <w:style w:type="table" w:styleId="110">
    <w:name w:val="Medium Grid 3 Accent 3"/>
    <w:basedOn w:val="4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9BBB59" w:themeFill="accent3"/>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9BBB59" w:themeFill="accent3"/>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CDDDAC" w:themeFill="accent3" w:themeFillTint="7F"/>
      </w:tcPr>
    </w:tblStylePr>
  </w:style>
  <w:style w:type="table" w:styleId="111">
    <w:name w:val="Medium Grid 3 Accent 4"/>
    <w:basedOn w:val="4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8064A2" w:themeFill="accent4"/>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8064A2" w:themeFill="accent4"/>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FB1D0" w:themeFill="accent4" w:themeFillTint="7F"/>
      </w:tcPr>
    </w:tblStylePr>
  </w:style>
  <w:style w:type="table" w:styleId="112">
    <w:name w:val="Medium Grid 3 Accent 5"/>
    <w:basedOn w:val="4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2EAF0" w:themeFill="accent5"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BACC6" w:themeFill="accent5"/>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BACC6" w:themeFill="accent5"/>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5D5E2" w:themeFill="accent5" w:themeFillTint="7F"/>
      </w:tcPr>
    </w:tblStylePr>
  </w:style>
  <w:style w:type="table" w:styleId="113">
    <w:name w:val="Medium Grid 3 Accent 6"/>
    <w:basedOn w:val="4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FDE5D1" w:themeFill="accent6"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F79646" w:themeFill="accent6"/>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F79646" w:themeFill="accent6"/>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BCAA2" w:themeFill="accent6" w:themeFillTint="7F"/>
      </w:tcPr>
    </w:tblStylePr>
  </w:style>
  <w:style w:type="table" w:styleId="114">
    <w:name w:val="Dark List"/>
    <w:basedOn w:val="42"/>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15">
    <w:name w:val="Dark List Accent 1"/>
    <w:basedOn w:val="42"/>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1"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60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6091" w:themeFill="accent1" w:themeFillShade="BF"/>
      </w:tcPr>
    </w:tblStylePr>
    <w:tblStylePr w:type="band1Vert">
      <w:tblPr/>
      <w:tcPr>
        <w:tcBorders>
          <w:top w:val="nil"/>
          <w:left w:val="nil"/>
          <w:bottom w:val="nil"/>
          <w:right w:val="nil"/>
          <w:insideH w:val="nil"/>
          <w:insideV w:val="nil"/>
        </w:tcBorders>
        <w:shd w:val="clear" w:color="auto" w:fill="366091" w:themeFill="accent1" w:themeFillShade="BF"/>
      </w:tcPr>
    </w:tblStylePr>
    <w:tblStylePr w:type="band1Horz">
      <w:tblPr/>
      <w:tcPr>
        <w:tcBorders>
          <w:top w:val="nil"/>
          <w:left w:val="nil"/>
          <w:bottom w:val="nil"/>
          <w:right w:val="nil"/>
          <w:insideH w:val="nil"/>
          <w:insideV w:val="nil"/>
        </w:tcBorders>
        <w:shd w:val="clear" w:color="auto" w:fill="366091" w:themeFill="accent1" w:themeFillShade="BF"/>
      </w:tcPr>
    </w:tblStylePr>
  </w:style>
  <w:style w:type="table" w:styleId="116">
    <w:name w:val="Dark List Accent 2"/>
    <w:basedOn w:val="42"/>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7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734" w:themeFill="accent2" w:themeFillShade="BF"/>
      </w:tcPr>
    </w:tblStylePr>
    <w:tblStylePr w:type="band1Vert">
      <w:tblPr/>
      <w:tcPr>
        <w:tcBorders>
          <w:top w:val="nil"/>
          <w:left w:val="nil"/>
          <w:bottom w:val="nil"/>
          <w:right w:val="nil"/>
          <w:insideH w:val="nil"/>
          <w:insideV w:val="nil"/>
        </w:tcBorders>
        <w:shd w:val="clear" w:color="auto" w:fill="943734" w:themeFill="accent2" w:themeFillShade="BF"/>
      </w:tcPr>
    </w:tblStylePr>
    <w:tblStylePr w:type="band1Horz">
      <w:tblPr/>
      <w:tcPr>
        <w:tcBorders>
          <w:top w:val="nil"/>
          <w:left w:val="nil"/>
          <w:bottom w:val="nil"/>
          <w:right w:val="nil"/>
          <w:insideH w:val="nil"/>
          <w:insideV w:val="nil"/>
        </w:tcBorders>
        <w:shd w:val="clear" w:color="auto" w:fill="943734" w:themeFill="accent2" w:themeFillShade="BF"/>
      </w:tcPr>
    </w:tblStylePr>
  </w:style>
  <w:style w:type="table" w:styleId="117">
    <w:name w:val="Dark List Accent 3"/>
    <w:basedOn w:val="42"/>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7"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18">
    <w:name w:val="Dark List Accent 4"/>
    <w:basedOn w:val="42"/>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0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19">
    <w:name w:val="Dark List Accent 5"/>
    <w:basedOn w:val="42"/>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20">
    <w:name w:val="Dark List Accent 6"/>
    <w:basedOn w:val="42"/>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9"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9" w:themeFill="accent6" w:themeFillShade="BF"/>
      </w:tcPr>
    </w:tblStylePr>
    <w:tblStylePr w:type="band1Vert">
      <w:tblPr/>
      <w:tcPr>
        <w:tcBorders>
          <w:top w:val="nil"/>
          <w:left w:val="nil"/>
          <w:bottom w:val="nil"/>
          <w:right w:val="nil"/>
          <w:insideH w:val="nil"/>
          <w:insideV w:val="nil"/>
        </w:tcBorders>
        <w:shd w:val="clear" w:color="auto" w:fill="E36C09" w:themeFill="accent6" w:themeFillShade="BF"/>
      </w:tcPr>
    </w:tblStylePr>
    <w:tblStylePr w:type="band1Horz">
      <w:tblPr/>
      <w:tcPr>
        <w:tcBorders>
          <w:top w:val="nil"/>
          <w:left w:val="nil"/>
          <w:bottom w:val="nil"/>
          <w:right w:val="nil"/>
          <w:insideH w:val="nil"/>
          <w:insideV w:val="nil"/>
        </w:tcBorders>
        <w:shd w:val="clear" w:color="auto" w:fill="E36C09" w:themeFill="accent6" w:themeFillShade="BF"/>
      </w:tcPr>
    </w:tblStylePr>
  </w:style>
  <w:style w:type="table" w:styleId="121">
    <w:name w:val="Colorful Shading"/>
    <w:basedOn w:val="42"/>
    <w:qFormat/>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5E5E5"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000000" w:themeFill="tex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000000" w:themeFill="tex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7F7F7F" w:themeFill="tex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22">
    <w:name w:val="Colorful Shading Accent 1"/>
    <w:basedOn w:val="42"/>
    <w:qFormat/>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B4D74" w:themeFill="accen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B4D74" w:themeFill="accen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B4D74" w:themeFill="accent1" w:themeFillShade="99"/>
      </w:tcPr>
    </w:tblStylePr>
    <w:tblStylePr w:type="band1Vert">
      <w:tblPr/>
      <w:tcPr>
        <w:shd w:val="clear" w:color="auto" w:fill="B8CCE4" w:themeFill="accent1" w:themeFillTint="66"/>
      </w:tcPr>
    </w:tblStylePr>
    <w:tblStylePr w:type="band1Horz">
      <w:tblPr/>
      <w:tcPr>
        <w:shd w:val="clear" w:color="auto" w:fill="A7C0DE" w:themeFill="accen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23">
    <w:name w:val="Colorful Shading Accent 2"/>
    <w:basedOn w:val="42"/>
    <w:qFormat/>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772C2A" w:themeFill="accent2"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772C2A" w:themeFill="accent2"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24">
    <w:name w:val="Colorful Shading Accent 3"/>
    <w:basedOn w:val="42"/>
    <w:qFormat/>
    <w:uiPriority w:val="71"/>
    <w:pPr>
      <w:spacing w:after="0" w:line="240" w:lineRule="auto"/>
    </w:pPr>
    <w:rPr>
      <w:color w:val="000000" w:themeColor="text1"/>
      <w14:textFill>
        <w14:solidFill>
          <w14:schemeClr w14:val="tx1"/>
        </w14:solidFill>
      </w14:textFill>
    </w:rPr>
    <w:tblPr>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5E7530" w:themeFill="accent3"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5E7530" w:themeFill="accent3"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25">
    <w:name w:val="Colorful Shading Accent 4"/>
    <w:basedOn w:val="42"/>
    <w:qFormat/>
    <w:uiPriority w:val="71"/>
    <w:pPr>
      <w:spacing w:after="0" w:line="240" w:lineRule="auto"/>
    </w:pPr>
    <w:rPr>
      <w:color w:val="000000" w:themeColor="text1"/>
      <w14:textFill>
        <w14:solidFill>
          <w14:schemeClr w14:val="tx1"/>
        </w14:solidFill>
      </w14:textFill>
    </w:rPr>
    <w:tblPr>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2EFF5"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4C3A62" w:themeFill="accent4"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4C3A62" w:themeFill="accent4"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4C3A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26">
    <w:name w:val="Colorful Shading Accent 5"/>
    <w:basedOn w:val="42"/>
    <w:qFormat/>
    <w:uiPriority w:val="71"/>
    <w:pPr>
      <w:spacing w:after="0" w:line="240" w:lineRule="auto"/>
    </w:pPr>
    <w:rPr>
      <w:color w:val="000000" w:themeColor="text1"/>
      <w14:textFill>
        <w14:solidFill>
          <w14:schemeClr w14:val="tx1"/>
        </w14:solidFill>
      </w14:textFill>
    </w:rPr>
    <w:tblPr>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76A7C" w:themeFill="accent5"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76A7C" w:themeFill="accent5"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27">
    <w:name w:val="Colorful Shading Accent 6"/>
    <w:basedOn w:val="42"/>
    <w:qFormat/>
    <w:uiPriority w:val="71"/>
    <w:pPr>
      <w:spacing w:after="0" w:line="240" w:lineRule="auto"/>
    </w:pPr>
    <w:rPr>
      <w:color w:val="000000" w:themeColor="text1"/>
      <w14:textFill>
        <w14:solidFill>
          <w14:schemeClr w14:val="tx1"/>
        </w14:solidFill>
      </w14:textFill>
    </w:rPr>
    <w:tblPr>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B65607" w:themeFill="accent6"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B65607" w:themeFill="accent6"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B65607"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28">
    <w:name w:val="Colorful List"/>
    <w:basedOn w:val="42"/>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5E5E5" w:themeFill="tex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FBFBF" w:themeFill="text1" w:themeFillTint="3F"/>
      </w:tcPr>
    </w:tblStylePr>
    <w:tblStylePr w:type="band1Horz">
      <w:tblPr/>
      <w:tcPr>
        <w:shd w:val="clear" w:color="auto" w:fill="CCCCCC" w:themeFill="text1" w:themeFillTint="33"/>
      </w:tcPr>
    </w:tblStylePr>
  </w:style>
  <w:style w:type="table" w:styleId="129">
    <w:name w:val="Colorful List Accent 1"/>
    <w:basedOn w:val="42"/>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30">
    <w:name w:val="Colorful List Accent 2"/>
    <w:basedOn w:val="42"/>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3" w:themeFill="accent2" w:themeFillTint="3F"/>
      </w:tcPr>
    </w:tblStylePr>
    <w:tblStylePr w:type="band1Horz">
      <w:tblPr/>
      <w:tcPr>
        <w:shd w:val="clear" w:color="auto" w:fill="F2DBDB" w:themeFill="accent2" w:themeFillTint="33"/>
      </w:tcPr>
    </w:tblStylePr>
  </w:style>
  <w:style w:type="table" w:styleId="131">
    <w:name w:val="Colorful List Accent 3"/>
    <w:basedOn w:val="42"/>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664E82" w:themeFill="accent4" w:themeFillShade="CC"/>
      </w:tcPr>
    </w:tblStylePr>
    <w:tblStylePr w:type="lastRow">
      <w:rPr>
        <w:b/>
        <w:bCs/>
        <w:color w:val="664F83"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32">
    <w:name w:val="Colorful List Accent 4"/>
    <w:basedOn w:val="42"/>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2EFF5" w:themeFill="accent4"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7E9C40" w:themeFill="accent3" w:themeFillShade="CC"/>
      </w:tcPr>
    </w:tblStylePr>
    <w:tblStylePr w:type="lastRow">
      <w:rPr>
        <w:b/>
        <w:bCs/>
        <w:color w:val="7E9D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33">
    <w:name w:val="Colorful List Accent 5"/>
    <w:basedOn w:val="42"/>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F3730A" w:themeFill="accent6" w:themeFillShade="CC"/>
      </w:tcPr>
    </w:tblStylePr>
    <w:tblStylePr w:type="lastRow">
      <w:rPr>
        <w:b/>
        <w:bCs/>
        <w:color w:val="F3740B"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0" w:themeFill="accent5" w:themeFillTint="3F"/>
      </w:tcPr>
    </w:tblStylePr>
    <w:tblStylePr w:type="band1Horz">
      <w:tblPr/>
      <w:tcPr>
        <w:shd w:val="clear" w:color="auto" w:fill="DAEEF3" w:themeFill="accent5" w:themeFillTint="33"/>
      </w:tcPr>
    </w:tblStylePr>
  </w:style>
  <w:style w:type="table" w:styleId="134">
    <w:name w:val="Colorful List Accent 6"/>
    <w:basedOn w:val="42"/>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348DA5" w:themeFill="accent5" w:themeFillShade="CC"/>
      </w:tcPr>
    </w:tblStylePr>
    <w:tblStylePr w:type="lastRow">
      <w:rPr>
        <w:b/>
        <w:bCs/>
        <w:color w:val="358EA6"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5D1" w:themeFill="accent6" w:themeFillTint="3F"/>
      </w:tcPr>
    </w:tblStylePr>
    <w:tblStylePr w:type="band1Horz">
      <w:tblPr/>
      <w:tcPr>
        <w:shd w:val="clear" w:color="auto" w:fill="FDE9D9" w:themeFill="accent6" w:themeFillTint="33"/>
      </w:tcPr>
    </w:tblStylePr>
  </w:style>
  <w:style w:type="table" w:styleId="135">
    <w:name w:val="Colorful Grid"/>
    <w:basedOn w:val="42"/>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14:textFill>
          <w14:solidFill>
            <w14:schemeClr w14:val="tx1"/>
          </w14:solidFill>
        </w14:textFill>
      </w:rPr>
      <w:tblPr/>
      <w:tcPr>
        <w:shd w:val="clear" w:color="auto" w:fill="999999" w:themeFill="text1" w:themeFillTint="66"/>
      </w:tcPr>
    </w:tblStylePr>
    <w:tblStylePr w:type="firstCol">
      <w:rPr>
        <w:color w:val="FFFFFF" w:themeColor="background1"/>
        <w14:textFill>
          <w14:solidFill>
            <w14:schemeClr w14:val="bg1"/>
          </w14:solidFill>
        </w14:textFill>
      </w:rPr>
      <w:tblPr/>
      <w:tcPr>
        <w:shd w:val="clear" w:color="auto" w:fill="000000" w:themeFill="text1" w:themeFillShade="BF"/>
      </w:tcPr>
    </w:tblStylePr>
    <w:tblStylePr w:type="lastCol">
      <w:rPr>
        <w:color w:val="FFFFFF" w:themeColor="background1"/>
        <w14:textFill>
          <w14:solidFill>
            <w14:schemeClr w14:val="bg1"/>
          </w14:solidFill>
        </w14:textFill>
      </w:rPr>
      <w:tblPr/>
      <w:tcPr>
        <w:shd w:val="clear" w:color="auto" w:fill="000000" w:themeFill="text1" w:themeFillShade="BF"/>
      </w:tc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36">
    <w:name w:val="Colorful Grid Accent 1"/>
    <w:basedOn w:val="42"/>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14:textFill>
          <w14:solidFill>
            <w14:schemeClr w14:val="tx1"/>
          </w14:solidFill>
        </w14:textFill>
      </w:rPr>
      <w:tblPr/>
      <w:tcPr>
        <w:shd w:val="clear" w:color="auto" w:fill="B8CCE4" w:themeFill="accent1" w:themeFillTint="66"/>
      </w:tcPr>
    </w:tblStylePr>
    <w:tblStylePr w:type="firstCol">
      <w:rPr>
        <w:color w:val="FFFFFF" w:themeColor="background1"/>
        <w14:textFill>
          <w14:solidFill>
            <w14:schemeClr w14:val="bg1"/>
          </w14:solidFill>
        </w14:textFill>
      </w:rPr>
      <w:tblPr/>
      <w:tcPr>
        <w:shd w:val="clear" w:color="auto" w:fill="366091" w:themeFill="accent1" w:themeFillShade="BF"/>
      </w:tcPr>
    </w:tblStylePr>
    <w:tblStylePr w:type="lastCol">
      <w:rPr>
        <w:color w:val="FFFFFF" w:themeColor="background1"/>
        <w14:textFill>
          <w14:solidFill>
            <w14:schemeClr w14:val="bg1"/>
          </w14:solidFill>
        </w14:textFill>
      </w:rPr>
      <w:tblPr/>
      <w:tcPr>
        <w:shd w:val="clear" w:color="auto" w:fill="366091" w:themeFill="accent1" w:themeFillShade="BF"/>
      </w:tc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137">
    <w:name w:val="Colorful Grid Accent 2"/>
    <w:basedOn w:val="42"/>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14:textFill>
          <w14:solidFill>
            <w14:schemeClr w14:val="tx1"/>
          </w14:solidFill>
        </w14:textFill>
      </w:rPr>
      <w:tblPr/>
      <w:tcPr>
        <w:shd w:val="clear" w:color="auto" w:fill="E5B8B7" w:themeFill="accent2" w:themeFillTint="66"/>
      </w:tcPr>
    </w:tblStylePr>
    <w:tblStylePr w:type="firstCol">
      <w:rPr>
        <w:color w:val="FFFFFF" w:themeColor="background1"/>
        <w14:textFill>
          <w14:solidFill>
            <w14:schemeClr w14:val="bg1"/>
          </w14:solidFill>
        </w14:textFill>
      </w:rPr>
      <w:tblPr/>
      <w:tcPr>
        <w:shd w:val="clear" w:color="auto" w:fill="943734" w:themeFill="accent2" w:themeFillShade="BF"/>
      </w:tcPr>
    </w:tblStylePr>
    <w:tblStylePr w:type="lastCol">
      <w:rPr>
        <w:color w:val="FFFFFF" w:themeColor="background1"/>
        <w14:textFill>
          <w14:solidFill>
            <w14:schemeClr w14:val="bg1"/>
          </w14:solidFill>
        </w14:textFill>
      </w:rPr>
      <w:tblPr/>
      <w:tcPr>
        <w:shd w:val="clear" w:color="auto" w:fill="9437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8">
    <w:name w:val="Colorful Grid Accent 3"/>
    <w:basedOn w:val="42"/>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14:textFill>
          <w14:solidFill>
            <w14:schemeClr w14:val="tx1"/>
          </w14:solidFill>
        </w14:textFill>
      </w:rPr>
      <w:tblPr/>
      <w:tcPr>
        <w:shd w:val="clear" w:color="auto" w:fill="D6E3BC" w:themeFill="accent3" w:themeFillTint="66"/>
      </w:tcPr>
    </w:tblStylePr>
    <w:tblStylePr w:type="firstCol">
      <w:rPr>
        <w:color w:val="FFFFFF" w:themeColor="background1"/>
        <w14:textFill>
          <w14:solidFill>
            <w14:schemeClr w14:val="bg1"/>
          </w14:solidFill>
        </w14:textFill>
      </w:rPr>
      <w:tblPr/>
      <w:tcPr>
        <w:shd w:val="clear" w:color="auto" w:fill="76923C" w:themeFill="accent3" w:themeFillShade="BF"/>
      </w:tcPr>
    </w:tblStylePr>
    <w:tblStylePr w:type="lastCol">
      <w:rPr>
        <w:color w:val="FFFFFF" w:themeColor="background1"/>
        <w14:textFill>
          <w14:solidFill>
            <w14:schemeClr w14:val="bg1"/>
          </w14:solidFill>
        </w14:textFill>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39">
    <w:name w:val="Colorful Grid Accent 4"/>
    <w:basedOn w:val="42"/>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14:textFill>
          <w14:solidFill>
            <w14:schemeClr w14:val="tx1"/>
          </w14:solidFill>
        </w14:textFill>
      </w:rPr>
      <w:tblPr/>
      <w:tcPr>
        <w:shd w:val="clear" w:color="auto" w:fill="CCC0D9" w:themeFill="accent4" w:themeFillTint="66"/>
      </w:tcPr>
    </w:tblStylePr>
    <w:tblStylePr w:type="firstCol">
      <w:rPr>
        <w:color w:val="FFFFFF" w:themeColor="background1"/>
        <w14:textFill>
          <w14:solidFill>
            <w14:schemeClr w14:val="bg1"/>
          </w14:solidFill>
        </w14:textFill>
      </w:rPr>
      <w:tblPr/>
      <w:tcPr>
        <w:shd w:val="clear" w:color="auto" w:fill="5F497A" w:themeFill="accent4" w:themeFillShade="BF"/>
      </w:tcPr>
    </w:tblStylePr>
    <w:tblStylePr w:type="lastCol">
      <w:rPr>
        <w:color w:val="FFFFFF" w:themeColor="background1"/>
        <w14:textFill>
          <w14:solidFill>
            <w14:schemeClr w14:val="bg1"/>
          </w14:solidFill>
        </w14:textFill>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40">
    <w:name w:val="Colorful Grid Accent 5"/>
    <w:basedOn w:val="42"/>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14:textFill>
          <w14:solidFill>
            <w14:schemeClr w14:val="tx1"/>
          </w14:solidFill>
        </w14:textFill>
      </w:rPr>
      <w:tblPr/>
      <w:tcPr>
        <w:shd w:val="clear" w:color="auto" w:fill="B6DDE8" w:themeFill="accent5" w:themeFillTint="66"/>
      </w:tcPr>
    </w:tblStylePr>
    <w:tblStylePr w:type="firstCol">
      <w:rPr>
        <w:color w:val="FFFFFF" w:themeColor="background1"/>
        <w14:textFill>
          <w14:solidFill>
            <w14:schemeClr w14:val="bg1"/>
          </w14:solidFill>
        </w14:textFill>
      </w:rPr>
      <w:tblPr/>
      <w:tcPr>
        <w:shd w:val="clear" w:color="auto" w:fill="31849B" w:themeFill="accent5" w:themeFillShade="BF"/>
      </w:tcPr>
    </w:tblStylePr>
    <w:tblStylePr w:type="lastCol">
      <w:rPr>
        <w:color w:val="FFFFFF" w:themeColor="background1"/>
        <w14:textFill>
          <w14:solidFill>
            <w14:schemeClr w14:val="bg1"/>
          </w14:solidFill>
        </w14:textFill>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41">
    <w:name w:val="Colorful Grid Accent 6"/>
    <w:basedOn w:val="42"/>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14:textFill>
          <w14:solidFill>
            <w14:schemeClr w14:val="tx1"/>
          </w14:solidFill>
        </w14:textFill>
      </w:rPr>
      <w:tblPr/>
      <w:tcPr>
        <w:shd w:val="clear" w:color="auto" w:fill="FBD4B4" w:themeFill="accent6" w:themeFillTint="66"/>
      </w:tcPr>
    </w:tblStylePr>
    <w:tblStylePr w:type="firstCol">
      <w:rPr>
        <w:color w:val="FFFFFF" w:themeColor="background1"/>
        <w14:textFill>
          <w14:solidFill>
            <w14:schemeClr w14:val="bg1"/>
          </w14:solidFill>
        </w14:textFill>
      </w:rPr>
      <w:tblPr/>
      <w:tcPr>
        <w:shd w:val="clear" w:color="auto" w:fill="E36C09" w:themeFill="accent6" w:themeFillShade="BF"/>
      </w:tcPr>
    </w:tblStylePr>
    <w:tblStylePr w:type="lastCol">
      <w:rPr>
        <w:color w:val="FFFFFF" w:themeColor="background1"/>
        <w14:textFill>
          <w14:solidFill>
            <w14:schemeClr w14:val="bg1"/>
          </w14:solidFill>
        </w14:textFill>
      </w:rPr>
      <w:tblPr/>
      <w:tcPr>
        <w:shd w:val="clear" w:color="auto" w:fill="E36C09"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143">
    <w:name w:val="Strong"/>
    <w:basedOn w:val="142"/>
    <w:qFormat/>
    <w:uiPriority w:val="22"/>
    <w:rPr>
      <w:b/>
      <w:bCs/>
    </w:rPr>
  </w:style>
  <w:style w:type="character" w:styleId="144">
    <w:name w:val="page number"/>
    <w:basedOn w:val="142"/>
    <w:qFormat/>
    <w:uiPriority w:val="0"/>
  </w:style>
  <w:style w:type="character" w:styleId="145">
    <w:name w:val="Emphasis"/>
    <w:basedOn w:val="142"/>
    <w:qFormat/>
    <w:uiPriority w:val="20"/>
    <w:rPr>
      <w:i/>
      <w:iCs/>
    </w:rPr>
  </w:style>
  <w:style w:type="character" w:styleId="146">
    <w:name w:val="Hyperlink"/>
    <w:qFormat/>
    <w:uiPriority w:val="99"/>
    <w:rPr>
      <w:color w:val="0000FF"/>
      <w:u w:val="single"/>
    </w:rPr>
  </w:style>
  <w:style w:type="paragraph" w:customStyle="1" w:styleId="147">
    <w:name w:val="前言、引言标题"/>
    <w:next w:val="1"/>
    <w:qFormat/>
    <w:uiPriority w:val="0"/>
    <w:pPr>
      <w:numPr>
        <w:ilvl w:val="0"/>
        <w:numId w:val="7"/>
      </w:numPr>
      <w:shd w:val="clear" w:color="FFFFFF" w:fill="FFFFFF"/>
      <w:spacing w:before="640" w:after="560"/>
      <w:jc w:val="center"/>
      <w:outlineLvl w:val="0"/>
    </w:pPr>
    <w:rPr>
      <w:rFonts w:ascii="黑体" w:hAnsi="Calibri" w:eastAsia="黑体" w:cs="Times New Roman"/>
      <w:sz w:val="32"/>
      <w:lang w:val="en-US" w:eastAsia="zh-CN" w:bidi="ar-SA"/>
    </w:rPr>
  </w:style>
  <w:style w:type="character" w:customStyle="1" w:styleId="148">
    <w:name w:val="Header Char"/>
    <w:basedOn w:val="142"/>
    <w:link w:val="32"/>
    <w:qFormat/>
    <w:uiPriority w:val="99"/>
  </w:style>
  <w:style w:type="character" w:customStyle="1" w:styleId="149">
    <w:name w:val="Footer Char"/>
    <w:basedOn w:val="142"/>
    <w:link w:val="31"/>
    <w:qFormat/>
    <w:uiPriority w:val="99"/>
  </w:style>
  <w:style w:type="paragraph" w:styleId="150">
    <w:name w:val="No Spacing"/>
    <w:qFormat/>
    <w:uiPriority w:val="1"/>
    <w:pPr>
      <w:spacing w:after="0" w:line="240" w:lineRule="auto"/>
    </w:pPr>
    <w:rPr>
      <w:rFonts w:asciiTheme="minorHAnsi" w:hAnsiTheme="minorHAnsi" w:eastAsiaTheme="minorEastAsia" w:cstheme="minorBidi"/>
      <w:sz w:val="22"/>
      <w:szCs w:val="22"/>
      <w:lang w:val="en-US" w:eastAsia="en-US" w:bidi="ar-SA"/>
    </w:rPr>
  </w:style>
  <w:style w:type="character" w:customStyle="1" w:styleId="151">
    <w:name w:val="Heading 1 Char"/>
    <w:basedOn w:val="142"/>
    <w:link w:val="3"/>
    <w:qFormat/>
    <w:uiPriority w:val="9"/>
    <w:rPr>
      <w:rFonts w:asciiTheme="majorHAnsi" w:hAnsiTheme="majorHAnsi" w:eastAsiaTheme="majorEastAsia" w:cstheme="majorBidi"/>
      <w:b/>
      <w:bCs/>
      <w:color w:val="376092" w:themeColor="accent1" w:themeShade="BF"/>
      <w:sz w:val="28"/>
      <w:szCs w:val="28"/>
    </w:rPr>
  </w:style>
  <w:style w:type="character" w:customStyle="1" w:styleId="152">
    <w:name w:val="Heading 2 Char"/>
    <w:basedOn w:val="142"/>
    <w:link w:val="4"/>
    <w:qFormat/>
    <w:uiPriority w:val="9"/>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customStyle="1" w:styleId="153">
    <w:name w:val="Heading 3 Char"/>
    <w:basedOn w:val="142"/>
    <w:link w:val="5"/>
    <w:qFormat/>
    <w:uiPriority w:val="9"/>
    <w:rPr>
      <w:rFonts w:asciiTheme="majorHAnsi" w:hAnsiTheme="majorHAnsi" w:eastAsiaTheme="majorEastAsia" w:cstheme="majorBidi"/>
      <w:b/>
      <w:bCs/>
      <w:color w:val="4F81BD" w:themeColor="accent1"/>
      <w14:textFill>
        <w14:solidFill>
          <w14:schemeClr w14:val="accent1"/>
        </w14:solidFill>
      </w14:textFill>
    </w:rPr>
  </w:style>
  <w:style w:type="character" w:customStyle="1" w:styleId="154">
    <w:name w:val="Title Char"/>
    <w:basedOn w:val="142"/>
    <w:link w:val="41"/>
    <w:qFormat/>
    <w:uiPriority w:val="10"/>
    <w:rPr>
      <w:rFonts w:asciiTheme="majorHAnsi" w:hAnsiTheme="majorHAnsi" w:eastAsiaTheme="majorEastAsia" w:cstheme="majorBidi"/>
      <w:color w:val="17375E" w:themeColor="text2" w:themeShade="BF"/>
      <w:spacing w:val="5"/>
      <w:kern w:val="28"/>
      <w:sz w:val="52"/>
      <w:szCs w:val="52"/>
    </w:rPr>
  </w:style>
  <w:style w:type="character" w:customStyle="1" w:styleId="155">
    <w:name w:val="Subtitle Char"/>
    <w:basedOn w:val="142"/>
    <w:link w:val="34"/>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156">
    <w:name w:val="List Paragraph"/>
    <w:basedOn w:val="1"/>
    <w:qFormat/>
    <w:uiPriority w:val="34"/>
    <w:pPr>
      <w:ind w:left="720"/>
      <w:contextualSpacing/>
    </w:pPr>
  </w:style>
  <w:style w:type="character" w:customStyle="1" w:styleId="157">
    <w:name w:val="Body Text Char"/>
    <w:basedOn w:val="142"/>
    <w:link w:val="21"/>
    <w:qFormat/>
    <w:uiPriority w:val="99"/>
  </w:style>
  <w:style w:type="character" w:customStyle="1" w:styleId="158">
    <w:name w:val="Body Text 2 Char"/>
    <w:basedOn w:val="142"/>
    <w:link w:val="37"/>
    <w:qFormat/>
    <w:uiPriority w:val="99"/>
  </w:style>
  <w:style w:type="character" w:customStyle="1" w:styleId="159">
    <w:name w:val="Body Text 3 Char"/>
    <w:basedOn w:val="142"/>
    <w:link w:val="19"/>
    <w:qFormat/>
    <w:uiPriority w:val="99"/>
    <w:rPr>
      <w:sz w:val="16"/>
      <w:szCs w:val="16"/>
    </w:rPr>
  </w:style>
  <w:style w:type="character" w:customStyle="1" w:styleId="160">
    <w:name w:val="Macro Text Char"/>
    <w:basedOn w:val="142"/>
    <w:link w:val="2"/>
    <w:qFormat/>
    <w:uiPriority w:val="99"/>
    <w:rPr>
      <w:rFonts w:ascii="Courier" w:hAnsi="Courier"/>
      <w:sz w:val="20"/>
      <w:szCs w:val="20"/>
    </w:rPr>
  </w:style>
  <w:style w:type="paragraph" w:styleId="161">
    <w:name w:val="Quote"/>
    <w:basedOn w:val="1"/>
    <w:next w:val="1"/>
    <w:link w:val="162"/>
    <w:qFormat/>
    <w:uiPriority w:val="29"/>
    <w:rPr>
      <w:i/>
      <w:iCs/>
      <w:color w:val="000000" w:themeColor="text1"/>
      <w14:textFill>
        <w14:solidFill>
          <w14:schemeClr w14:val="tx1"/>
        </w14:solidFill>
      </w14:textFill>
    </w:rPr>
  </w:style>
  <w:style w:type="character" w:customStyle="1" w:styleId="162">
    <w:name w:val="Quote Char"/>
    <w:basedOn w:val="142"/>
    <w:link w:val="161"/>
    <w:qFormat/>
    <w:uiPriority w:val="29"/>
    <w:rPr>
      <w:i/>
      <w:iCs/>
      <w:color w:val="000000" w:themeColor="text1"/>
      <w14:textFill>
        <w14:solidFill>
          <w14:schemeClr w14:val="tx1"/>
        </w14:solidFill>
      </w14:textFill>
    </w:rPr>
  </w:style>
  <w:style w:type="character" w:customStyle="1" w:styleId="163">
    <w:name w:val="Heading 4 Char"/>
    <w:basedOn w:val="142"/>
    <w:link w:val="7"/>
    <w:semiHidden/>
    <w:qFormat/>
    <w:uiPriority w:val="9"/>
    <w:rPr>
      <w:rFonts w:asciiTheme="majorHAnsi" w:hAnsiTheme="majorHAnsi" w:eastAsiaTheme="majorEastAsia" w:cstheme="majorBidi"/>
      <w:b/>
      <w:bCs/>
      <w:i/>
      <w:iCs/>
      <w:color w:val="4F81BD" w:themeColor="accent1"/>
      <w14:textFill>
        <w14:solidFill>
          <w14:schemeClr w14:val="accent1"/>
        </w14:solidFill>
      </w14:textFill>
    </w:rPr>
  </w:style>
  <w:style w:type="character" w:customStyle="1" w:styleId="164">
    <w:name w:val="Heading 5 Char"/>
    <w:basedOn w:val="142"/>
    <w:link w:val="8"/>
    <w:semiHidden/>
    <w:qFormat/>
    <w:uiPriority w:val="9"/>
    <w:rPr>
      <w:rFonts w:asciiTheme="majorHAnsi" w:hAnsiTheme="majorHAnsi" w:eastAsiaTheme="majorEastAsia" w:cstheme="majorBidi"/>
      <w:color w:val="254061" w:themeColor="accent1" w:themeShade="80"/>
    </w:rPr>
  </w:style>
  <w:style w:type="character" w:customStyle="1" w:styleId="165">
    <w:name w:val="Heading 6 Char"/>
    <w:basedOn w:val="142"/>
    <w:link w:val="9"/>
    <w:semiHidden/>
    <w:qFormat/>
    <w:uiPriority w:val="9"/>
    <w:rPr>
      <w:rFonts w:asciiTheme="majorHAnsi" w:hAnsiTheme="majorHAnsi" w:eastAsiaTheme="majorEastAsia" w:cstheme="majorBidi"/>
      <w:i/>
      <w:iCs/>
      <w:color w:val="254061" w:themeColor="accent1" w:themeShade="80"/>
    </w:rPr>
  </w:style>
  <w:style w:type="character" w:customStyle="1" w:styleId="166">
    <w:name w:val="Heading 7 Char"/>
    <w:basedOn w:val="142"/>
    <w:link w:val="10"/>
    <w:semiHidden/>
    <w:qFormat/>
    <w:uiPriority w:val="9"/>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character" w:customStyle="1" w:styleId="167">
    <w:name w:val="Heading 8 Char"/>
    <w:basedOn w:val="142"/>
    <w:link w:val="11"/>
    <w:semiHidden/>
    <w:qFormat/>
    <w:uiPriority w:val="9"/>
    <w:rPr>
      <w:rFonts w:asciiTheme="majorHAnsi" w:hAnsiTheme="majorHAnsi" w:eastAsiaTheme="majorEastAsia" w:cstheme="majorBidi"/>
      <w:color w:val="4F81BD" w:themeColor="accent1"/>
      <w:sz w:val="20"/>
      <w:szCs w:val="20"/>
      <w14:textFill>
        <w14:solidFill>
          <w14:schemeClr w14:val="accent1"/>
        </w14:solidFill>
      </w14:textFill>
    </w:rPr>
  </w:style>
  <w:style w:type="character" w:customStyle="1" w:styleId="168">
    <w:name w:val="Heading 9 Char"/>
    <w:basedOn w:val="142"/>
    <w:link w:val="12"/>
    <w:semiHidden/>
    <w:qFormat/>
    <w:uiPriority w:val="9"/>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paragraph" w:styleId="169">
    <w:name w:val="Intense Quote"/>
    <w:basedOn w:val="1"/>
    <w:next w:val="1"/>
    <w:link w:val="170"/>
    <w:qFormat/>
    <w:uiPriority w:val="30"/>
    <w:pPr>
      <w:pBdr>
        <w:bottom w:val="single" w:color="4F81BD" w:themeColor="accent1" w:sz="4" w:space="4"/>
      </w:pBdr>
      <w:spacing w:before="200" w:after="280"/>
      <w:ind w:left="936" w:right="936"/>
    </w:pPr>
    <w:rPr>
      <w:b/>
      <w:bCs/>
      <w:i/>
      <w:iCs/>
      <w:color w:val="4F81BD" w:themeColor="accent1"/>
      <w14:textFill>
        <w14:solidFill>
          <w14:schemeClr w14:val="accent1"/>
        </w14:solidFill>
      </w14:textFill>
    </w:rPr>
  </w:style>
  <w:style w:type="character" w:customStyle="1" w:styleId="170">
    <w:name w:val="Intense Quote Char"/>
    <w:basedOn w:val="142"/>
    <w:link w:val="169"/>
    <w:qFormat/>
    <w:uiPriority w:val="30"/>
    <w:rPr>
      <w:b/>
      <w:bCs/>
      <w:i/>
      <w:iCs/>
      <w:color w:val="4F81BD" w:themeColor="accent1"/>
      <w14:textFill>
        <w14:solidFill>
          <w14:schemeClr w14:val="accent1"/>
        </w14:solidFill>
      </w14:textFill>
    </w:rPr>
  </w:style>
  <w:style w:type="character" w:customStyle="1" w:styleId="171">
    <w:name w:val="Subtle Emphasis"/>
    <w:basedOn w:val="142"/>
    <w:qFormat/>
    <w:uiPriority w:val="19"/>
    <w:rPr>
      <w:i/>
      <w:iCs/>
      <w:color w:val="808080" w:themeColor="text1" w:themeTint="80"/>
      <w14:textFill>
        <w14:solidFill>
          <w14:schemeClr w14:val="tx1">
            <w14:lumMod w14:val="50000"/>
            <w14:lumOff w14:val="50000"/>
          </w14:schemeClr>
        </w14:solidFill>
      </w14:textFill>
    </w:rPr>
  </w:style>
  <w:style w:type="character" w:customStyle="1" w:styleId="172">
    <w:name w:val="Intense Emphasis"/>
    <w:basedOn w:val="142"/>
    <w:qFormat/>
    <w:uiPriority w:val="21"/>
    <w:rPr>
      <w:b/>
      <w:bCs/>
      <w:i/>
      <w:iCs/>
      <w:color w:val="4F81BD" w:themeColor="accent1"/>
      <w14:textFill>
        <w14:solidFill>
          <w14:schemeClr w14:val="accent1"/>
        </w14:solidFill>
      </w14:textFill>
    </w:rPr>
  </w:style>
  <w:style w:type="character" w:customStyle="1" w:styleId="173">
    <w:name w:val="Subtle Reference"/>
    <w:basedOn w:val="142"/>
    <w:qFormat/>
    <w:uiPriority w:val="31"/>
    <w:rPr>
      <w:smallCaps/>
      <w:color w:val="C0504D" w:themeColor="accent2"/>
      <w:u w:val="single"/>
      <w14:textFill>
        <w14:solidFill>
          <w14:schemeClr w14:val="accent2"/>
        </w14:solidFill>
      </w14:textFill>
    </w:rPr>
  </w:style>
  <w:style w:type="character" w:customStyle="1" w:styleId="174">
    <w:name w:val="Intense Reference"/>
    <w:basedOn w:val="142"/>
    <w:qFormat/>
    <w:uiPriority w:val="32"/>
    <w:rPr>
      <w:b/>
      <w:bCs/>
      <w:smallCaps/>
      <w:color w:val="C0504D" w:themeColor="accent2"/>
      <w:spacing w:val="5"/>
      <w:u w:val="single"/>
      <w14:textFill>
        <w14:solidFill>
          <w14:schemeClr w14:val="accent2"/>
        </w14:solidFill>
      </w14:textFill>
    </w:rPr>
  </w:style>
  <w:style w:type="character" w:customStyle="1" w:styleId="175">
    <w:name w:val="Book Title"/>
    <w:basedOn w:val="142"/>
    <w:qFormat/>
    <w:uiPriority w:val="33"/>
    <w:rPr>
      <w:b/>
      <w:bCs/>
      <w:smallCaps/>
      <w:spacing w:val="5"/>
    </w:rPr>
  </w:style>
  <w:style w:type="paragraph" w:customStyle="1" w:styleId="176">
    <w:name w:val="TOC Heading"/>
    <w:basedOn w:val="3"/>
    <w:next w:val="1"/>
    <w:semiHidden/>
    <w:unhideWhenUsed/>
    <w:qFormat/>
    <w:uiPriority w:val="39"/>
    <w:pPr>
      <w:outlineLvl w:val="9"/>
    </w:pPr>
  </w:style>
  <w:style w:type="paragraph" w:customStyle="1" w:styleId="177">
    <w:name w:val="ch中文正文"/>
    <w:qFormat/>
    <w:uiPriority w:val="0"/>
    <w:pPr>
      <w:spacing w:before="50" w:beforeLines="50" w:after="50" w:afterLines="50" w:line="360" w:lineRule="auto"/>
      <w:ind w:firstLine="200" w:firstLineChars="200"/>
    </w:pPr>
    <w:rPr>
      <w:rFonts w:ascii="Times New Roman" w:hAnsi="Times New Roman" w:eastAsia="宋体" w:cs="Times New Roman"/>
      <w:sz w:val="24"/>
      <w:lang w:val="en-US" w:eastAsia="zh-CN" w:bidi="ar-SA"/>
    </w:rPr>
  </w:style>
  <w:style w:type="paragraph" w:customStyle="1" w:styleId="178">
    <w:name w:val="--排版样式--使用说明"/>
    <w:basedOn w:val="1"/>
    <w:qFormat/>
    <w:uiPriority w:val="0"/>
    <w:pPr>
      <w:widowControl w:val="0"/>
      <w:adjustRightInd w:val="0"/>
      <w:snapToGrid w:val="0"/>
      <w:spacing w:before="120" w:after="120" w:line="360" w:lineRule="auto"/>
      <w:jc w:val="both"/>
    </w:pPr>
    <w:rPr>
      <w:rFonts w:ascii="黑体" w:hAnsi="黑体" w:eastAsia="黑体" w:cs="Times New Roman"/>
      <w:bCs/>
      <w:smallCaps/>
      <w:kern w:val="2"/>
      <w:sz w:val="24"/>
      <w:szCs w:val="24"/>
      <w:lang w:eastAsia="zh-CN"/>
    </w:rPr>
  </w:style>
  <w:style w:type="paragraph" w:customStyle="1" w:styleId="179">
    <w:name w:val="--排版样式--使用说明 正文部分"/>
    <w:basedOn w:val="1"/>
    <w:qFormat/>
    <w:uiPriority w:val="0"/>
    <w:pPr>
      <w:widowControl w:val="0"/>
      <w:spacing w:after="200" w:line="360" w:lineRule="auto"/>
      <w:ind w:firstLine="420" w:firstLineChars="200"/>
    </w:pPr>
    <w:rPr>
      <w:rFonts w:ascii="楷体" w:hAnsi="楷体" w:eastAsia="楷体" w:cs="宋体"/>
      <w:kern w:val="2"/>
      <w:szCs w:val="21"/>
      <w:lang w:eastAsia="zh-CN"/>
    </w:rPr>
  </w:style>
  <w:style w:type="paragraph" w:customStyle="1" w:styleId="180">
    <w:name w:val="--排版样式--正文"/>
    <w:basedOn w:val="1"/>
    <w:qFormat/>
    <w:uiPriority w:val="0"/>
    <w:pPr>
      <w:widowControl w:val="0"/>
      <w:tabs>
        <w:tab w:val="left" w:pos="600"/>
      </w:tabs>
      <w:adjustRightInd w:val="0"/>
      <w:snapToGrid w:val="0"/>
      <w:spacing w:after="200" w:line="360" w:lineRule="auto"/>
      <w:ind w:firstLine="420" w:firstLineChars="200"/>
    </w:pPr>
    <w:rPr>
      <w:rFonts w:cs="Times New Roman"/>
      <w:kern w:val="2"/>
      <w:szCs w:val="21"/>
      <w:lang w:eastAsia="zh-CN"/>
    </w:rPr>
  </w:style>
  <w:style w:type="paragraph" w:customStyle="1" w:styleId="181">
    <w:name w:val="--排版样式 范文--二级标题（节名称）"/>
    <w:basedOn w:val="180"/>
    <w:qFormat/>
    <w:uiPriority w:val="0"/>
    <w:pPr>
      <w:spacing w:before="140" w:after="140"/>
      <w:ind w:firstLine="0" w:firstLineChars="0"/>
      <w:outlineLvl w:val="1"/>
    </w:pPr>
    <w:rPr>
      <w:rFonts w:ascii="黑体" w:hAnsi="黑体" w:eastAsia="黑体"/>
      <w:sz w:val="28"/>
    </w:rPr>
  </w:style>
  <w:style w:type="paragraph" w:customStyle="1" w:styleId="182">
    <w:name w:val="--排版样式 范文--三级标题"/>
    <w:basedOn w:val="3"/>
    <w:qFormat/>
    <w:uiPriority w:val="0"/>
    <w:pPr>
      <w:widowControl w:val="0"/>
      <w:numPr>
        <w:ilvl w:val="0"/>
        <w:numId w:val="0"/>
      </w:numPr>
      <w:tabs>
        <w:tab w:val="left" w:pos="480"/>
        <w:tab w:val="left" w:pos="525"/>
      </w:tabs>
      <w:adjustRightInd w:val="0"/>
      <w:snapToGrid w:val="0"/>
      <w:spacing w:before="120" w:after="120" w:line="360" w:lineRule="auto"/>
      <w:outlineLvl w:val="2"/>
    </w:pPr>
    <w:rPr>
      <w:rFonts w:ascii="黑体" w:hAnsi="黑体" w:eastAsia="黑体" w:cs="Times New Roman"/>
      <w:b w:val="0"/>
      <w:color w:val="auto"/>
      <w:kern w:val="44"/>
      <w:sz w:val="24"/>
      <w:szCs w:val="24"/>
      <w:lang w:eastAsia="zh-CN"/>
    </w:rPr>
  </w:style>
  <w:style w:type="paragraph" w:customStyle="1" w:styleId="183">
    <w:name w:val="--排版样式--单行表格文字"/>
    <w:basedOn w:val="1"/>
    <w:qFormat/>
    <w:uiPriority w:val="0"/>
    <w:pPr>
      <w:widowControl w:val="0"/>
      <w:adjustRightInd w:val="0"/>
      <w:snapToGrid w:val="0"/>
      <w:spacing w:before="120" w:beforeLines="50" w:after="120" w:afterLines="50" w:line="276" w:lineRule="auto"/>
      <w:jc w:val="center"/>
    </w:pPr>
    <w:rPr>
      <w:rFonts w:cs="Times New Roman"/>
      <w:color w:val="000000"/>
      <w:kern w:val="2"/>
      <w:szCs w:val="21"/>
      <w:lang w:eastAsia="zh-CN"/>
    </w:rPr>
  </w:style>
  <w:style w:type="paragraph" w:customStyle="1" w:styleId="184">
    <w:name w:val="--排版样式--图表标题"/>
    <w:basedOn w:val="180"/>
    <w:qFormat/>
    <w:uiPriority w:val="0"/>
    <w:pPr>
      <w:ind w:firstLine="0" w:firstLineChars="0"/>
      <w:jc w:val="center"/>
    </w:pPr>
  </w:style>
  <w:style w:type="paragraph" w:customStyle="1" w:styleId="185">
    <w:name w:val="样式1"/>
    <w:basedOn w:val="1"/>
    <w:qFormat/>
    <w:uiPriority w:val="0"/>
    <w:pPr>
      <w:widowControl w:val="0"/>
      <w:adjustRightInd w:val="0"/>
      <w:spacing w:after="200" w:line="420" w:lineRule="auto"/>
      <w:jc w:val="center"/>
    </w:pPr>
    <w:rPr>
      <w:rFonts w:hAnsi="Times New Roman" w:cs="Times New Roman"/>
      <w:sz w:val="24"/>
      <w:szCs w:val="20"/>
      <w:lang w:eastAsia="zh-CN"/>
    </w:rPr>
  </w:style>
  <w:style w:type="table" w:customStyle="1" w:styleId="186">
    <w:name w:val="Table Grid_0"/>
    <w:basedOn w:val="4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7">
    <w:name w:val="--排版样式 报价--二级标题（节名称）"/>
    <w:basedOn w:val="180"/>
    <w:qFormat/>
    <w:uiPriority w:val="0"/>
    <w:pPr>
      <w:spacing w:before="140" w:after="140"/>
      <w:ind w:firstLine="0" w:firstLineChars="0"/>
    </w:pPr>
    <w:rPr>
      <w:rFonts w:eastAsia="黑体"/>
      <w:sz w:val="28"/>
    </w:rPr>
  </w:style>
  <w:style w:type="paragraph" w:customStyle="1" w:styleId="188">
    <w:name w:val="--排版样式 报价--三级标题"/>
    <w:basedOn w:val="3"/>
    <w:qFormat/>
    <w:uiPriority w:val="0"/>
    <w:pPr>
      <w:widowControl w:val="0"/>
      <w:tabs>
        <w:tab w:val="left" w:pos="480"/>
        <w:tab w:val="left" w:pos="525"/>
      </w:tabs>
      <w:adjustRightInd w:val="0"/>
      <w:snapToGrid w:val="0"/>
      <w:spacing w:before="120" w:after="120" w:line="360" w:lineRule="auto"/>
      <w:outlineLvl w:val="9"/>
    </w:pPr>
    <w:rPr>
      <w:rFonts w:ascii="黑体" w:hAnsi="黑体" w:eastAsia="黑体" w:cs="Times New Roman"/>
      <w:b w:val="0"/>
      <w:color w:val="auto"/>
      <w:kern w:val="44"/>
      <w:sz w:val="24"/>
      <w:szCs w:val="24"/>
      <w:lang w:eastAsia="zh-CN"/>
    </w:rPr>
  </w:style>
  <w:style w:type="paragraph" w:customStyle="1" w:styleId="189">
    <w:name w:val="Bgg"/>
    <w:qFormat/>
    <w:uiPriority w:val="0"/>
    <w:pPr>
      <w:widowControl w:val="0"/>
      <w:topLinePunct/>
      <w:snapToGrid w:val="0"/>
      <w:jc w:val="center"/>
    </w:pPr>
    <w:rPr>
      <w:rFonts w:ascii="Times New Roman" w:hAnsi="宋体" w:eastAsia="宋体" w:cs="Times New Roman"/>
      <w:color w:val="000000"/>
      <w:kern w:val="21"/>
      <w:sz w:val="18"/>
      <w:szCs w:val="18"/>
      <w:lang w:val="en-US" w:eastAsia="zh-CN" w:bidi="ar-SA"/>
    </w:rPr>
  </w:style>
  <w:style w:type="paragraph" w:customStyle="1" w:styleId="190">
    <w:name w:val="注标题"/>
    <w:basedOn w:val="1"/>
    <w:qFormat/>
    <w:uiPriority w:val="0"/>
    <w:pPr>
      <w:topLinePunct/>
    </w:pPr>
    <w:rPr>
      <w:sz w:val="18"/>
    </w:rPr>
  </w:style>
  <w:style w:type="paragraph" w:customStyle="1" w:styleId="191">
    <w:name w:val="正文 New"/>
    <w:qFormat/>
    <w:uiPriority w:val="0"/>
    <w:pPr>
      <w:widowControl w:val="0"/>
      <w:snapToGrid w:val="0"/>
      <w:spacing w:before="60" w:after="60"/>
      <w:jc w:val="both"/>
    </w:pPr>
    <w:rPr>
      <w:rFonts w:ascii="Times New Roman" w:hAnsi="Times New Roman" w:eastAsia="宋体" w:cs="Times New Roman"/>
      <w:kern w:val="2"/>
      <w:sz w:val="24"/>
      <w:lang w:val="en-US" w:eastAsia="zh-CN" w:bidi="ar-SA"/>
    </w:rPr>
  </w:style>
  <w:style w:type="paragraph" w:customStyle="1" w:styleId="192">
    <w:name w:val="!正文"/>
    <w:basedOn w:val="1"/>
    <w:qFormat/>
    <w:uiPriority w:val="0"/>
    <w:pPr>
      <w:snapToGrid w:val="0"/>
      <w:spacing w:line="500" w:lineRule="atLeast"/>
      <w:ind w:firstLine="192" w:firstLineChars="192"/>
    </w:pPr>
    <w:rPr>
      <w:kern w:val="2"/>
      <w:sz w:val="28"/>
      <w:szCs w:val="28"/>
    </w:rPr>
  </w:style>
  <w:style w:type="paragraph" w:customStyle="1" w:styleId="193">
    <w:name w:val="D2"/>
    <w:basedOn w:val="194"/>
    <w:qFormat/>
    <w:uiPriority w:val="0"/>
  </w:style>
  <w:style w:type="paragraph" w:customStyle="1" w:styleId="194">
    <w:name w:val="附录二"/>
    <w:basedOn w:val="28"/>
    <w:qFormat/>
    <w:uiPriority w:val="0"/>
    <w:pPr>
      <w:spacing w:line="312" w:lineRule="exact"/>
    </w:pPr>
    <w:rPr>
      <w:rFonts w:ascii="EU-F1" w:hAnsi="Times New Roman" w:eastAsia="黑体" w:cs="Times New Roman"/>
      <w:kern w:val="21"/>
    </w:rPr>
  </w:style>
  <w:style w:type="paragraph" w:customStyle="1" w:styleId="195">
    <w:name w:val="段"/>
    <w:qFormat/>
    <w:uiPriority w:val="99"/>
    <w:pPr>
      <w:ind w:firstLine="200" w:firstLineChars="200"/>
      <w:jc w:val="both"/>
    </w:pPr>
    <w:rPr>
      <w:rFonts w:ascii="宋体" w:hAnsi="Times New Roman" w:eastAsia="宋体" w:cs="Times New Roman"/>
      <w:sz w:val="21"/>
      <w:lang w:val="en-US" w:eastAsia="zh-CN" w:bidi="ar-SA"/>
    </w:rPr>
  </w:style>
  <w:style w:type="character" w:customStyle="1" w:styleId="196">
    <w:name w:val="数字EU Char"/>
    <w:link w:val="197"/>
    <w:qFormat/>
    <w:uiPriority w:val="0"/>
    <w:rPr>
      <w:rFonts w:ascii="EU-F1"/>
      <w:kern w:val="21"/>
      <w:szCs w:val="21"/>
    </w:rPr>
  </w:style>
  <w:style w:type="paragraph" w:customStyle="1" w:styleId="197">
    <w:name w:val="数字EU"/>
    <w:basedOn w:val="1"/>
    <w:link w:val="196"/>
    <w:qFormat/>
    <w:uiPriority w:val="0"/>
    <w:pPr>
      <w:wordWrap w:val="0"/>
      <w:overflowPunct w:val="0"/>
      <w:topLinePunct/>
    </w:pPr>
    <w:rPr>
      <w:rFonts w:ascii="EU-F1"/>
      <w:kern w:val="21"/>
      <w:szCs w:val="21"/>
    </w:rPr>
  </w:style>
  <w:style w:type="paragraph" w:customStyle="1" w:styleId="198">
    <w:name w:val="表格内字体字号"/>
    <w:basedOn w:val="1"/>
    <w:qFormat/>
    <w:uiPriority w:val="0"/>
    <w:pPr>
      <w:topLinePunct/>
      <w:snapToGrid w:val="0"/>
      <w:spacing w:before="20" w:beforeLines="20" w:after="20" w:afterLines="20"/>
      <w:ind w:left="30" w:leftChars="30" w:right="30" w:rightChars="30"/>
      <w:jc w:val="center"/>
    </w:pPr>
    <w:rPr>
      <w:sz w:val="18"/>
      <w:szCs w:val="18"/>
    </w:rPr>
  </w:style>
  <w:style w:type="paragraph" w:customStyle="1" w:styleId="199">
    <w:name w:val="bbb"/>
    <w:basedOn w:val="200"/>
    <w:qFormat/>
    <w:uiPriority w:val="0"/>
    <w:pPr>
      <w:topLinePunct/>
      <w:snapToGrid w:val="0"/>
      <w:spacing w:before="60" w:after="60"/>
      <w:jc w:val="center"/>
    </w:pPr>
    <w:rPr>
      <w:sz w:val="18"/>
      <w:szCs w:val="18"/>
    </w:rPr>
  </w:style>
  <w:style w:type="paragraph" w:customStyle="1" w:styleId="200">
    <w:name w:val="正文_8"/>
    <w:qFormat/>
    <w:uiPriority w:val="0"/>
    <w:pPr>
      <w:widowControl w:val="0"/>
      <w:jc w:val="both"/>
    </w:pPr>
    <w:rPr>
      <w:rFonts w:ascii="Calibri" w:hAnsi="Calibri" w:eastAsia="宋体" w:cs="Times New Roman"/>
      <w:kern w:val="2"/>
      <w:sz w:val="21"/>
      <w:szCs w:val="22"/>
      <w:lang w:val="en-US" w:eastAsia="zh-CN" w:bidi="ar-SA"/>
    </w:rPr>
  </w:style>
  <w:style w:type="paragraph" w:customStyle="1" w:styleId="201">
    <w:name w:val="b"/>
    <w:basedOn w:val="1"/>
    <w:qFormat/>
    <w:uiPriority w:val="0"/>
    <w:pPr>
      <w:tabs>
        <w:tab w:val="center" w:pos="4706"/>
        <w:tab w:val="right" w:pos="9044"/>
      </w:tabs>
      <w:topLinePunct/>
      <w:spacing w:before="160" w:after="60" w:line="312" w:lineRule="exact"/>
      <w:jc w:val="center"/>
    </w:pPr>
    <w:rPr>
      <w:rFonts w:ascii="Arial" w:hAnsi="Arial" w:eastAsia="黑体"/>
      <w:sz w:val="21"/>
      <w:szCs w:val="21"/>
    </w:rPr>
  </w:style>
  <w:style w:type="paragraph" w:customStyle="1" w:styleId="202">
    <w:name w:val="11"/>
    <w:basedOn w:val="1"/>
    <w:qFormat/>
    <w:uiPriority w:val="0"/>
    <w:pPr>
      <w:topLinePunct/>
      <w:spacing w:line="312" w:lineRule="exact"/>
      <w:ind w:left="400" w:leftChars="200" w:hanging="200" w:hangingChars="200"/>
    </w:pPr>
    <w:rPr>
      <w:sz w:val="21"/>
      <w:szCs w:val="21"/>
    </w:rPr>
  </w:style>
  <w:style w:type="paragraph" w:customStyle="1" w:styleId="203">
    <w:name w:val="项目正文"/>
    <w:basedOn w:val="1"/>
    <w:qFormat/>
    <w:uiPriority w:val="0"/>
    <w:pPr>
      <w:spacing w:line="360" w:lineRule="auto"/>
      <w:ind w:firstLine="420"/>
    </w:pPr>
    <w:rPr>
      <w:rFonts w:cs="宋体"/>
      <w:sz w:val="24"/>
      <w:szCs w:val="20"/>
    </w:rPr>
  </w:style>
  <w:style w:type="paragraph" w:customStyle="1" w:styleId="204">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205">
    <w:name w:val="font01"/>
    <w:basedOn w:val="142"/>
    <w:qFormat/>
    <w:uiPriority w:val="0"/>
    <w:rPr>
      <w:rFonts w:hint="eastAsia" w:ascii="宋体" w:hAnsi="宋体" w:eastAsia="宋体" w:cs="宋体"/>
      <w:color w:val="000000"/>
      <w:sz w:val="21"/>
      <w:szCs w:val="21"/>
      <w:u w:val="none"/>
    </w:rPr>
  </w:style>
  <w:style w:type="paragraph" w:customStyle="1" w:styleId="206">
    <w:name w:val="Normal_3"/>
    <w:qFormat/>
    <w:uiPriority w:val="0"/>
    <w:pPr>
      <w:widowControl w:val="0"/>
      <w:jc w:val="both"/>
    </w:pPr>
    <w:rPr>
      <w:rFonts w:ascii="Calibri" w:hAnsi="Calibri" w:eastAsia="宋体" w:cs="Times New Roman"/>
      <w:kern w:val="2"/>
      <w:sz w:val="21"/>
      <w:szCs w:val="21"/>
      <w:lang w:val="en-US" w:eastAsia="zh-CN" w:bidi="ar-SA"/>
    </w:rPr>
  </w:style>
  <w:style w:type="paragraph" w:customStyle="1" w:styleId="207">
    <w:name w:val="Normal_2"/>
    <w:qFormat/>
    <w:uiPriority w:val="0"/>
    <w:pPr>
      <w:widowControl w:val="0"/>
      <w:jc w:val="both"/>
    </w:pPr>
    <w:rPr>
      <w:rFonts w:ascii="Calibri" w:hAnsi="Calibri"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2.xml"/><Relationship Id="rId8" Type="http://schemas.openxmlformats.org/officeDocument/2006/relationships/footer" Target="footer3.xml"/><Relationship Id="rId7" Type="http://schemas.openxmlformats.org/officeDocument/2006/relationships/header" Target="header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F278816-EC6F-A645-907D-7F25AECB1D4A}">
  <ds:schemaRefs/>
</ds:datastoreItem>
</file>

<file path=docProps/app.xml><?xml version="1.0" encoding="utf-8"?>
<Properties xmlns="http://schemas.openxmlformats.org/officeDocument/2006/extended-properties" xmlns:vt="http://schemas.openxmlformats.org/officeDocument/2006/docPropsVTypes">
  <Template>Normal.dotm</Template>
  <Pages>51</Pages>
  <Words>6218</Words>
  <Characters>6966</Characters>
  <Lines>0</Lines>
  <Paragraphs>0</Paragraphs>
  <TotalTime>3</TotalTime>
  <ScaleCrop>false</ScaleCrop>
  <LinksUpToDate>false</LinksUpToDate>
  <CharactersWithSpaces>7090</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2013-12-23T23:15:00Z</dcterms:created>
  <dc:creator>python-docx</dc:creator>
  <dc:description>generated by python-docx</dc:description>
  <cp:lastModifiedBy>王飞琛</cp:lastModifiedBy>
  <dcterms:modified xsi:type="dcterms:W3CDTF">2025-04-29T12:50:48Z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EEBBAA1D5CC44901967CBF8D8169E56E</vt:lpwstr>
  </property>
  <property fmtid="{D5CDD505-2E9C-101B-9397-08002B2CF9AE}" pid="4" name="KSOTemplateDocerSaveRecord">
    <vt:lpwstr>eyJoZGlkIjoiODAzNzFmNmVkMzZjNTliNzZlMzVlZDVhOWM2MWI5ZDQiLCJ1c2VySWQiOiIxNTcwMjg4MTAxIn0=</vt:lpwstr>
  </property>
</Properties>
</file>