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44ACAE">
      <w:pPr>
        <w:pStyle w:val="2"/>
        <w:spacing w:before="0" w:after="0" w:line="240" w:lineRule="atLeast"/>
        <w:jc w:val="center"/>
        <w:rPr>
          <w:rFonts w:ascii="宋体" w:hAnsi="宋体"/>
          <w:b w:val="0"/>
          <w:sz w:val="52"/>
          <w:szCs w:val="52"/>
          <w:highlight w:val="none"/>
        </w:rPr>
      </w:pPr>
      <w:bookmarkStart w:id="4" w:name="_GoBack"/>
      <w:r>
        <w:rPr>
          <w:rFonts w:hint="eastAsia" w:ascii="黑体" w:eastAsia="黑体"/>
          <w:sz w:val="52"/>
          <w:szCs w:val="52"/>
          <w:highlight w:val="none"/>
        </w:rPr>
        <w:t>煤炭买卖合同</w:t>
      </w:r>
    </w:p>
    <w:p w14:paraId="6FA13CFE">
      <w:pPr>
        <w:snapToGrid w:val="0"/>
        <w:spacing w:line="420" w:lineRule="exact"/>
        <w:rPr>
          <w:rFonts w:ascii="宋体" w:hAnsi="宋体"/>
          <w:sz w:val="24"/>
          <w:szCs w:val="20"/>
          <w:highlight w:val="none"/>
        </w:rPr>
      </w:pPr>
      <w:r>
        <w:rPr>
          <w:rFonts w:hint="eastAsia" w:ascii="宋体" w:hAnsi="宋体"/>
          <w:sz w:val="24"/>
          <w:szCs w:val="20"/>
          <w:highlight w:val="none"/>
        </w:rPr>
        <w:t xml:space="preserve">                                               合同编号： </w:t>
      </w:r>
    </w:p>
    <w:p w14:paraId="17ADCC72">
      <w:pPr>
        <w:snapToGrid w:val="0"/>
        <w:spacing w:line="420" w:lineRule="exact"/>
        <w:rPr>
          <w:rFonts w:ascii="宋体" w:hAnsi="宋体"/>
          <w:sz w:val="24"/>
          <w:szCs w:val="20"/>
          <w:highlight w:val="none"/>
        </w:rPr>
      </w:pPr>
      <w:r>
        <w:rPr>
          <w:rFonts w:hint="eastAsia" w:ascii="宋体" w:hAnsi="宋体"/>
          <w:sz w:val="24"/>
          <w:szCs w:val="20"/>
          <w:highlight w:val="none"/>
        </w:rPr>
        <w:t xml:space="preserve">                                               签约时间：20</w:t>
      </w:r>
      <w:r>
        <w:rPr>
          <w:rFonts w:ascii="宋体" w:hAnsi="宋体"/>
          <w:sz w:val="24"/>
          <w:szCs w:val="20"/>
          <w:highlight w:val="none"/>
        </w:rPr>
        <w:t>2</w:t>
      </w:r>
      <w:r>
        <w:rPr>
          <w:rFonts w:hint="eastAsia" w:ascii="宋体" w:hAnsi="宋体"/>
          <w:sz w:val="24"/>
          <w:szCs w:val="20"/>
          <w:highlight w:val="none"/>
          <w:lang w:val="en-US" w:eastAsia="zh-CN"/>
        </w:rPr>
        <w:t>5</w:t>
      </w:r>
      <w:r>
        <w:rPr>
          <w:rFonts w:hint="eastAsia" w:ascii="宋体" w:hAnsi="宋体"/>
          <w:sz w:val="24"/>
          <w:szCs w:val="20"/>
          <w:highlight w:val="none"/>
        </w:rPr>
        <w:t xml:space="preserve">年  月  日 </w:t>
      </w:r>
    </w:p>
    <w:p w14:paraId="0188E1BF">
      <w:pPr>
        <w:snapToGrid w:val="0"/>
        <w:spacing w:line="420" w:lineRule="exact"/>
        <w:rPr>
          <w:rFonts w:ascii="宋体" w:hAnsi="宋体"/>
          <w:sz w:val="24"/>
          <w:szCs w:val="20"/>
          <w:highlight w:val="none"/>
        </w:rPr>
      </w:pPr>
      <w:r>
        <w:rPr>
          <w:rFonts w:hint="eastAsia" w:ascii="宋体" w:hAnsi="宋体"/>
          <w:sz w:val="24"/>
          <w:szCs w:val="20"/>
          <w:highlight w:val="none"/>
        </w:rPr>
        <w:t xml:space="preserve">                                               签约地点：杭州</w:t>
      </w:r>
    </w:p>
    <w:p w14:paraId="7B4915EE">
      <w:pPr>
        <w:adjustRightInd w:val="0"/>
        <w:snapToGrid w:val="0"/>
        <w:spacing w:line="420" w:lineRule="exact"/>
        <w:rPr>
          <w:rFonts w:ascii="宋体" w:hAnsi="宋体"/>
          <w:b/>
          <w:sz w:val="24"/>
          <w:highlight w:val="none"/>
        </w:rPr>
      </w:pPr>
    </w:p>
    <w:p w14:paraId="3DDB387C">
      <w:pPr>
        <w:adjustRightInd w:val="0"/>
        <w:snapToGrid w:val="0"/>
        <w:spacing w:line="420" w:lineRule="exact"/>
        <w:rPr>
          <w:rFonts w:ascii="宋体" w:hAnsi="宋体"/>
          <w:b/>
          <w:sz w:val="24"/>
          <w:highlight w:val="none"/>
        </w:rPr>
      </w:pPr>
      <w:r>
        <w:rPr>
          <w:rFonts w:hint="eastAsia" w:ascii="宋体" w:hAnsi="宋体"/>
          <w:b/>
          <w:sz w:val="24"/>
          <w:highlight w:val="none"/>
        </w:rPr>
        <w:t>买受人（甲方）：浙江浙能富兴燃料有限公司</w:t>
      </w:r>
    </w:p>
    <w:p w14:paraId="1E12B727">
      <w:pPr>
        <w:adjustRightInd w:val="0"/>
        <w:snapToGrid w:val="0"/>
        <w:spacing w:line="420" w:lineRule="exact"/>
        <w:rPr>
          <w:rFonts w:ascii="宋体" w:hAnsi="宋体"/>
          <w:b/>
          <w:sz w:val="24"/>
          <w:highlight w:val="none"/>
        </w:rPr>
      </w:pPr>
      <w:r>
        <w:rPr>
          <w:rFonts w:hint="eastAsia" w:ascii="宋体" w:hAnsi="宋体"/>
          <w:b/>
          <w:sz w:val="24"/>
          <w:highlight w:val="none"/>
        </w:rPr>
        <w:t>地址：宁波大榭开发区南岗商住楼4#楼201室</w:t>
      </w:r>
    </w:p>
    <w:p w14:paraId="4F091F4B">
      <w:pPr>
        <w:adjustRightInd w:val="0"/>
        <w:snapToGrid w:val="0"/>
        <w:spacing w:line="420" w:lineRule="exact"/>
        <w:rPr>
          <w:rFonts w:ascii="宋体" w:hAnsi="宋体"/>
          <w:b/>
          <w:sz w:val="24"/>
          <w:highlight w:val="none"/>
        </w:rPr>
      </w:pPr>
      <w:r>
        <w:rPr>
          <w:rFonts w:hint="eastAsia" w:ascii="宋体" w:hAnsi="宋体"/>
          <w:b/>
          <w:sz w:val="24"/>
          <w:highlight w:val="none"/>
        </w:rPr>
        <w:t>法人代表：周建忠</w:t>
      </w:r>
    </w:p>
    <w:p w14:paraId="2C026F11">
      <w:pPr>
        <w:adjustRightInd w:val="0"/>
        <w:snapToGrid w:val="0"/>
        <w:spacing w:line="420" w:lineRule="exact"/>
        <w:rPr>
          <w:rFonts w:ascii="宋体" w:hAnsi="宋体"/>
          <w:b/>
          <w:sz w:val="24"/>
          <w:highlight w:val="none"/>
        </w:rPr>
      </w:pPr>
    </w:p>
    <w:p w14:paraId="746BAB73">
      <w:pPr>
        <w:adjustRightInd w:val="0"/>
        <w:snapToGrid w:val="0"/>
        <w:spacing w:line="420" w:lineRule="exact"/>
        <w:rPr>
          <w:rFonts w:ascii="宋体" w:hAnsi="宋体"/>
          <w:b/>
          <w:sz w:val="24"/>
          <w:highlight w:val="none"/>
        </w:rPr>
      </w:pPr>
      <w:r>
        <w:rPr>
          <w:rFonts w:hint="eastAsia" w:ascii="宋体" w:hAnsi="宋体"/>
          <w:b/>
          <w:sz w:val="24"/>
          <w:highlight w:val="none"/>
        </w:rPr>
        <w:t>出卖人（乙方）：</w:t>
      </w:r>
    </w:p>
    <w:p w14:paraId="619D5788">
      <w:pPr>
        <w:adjustRightInd w:val="0"/>
        <w:snapToGrid w:val="0"/>
        <w:spacing w:line="420" w:lineRule="exact"/>
        <w:rPr>
          <w:rFonts w:ascii="宋体" w:hAnsi="宋体"/>
          <w:b/>
          <w:sz w:val="24"/>
          <w:highlight w:val="none"/>
        </w:rPr>
      </w:pPr>
      <w:r>
        <w:rPr>
          <w:rFonts w:hint="eastAsia" w:ascii="宋体" w:hAnsi="宋体"/>
          <w:b/>
          <w:sz w:val="24"/>
          <w:highlight w:val="none"/>
        </w:rPr>
        <w:t>地址：</w:t>
      </w:r>
    </w:p>
    <w:p w14:paraId="6C33E6E1">
      <w:pPr>
        <w:adjustRightInd w:val="0"/>
        <w:snapToGrid w:val="0"/>
        <w:spacing w:line="420" w:lineRule="exact"/>
        <w:rPr>
          <w:rFonts w:ascii="宋体" w:hAnsi="宋体"/>
          <w:b/>
          <w:sz w:val="24"/>
          <w:highlight w:val="none"/>
        </w:rPr>
      </w:pPr>
      <w:r>
        <w:rPr>
          <w:rFonts w:hint="eastAsia" w:ascii="宋体" w:hAnsi="宋体"/>
          <w:b/>
          <w:sz w:val="24"/>
          <w:highlight w:val="none"/>
        </w:rPr>
        <w:t>法人代表：</w:t>
      </w:r>
    </w:p>
    <w:p w14:paraId="1E2D23DA">
      <w:pPr>
        <w:adjustRightInd w:val="0"/>
        <w:snapToGrid w:val="0"/>
        <w:spacing w:line="420" w:lineRule="exact"/>
        <w:rPr>
          <w:rFonts w:ascii="宋体" w:hAnsi="宋体"/>
          <w:b/>
          <w:sz w:val="24"/>
          <w:highlight w:val="none"/>
        </w:rPr>
      </w:pPr>
    </w:p>
    <w:p w14:paraId="44C51B11">
      <w:pPr>
        <w:snapToGrid w:val="0"/>
        <w:spacing w:line="420" w:lineRule="exact"/>
        <w:ind w:firstLine="480" w:firstLineChars="200"/>
        <w:rPr>
          <w:rFonts w:ascii="宋体" w:hAnsi="宋体"/>
          <w:sz w:val="24"/>
          <w:highlight w:val="none"/>
        </w:rPr>
      </w:pPr>
      <w:r>
        <w:rPr>
          <w:rFonts w:hint="eastAsia" w:ascii="宋体" w:hAnsi="宋体"/>
          <w:sz w:val="24"/>
          <w:highlight w:val="none"/>
        </w:rPr>
        <w:t>为明确合同双方的权利与义务，</w:t>
      </w:r>
      <w:r>
        <w:rPr>
          <w:rFonts w:hint="eastAsia" w:ascii="宋体" w:hAnsi="宋体"/>
          <w:sz w:val="24"/>
          <w:szCs w:val="20"/>
          <w:highlight w:val="none"/>
        </w:rPr>
        <w:t>买受人（以下简称：“甲方”）和出卖人（以下简称：“乙方”）</w:t>
      </w:r>
      <w:r>
        <w:rPr>
          <w:rFonts w:hint="eastAsia" w:ascii="宋体" w:hAnsi="宋体"/>
          <w:sz w:val="24"/>
          <w:highlight w:val="none"/>
        </w:rPr>
        <w:t>双方本着平等互利、自愿一致、协同发展的原则，</w:t>
      </w:r>
      <w:r>
        <w:rPr>
          <w:rFonts w:hint="eastAsia" w:ascii="宋体" w:hAnsi="宋体"/>
          <w:sz w:val="24"/>
          <w:szCs w:val="20"/>
          <w:highlight w:val="none"/>
        </w:rPr>
        <w:t>就202</w:t>
      </w:r>
      <w:r>
        <w:rPr>
          <w:rFonts w:hint="eastAsia" w:ascii="宋体" w:hAnsi="宋体"/>
          <w:sz w:val="24"/>
          <w:szCs w:val="20"/>
          <w:highlight w:val="none"/>
          <w:lang w:val="en-US" w:eastAsia="zh-CN"/>
        </w:rPr>
        <w:t>5</w:t>
      </w:r>
      <w:r>
        <w:rPr>
          <w:rFonts w:hint="eastAsia" w:ascii="宋体" w:hAnsi="宋体"/>
          <w:sz w:val="24"/>
          <w:szCs w:val="20"/>
          <w:highlight w:val="none"/>
        </w:rPr>
        <w:t>年  月  日-  月  日煤炭买卖</w:t>
      </w:r>
      <w:r>
        <w:rPr>
          <w:rFonts w:hint="eastAsia" w:ascii="宋体" w:hAnsi="宋体"/>
          <w:sz w:val="24"/>
          <w:highlight w:val="none"/>
        </w:rPr>
        <w:t>事宜，依据《中华人民共和国民法典》，经友好协商，达成一致意见，共同签订本买卖合同（以下简称“本合同”）。</w:t>
      </w:r>
    </w:p>
    <w:p w14:paraId="58AC2FD8">
      <w:pPr>
        <w:snapToGrid w:val="0"/>
        <w:spacing w:line="420" w:lineRule="exact"/>
        <w:ind w:firstLine="482" w:firstLineChars="200"/>
        <w:rPr>
          <w:rFonts w:ascii="宋体" w:hAnsi="宋体"/>
          <w:b/>
          <w:sz w:val="24"/>
          <w:szCs w:val="20"/>
          <w:highlight w:val="none"/>
        </w:rPr>
      </w:pPr>
      <w:r>
        <w:rPr>
          <w:rFonts w:hint="eastAsia" w:ascii="宋体" w:hAnsi="宋体"/>
          <w:b/>
          <w:sz w:val="24"/>
          <w:szCs w:val="20"/>
          <w:highlight w:val="none"/>
        </w:rPr>
        <w:t>第一条  煤炭品名和数量</w:t>
      </w:r>
    </w:p>
    <w:p w14:paraId="60B4550C">
      <w:pPr>
        <w:snapToGrid w:val="0"/>
        <w:spacing w:line="420" w:lineRule="exact"/>
        <w:ind w:firstLine="480" w:firstLineChars="200"/>
        <w:rPr>
          <w:rFonts w:hint="default" w:ascii="宋体" w:hAnsi="宋体"/>
          <w:sz w:val="24"/>
          <w:szCs w:val="20"/>
          <w:highlight w:val="none"/>
          <w:lang w:val="en-US"/>
        </w:rPr>
      </w:pPr>
      <w:r>
        <w:rPr>
          <w:rFonts w:hint="eastAsia" w:ascii="宋体" w:hAnsi="宋体"/>
          <w:sz w:val="24"/>
          <w:szCs w:val="20"/>
          <w:highlight w:val="none"/>
        </w:rPr>
        <w:t>1.1 煤炭品名：</w:t>
      </w:r>
      <w:r>
        <w:rPr>
          <w:rFonts w:hint="eastAsia" w:ascii="宋体" w:hAnsi="宋体"/>
          <w:sz w:val="24"/>
          <w:szCs w:val="20"/>
          <w:highlight w:val="none"/>
          <w:lang w:val="en-US" w:eastAsia="zh-CN"/>
        </w:rPr>
        <w:t>蒙陕煤</w:t>
      </w:r>
    </w:p>
    <w:p w14:paraId="012F9690">
      <w:pPr>
        <w:snapToGrid w:val="0"/>
        <w:spacing w:line="420" w:lineRule="exact"/>
        <w:ind w:firstLine="480" w:firstLineChars="200"/>
        <w:rPr>
          <w:rFonts w:ascii="宋体" w:hAnsi="宋体"/>
          <w:sz w:val="24"/>
          <w:szCs w:val="20"/>
          <w:highlight w:val="none"/>
        </w:rPr>
      </w:pPr>
      <w:r>
        <w:rPr>
          <w:rFonts w:hint="eastAsia" w:ascii="宋体" w:hAnsi="宋体"/>
          <w:sz w:val="24"/>
          <w:highlight w:val="none"/>
        </w:rPr>
        <w:t>1.2 煤炭产地：</w:t>
      </w:r>
      <w:r>
        <w:rPr>
          <w:rFonts w:hint="eastAsia" w:ascii="宋体" w:hAnsi="宋体"/>
          <w:sz w:val="24"/>
          <w:highlight w:val="none"/>
          <w:lang w:val="en-US" w:eastAsia="zh-CN"/>
        </w:rPr>
        <w:t>内蒙古</w:t>
      </w:r>
      <w:r>
        <w:rPr>
          <w:rFonts w:hint="default" w:ascii="宋体" w:hAnsi="宋体"/>
          <w:sz w:val="24"/>
          <w:highlight w:val="none"/>
          <w:lang w:val="en-US" w:eastAsia="zh-CN"/>
        </w:rPr>
        <w:t>/</w:t>
      </w:r>
      <w:r>
        <w:rPr>
          <w:rFonts w:hint="eastAsia" w:ascii="宋体" w:hAnsi="宋体"/>
          <w:sz w:val="24"/>
          <w:highlight w:val="none"/>
          <w:lang w:val="en-US" w:eastAsia="zh-CN"/>
        </w:rPr>
        <w:t>陕西</w:t>
      </w:r>
    </w:p>
    <w:p w14:paraId="19AFC6B1">
      <w:pPr>
        <w:pStyle w:val="5"/>
        <w:snapToGrid w:val="0"/>
        <w:spacing w:line="420" w:lineRule="exact"/>
        <w:ind w:firstLine="480" w:firstLineChars="200"/>
        <w:rPr>
          <w:rFonts w:hAnsi="宋体" w:eastAsia="宋体"/>
          <w:sz w:val="24"/>
          <w:highlight w:val="none"/>
        </w:rPr>
      </w:pPr>
      <w:r>
        <w:rPr>
          <w:rFonts w:hint="eastAsia" w:hAnsi="宋体" w:eastAsia="宋体"/>
          <w:sz w:val="24"/>
          <w:szCs w:val="24"/>
          <w:highlight w:val="none"/>
        </w:rPr>
        <w:t>1.3煤炭数量</w:t>
      </w:r>
      <w:r>
        <w:rPr>
          <w:rFonts w:hAnsi="宋体" w:eastAsia="宋体"/>
          <w:sz w:val="24"/>
          <w:szCs w:val="24"/>
          <w:highlight w:val="none"/>
        </w:rPr>
        <w:t>：</w:t>
      </w:r>
      <w:r>
        <w:rPr>
          <w:rFonts w:hint="eastAsia" w:hAnsi="宋体" w:eastAsia="宋体"/>
          <w:sz w:val="24"/>
          <w:szCs w:val="24"/>
          <w:highlight w:val="none"/>
        </w:rPr>
        <w:t>双方约定</w:t>
      </w:r>
      <w:r>
        <w:rPr>
          <w:rFonts w:hint="eastAsia" w:hAnsi="宋体" w:eastAsia="宋体"/>
          <w:sz w:val="24"/>
          <w:highlight w:val="none"/>
        </w:rPr>
        <w:t>，在20</w:t>
      </w:r>
      <w:r>
        <w:rPr>
          <w:rFonts w:hAnsi="宋体" w:eastAsia="宋体"/>
          <w:sz w:val="24"/>
          <w:highlight w:val="none"/>
        </w:rPr>
        <w:t>2</w:t>
      </w:r>
      <w:r>
        <w:rPr>
          <w:rFonts w:hint="eastAsia" w:hAnsi="宋体" w:eastAsia="宋体"/>
          <w:sz w:val="24"/>
          <w:highlight w:val="none"/>
          <w:lang w:val="en-US" w:eastAsia="zh-CN"/>
        </w:rPr>
        <w:t>5</w:t>
      </w:r>
      <w:r>
        <w:rPr>
          <w:rFonts w:hint="eastAsia" w:hAnsi="宋体" w:eastAsia="宋体"/>
          <w:sz w:val="24"/>
          <w:highlight w:val="none"/>
        </w:rPr>
        <w:t>年  月  日至  月  日期间，乙方向甲方供煤</w:t>
      </w:r>
      <w:r>
        <w:rPr>
          <w:rFonts w:hint="eastAsia" w:hAnsi="宋体" w:eastAsia="宋体"/>
          <w:sz w:val="24"/>
          <w:highlight w:val="none"/>
          <w:lang w:val="en-US" w:eastAsia="zh-CN"/>
        </w:rPr>
        <w:t>XX</w:t>
      </w:r>
      <w:r>
        <w:rPr>
          <w:rFonts w:hint="eastAsia" w:hAnsi="宋体" w:eastAsia="宋体"/>
          <w:sz w:val="24"/>
          <w:highlight w:val="none"/>
        </w:rPr>
        <w:t>万吨±10%。</w:t>
      </w:r>
    </w:p>
    <w:p w14:paraId="07662682">
      <w:pPr>
        <w:snapToGrid w:val="0"/>
        <w:spacing w:line="420" w:lineRule="exact"/>
        <w:ind w:firstLine="482" w:firstLineChars="200"/>
        <w:rPr>
          <w:rFonts w:ascii="新宋体" w:hAnsi="新宋体" w:eastAsia="新宋体"/>
          <w:b/>
          <w:sz w:val="24"/>
          <w:highlight w:val="none"/>
        </w:rPr>
      </w:pPr>
      <w:r>
        <w:rPr>
          <w:rFonts w:hint="eastAsia" w:ascii="新宋体" w:hAnsi="新宋体" w:eastAsia="新宋体"/>
          <w:b/>
          <w:sz w:val="24"/>
          <w:highlight w:val="none"/>
        </w:rPr>
        <w:t>第二条 交货方式、交货地</w:t>
      </w:r>
    </w:p>
    <w:p w14:paraId="74DFFCA9">
      <w:pPr>
        <w:snapToGrid w:val="0"/>
        <w:spacing w:line="420" w:lineRule="exact"/>
        <w:ind w:firstLine="480" w:firstLineChars="200"/>
        <w:rPr>
          <w:rFonts w:ascii="宋体" w:hAnsi="宋体"/>
          <w:sz w:val="24"/>
          <w:highlight w:val="none"/>
        </w:rPr>
      </w:pPr>
      <w:r>
        <w:rPr>
          <w:rFonts w:hint="eastAsia" w:ascii="宋体" w:hAnsi="宋体"/>
          <w:sz w:val="24"/>
          <w:highlight w:val="none"/>
        </w:rPr>
        <w:t>2.1交货方式：场地交货。</w:t>
      </w:r>
    </w:p>
    <w:p w14:paraId="4FECE720">
      <w:pPr>
        <w:snapToGrid w:val="0"/>
        <w:spacing w:line="420" w:lineRule="exact"/>
        <w:ind w:firstLine="480" w:firstLineChars="200"/>
        <w:rPr>
          <w:rFonts w:ascii="宋体" w:hAnsi="宋体"/>
          <w:sz w:val="24"/>
          <w:highlight w:val="none"/>
        </w:rPr>
      </w:pPr>
      <w:r>
        <w:rPr>
          <w:rFonts w:hint="eastAsia" w:ascii="宋体" w:hAnsi="宋体"/>
          <w:sz w:val="24"/>
          <w:highlight w:val="none"/>
        </w:rPr>
        <w:t>2.2交货地：甲方在秦皇岛港</w:t>
      </w:r>
      <w:r>
        <w:rPr>
          <w:rFonts w:hint="default" w:ascii="宋体" w:hAnsi="宋体"/>
          <w:sz w:val="24"/>
          <w:highlight w:val="none"/>
          <w:lang w:val="en-US"/>
        </w:rPr>
        <w:t>/</w:t>
      </w:r>
      <w:r>
        <w:rPr>
          <w:rFonts w:hint="eastAsia" w:ascii="宋体" w:hAnsi="宋体"/>
          <w:sz w:val="24"/>
          <w:highlight w:val="none"/>
          <w:lang w:val="en-US" w:eastAsia="zh-CN"/>
        </w:rPr>
        <w:t>曹妃甸港</w:t>
      </w:r>
      <w:r>
        <w:rPr>
          <w:rFonts w:hint="eastAsia" w:ascii="宋体" w:hAnsi="宋体"/>
          <w:sz w:val="24"/>
          <w:highlight w:val="none"/>
        </w:rPr>
        <w:t>作业场地。</w:t>
      </w:r>
    </w:p>
    <w:p w14:paraId="4E6BA54B">
      <w:pPr>
        <w:snapToGrid w:val="0"/>
        <w:spacing w:line="420" w:lineRule="exact"/>
        <w:ind w:firstLine="480" w:firstLineChars="200"/>
        <w:rPr>
          <w:rFonts w:ascii="宋体" w:hAnsi="宋体"/>
          <w:sz w:val="24"/>
          <w:highlight w:val="none"/>
        </w:rPr>
      </w:pPr>
      <w:r>
        <w:rPr>
          <w:rFonts w:hint="eastAsia" w:ascii="宋体" w:hAnsi="宋体"/>
          <w:sz w:val="24"/>
          <w:highlight w:val="none"/>
        </w:rPr>
        <w:t>2.3交付时间：交付时间为乙方煤炭交付至甲方场地的时间，具体以港务局出具的铁路过衡时间为准。</w:t>
      </w:r>
    </w:p>
    <w:p w14:paraId="12B112F4">
      <w:pPr>
        <w:snapToGrid w:val="0"/>
        <w:spacing w:line="420" w:lineRule="exact"/>
        <w:ind w:firstLine="480" w:firstLineChars="200"/>
        <w:rPr>
          <w:rFonts w:ascii="宋体" w:hAnsi="宋体"/>
          <w:sz w:val="24"/>
          <w:highlight w:val="none"/>
        </w:rPr>
      </w:pPr>
      <w:r>
        <w:rPr>
          <w:rFonts w:hint="eastAsia" w:ascii="宋体" w:hAnsi="宋体"/>
          <w:sz w:val="24"/>
          <w:highlight w:val="none"/>
        </w:rPr>
        <w:t>2.4</w:t>
      </w:r>
      <w:r>
        <w:rPr>
          <w:rFonts w:hint="eastAsia" w:hAnsi="宋体"/>
          <w:sz w:val="24"/>
          <w:highlight w:val="none"/>
        </w:rPr>
        <w:t>煤炭交付之后，货物所有权即从乙方转移到甲方，但在货物全部卸至甲方场地前，货物损毁、灭失的风险仍由乙方承担。卸货完成后的费用由甲方承担，其他费用包括运费、保险费、进港检验费、过磅费、装卸费等卸货前发生的费用全部由乙方承担。双方自行委托代理机构所产生的费用由各自承担。</w:t>
      </w:r>
    </w:p>
    <w:p w14:paraId="2E30D2EA">
      <w:pPr>
        <w:pStyle w:val="5"/>
        <w:snapToGrid w:val="0"/>
        <w:spacing w:line="420" w:lineRule="exact"/>
        <w:ind w:firstLine="482" w:firstLineChars="200"/>
        <w:rPr>
          <w:rFonts w:hAnsi="宋体" w:eastAsia="宋体"/>
          <w:b/>
          <w:sz w:val="24"/>
          <w:highlight w:val="none"/>
        </w:rPr>
      </w:pPr>
      <w:r>
        <w:rPr>
          <w:rFonts w:hint="eastAsia" w:ascii="新宋体" w:hAnsi="新宋体" w:eastAsia="新宋体"/>
          <w:b/>
          <w:sz w:val="24"/>
          <w:highlight w:val="none"/>
        </w:rPr>
        <w:t xml:space="preserve">第三条  </w:t>
      </w:r>
      <w:r>
        <w:rPr>
          <w:rFonts w:hint="eastAsia" w:hAnsi="宋体" w:eastAsia="宋体"/>
          <w:b/>
          <w:sz w:val="24"/>
          <w:highlight w:val="none"/>
        </w:rPr>
        <w:t>煤炭质量要求</w:t>
      </w:r>
    </w:p>
    <w:p w14:paraId="22181E4C">
      <w:pPr>
        <w:pStyle w:val="5"/>
        <w:snapToGrid w:val="0"/>
        <w:spacing w:line="420" w:lineRule="exact"/>
        <w:ind w:firstLine="480" w:firstLineChars="200"/>
        <w:rPr>
          <w:rFonts w:hAnsi="宋体" w:eastAsia="宋体"/>
          <w:sz w:val="24"/>
          <w:highlight w:val="none"/>
        </w:rPr>
      </w:pPr>
      <w:r>
        <w:rPr>
          <w:rFonts w:hint="eastAsia" w:hAnsi="宋体" w:eastAsia="宋体"/>
          <w:sz w:val="24"/>
          <w:highlight w:val="none"/>
        </w:rPr>
        <w:t>3.1 煤炭质量要求：乙方所提供的煤炭来源应符合1.2条所约定的煤炭产地，不得与其它煤炭产地的煤炭进行掺配。具体煤质参数要求如下：</w:t>
      </w:r>
    </w:p>
    <w:p w14:paraId="124F016F">
      <w:pPr>
        <w:pStyle w:val="5"/>
        <w:snapToGrid w:val="0"/>
        <w:spacing w:line="420" w:lineRule="exact"/>
        <w:ind w:firstLine="480" w:firstLineChars="200"/>
        <w:rPr>
          <w:rFonts w:hAnsi="宋体" w:eastAsia="宋体"/>
          <w:sz w:val="24"/>
          <w:highlight w:val="none"/>
        </w:rPr>
      </w:pPr>
    </w:p>
    <w:tbl>
      <w:tblPr>
        <w:tblStyle w:val="9"/>
        <w:tblW w:w="104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6"/>
        <w:gridCol w:w="908"/>
        <w:gridCol w:w="1041"/>
        <w:gridCol w:w="1044"/>
        <w:gridCol w:w="1476"/>
        <w:gridCol w:w="1034"/>
        <w:gridCol w:w="1037"/>
        <w:gridCol w:w="1056"/>
        <w:gridCol w:w="1056"/>
      </w:tblGrid>
      <w:tr w14:paraId="0506D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6" w:type="dxa"/>
            <w:vAlign w:val="center"/>
          </w:tcPr>
          <w:p w14:paraId="7BF6BF29">
            <w:pPr>
              <w:snapToGrid w:val="0"/>
              <w:spacing w:line="420" w:lineRule="exact"/>
              <w:jc w:val="center"/>
              <w:rPr>
                <w:rFonts w:ascii="宋体" w:hAnsi="宋体"/>
                <w:b/>
                <w:bCs/>
                <w:sz w:val="24"/>
                <w:szCs w:val="20"/>
                <w:highlight w:val="none"/>
              </w:rPr>
            </w:pPr>
            <w:r>
              <w:rPr>
                <w:rFonts w:hint="eastAsia" w:ascii="宋体" w:hAnsi="宋体"/>
                <w:b/>
                <w:bCs/>
                <w:sz w:val="24"/>
                <w:szCs w:val="20"/>
                <w:highlight w:val="none"/>
              </w:rPr>
              <w:t>煤种</w:t>
            </w:r>
          </w:p>
        </w:tc>
        <w:tc>
          <w:tcPr>
            <w:tcW w:w="908" w:type="dxa"/>
            <w:vAlign w:val="center"/>
          </w:tcPr>
          <w:p w14:paraId="44107ECE">
            <w:pPr>
              <w:adjustRightInd w:val="0"/>
              <w:snapToGrid w:val="0"/>
              <w:spacing w:line="420" w:lineRule="exact"/>
              <w:jc w:val="center"/>
              <w:rPr>
                <w:b/>
                <w:bCs/>
                <w:sz w:val="24"/>
                <w:highlight w:val="none"/>
              </w:rPr>
            </w:pPr>
            <w:r>
              <w:rPr>
                <w:b/>
                <w:bCs/>
                <w:sz w:val="24"/>
                <w:highlight w:val="none"/>
              </w:rPr>
              <w:t xml:space="preserve">M t </w:t>
            </w:r>
            <w:r>
              <w:rPr>
                <w:b/>
                <w:bCs/>
                <w:sz w:val="24"/>
                <w:highlight w:val="none"/>
              </w:rPr>
              <w:br w:type="textWrapping"/>
            </w:r>
            <w:r>
              <w:rPr>
                <w:b/>
                <w:bCs/>
                <w:sz w:val="24"/>
                <w:highlight w:val="none"/>
              </w:rPr>
              <w:t>(%)</w:t>
            </w:r>
          </w:p>
        </w:tc>
        <w:tc>
          <w:tcPr>
            <w:tcW w:w="1041" w:type="dxa"/>
            <w:vAlign w:val="center"/>
          </w:tcPr>
          <w:p w14:paraId="47DD88DD">
            <w:pPr>
              <w:adjustRightInd w:val="0"/>
              <w:snapToGrid w:val="0"/>
              <w:spacing w:line="420" w:lineRule="exact"/>
              <w:jc w:val="center"/>
              <w:rPr>
                <w:b/>
                <w:bCs/>
                <w:sz w:val="24"/>
                <w:highlight w:val="none"/>
              </w:rPr>
            </w:pPr>
            <w:r>
              <w:rPr>
                <w:b/>
                <w:bCs/>
                <w:sz w:val="24"/>
                <w:highlight w:val="none"/>
              </w:rPr>
              <w:t>Ad</w:t>
            </w:r>
            <w:r>
              <w:rPr>
                <w:b/>
                <w:bCs/>
                <w:sz w:val="24"/>
                <w:highlight w:val="none"/>
              </w:rPr>
              <w:br w:type="textWrapping"/>
            </w:r>
            <w:r>
              <w:rPr>
                <w:b/>
                <w:bCs/>
                <w:sz w:val="24"/>
                <w:highlight w:val="none"/>
              </w:rPr>
              <w:t xml:space="preserve"> (%)</w:t>
            </w:r>
          </w:p>
        </w:tc>
        <w:tc>
          <w:tcPr>
            <w:tcW w:w="1044" w:type="dxa"/>
            <w:vAlign w:val="center"/>
          </w:tcPr>
          <w:p w14:paraId="18D872EF">
            <w:pPr>
              <w:adjustRightInd w:val="0"/>
              <w:snapToGrid w:val="0"/>
              <w:spacing w:line="420" w:lineRule="exact"/>
              <w:jc w:val="center"/>
              <w:rPr>
                <w:b/>
                <w:bCs/>
                <w:sz w:val="24"/>
                <w:highlight w:val="none"/>
              </w:rPr>
            </w:pPr>
            <w:r>
              <w:rPr>
                <w:b/>
                <w:bCs/>
                <w:sz w:val="24"/>
                <w:highlight w:val="none"/>
              </w:rPr>
              <w:t>Vdaf</w:t>
            </w:r>
            <w:r>
              <w:rPr>
                <w:b/>
                <w:bCs/>
                <w:sz w:val="24"/>
                <w:highlight w:val="none"/>
              </w:rPr>
              <w:br w:type="textWrapping"/>
            </w:r>
            <w:r>
              <w:rPr>
                <w:b/>
                <w:bCs/>
                <w:sz w:val="24"/>
                <w:highlight w:val="none"/>
              </w:rPr>
              <w:t>(%)</w:t>
            </w:r>
          </w:p>
        </w:tc>
        <w:tc>
          <w:tcPr>
            <w:tcW w:w="1476" w:type="dxa"/>
            <w:vAlign w:val="center"/>
          </w:tcPr>
          <w:p w14:paraId="42BDFCD6">
            <w:pPr>
              <w:adjustRightInd w:val="0"/>
              <w:snapToGrid w:val="0"/>
              <w:spacing w:line="420" w:lineRule="exact"/>
              <w:jc w:val="center"/>
              <w:rPr>
                <w:b/>
                <w:bCs/>
                <w:sz w:val="24"/>
                <w:highlight w:val="none"/>
              </w:rPr>
            </w:pPr>
            <w:r>
              <w:rPr>
                <w:b/>
                <w:bCs/>
                <w:sz w:val="24"/>
                <w:highlight w:val="none"/>
              </w:rPr>
              <w:t>Qnet,ar</w:t>
            </w:r>
            <w:r>
              <w:rPr>
                <w:b/>
                <w:bCs/>
                <w:sz w:val="24"/>
                <w:highlight w:val="none"/>
              </w:rPr>
              <w:br w:type="textWrapping"/>
            </w:r>
            <w:r>
              <w:rPr>
                <w:b/>
                <w:bCs/>
                <w:sz w:val="24"/>
                <w:highlight w:val="none"/>
              </w:rPr>
              <w:t>(kcal/kg)</w:t>
            </w:r>
          </w:p>
        </w:tc>
        <w:tc>
          <w:tcPr>
            <w:tcW w:w="1034" w:type="dxa"/>
            <w:vAlign w:val="center"/>
          </w:tcPr>
          <w:p w14:paraId="0D99788F">
            <w:pPr>
              <w:adjustRightInd w:val="0"/>
              <w:snapToGrid w:val="0"/>
              <w:spacing w:line="420" w:lineRule="exact"/>
              <w:jc w:val="center"/>
              <w:rPr>
                <w:b/>
                <w:bCs/>
                <w:sz w:val="24"/>
                <w:highlight w:val="none"/>
              </w:rPr>
            </w:pPr>
            <w:r>
              <w:rPr>
                <w:b/>
                <w:bCs/>
                <w:sz w:val="24"/>
                <w:highlight w:val="none"/>
              </w:rPr>
              <w:t>St,d</w:t>
            </w:r>
            <w:r>
              <w:rPr>
                <w:b/>
                <w:bCs/>
                <w:sz w:val="24"/>
                <w:highlight w:val="none"/>
              </w:rPr>
              <w:br w:type="textWrapping"/>
            </w:r>
            <w:r>
              <w:rPr>
                <w:b/>
                <w:bCs/>
                <w:sz w:val="24"/>
                <w:highlight w:val="none"/>
              </w:rPr>
              <w:t xml:space="preserve"> (%)</w:t>
            </w:r>
          </w:p>
        </w:tc>
        <w:tc>
          <w:tcPr>
            <w:tcW w:w="1037" w:type="dxa"/>
            <w:vAlign w:val="center"/>
          </w:tcPr>
          <w:p w14:paraId="53B2BF1E">
            <w:pPr>
              <w:adjustRightInd w:val="0"/>
              <w:snapToGrid w:val="0"/>
              <w:spacing w:line="420" w:lineRule="exact"/>
              <w:jc w:val="center"/>
              <w:rPr>
                <w:b/>
                <w:bCs/>
                <w:sz w:val="24"/>
                <w:highlight w:val="none"/>
              </w:rPr>
            </w:pPr>
            <w:r>
              <w:rPr>
                <w:b/>
                <w:bCs/>
                <w:sz w:val="24"/>
                <w:highlight w:val="none"/>
              </w:rPr>
              <w:t xml:space="preserve">ST </w:t>
            </w:r>
            <w:r>
              <w:rPr>
                <w:b/>
                <w:bCs/>
                <w:sz w:val="24"/>
                <w:highlight w:val="none"/>
              </w:rPr>
              <w:br w:type="textWrapping"/>
            </w:r>
            <w:r>
              <w:rPr>
                <w:b/>
                <w:bCs/>
                <w:sz w:val="24"/>
                <w:highlight w:val="none"/>
              </w:rPr>
              <w:t>(</w:t>
            </w:r>
            <w:r>
              <w:rPr>
                <w:rFonts w:hint="eastAsia"/>
                <w:b/>
                <w:bCs/>
                <w:sz w:val="24"/>
                <w:highlight w:val="none"/>
              </w:rPr>
              <w:t>℃</w:t>
            </w:r>
            <w:r>
              <w:rPr>
                <w:b/>
                <w:bCs/>
                <w:sz w:val="24"/>
                <w:highlight w:val="none"/>
              </w:rPr>
              <w:t>)</w:t>
            </w:r>
          </w:p>
        </w:tc>
        <w:tc>
          <w:tcPr>
            <w:tcW w:w="1056" w:type="dxa"/>
            <w:shd w:val="clear" w:color="auto" w:fill="auto"/>
            <w:vAlign w:val="center"/>
          </w:tcPr>
          <w:p w14:paraId="43C5A27C">
            <w:pPr>
              <w:adjustRightInd w:val="0"/>
              <w:snapToGrid w:val="0"/>
              <w:spacing w:line="420" w:lineRule="exact"/>
              <w:jc w:val="center"/>
              <w:rPr>
                <w:rFonts w:hint="eastAsia" w:ascii="宋体" w:hAnsi="宋体" w:eastAsia="宋体" w:cs="Times New Roman"/>
                <w:b/>
                <w:bCs/>
                <w:kern w:val="2"/>
                <w:sz w:val="24"/>
                <w:szCs w:val="20"/>
                <w:highlight w:val="none"/>
                <w:lang w:val="en-US" w:eastAsia="zh-CN" w:bidi="ar-SA"/>
              </w:rPr>
            </w:pPr>
            <w:r>
              <w:rPr>
                <w:rFonts w:hint="eastAsia" w:ascii="宋体" w:hAnsi="宋体"/>
                <w:b/>
                <w:bCs/>
                <w:sz w:val="24"/>
                <w:szCs w:val="20"/>
                <w:highlight w:val="none"/>
                <w:lang w:val="en-US" w:eastAsia="zh-CN"/>
              </w:rPr>
              <w:t>HGI</w:t>
            </w:r>
          </w:p>
        </w:tc>
        <w:tc>
          <w:tcPr>
            <w:tcW w:w="1056" w:type="dxa"/>
            <w:vAlign w:val="center"/>
          </w:tcPr>
          <w:p w14:paraId="0B5AD272">
            <w:pPr>
              <w:adjustRightInd w:val="0"/>
              <w:snapToGrid w:val="0"/>
              <w:spacing w:line="420" w:lineRule="exact"/>
              <w:jc w:val="center"/>
              <w:rPr>
                <w:rFonts w:ascii="宋体" w:hAnsi="宋体"/>
                <w:b/>
                <w:bCs/>
                <w:sz w:val="24"/>
                <w:szCs w:val="20"/>
                <w:highlight w:val="none"/>
              </w:rPr>
            </w:pPr>
            <w:r>
              <w:rPr>
                <w:rFonts w:hint="eastAsia" w:ascii="宋体" w:hAnsi="宋体"/>
                <w:b/>
                <w:bCs/>
                <w:sz w:val="24"/>
                <w:szCs w:val="20"/>
                <w:highlight w:val="none"/>
              </w:rPr>
              <w:t>粒度</w:t>
            </w:r>
          </w:p>
          <w:p w14:paraId="36480C26">
            <w:pPr>
              <w:adjustRightInd w:val="0"/>
              <w:snapToGrid w:val="0"/>
              <w:spacing w:line="420" w:lineRule="exact"/>
              <w:jc w:val="center"/>
              <w:rPr>
                <w:rFonts w:ascii="宋体" w:hAnsi="宋体"/>
                <w:b/>
                <w:bCs/>
                <w:sz w:val="24"/>
                <w:szCs w:val="20"/>
                <w:highlight w:val="none"/>
              </w:rPr>
            </w:pPr>
            <w:r>
              <w:rPr>
                <w:rFonts w:hint="eastAsia" w:ascii="宋体" w:hAnsi="宋体"/>
                <w:b/>
                <w:bCs/>
                <w:sz w:val="24"/>
                <w:szCs w:val="20"/>
                <w:highlight w:val="none"/>
              </w:rPr>
              <w:t>（mm）</w:t>
            </w:r>
          </w:p>
        </w:tc>
      </w:tr>
      <w:tr w14:paraId="6B9DA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6" w:type="dxa"/>
            <w:vAlign w:val="center"/>
          </w:tcPr>
          <w:p w14:paraId="71B87BBA">
            <w:pPr>
              <w:snapToGrid w:val="0"/>
              <w:spacing w:line="440" w:lineRule="exact"/>
              <w:ind w:firstLine="480" w:firstLineChars="200"/>
              <w:rPr>
                <w:rFonts w:hint="default" w:ascii="宋体" w:hAnsi="宋体" w:eastAsia="宋体"/>
                <w:sz w:val="24"/>
                <w:szCs w:val="20"/>
                <w:highlight w:val="none"/>
                <w:lang w:val="en-US" w:eastAsia="zh-CN"/>
              </w:rPr>
            </w:pPr>
            <w:r>
              <w:rPr>
                <w:rFonts w:hint="eastAsia" w:ascii="宋体" w:hAnsi="宋体"/>
                <w:sz w:val="24"/>
                <w:szCs w:val="20"/>
                <w:highlight w:val="none"/>
                <w:lang w:val="en-US" w:eastAsia="zh-CN"/>
              </w:rPr>
              <w:t>蒙陕煤</w:t>
            </w:r>
          </w:p>
        </w:tc>
        <w:tc>
          <w:tcPr>
            <w:tcW w:w="908" w:type="dxa"/>
            <w:vAlign w:val="center"/>
          </w:tcPr>
          <w:p w14:paraId="4D6F87CE">
            <w:pPr>
              <w:spacing w:line="440" w:lineRule="exact"/>
              <w:jc w:val="center"/>
              <w:rPr>
                <w:rFonts w:hint="eastAsia" w:ascii="宋体" w:hAnsi="宋体" w:eastAsia="宋体" w:cs="宋体"/>
                <w:sz w:val="24"/>
                <w:highlight w:val="none"/>
                <w:lang w:eastAsia="zh-CN"/>
              </w:rPr>
            </w:pPr>
            <w:r>
              <w:rPr>
                <w:rFonts w:hint="eastAsia" w:ascii="宋体" w:hAnsi="宋体"/>
                <w:sz w:val="24"/>
                <w:highlight w:val="none"/>
              </w:rPr>
              <w:t>≤1</w:t>
            </w:r>
            <w:r>
              <w:rPr>
                <w:rFonts w:hint="eastAsia" w:ascii="宋体" w:hAnsi="宋体"/>
                <w:sz w:val="24"/>
                <w:highlight w:val="none"/>
                <w:lang w:val="en-US" w:eastAsia="zh-CN"/>
              </w:rPr>
              <w:t>8</w:t>
            </w:r>
          </w:p>
        </w:tc>
        <w:tc>
          <w:tcPr>
            <w:tcW w:w="1041" w:type="dxa"/>
            <w:vAlign w:val="center"/>
          </w:tcPr>
          <w:p w14:paraId="4AB9BFC7">
            <w:pPr>
              <w:spacing w:line="440" w:lineRule="exact"/>
              <w:jc w:val="center"/>
              <w:rPr>
                <w:rFonts w:hint="default" w:ascii="宋体" w:hAnsi="宋体" w:eastAsia="宋体" w:cs="宋体"/>
                <w:sz w:val="24"/>
                <w:highlight w:val="none"/>
                <w:lang w:val="en-US" w:eastAsia="zh-CN"/>
              </w:rPr>
            </w:pPr>
            <w:r>
              <w:rPr>
                <w:rFonts w:hint="eastAsia" w:ascii="宋体" w:hAnsi="宋体"/>
                <w:sz w:val="24"/>
                <w:highlight w:val="none"/>
              </w:rPr>
              <w:t>≤</w:t>
            </w:r>
            <w:r>
              <w:rPr>
                <w:rFonts w:hint="eastAsia" w:ascii="宋体" w:hAnsi="宋体" w:cs="宋体"/>
                <w:sz w:val="24"/>
                <w:highlight w:val="none"/>
                <w:lang w:val="en-US" w:eastAsia="zh-CN"/>
              </w:rPr>
              <w:t>12</w:t>
            </w:r>
          </w:p>
        </w:tc>
        <w:tc>
          <w:tcPr>
            <w:tcW w:w="1044" w:type="dxa"/>
            <w:vAlign w:val="center"/>
          </w:tcPr>
          <w:p w14:paraId="52FF1C3E">
            <w:pPr>
              <w:spacing w:line="440" w:lineRule="exact"/>
              <w:jc w:val="center"/>
              <w:rPr>
                <w:rFonts w:hint="default" w:ascii="宋体" w:hAnsi="宋体" w:eastAsia="宋体"/>
                <w:sz w:val="24"/>
                <w:highlight w:val="none"/>
                <w:lang w:val="en-US" w:eastAsia="zh-CN"/>
              </w:rPr>
            </w:pPr>
            <w:r>
              <w:rPr>
                <w:rFonts w:hint="eastAsia" w:ascii="宋体" w:hAnsi="宋体"/>
                <w:sz w:val="24"/>
                <w:highlight w:val="none"/>
              </w:rPr>
              <w:t>3</w:t>
            </w:r>
            <w:r>
              <w:rPr>
                <w:rFonts w:hint="eastAsia" w:ascii="宋体" w:hAnsi="宋体"/>
                <w:sz w:val="24"/>
                <w:highlight w:val="none"/>
                <w:lang w:val="en-US" w:eastAsia="zh-CN"/>
              </w:rPr>
              <w:t>3</w:t>
            </w:r>
            <w:r>
              <w:rPr>
                <w:rFonts w:ascii="宋体" w:hAnsi="宋体"/>
                <w:sz w:val="24"/>
                <w:highlight w:val="none"/>
              </w:rPr>
              <w:t>-</w:t>
            </w:r>
            <w:r>
              <w:rPr>
                <w:rFonts w:hint="eastAsia" w:ascii="宋体" w:hAnsi="宋体"/>
                <w:sz w:val="24"/>
                <w:highlight w:val="none"/>
                <w:lang w:val="en-US" w:eastAsia="zh-CN"/>
              </w:rPr>
              <w:t>40</w:t>
            </w:r>
          </w:p>
        </w:tc>
        <w:tc>
          <w:tcPr>
            <w:tcW w:w="1476" w:type="dxa"/>
            <w:vAlign w:val="center"/>
          </w:tcPr>
          <w:p w14:paraId="1FEB6665">
            <w:pPr>
              <w:spacing w:line="440" w:lineRule="exact"/>
              <w:jc w:val="center"/>
              <w:rPr>
                <w:rFonts w:ascii="宋体" w:hAnsi="宋体" w:cs="宋体"/>
                <w:sz w:val="24"/>
                <w:highlight w:val="none"/>
              </w:rPr>
            </w:pPr>
            <w:r>
              <w:rPr>
                <w:rFonts w:hint="eastAsia" w:ascii="宋体" w:hAnsi="宋体"/>
                <w:sz w:val="24"/>
                <w:highlight w:val="none"/>
              </w:rPr>
              <w:t>≥</w:t>
            </w:r>
            <w:r>
              <w:rPr>
                <w:rFonts w:ascii="宋体" w:hAnsi="宋体"/>
                <w:sz w:val="24"/>
                <w:highlight w:val="none"/>
              </w:rPr>
              <w:t>5500</w:t>
            </w:r>
          </w:p>
        </w:tc>
        <w:tc>
          <w:tcPr>
            <w:tcW w:w="1034" w:type="dxa"/>
            <w:vAlign w:val="center"/>
          </w:tcPr>
          <w:p w14:paraId="24C3EB70">
            <w:pPr>
              <w:spacing w:line="440" w:lineRule="exact"/>
              <w:jc w:val="center"/>
              <w:rPr>
                <w:rFonts w:hint="default" w:ascii="宋体" w:hAnsi="宋体" w:eastAsia="宋体" w:cs="宋体"/>
                <w:sz w:val="24"/>
                <w:highlight w:val="none"/>
                <w:lang w:val="en-US" w:eastAsia="zh-CN"/>
              </w:rPr>
            </w:pPr>
            <w:r>
              <w:rPr>
                <w:rFonts w:hint="eastAsia" w:ascii="宋体" w:hAnsi="宋体"/>
                <w:sz w:val="24"/>
                <w:highlight w:val="none"/>
              </w:rPr>
              <w:t>≤</w:t>
            </w:r>
            <w:r>
              <w:rPr>
                <w:rFonts w:hint="eastAsia" w:ascii="宋体" w:hAnsi="宋体"/>
                <w:sz w:val="24"/>
                <w:highlight w:val="none"/>
                <w:lang w:val="en-US" w:eastAsia="zh-CN"/>
              </w:rPr>
              <w:t>0.6</w:t>
            </w:r>
          </w:p>
        </w:tc>
        <w:tc>
          <w:tcPr>
            <w:tcW w:w="1037" w:type="dxa"/>
            <w:vAlign w:val="center"/>
          </w:tcPr>
          <w:p w14:paraId="0B2BEAC0">
            <w:pPr>
              <w:spacing w:line="440" w:lineRule="exact"/>
              <w:jc w:val="center"/>
              <w:rPr>
                <w:rFonts w:ascii="宋体" w:hAnsi="宋体" w:cs="宋体"/>
                <w:sz w:val="24"/>
                <w:highlight w:val="none"/>
              </w:rPr>
            </w:pPr>
            <w:r>
              <w:rPr>
                <w:rFonts w:hint="eastAsia" w:ascii="宋体" w:hAnsi="宋体"/>
                <w:sz w:val="24"/>
                <w:highlight w:val="none"/>
              </w:rPr>
              <w:t>≥1</w:t>
            </w:r>
            <w:r>
              <w:rPr>
                <w:rFonts w:hint="eastAsia" w:ascii="宋体" w:hAnsi="宋体"/>
                <w:sz w:val="24"/>
                <w:highlight w:val="none"/>
                <w:lang w:val="en-US" w:eastAsia="zh-CN"/>
              </w:rPr>
              <w:t>2</w:t>
            </w:r>
            <w:r>
              <w:rPr>
                <w:rFonts w:hint="eastAsia" w:ascii="宋体" w:hAnsi="宋体"/>
                <w:sz w:val="24"/>
                <w:highlight w:val="none"/>
              </w:rPr>
              <w:t>00</w:t>
            </w:r>
          </w:p>
        </w:tc>
        <w:tc>
          <w:tcPr>
            <w:tcW w:w="1056" w:type="dxa"/>
            <w:shd w:val="clear" w:color="auto" w:fill="auto"/>
            <w:vAlign w:val="center"/>
          </w:tcPr>
          <w:p w14:paraId="3E2B5EE4">
            <w:pPr>
              <w:snapToGrid w:val="0"/>
              <w:spacing w:line="440" w:lineRule="exact"/>
              <w:jc w:val="center"/>
              <w:rPr>
                <w:rFonts w:hint="eastAsia" w:ascii="宋体" w:hAnsi="宋体" w:eastAsia="宋体" w:cs="Times New Roman"/>
                <w:kern w:val="2"/>
                <w:sz w:val="24"/>
                <w:szCs w:val="20"/>
                <w:highlight w:val="none"/>
                <w:lang w:val="en-US" w:eastAsia="zh-CN" w:bidi="ar-SA"/>
              </w:rPr>
            </w:pPr>
            <w:r>
              <w:rPr>
                <w:rFonts w:hint="eastAsia" w:ascii="宋体" w:hAnsi="宋体"/>
                <w:sz w:val="24"/>
                <w:highlight w:val="none"/>
              </w:rPr>
              <w:t>≥</w:t>
            </w:r>
            <w:r>
              <w:rPr>
                <w:rFonts w:hint="eastAsia" w:ascii="宋体" w:hAnsi="宋体"/>
                <w:sz w:val="24"/>
                <w:highlight w:val="none"/>
                <w:lang w:val="en-US" w:eastAsia="zh-CN"/>
              </w:rPr>
              <w:t>55</w:t>
            </w:r>
          </w:p>
        </w:tc>
        <w:tc>
          <w:tcPr>
            <w:tcW w:w="1056" w:type="dxa"/>
            <w:vAlign w:val="center"/>
          </w:tcPr>
          <w:p w14:paraId="2ED99108">
            <w:pPr>
              <w:snapToGrid w:val="0"/>
              <w:spacing w:line="440" w:lineRule="exact"/>
              <w:jc w:val="center"/>
              <w:rPr>
                <w:rFonts w:ascii="宋体" w:hAnsi="宋体"/>
                <w:sz w:val="24"/>
                <w:szCs w:val="20"/>
                <w:highlight w:val="none"/>
              </w:rPr>
            </w:pPr>
            <w:r>
              <w:rPr>
                <w:rFonts w:hint="eastAsia" w:ascii="宋体" w:hAnsi="宋体"/>
                <w:sz w:val="24"/>
                <w:szCs w:val="20"/>
                <w:highlight w:val="none"/>
              </w:rPr>
              <w:t>0-50</w:t>
            </w:r>
          </w:p>
        </w:tc>
      </w:tr>
    </w:tbl>
    <w:p w14:paraId="1AE07D99">
      <w:pPr>
        <w:pStyle w:val="5"/>
        <w:adjustRightInd w:val="0"/>
        <w:snapToGrid w:val="0"/>
        <w:spacing w:line="420" w:lineRule="exact"/>
        <w:ind w:firstLine="480" w:firstLineChars="200"/>
        <w:rPr>
          <w:rFonts w:hAnsi="宋体" w:eastAsia="宋体"/>
          <w:sz w:val="24"/>
          <w:szCs w:val="24"/>
          <w:highlight w:val="none"/>
        </w:rPr>
      </w:pPr>
      <w:r>
        <w:rPr>
          <w:rFonts w:hint="eastAsia" w:hAnsi="宋体" w:eastAsia="宋体"/>
          <w:sz w:val="24"/>
          <w:szCs w:val="24"/>
          <w:highlight w:val="none"/>
        </w:rPr>
        <w:t>3.2乙方所供应的煤炭应符合国家现行有效的《商品煤质量管理暂行办法》中关于煤炭质量的有关规定，同时还应符合甲方所供电站锅炉设计和适烧煤质的要求，如乙方所供煤炭达不到上述煤质要求，甲方有权单方面退货，若甲方让步接收的，双方应在本合同第四条约定的质量调整方式的基础上协商解决货物质量问题。</w:t>
      </w:r>
    </w:p>
    <w:p w14:paraId="313F1EBD">
      <w:pPr>
        <w:pStyle w:val="5"/>
        <w:adjustRightInd w:val="0"/>
        <w:snapToGrid w:val="0"/>
        <w:spacing w:line="420" w:lineRule="exact"/>
        <w:ind w:firstLine="480" w:firstLineChars="200"/>
        <w:rPr>
          <w:rFonts w:hAnsi="宋体" w:eastAsia="宋体"/>
          <w:sz w:val="24"/>
          <w:szCs w:val="24"/>
          <w:highlight w:val="none"/>
        </w:rPr>
      </w:pPr>
      <w:r>
        <w:rPr>
          <w:rFonts w:hint="eastAsia" w:hAnsi="宋体" w:eastAsia="宋体"/>
          <w:sz w:val="24"/>
          <w:szCs w:val="24"/>
          <w:highlight w:val="none"/>
        </w:rPr>
        <w:t>3.3乙方所供煤炭中不得含有任何对卸输煤设施、煤炭制粉系统及燃煤设备等造成意外损坏的物质，包括但不限于铁块、石块、木块等异物和雷管等残留爆炸物。如因该款煤炭质量原因造成甲方所供电厂发电系统设备故障或损坏的，甲方有权要求乙方赔偿经济损失，并承担相应法律责任。</w:t>
      </w:r>
    </w:p>
    <w:p w14:paraId="5D8B0F6D">
      <w:pPr>
        <w:pStyle w:val="5"/>
        <w:adjustRightInd w:val="0"/>
        <w:snapToGrid w:val="0"/>
        <w:spacing w:line="420" w:lineRule="exact"/>
        <w:ind w:firstLine="482" w:firstLineChars="200"/>
        <w:rPr>
          <w:rFonts w:hAnsi="宋体" w:eastAsia="宋体"/>
          <w:sz w:val="24"/>
          <w:szCs w:val="24"/>
          <w:highlight w:val="none"/>
        </w:rPr>
      </w:pPr>
      <w:r>
        <w:rPr>
          <w:rFonts w:hint="eastAsia" w:ascii="新宋体" w:hAnsi="新宋体" w:eastAsia="新宋体"/>
          <w:b/>
          <w:sz w:val="24"/>
          <w:highlight w:val="none"/>
        </w:rPr>
        <w:t>第四条  煤炭价格</w:t>
      </w:r>
    </w:p>
    <w:p w14:paraId="3ADBAF7A">
      <w:pPr>
        <w:snapToGrid w:val="0"/>
        <w:spacing w:line="420" w:lineRule="exact"/>
        <w:ind w:firstLine="480" w:firstLineChars="200"/>
        <w:rPr>
          <w:rFonts w:ascii="宋体" w:hAnsi="宋体"/>
          <w:sz w:val="24"/>
          <w:highlight w:val="none"/>
        </w:rPr>
      </w:pPr>
      <w:r>
        <w:rPr>
          <w:rFonts w:hint="eastAsia" w:ascii="宋体" w:hAnsi="宋体"/>
          <w:sz w:val="24"/>
          <w:highlight w:val="none"/>
        </w:rPr>
        <w:t>4.1</w:t>
      </w:r>
      <w:r>
        <w:rPr>
          <w:rFonts w:hint="eastAsia" w:ascii="宋体" w:hAnsi="宋体" w:eastAsia="宋体"/>
          <w:sz w:val="24"/>
          <w:highlight w:val="none"/>
          <w:lang w:val="en-US" w:eastAsia="zh-CN"/>
        </w:rPr>
        <w:t>实际结算价=场地交货基准价格+煤炭质量调整价，一票结算，包括全额增值税。</w:t>
      </w:r>
    </w:p>
    <w:p w14:paraId="3454FC42">
      <w:pPr>
        <w:snapToGrid w:val="0"/>
        <w:spacing w:line="420" w:lineRule="exact"/>
        <w:ind w:firstLine="480" w:firstLineChars="200"/>
        <w:rPr>
          <w:rFonts w:hint="eastAsia" w:ascii="宋体" w:hAnsi="宋体"/>
          <w:sz w:val="24"/>
          <w:highlight w:val="none"/>
        </w:rPr>
      </w:pPr>
      <w:r>
        <w:rPr>
          <w:rFonts w:hint="eastAsia" w:ascii="宋体" w:hAnsi="宋体"/>
          <w:sz w:val="24"/>
          <w:highlight w:val="none"/>
        </w:rPr>
        <w:t>4.2</w:t>
      </w:r>
      <w:r>
        <w:rPr>
          <w:rFonts w:hint="eastAsia" w:ascii="宋体" w:hAnsi="宋体" w:eastAsia="宋体"/>
          <w:sz w:val="24"/>
          <w:highlight w:val="none"/>
        </w:rPr>
        <w:t>乙方向甲方供应质量符合本合同第</w:t>
      </w:r>
      <w:r>
        <w:rPr>
          <w:rFonts w:hint="eastAsia" w:ascii="宋体" w:hAnsi="宋体" w:eastAsia="宋体"/>
          <w:sz w:val="24"/>
          <w:highlight w:val="none"/>
          <w:lang w:val="en-US" w:eastAsia="zh-CN"/>
        </w:rPr>
        <w:t>3.1</w:t>
      </w:r>
      <w:r>
        <w:rPr>
          <w:rFonts w:hint="eastAsia" w:ascii="宋体" w:hAnsi="宋体" w:eastAsia="宋体"/>
          <w:sz w:val="24"/>
          <w:highlight w:val="none"/>
        </w:rPr>
        <w:t>条所述煤炭质量要求的煤炭，根据其发热量按本合同</w:t>
      </w:r>
      <w:r>
        <w:rPr>
          <w:rFonts w:hint="eastAsia" w:ascii="宋体" w:hAnsi="宋体" w:eastAsia="宋体"/>
          <w:sz w:val="24"/>
          <w:highlight w:val="none"/>
          <w:lang w:val="en-US" w:eastAsia="zh-CN"/>
        </w:rPr>
        <w:t>4.3</w:t>
      </w:r>
      <w:r>
        <w:rPr>
          <w:rFonts w:hint="eastAsia" w:ascii="宋体" w:hAnsi="宋体" w:eastAsia="宋体"/>
          <w:sz w:val="24"/>
          <w:highlight w:val="none"/>
        </w:rPr>
        <w:t>条基准价格执行(场地交货价，一票结算，包括全额增值税)，</w:t>
      </w:r>
      <w:r>
        <w:rPr>
          <w:rFonts w:hint="eastAsia" w:ascii="宋体" w:hAnsi="宋体" w:eastAsia="宋体"/>
          <w:sz w:val="24"/>
          <w:highlight w:val="none"/>
          <w:lang w:val="en-US" w:eastAsia="zh-CN"/>
        </w:rPr>
        <w:t>场地交货基准价格为平仓基准价格减港口中转费（包含全额增值税）；平仓基准价格即为投标人中标价格，定价基准按照中国煤炭资源网CCI5500大卡动力煤价格七月均值（平仓基准价，四舍五入取整，逢0.5保留，一票结算，包括全额增值税）下浮X元/吨执行。秦皇岛港港口作业包干费为24.97元/吨，曹妃甸港港口作业包干费为21.77元/吨。若港口调整煤炭中转费用，则相应调整煤炭场地交货基准价格。</w:t>
      </w:r>
    </w:p>
    <w:p w14:paraId="089FBFCA">
      <w:pPr>
        <w:snapToGrid w:val="0"/>
        <w:spacing w:line="420" w:lineRule="exact"/>
        <w:ind w:firstLine="480" w:firstLineChars="200"/>
        <w:rPr>
          <w:rFonts w:ascii="宋体" w:hAnsi="宋体"/>
          <w:sz w:val="24"/>
          <w:highlight w:val="none"/>
        </w:rPr>
      </w:pPr>
      <w:r>
        <w:rPr>
          <w:rFonts w:hint="eastAsia" w:ascii="宋体" w:hAnsi="宋体"/>
          <w:sz w:val="24"/>
          <w:highlight w:val="none"/>
        </w:rPr>
        <w:t>4.3煤炭根据煤质交接检验结果：</w:t>
      </w:r>
    </w:p>
    <w:p w14:paraId="59DB7173">
      <w:pPr>
        <w:snapToGrid w:val="0"/>
        <w:spacing w:line="420" w:lineRule="exact"/>
        <w:ind w:firstLine="480" w:firstLineChars="200"/>
        <w:rPr>
          <w:rFonts w:hint="eastAsia" w:ascii="宋体" w:hAnsi="宋体" w:eastAsia="宋体"/>
          <w:sz w:val="24"/>
          <w:highlight w:val="none"/>
          <w:lang w:val="en-US" w:eastAsia="zh-CN"/>
        </w:rPr>
      </w:pPr>
      <w:r>
        <w:rPr>
          <w:rFonts w:hint="eastAsia" w:ascii="宋体" w:hAnsi="宋体" w:eastAsia="宋体"/>
          <w:sz w:val="24"/>
          <w:highlight w:val="none"/>
          <w:lang w:val="en-US" w:eastAsia="zh-CN"/>
        </w:rPr>
        <w:t>当发热量Qnet,ar=5500kcal/kg时为合格，按5500kcal/kg标准价计价，当发热量Qnet,ar＞5500kcal/kg时，每比5500kcal/kg高1kcal/kg加价（中标价/5500）元/吨；当发热量5350kcal/kg≤Qnet,ar＜5500kcal/kg时，每比5500kcal/kg低1kcal/kg减价（中标价/5500）元/吨；当发热量Qnet,ar＜5350kcal/kg时，在上述减价的基础上，每比5350kcal/kg低1kcal/kg减价（中标价/5500）*2元/吨。</w:t>
      </w:r>
    </w:p>
    <w:p w14:paraId="62F37410">
      <w:pPr>
        <w:pStyle w:val="18"/>
        <w:numPr>
          <w:ilvl w:val="0"/>
          <w:numId w:val="0"/>
        </w:numPr>
        <w:adjustRightInd w:val="0"/>
        <w:snapToGrid w:val="0"/>
        <w:spacing w:line="360" w:lineRule="auto"/>
        <w:ind w:leftChars="0" w:firstLine="480" w:firstLineChars="200"/>
        <w:textAlignment w:val="baseline"/>
        <w:rPr>
          <w:rFonts w:ascii="宋体" w:hAnsi="宋体"/>
          <w:sz w:val="24"/>
          <w:highlight w:val="none"/>
        </w:rPr>
      </w:pPr>
      <w:r>
        <w:rPr>
          <w:rFonts w:hint="eastAsia" w:ascii="宋体" w:hAnsi="宋体"/>
          <w:sz w:val="24"/>
          <w:highlight w:val="none"/>
        </w:rPr>
        <w:t>4.4</w:t>
      </w:r>
      <w:r>
        <w:rPr>
          <w:rFonts w:hint="eastAsia" w:ascii="宋体" w:hAnsi="宋体" w:eastAsia="宋体" w:cs="Times New Roman"/>
          <w:kern w:val="2"/>
          <w:sz w:val="24"/>
          <w:szCs w:val="24"/>
          <w:highlight w:val="none"/>
          <w:lang w:val="en-US" w:eastAsia="zh-CN" w:bidi="ar-SA"/>
        </w:rPr>
        <w:t>当含硫量St,d≤0.60%时为合格，按标准价计价；当含硫量0.60%＜St,d≤1.50%时，每比0.60%高0.01%减价0.2元/吨；当含硫量1.50%＜St,d≤2.00%时，在上述减价的基础上，每比1.50%高0.01%减价0.3元/吨；当含硫量St,d＞2.00%时，在上述减价的基础上，每比2.00%高0.01%减价0.4元/吨。当St,d＞1.50%时，我公司有权拒收该批次煤炭。</w:t>
      </w:r>
    </w:p>
    <w:p w14:paraId="339D107D">
      <w:pPr>
        <w:snapToGrid w:val="0"/>
        <w:spacing w:line="420" w:lineRule="exact"/>
        <w:ind w:firstLine="480" w:firstLineChars="200"/>
        <w:rPr>
          <w:rFonts w:hint="eastAsia" w:ascii="宋体" w:hAnsi="宋体"/>
          <w:sz w:val="24"/>
          <w:highlight w:val="none"/>
        </w:rPr>
      </w:pPr>
      <w:r>
        <w:rPr>
          <w:rFonts w:hint="eastAsia" w:ascii="宋体" w:hAnsi="宋体"/>
          <w:sz w:val="24"/>
          <w:highlight w:val="none"/>
        </w:rPr>
        <w:t>4.5当挥发份Vdaf＜3</w:t>
      </w:r>
      <w:r>
        <w:rPr>
          <w:rFonts w:hint="eastAsia" w:ascii="宋体" w:hAnsi="宋体"/>
          <w:sz w:val="24"/>
          <w:highlight w:val="none"/>
          <w:lang w:val="en-US" w:eastAsia="zh-CN"/>
        </w:rPr>
        <w:t>3</w:t>
      </w:r>
      <w:r>
        <w:rPr>
          <w:rFonts w:hint="eastAsia" w:ascii="宋体" w:hAnsi="宋体"/>
          <w:sz w:val="24"/>
          <w:highlight w:val="none"/>
        </w:rPr>
        <w:t>.00%时，每比3</w:t>
      </w:r>
      <w:r>
        <w:rPr>
          <w:rFonts w:hint="eastAsia" w:ascii="宋体" w:hAnsi="宋体"/>
          <w:sz w:val="24"/>
          <w:highlight w:val="none"/>
          <w:lang w:val="en-US" w:eastAsia="zh-CN"/>
        </w:rPr>
        <w:t>3</w:t>
      </w:r>
      <w:r>
        <w:rPr>
          <w:rFonts w:hint="eastAsia" w:ascii="宋体" w:hAnsi="宋体"/>
          <w:sz w:val="24"/>
          <w:highlight w:val="none"/>
        </w:rPr>
        <w:t>.00%低0.01%减价0.05元/吨。</w:t>
      </w:r>
    </w:p>
    <w:p w14:paraId="3D0CB2DC">
      <w:pPr>
        <w:snapToGrid w:val="0"/>
        <w:spacing w:line="420" w:lineRule="exact"/>
        <w:ind w:firstLine="480" w:firstLineChars="200"/>
        <w:rPr>
          <w:rFonts w:hint="eastAsia" w:ascii="宋体" w:hAnsi="宋体" w:eastAsia="宋体"/>
          <w:sz w:val="24"/>
          <w:highlight w:val="none"/>
        </w:rPr>
      </w:pPr>
      <w:r>
        <w:rPr>
          <w:rFonts w:hint="eastAsia" w:ascii="宋体" w:hAnsi="宋体" w:eastAsia="宋体"/>
          <w:sz w:val="24"/>
          <w:highlight w:val="none"/>
          <w:lang w:val="en-US" w:eastAsia="zh-CN"/>
        </w:rPr>
        <w:t>4.6实际HGI＜55，每比55低1，减价8元/吨。</w:t>
      </w:r>
    </w:p>
    <w:p w14:paraId="2B8E5FEE">
      <w:pPr>
        <w:snapToGrid w:val="0"/>
        <w:spacing w:line="420" w:lineRule="exact"/>
        <w:ind w:firstLine="480" w:firstLineChars="200"/>
        <w:rPr>
          <w:rFonts w:ascii="宋体" w:hAnsi="宋体"/>
          <w:sz w:val="24"/>
          <w:highlight w:val="none"/>
        </w:rPr>
      </w:pPr>
      <w:r>
        <w:rPr>
          <w:rFonts w:hint="eastAsia" w:ascii="宋体" w:hAnsi="宋体"/>
          <w:sz w:val="24"/>
          <w:highlight w:val="none"/>
        </w:rPr>
        <w:t>4.</w:t>
      </w:r>
      <w:r>
        <w:rPr>
          <w:rFonts w:hint="eastAsia" w:ascii="宋体" w:hAnsi="宋体"/>
          <w:sz w:val="24"/>
          <w:highlight w:val="none"/>
          <w:lang w:val="en-US" w:eastAsia="zh-CN"/>
        </w:rPr>
        <w:t>7</w:t>
      </w:r>
      <w:r>
        <w:rPr>
          <w:rFonts w:hint="eastAsia" w:ascii="宋体" w:hAnsi="宋体"/>
          <w:sz w:val="24"/>
          <w:highlight w:val="none"/>
        </w:rPr>
        <w:t>各项扣款累加计算，由于乙方所供煤炭质量原因造成装卸作业单位或使用单位不良后果时，甲方有权要求乙方赔偿经济损失，并承担其它法律责任。</w:t>
      </w:r>
    </w:p>
    <w:p w14:paraId="1003031B">
      <w:pPr>
        <w:pStyle w:val="5"/>
        <w:adjustRightInd w:val="0"/>
        <w:snapToGrid w:val="0"/>
        <w:spacing w:line="420" w:lineRule="exact"/>
        <w:ind w:firstLine="482" w:firstLineChars="200"/>
        <w:rPr>
          <w:rFonts w:ascii="新宋体" w:hAnsi="新宋体" w:eastAsia="新宋体"/>
          <w:b/>
          <w:sz w:val="24"/>
          <w:highlight w:val="none"/>
        </w:rPr>
      </w:pPr>
      <w:r>
        <w:rPr>
          <w:rFonts w:hint="eastAsia" w:ascii="新宋体" w:hAnsi="新宋体" w:eastAsia="新宋体"/>
          <w:b/>
          <w:sz w:val="24"/>
          <w:highlight w:val="none"/>
        </w:rPr>
        <w:t>第五条  数量核定与质量检验约定</w:t>
      </w:r>
    </w:p>
    <w:p w14:paraId="5E9AEDE3">
      <w:pPr>
        <w:pStyle w:val="5"/>
        <w:adjustRightInd w:val="0"/>
        <w:snapToGrid w:val="0"/>
        <w:spacing w:line="420" w:lineRule="exact"/>
        <w:ind w:firstLine="480" w:firstLineChars="200"/>
        <w:rPr>
          <w:rFonts w:hAnsi="宋体" w:eastAsia="宋体"/>
          <w:sz w:val="24"/>
          <w:szCs w:val="24"/>
          <w:highlight w:val="none"/>
        </w:rPr>
      </w:pPr>
      <w:r>
        <w:rPr>
          <w:rFonts w:hint="eastAsia" w:hAnsi="宋体" w:eastAsia="宋体"/>
          <w:sz w:val="24"/>
          <w:szCs w:val="24"/>
          <w:highlight w:val="none"/>
        </w:rPr>
        <w:t>5.1数量核定：在煤炭交货地，应由双方会同相关单位，按国家的有关规定，采用铁路轨道衡计量方法，对该批煤炭进行数量核定，并以此作为结算依据。任何一方未参加，并不影响计量工作正常进行，且对未参加方视作自动认可。</w:t>
      </w:r>
    </w:p>
    <w:p w14:paraId="78A4F773">
      <w:pPr>
        <w:pStyle w:val="5"/>
        <w:adjustRightInd w:val="0"/>
        <w:snapToGrid w:val="0"/>
        <w:spacing w:line="420" w:lineRule="exact"/>
        <w:ind w:firstLine="480" w:firstLineChars="200"/>
        <w:rPr>
          <w:rFonts w:hAnsi="宋体" w:eastAsia="宋体"/>
          <w:sz w:val="24"/>
          <w:szCs w:val="24"/>
          <w:highlight w:val="none"/>
        </w:rPr>
      </w:pPr>
      <w:r>
        <w:rPr>
          <w:rFonts w:hint="eastAsia" w:hAnsi="宋体" w:eastAsia="宋体"/>
          <w:sz w:val="24"/>
          <w:szCs w:val="24"/>
          <w:highlight w:val="none"/>
        </w:rPr>
        <w:t>5.2 质量检验：</w:t>
      </w:r>
    </w:p>
    <w:p w14:paraId="6BB5FCBF">
      <w:pPr>
        <w:pStyle w:val="5"/>
        <w:adjustRightInd w:val="0"/>
        <w:snapToGrid w:val="0"/>
        <w:spacing w:line="420" w:lineRule="exact"/>
        <w:ind w:firstLine="480" w:firstLineChars="200"/>
        <w:rPr>
          <w:rFonts w:hAnsi="宋体" w:eastAsia="宋体"/>
          <w:sz w:val="24"/>
          <w:szCs w:val="24"/>
          <w:highlight w:val="none"/>
        </w:rPr>
      </w:pPr>
      <w:r>
        <w:rPr>
          <w:rFonts w:hint="eastAsia" w:hAnsi="宋体" w:eastAsia="宋体"/>
          <w:sz w:val="24"/>
          <w:szCs w:val="24"/>
          <w:highlight w:val="none"/>
        </w:rPr>
        <w:t>5.2.1本合同规定所进行的煤炭取样、制样和分析，均应根据国标（GB）相关标准进行。</w:t>
      </w:r>
    </w:p>
    <w:p w14:paraId="3FAE22E6">
      <w:pPr>
        <w:pStyle w:val="5"/>
        <w:adjustRightInd w:val="0"/>
        <w:snapToGrid w:val="0"/>
        <w:spacing w:line="420" w:lineRule="exact"/>
        <w:ind w:firstLine="480" w:firstLineChars="200"/>
        <w:rPr>
          <w:rFonts w:hAnsi="宋体" w:eastAsia="宋体"/>
          <w:sz w:val="24"/>
          <w:szCs w:val="24"/>
          <w:highlight w:val="none"/>
        </w:rPr>
      </w:pPr>
      <w:r>
        <w:rPr>
          <w:rFonts w:hint="eastAsia" w:hAnsi="宋体" w:eastAsia="宋体"/>
          <w:sz w:val="24"/>
          <w:szCs w:val="24"/>
          <w:highlight w:val="none"/>
        </w:rPr>
        <w:t>5.2.2在煤炭交货</w:t>
      </w:r>
      <w:r>
        <w:rPr>
          <w:rFonts w:hint="eastAsia" w:ascii="宋体" w:hAnsi="宋体" w:eastAsia="宋体"/>
          <w:sz w:val="24"/>
          <w:szCs w:val="24"/>
          <w:highlight w:val="none"/>
        </w:rPr>
        <w:t>地秦皇岛港</w:t>
      </w:r>
      <w:r>
        <w:rPr>
          <w:rFonts w:hint="default" w:ascii="宋体" w:hAnsi="宋体" w:eastAsia="宋体"/>
          <w:sz w:val="24"/>
          <w:szCs w:val="24"/>
          <w:highlight w:val="none"/>
          <w:lang w:val="en-US"/>
        </w:rPr>
        <w:t>/</w:t>
      </w:r>
      <w:r>
        <w:rPr>
          <w:rFonts w:hint="eastAsia" w:ascii="宋体" w:hAnsi="宋体" w:eastAsia="宋体"/>
          <w:sz w:val="24"/>
          <w:szCs w:val="24"/>
          <w:highlight w:val="none"/>
          <w:lang w:val="en-US" w:eastAsia="zh-CN"/>
        </w:rPr>
        <w:t>曹妃甸港</w:t>
      </w:r>
      <w:r>
        <w:rPr>
          <w:rFonts w:hint="eastAsia" w:hAnsi="宋体" w:eastAsia="宋体"/>
          <w:sz w:val="24"/>
          <w:szCs w:val="24"/>
          <w:highlight w:val="none"/>
        </w:rPr>
        <w:t>，甲乙双方共同书面委托</w:t>
      </w:r>
      <w:r>
        <w:rPr>
          <w:rFonts w:hint="eastAsia" w:hAnsi="宋体" w:eastAsia="宋体"/>
          <w:b/>
          <w:bCs/>
          <w:sz w:val="24"/>
          <w:szCs w:val="24"/>
          <w:highlight w:val="none"/>
        </w:rPr>
        <w:t>秦皇岛海关煤炭检测技术中心</w:t>
      </w:r>
      <w:r>
        <w:rPr>
          <w:rFonts w:hint="eastAsia" w:hAnsi="宋体" w:eastAsia="宋体"/>
          <w:bCs/>
          <w:sz w:val="24"/>
          <w:szCs w:val="24"/>
          <w:highlight w:val="none"/>
        </w:rPr>
        <w:t>或</w:t>
      </w:r>
      <w:r>
        <w:rPr>
          <w:rFonts w:hint="eastAsia" w:eastAsia="宋体"/>
          <w:b/>
          <w:sz w:val="24"/>
          <w:szCs w:val="24"/>
          <w:highlight w:val="none"/>
        </w:rPr>
        <w:t>力鸿检验集团有限公司</w:t>
      </w:r>
      <w:r>
        <w:rPr>
          <w:rFonts w:hint="eastAsia" w:hAnsi="宋体" w:eastAsia="宋体"/>
          <w:sz w:val="24"/>
          <w:szCs w:val="24"/>
          <w:highlight w:val="none"/>
        </w:rPr>
        <w:t>进行进港卸车检验并以此质检结果作为按质计价的依据，任何一方未参加，并不影响煤炭监采、监制工作正常进行，且对未参加方视作自动认可。</w:t>
      </w:r>
    </w:p>
    <w:p w14:paraId="167DA09B">
      <w:pPr>
        <w:pStyle w:val="5"/>
        <w:adjustRightInd w:val="0"/>
        <w:snapToGrid w:val="0"/>
        <w:spacing w:line="420" w:lineRule="exact"/>
        <w:ind w:firstLine="480" w:firstLineChars="200"/>
        <w:rPr>
          <w:rFonts w:hAnsi="宋体" w:eastAsia="宋体"/>
          <w:sz w:val="24"/>
          <w:szCs w:val="24"/>
          <w:highlight w:val="none"/>
        </w:rPr>
      </w:pPr>
      <w:r>
        <w:rPr>
          <w:rFonts w:hint="eastAsia" w:hAnsi="宋体" w:eastAsia="宋体"/>
          <w:sz w:val="24"/>
          <w:szCs w:val="24"/>
          <w:highlight w:val="none"/>
        </w:rPr>
        <w:t>5.2.3双方均有权向共同委托的煤炭质检机构索取质量检验报告，另一方不得干预。</w:t>
      </w:r>
    </w:p>
    <w:p w14:paraId="6C8725FC">
      <w:pPr>
        <w:pStyle w:val="5"/>
        <w:adjustRightInd w:val="0"/>
        <w:snapToGrid w:val="0"/>
        <w:spacing w:line="420" w:lineRule="exact"/>
        <w:ind w:firstLine="480" w:firstLineChars="200"/>
        <w:rPr>
          <w:rFonts w:hAnsi="宋体" w:eastAsia="宋体"/>
          <w:sz w:val="24"/>
          <w:szCs w:val="24"/>
          <w:highlight w:val="none"/>
        </w:rPr>
      </w:pPr>
      <w:r>
        <w:rPr>
          <w:rFonts w:hint="eastAsia" w:hAnsi="宋体" w:eastAsia="宋体"/>
          <w:sz w:val="24"/>
          <w:szCs w:val="24"/>
          <w:highlight w:val="none"/>
        </w:rPr>
        <w:t>5.2.4质量以每列煤炭进港质检为结算依据，以合同期限内乙方交付甲方的全部煤炭分港口作为一个统计批次，并按此统计批次的数量和加权平均质量作为合同按质计价的结算依据。但挥发份Vdaf小于3</w:t>
      </w:r>
      <w:r>
        <w:rPr>
          <w:rFonts w:hint="eastAsia" w:hAnsi="宋体" w:eastAsia="宋体"/>
          <w:sz w:val="24"/>
          <w:szCs w:val="24"/>
          <w:highlight w:val="none"/>
          <w:lang w:val="en-US" w:eastAsia="zh-CN"/>
        </w:rPr>
        <w:t>3</w:t>
      </w:r>
      <w:r>
        <w:rPr>
          <w:rFonts w:hint="eastAsia" w:hAnsi="宋体" w:eastAsia="宋体"/>
          <w:sz w:val="24"/>
          <w:szCs w:val="24"/>
          <w:highlight w:val="none"/>
        </w:rPr>
        <w:t>.00%</w:t>
      </w:r>
      <w:r>
        <w:rPr>
          <w:rFonts w:hint="eastAsia" w:hAnsi="宋体" w:eastAsia="宋体"/>
          <w:sz w:val="24"/>
          <w:szCs w:val="24"/>
          <w:highlight w:val="none"/>
          <w:lang w:val="en-US" w:eastAsia="zh-CN"/>
        </w:rPr>
        <w:t>或</w:t>
      </w:r>
      <w:r>
        <w:rPr>
          <w:rFonts w:hint="eastAsia" w:ascii="宋体" w:hAnsi="宋体" w:eastAsia="宋体" w:cs="宋体"/>
          <w:bCs/>
          <w:color w:val="000000"/>
          <w:sz w:val="24"/>
          <w:szCs w:val="24"/>
          <w:highlight w:val="none"/>
          <w:lang w:val="en-US" w:eastAsia="zh-CN"/>
        </w:rPr>
        <w:t>HGI小于55</w:t>
      </w:r>
      <w:r>
        <w:rPr>
          <w:rFonts w:hint="eastAsia" w:hAnsi="宋体" w:eastAsia="宋体"/>
          <w:sz w:val="24"/>
          <w:szCs w:val="24"/>
          <w:highlight w:val="none"/>
        </w:rPr>
        <w:t>的单列煤炭单独按质计价，不与统计批次内其它符合质量指标的煤炭进行质量加权平均。在合同执行过程中，若由于买、卖双方不可控制等原因发生的质量、数量漏检情况，买卖双方同意按下列方式进行处理：</w:t>
      </w:r>
    </w:p>
    <w:p w14:paraId="2EE6D6B7">
      <w:pPr>
        <w:pStyle w:val="5"/>
        <w:adjustRightInd w:val="0"/>
        <w:snapToGrid w:val="0"/>
        <w:spacing w:line="420" w:lineRule="exact"/>
        <w:ind w:firstLine="480" w:firstLineChars="200"/>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漏检列质量按漏检品种进港交付买方加权平均质量进行结算，若卖方未交付买方该品种煤炭，则双方另行协商。</w:t>
      </w:r>
    </w:p>
    <w:p w14:paraId="2BE9190C">
      <w:pPr>
        <w:pStyle w:val="5"/>
        <w:adjustRightInd w:val="0"/>
        <w:snapToGrid w:val="0"/>
        <w:spacing w:line="420" w:lineRule="exact"/>
        <w:ind w:firstLine="480" w:firstLineChars="200"/>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漏检列数量按秦皇岛港/曹妃甸港公司出具的相关证明进行盈亏吨调整，若秦皇岛港/曹妃甸港不出具相关证明则按秦皇岛港/曹妃甸港公司场地上帐的盈亏吨数量（按当月其余已过衡列的平均盈亏吨数量上帐，如当月已过衡列不足3个列，则双方另行协商。注：本条款最终解释权归秦皇岛港/曹妃甸港）结合铁路大票数作为结算数量进行结算。</w:t>
      </w:r>
    </w:p>
    <w:p w14:paraId="698C99E3">
      <w:pPr>
        <w:pStyle w:val="5"/>
        <w:adjustRightInd w:val="0"/>
        <w:snapToGrid w:val="0"/>
        <w:spacing w:line="420" w:lineRule="exact"/>
        <w:ind w:firstLine="480" w:firstLineChars="200"/>
        <w:rPr>
          <w:rFonts w:hAnsi="宋体" w:eastAsia="宋体"/>
          <w:sz w:val="24"/>
          <w:szCs w:val="24"/>
          <w:highlight w:val="none"/>
        </w:rPr>
      </w:pPr>
      <w:r>
        <w:rPr>
          <w:rFonts w:hint="eastAsia" w:hAnsi="宋体" w:eastAsia="宋体"/>
          <w:sz w:val="24"/>
          <w:szCs w:val="24"/>
          <w:highlight w:val="none"/>
        </w:rPr>
        <w:t>5.2.5如甲乙双方的任何一方对煤质检验结果有异议，且该批煤炭具备复检条件，则甲乙双方均有权在检验报告签发后的3个工作日内请原质量交接的质检单位对该批煤炭进行复检。对于场地交货的检验报告签发时间，按交货地进港卸车检验报告所载签发时间为准。经复检双方无异议后，一律以复检结果作为结算依据。若甲乙双方的任一方对复检结果仍有异议，则可申请对该批煤炭复检备用样进行仲裁性化验，一旦经过仲裁性化验后，一律以仲裁性化验结果作为结算依据。复检和仲裁性化验全水分须以原交接煤质检验时的数据为准。</w:t>
      </w:r>
    </w:p>
    <w:p w14:paraId="51F894DF">
      <w:pPr>
        <w:pStyle w:val="5"/>
        <w:adjustRightInd w:val="0"/>
        <w:snapToGrid w:val="0"/>
        <w:spacing w:line="420" w:lineRule="exact"/>
        <w:ind w:firstLine="480" w:firstLineChars="200"/>
        <w:rPr>
          <w:rFonts w:hAnsi="宋体" w:eastAsia="宋体"/>
          <w:sz w:val="24"/>
          <w:szCs w:val="24"/>
          <w:highlight w:val="none"/>
        </w:rPr>
      </w:pPr>
      <w:r>
        <w:rPr>
          <w:rFonts w:hint="eastAsia" w:hAnsi="宋体" w:eastAsia="宋体"/>
          <w:sz w:val="24"/>
          <w:szCs w:val="24"/>
          <w:highlight w:val="none"/>
        </w:rPr>
        <w:t>5.2.6如甲乙双方的任何一方对煤质检验结果有异议，且该批煤炭不具备复检条件，则甲乙双方均有权在检验报告签发后的3个工作日内申请对留查样进行仲裁性化验；仲裁性化验机构应当是国家（国际）认可的煤炭质检资格的除原质检单位以外的质检机构。对于场地交货的检验报告签发时间，按交货地进港卸车检验报告所载签发时间为准。全水分须以煤炭交接时煤质检验的数据为准。一旦经过仲裁性化验后，则一律以仲裁性化验结果作为结算依据。</w:t>
      </w:r>
    </w:p>
    <w:p w14:paraId="48740F12">
      <w:pPr>
        <w:pStyle w:val="5"/>
        <w:adjustRightInd w:val="0"/>
        <w:snapToGrid w:val="0"/>
        <w:spacing w:line="420" w:lineRule="exact"/>
        <w:ind w:firstLine="480" w:firstLineChars="200"/>
        <w:rPr>
          <w:rFonts w:hAnsi="宋体" w:eastAsia="宋体"/>
          <w:sz w:val="24"/>
          <w:szCs w:val="24"/>
          <w:highlight w:val="none"/>
        </w:rPr>
      </w:pPr>
      <w:r>
        <w:rPr>
          <w:rFonts w:hint="eastAsia" w:hAnsi="宋体" w:eastAsia="宋体"/>
          <w:sz w:val="24"/>
          <w:szCs w:val="24"/>
          <w:highlight w:val="none"/>
        </w:rPr>
        <w:t>5.2.7复检或仲裁性化验费用由提出方承担。</w:t>
      </w:r>
    </w:p>
    <w:p w14:paraId="2772FA23">
      <w:pPr>
        <w:pStyle w:val="5"/>
        <w:adjustRightInd w:val="0"/>
        <w:snapToGrid w:val="0"/>
        <w:spacing w:line="420" w:lineRule="exact"/>
        <w:ind w:firstLine="480" w:firstLineChars="200"/>
        <w:rPr>
          <w:rFonts w:hAnsi="宋体" w:eastAsia="宋体"/>
          <w:sz w:val="24"/>
          <w:szCs w:val="24"/>
          <w:highlight w:val="none"/>
        </w:rPr>
      </w:pPr>
      <w:r>
        <w:rPr>
          <w:rFonts w:hint="eastAsia" w:hAnsi="宋体" w:eastAsia="宋体"/>
          <w:sz w:val="24"/>
          <w:szCs w:val="24"/>
          <w:highlight w:val="none"/>
        </w:rPr>
        <w:t>5.2.8结算的货款支付关系一旦发生，则不能再提请仲裁性化验，交接检验结果就是最终结算依据，但7.</w:t>
      </w:r>
      <w:r>
        <w:rPr>
          <w:rFonts w:hint="eastAsia" w:hAnsi="宋体" w:eastAsia="宋体"/>
          <w:sz w:val="24"/>
          <w:szCs w:val="24"/>
          <w:highlight w:val="none"/>
          <w:lang w:val="en-US" w:eastAsia="zh-CN"/>
        </w:rPr>
        <w:t>4</w:t>
      </w:r>
      <w:r>
        <w:rPr>
          <w:rFonts w:hint="eastAsia" w:hAnsi="宋体" w:eastAsia="宋体"/>
          <w:sz w:val="24"/>
          <w:szCs w:val="24"/>
          <w:highlight w:val="none"/>
        </w:rPr>
        <w:t>条所述情形除外。</w:t>
      </w:r>
    </w:p>
    <w:p w14:paraId="00F2C6F8">
      <w:pPr>
        <w:pStyle w:val="5"/>
        <w:adjustRightInd w:val="0"/>
        <w:snapToGrid w:val="0"/>
        <w:spacing w:line="420" w:lineRule="exact"/>
        <w:ind w:firstLine="482" w:firstLineChars="200"/>
        <w:rPr>
          <w:rFonts w:hAnsi="宋体" w:eastAsia="宋体"/>
          <w:b/>
          <w:sz w:val="24"/>
          <w:szCs w:val="24"/>
          <w:highlight w:val="none"/>
        </w:rPr>
      </w:pPr>
      <w:r>
        <w:rPr>
          <w:rFonts w:hint="eastAsia" w:hAnsi="宋体" w:eastAsia="宋体"/>
          <w:b/>
          <w:sz w:val="24"/>
          <w:szCs w:val="24"/>
          <w:highlight w:val="none"/>
        </w:rPr>
        <w:t>第六条  煤款结算</w:t>
      </w:r>
    </w:p>
    <w:p w14:paraId="7CC7B8AF">
      <w:pPr>
        <w:adjustRightInd w:val="0"/>
        <w:snapToGrid w:val="0"/>
        <w:spacing w:line="420" w:lineRule="exact"/>
        <w:ind w:firstLine="480" w:firstLineChars="200"/>
        <w:rPr>
          <w:rFonts w:hAnsi="宋体"/>
          <w:sz w:val="24"/>
          <w:highlight w:val="none"/>
        </w:rPr>
      </w:pPr>
      <w:r>
        <w:rPr>
          <w:rFonts w:hint="eastAsia" w:ascii="宋体" w:hAnsi="宋体"/>
          <w:sz w:val="24"/>
          <w:highlight w:val="none"/>
        </w:rPr>
        <w:t>6.1</w:t>
      </w:r>
      <w:r>
        <w:rPr>
          <w:rFonts w:hint="eastAsia" w:hAnsi="宋体"/>
          <w:sz w:val="24"/>
          <w:highlight w:val="none"/>
        </w:rPr>
        <w:t>乙方凭有效的货物交接清单（铁路过衡单）及煤炭质量检验报告向甲方结算煤款，双方确认后签署书面的货物结算单。</w:t>
      </w:r>
    </w:p>
    <w:p w14:paraId="1505124E">
      <w:pPr>
        <w:adjustRightInd w:val="0"/>
        <w:snapToGrid w:val="0"/>
        <w:spacing w:line="420" w:lineRule="exact"/>
        <w:ind w:firstLine="480" w:firstLineChars="200"/>
        <w:rPr>
          <w:rFonts w:hAnsi="宋体"/>
          <w:sz w:val="24"/>
          <w:highlight w:val="none"/>
        </w:rPr>
      </w:pPr>
      <w:r>
        <w:rPr>
          <w:rFonts w:hint="eastAsia" w:ascii="宋体" w:hAnsi="宋体"/>
          <w:sz w:val="24"/>
          <w:highlight w:val="none"/>
        </w:rPr>
        <w:t>6.2</w:t>
      </w:r>
      <w:r>
        <w:rPr>
          <w:rFonts w:hint="eastAsia" w:hAnsi="宋体"/>
          <w:sz w:val="24"/>
          <w:highlight w:val="none"/>
        </w:rPr>
        <w:t>对于每批次乙方所供煤炭，经煤炭质量交接检验及货权交接后，经双方确认，可对该批煤炭进行先期结算，甲方凭铁路过衡单、煤炭质量检验报告向乙方支付70%的先期结算款，待乙方正式向甲方开票结算时冲抵。</w:t>
      </w:r>
    </w:p>
    <w:p w14:paraId="7E9BFB98">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6.3</w:t>
      </w:r>
      <w:r>
        <w:rPr>
          <w:rFonts w:hint="eastAsia" w:hAnsi="宋体"/>
          <w:sz w:val="24"/>
          <w:highlight w:val="none"/>
        </w:rPr>
        <w:t>乙方应该提供符合甲方所在地税务部门要求的增值税发票，甲方在收到乙方送达的所有所需有效凭据和增值税发票后，结清全部煤款。乙方出具发票中填写的甲方资料如下：</w:t>
      </w:r>
    </w:p>
    <w:p w14:paraId="410FFE70">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单位名称：</w:t>
      </w:r>
      <w:r>
        <w:rPr>
          <w:rFonts w:hint="eastAsia" w:ascii="宋体" w:hAnsi="宋体"/>
          <w:sz w:val="24"/>
          <w:szCs w:val="20"/>
          <w:highlight w:val="none"/>
        </w:rPr>
        <w:t>浙江浙能富兴</w:t>
      </w:r>
      <w:r>
        <w:rPr>
          <w:rFonts w:hint="eastAsia" w:ascii="宋体" w:hAnsi="宋体"/>
          <w:sz w:val="24"/>
          <w:highlight w:val="none"/>
        </w:rPr>
        <w:t>燃料有限公司；</w:t>
      </w:r>
    </w:p>
    <w:p w14:paraId="1DA0F138">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地址：宁波大榭开发区南岗商住楼4#楼201室；</w:t>
      </w:r>
    </w:p>
    <w:p w14:paraId="4252C5B7">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电话：0574-86762596；</w:t>
      </w:r>
    </w:p>
    <w:p w14:paraId="7C77C52F">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税号：</w:t>
      </w:r>
      <w:r>
        <w:rPr>
          <w:rFonts w:ascii="宋体" w:hAnsi="宋体"/>
          <w:sz w:val="24"/>
          <w:highlight w:val="none"/>
        </w:rPr>
        <w:t>91330201764503935R</w:t>
      </w:r>
      <w:r>
        <w:rPr>
          <w:rFonts w:hint="eastAsia" w:ascii="宋体" w:hAnsi="宋体"/>
          <w:sz w:val="24"/>
          <w:highlight w:val="none"/>
        </w:rPr>
        <w:t>；</w:t>
      </w:r>
    </w:p>
    <w:p w14:paraId="19D495C3">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开户行：农行大榭支行营业部；</w:t>
      </w:r>
    </w:p>
    <w:p w14:paraId="0B820CB8">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 xml:space="preserve">银行帐号：3935 </w:t>
      </w:r>
      <w:r>
        <w:rPr>
          <w:rFonts w:ascii="宋体" w:hAnsi="宋体"/>
          <w:sz w:val="24"/>
          <w:highlight w:val="none"/>
        </w:rPr>
        <w:t>2</w:t>
      </w:r>
      <w:r>
        <w:rPr>
          <w:rFonts w:hint="eastAsia" w:ascii="宋体" w:hAnsi="宋体"/>
          <w:sz w:val="24"/>
          <w:highlight w:val="none"/>
        </w:rPr>
        <w:t>001 0400 0643 1。</w:t>
      </w:r>
    </w:p>
    <w:p w14:paraId="172EAF23">
      <w:pPr>
        <w:adjustRightInd w:val="0"/>
        <w:snapToGrid w:val="0"/>
        <w:spacing w:line="420" w:lineRule="exact"/>
        <w:ind w:firstLine="480" w:firstLineChars="200"/>
        <w:rPr>
          <w:rFonts w:ascii="宋体" w:hAnsi="宋体"/>
          <w:sz w:val="24"/>
          <w:highlight w:val="none"/>
        </w:rPr>
      </w:pPr>
      <w:r>
        <w:rPr>
          <w:rFonts w:ascii="宋体" w:hAnsi="宋体"/>
          <w:sz w:val="24"/>
          <w:highlight w:val="none"/>
        </w:rPr>
        <w:t>6.</w:t>
      </w:r>
      <w:r>
        <w:rPr>
          <w:rFonts w:hint="eastAsia" w:ascii="宋体" w:hAnsi="宋体"/>
          <w:sz w:val="24"/>
          <w:highlight w:val="none"/>
        </w:rPr>
        <w:t>4乙方收支信息如下：</w:t>
      </w:r>
    </w:p>
    <w:p w14:paraId="75017F58">
      <w:pPr>
        <w:snapToGrid w:val="0"/>
        <w:spacing w:line="420" w:lineRule="exact"/>
        <w:ind w:firstLine="480" w:firstLineChars="200"/>
        <w:rPr>
          <w:rFonts w:ascii="宋体" w:hAnsi="宋体"/>
          <w:sz w:val="24"/>
          <w:highlight w:val="none"/>
        </w:rPr>
      </w:pPr>
      <w:r>
        <w:rPr>
          <w:rFonts w:hint="eastAsia" w:ascii="宋体" w:hAnsi="宋体"/>
          <w:sz w:val="24"/>
          <w:highlight w:val="none"/>
        </w:rPr>
        <w:t>单位名称： ；</w:t>
      </w:r>
    </w:p>
    <w:p w14:paraId="557F448F">
      <w:pPr>
        <w:snapToGrid w:val="0"/>
        <w:spacing w:line="420" w:lineRule="exact"/>
        <w:ind w:firstLine="480" w:firstLineChars="200"/>
        <w:rPr>
          <w:rFonts w:ascii="宋体" w:hAnsi="宋体"/>
          <w:sz w:val="24"/>
          <w:highlight w:val="none"/>
        </w:rPr>
      </w:pPr>
      <w:r>
        <w:rPr>
          <w:rFonts w:hint="eastAsia" w:ascii="宋体" w:hAnsi="宋体"/>
          <w:sz w:val="24"/>
          <w:highlight w:val="none"/>
        </w:rPr>
        <w:t>开户行： ；</w:t>
      </w:r>
    </w:p>
    <w:p w14:paraId="0E7609E1">
      <w:pPr>
        <w:snapToGrid w:val="0"/>
        <w:spacing w:line="420" w:lineRule="exact"/>
        <w:ind w:firstLine="480" w:firstLineChars="200"/>
        <w:rPr>
          <w:rFonts w:ascii="宋体" w:hAnsi="宋体"/>
          <w:sz w:val="24"/>
          <w:highlight w:val="none"/>
        </w:rPr>
      </w:pPr>
      <w:r>
        <w:rPr>
          <w:rFonts w:hint="eastAsia" w:ascii="宋体" w:hAnsi="宋体"/>
          <w:sz w:val="24"/>
          <w:highlight w:val="none"/>
        </w:rPr>
        <w:t>银行帐号： 。</w:t>
      </w:r>
    </w:p>
    <w:p w14:paraId="6165ADBD">
      <w:pPr>
        <w:pStyle w:val="5"/>
        <w:snapToGrid w:val="0"/>
        <w:spacing w:line="400" w:lineRule="exact"/>
        <w:ind w:firstLine="482"/>
        <w:rPr>
          <w:rFonts w:eastAsia="宋体"/>
          <w:color w:val="000000" w:themeColor="text1"/>
          <w:sz w:val="24"/>
          <w:szCs w:val="24"/>
          <w:highlight w:val="none"/>
          <w14:textFill>
            <w14:solidFill>
              <w14:schemeClr w14:val="tx1"/>
            </w14:solidFill>
          </w14:textFill>
        </w:rPr>
      </w:pPr>
      <w:r>
        <w:rPr>
          <w:rFonts w:eastAsia="宋体"/>
          <w:color w:val="000000" w:themeColor="text1"/>
          <w:sz w:val="24"/>
          <w:szCs w:val="24"/>
          <w:highlight w:val="none"/>
          <w14:textFill>
            <w14:solidFill>
              <w14:schemeClr w14:val="tx1"/>
            </w14:solidFill>
          </w14:textFill>
        </w:rPr>
        <w:t xml:space="preserve">6.5 </w:t>
      </w:r>
      <w:r>
        <w:rPr>
          <w:rFonts w:hint="eastAsia" w:eastAsia="宋体"/>
          <w:color w:val="000000" w:themeColor="text1"/>
          <w:sz w:val="24"/>
          <w:szCs w:val="24"/>
          <w:highlight w:val="none"/>
          <w14:textFill>
            <w14:solidFill>
              <w14:schemeClr w14:val="tx1"/>
            </w14:solidFill>
          </w14:textFill>
        </w:rPr>
        <w:t>履约保证金</w:t>
      </w:r>
    </w:p>
    <w:p w14:paraId="36B9DCAB">
      <w:pPr>
        <w:snapToGrid w:val="0"/>
        <w:spacing w:line="420" w:lineRule="exact"/>
        <w:ind w:firstLine="480" w:firstLineChars="200"/>
        <w:rPr>
          <w:rFonts w:ascii="宋体" w:hAnsi="宋体"/>
          <w:color w:val="000000" w:themeColor="text1"/>
          <w:sz w:val="24"/>
          <w:highlight w:val="none"/>
          <w14:textFill>
            <w14:solidFill>
              <w14:schemeClr w14:val="tx1"/>
            </w14:solidFill>
          </w14:textFill>
        </w:rPr>
      </w:pPr>
      <w:r>
        <w:rPr>
          <w:rFonts w:hint="eastAsia" w:eastAsia="宋体"/>
          <w:color w:val="000000" w:themeColor="text1"/>
          <w:sz w:val="24"/>
          <w:szCs w:val="24"/>
          <w:highlight w:val="none"/>
          <w14:textFill>
            <w14:solidFill>
              <w14:schemeClr w14:val="tx1"/>
            </w14:solidFill>
          </w14:textFill>
        </w:rPr>
        <w:t>在甲方</w:t>
      </w:r>
      <w:r>
        <w:rPr>
          <w:rFonts w:hint="eastAsia" w:eastAsia="宋体"/>
          <w:color w:val="000000" w:themeColor="text1"/>
          <w:sz w:val="24"/>
          <w:szCs w:val="24"/>
          <w:highlight w:val="none"/>
          <w:lang w:val="en-US" w:eastAsia="zh-CN"/>
          <w14:textFill>
            <w14:solidFill>
              <w14:schemeClr w14:val="tx1"/>
            </w14:solidFill>
          </w14:textFill>
        </w:rPr>
        <w:t>招标</w:t>
      </w:r>
      <w:r>
        <w:rPr>
          <w:rFonts w:hint="eastAsia" w:eastAsia="宋体"/>
          <w:color w:val="000000" w:themeColor="text1"/>
          <w:sz w:val="24"/>
          <w:szCs w:val="24"/>
          <w:highlight w:val="none"/>
          <w14:textFill>
            <w14:solidFill>
              <w14:schemeClr w14:val="tx1"/>
            </w14:solidFill>
          </w14:textFill>
        </w:rPr>
        <w:t>采购期间，乙方已向甲方缴纳</w:t>
      </w:r>
      <w:r>
        <w:rPr>
          <w:rFonts w:hint="eastAsia"/>
          <w:color w:val="000000" w:themeColor="text1"/>
          <w:sz w:val="24"/>
          <w:highlight w:val="none"/>
          <w14:textFill>
            <w14:solidFill>
              <w14:schemeClr w14:val="tx1"/>
            </w14:solidFill>
          </w14:textFill>
        </w:rPr>
        <w:t>不计利息的</w:t>
      </w:r>
      <w:r>
        <w:rPr>
          <w:rFonts w:hint="eastAsia"/>
          <w:color w:val="000000" w:themeColor="text1"/>
          <w:sz w:val="24"/>
          <w:highlight w:val="none"/>
          <w14:textFill>
            <w14:solidFill>
              <w14:schemeClr w14:val="tx1"/>
            </w14:solidFill>
          </w14:textFill>
        </w:rPr>
        <w:t>履约保证金</w:t>
      </w:r>
      <w:r>
        <w:rPr>
          <w:rFonts w:hint="eastAsia" w:eastAsia="宋体"/>
          <w:color w:val="000000" w:themeColor="text1"/>
          <w:sz w:val="24"/>
          <w:szCs w:val="24"/>
          <w:highlight w:val="none"/>
          <w14:textFill>
            <w14:solidFill>
              <w14:schemeClr w14:val="tx1"/>
            </w14:solidFill>
          </w14:textFill>
        </w:rPr>
        <w:t>（20元/吨）</w:t>
      </w:r>
      <w:r>
        <w:rPr>
          <w:rFonts w:hint="eastAsia"/>
          <w:color w:val="000000" w:themeColor="text1"/>
          <w:sz w:val="24"/>
          <w:highlight w:val="none"/>
          <w14:textFill>
            <w14:solidFill>
              <w14:schemeClr w14:val="tx1"/>
            </w14:solidFill>
          </w14:textFill>
        </w:rPr>
        <w:t>不计利息，乙方按照合同约定交付货物，且经双方结算确认，乙方提出退款申请后的</w:t>
      </w:r>
      <w:r>
        <w:rPr>
          <w:rFonts w:hint="eastAsia" w:ascii="宋体" w:hAnsi="宋体"/>
          <w:color w:val="000000" w:themeColor="text1"/>
          <w:sz w:val="24"/>
          <w:highlight w:val="none"/>
          <w14:textFill>
            <w14:solidFill>
              <w14:schemeClr w14:val="tx1"/>
            </w14:solidFill>
          </w14:textFill>
        </w:rPr>
        <w:t>10</w:t>
      </w:r>
      <w:r>
        <w:rPr>
          <w:rFonts w:hint="eastAsia"/>
          <w:color w:val="000000" w:themeColor="text1"/>
          <w:sz w:val="24"/>
          <w:highlight w:val="none"/>
          <w14:textFill>
            <w14:solidFill>
              <w14:schemeClr w14:val="tx1"/>
            </w14:solidFill>
          </w14:textFill>
        </w:rPr>
        <w:t>个工作日之内，甲方应将履约保证金无息返还给乙方。若因乙方违反合同约定，需向甲方支付违约金或赔偿金等费用，甲方可从履约保证金中抵扣相应款项并要求乙方补足。</w:t>
      </w:r>
    </w:p>
    <w:p w14:paraId="13534DFC">
      <w:pPr>
        <w:snapToGrid w:val="0"/>
        <w:spacing w:line="420" w:lineRule="exact"/>
        <w:ind w:firstLine="482" w:firstLineChars="200"/>
        <w:rPr>
          <w:rFonts w:ascii="宋体" w:hAnsi="宋体"/>
          <w:b/>
          <w:sz w:val="24"/>
          <w:highlight w:val="none"/>
        </w:rPr>
      </w:pPr>
      <w:r>
        <w:rPr>
          <w:rFonts w:hint="eastAsia" w:ascii="宋体" w:hAnsi="宋体"/>
          <w:b/>
          <w:sz w:val="24"/>
          <w:szCs w:val="20"/>
          <w:highlight w:val="none"/>
        </w:rPr>
        <w:t xml:space="preserve">第七条  </w:t>
      </w:r>
      <w:r>
        <w:rPr>
          <w:rFonts w:hint="eastAsia" w:ascii="宋体" w:hAnsi="宋体"/>
          <w:b/>
          <w:sz w:val="24"/>
          <w:highlight w:val="none"/>
        </w:rPr>
        <w:t>双方责任</w:t>
      </w:r>
    </w:p>
    <w:p w14:paraId="7DE3896B">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7.1乙方应按照本合同的约定按时足量供应煤炭，</w:t>
      </w:r>
      <w:bookmarkStart w:id="0" w:name="_Hlk120779328"/>
      <w:r>
        <w:rPr>
          <w:rFonts w:hint="eastAsia" w:ascii="宋体" w:hAnsi="宋体"/>
          <w:sz w:val="24"/>
          <w:highlight w:val="none"/>
        </w:rPr>
        <w:t>若乙方未在交货期的最后一日前交付全部煤炭，则每逾期一日，乙方应按欠量部分煤炭价款的0.3%向甲方支付违约金。若逾期交货达10日或乙方明确表示不再供货的，甲方有权解除合同，违约金按照欠量部分煤炭价款的5%计算。</w:t>
      </w:r>
      <w:bookmarkEnd w:id="0"/>
      <w:bookmarkStart w:id="1" w:name="_Hlk120778758"/>
      <w:r>
        <w:rPr>
          <w:rFonts w:hint="eastAsia" w:ascii="宋体" w:hAnsi="宋体"/>
          <w:sz w:val="24"/>
          <w:highlight w:val="none"/>
        </w:rPr>
        <w:t>欠量部分数量应按照乙方已交付的煤炭数量与本合同约定数量（不考虑10%增减）之间的差额确定。</w:t>
      </w:r>
    </w:p>
    <w:bookmarkEnd w:id="1"/>
    <w:p w14:paraId="1D1BDC03">
      <w:pPr>
        <w:adjustRightInd w:val="0"/>
        <w:snapToGrid w:val="0"/>
        <w:spacing w:line="420" w:lineRule="exact"/>
        <w:ind w:firstLine="480" w:firstLineChars="200"/>
        <w:rPr>
          <w:rFonts w:ascii="宋体" w:hAnsi="宋体"/>
          <w:sz w:val="24"/>
          <w:highlight w:val="none"/>
        </w:rPr>
      </w:pPr>
      <w:bookmarkStart w:id="2" w:name="_Hlk120779315"/>
      <w:r>
        <w:rPr>
          <w:rFonts w:hint="eastAsia" w:ascii="宋体" w:hAnsi="宋体"/>
          <w:sz w:val="24"/>
          <w:highlight w:val="none"/>
        </w:rPr>
        <w:t>7</w:t>
      </w:r>
      <w:r>
        <w:rPr>
          <w:rFonts w:ascii="宋体" w:hAnsi="宋体"/>
          <w:sz w:val="24"/>
          <w:highlight w:val="none"/>
        </w:rPr>
        <w:t>.2</w:t>
      </w:r>
      <w:r>
        <w:rPr>
          <w:rFonts w:hint="eastAsia" w:ascii="宋体" w:hAnsi="宋体"/>
          <w:sz w:val="24"/>
          <w:highlight w:val="none"/>
        </w:rPr>
        <w:t>乙方交付的煤炭因不满足本合同约定质量要求而被甲方拒收的，且乙方未在约定期限内补足，则乙方应按欠量部分煤炭价款的5%向甲方支付违约金。欠量部分数量应按照乙方已交付的煤炭数量与本合同约定数量（不考虑10%增减）之间的差额确定。</w:t>
      </w:r>
    </w:p>
    <w:bookmarkEnd w:id="2"/>
    <w:p w14:paraId="50D42898">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7.</w:t>
      </w:r>
      <w:r>
        <w:rPr>
          <w:rFonts w:ascii="宋体" w:hAnsi="宋体"/>
          <w:sz w:val="24"/>
          <w:highlight w:val="none"/>
        </w:rPr>
        <w:t>3</w:t>
      </w:r>
      <w:r>
        <w:rPr>
          <w:rFonts w:hint="eastAsia"/>
          <w:sz w:val="24"/>
          <w:highlight w:val="none"/>
        </w:rPr>
        <w:t>乙方应按照双方确认的合同量提供符合本合同质量要求的煤炭，如乙方提供的煤炭存在掺配或含有对卸输煤设施、煤炭制粉系统及燃煤设备造成意外损坏的物质，从而导致由甲方提供煤炭的发电公司（电厂）设备异常损害的，乙方应承担由此造成的经济损失。</w:t>
      </w:r>
    </w:p>
    <w:p w14:paraId="76263053">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7.</w:t>
      </w:r>
      <w:r>
        <w:rPr>
          <w:rFonts w:ascii="宋体" w:hAnsi="宋体"/>
          <w:sz w:val="24"/>
          <w:highlight w:val="none"/>
        </w:rPr>
        <w:t>4</w:t>
      </w:r>
      <w:r>
        <w:rPr>
          <w:rFonts w:hint="eastAsia" w:ascii="宋体" w:hAnsi="宋体"/>
          <w:sz w:val="24"/>
          <w:highlight w:val="none"/>
        </w:rPr>
        <w:t>本合同任何一方在质检、数量核定等过程中存在弄虚作假行为的，相对方有权立即单方面终止合同，并有权组织相关方对乙方所供应煤炭进行复检，并以该复检结果取代原交接检验结果作为相应批次煤炭最终按质计价依据，同时该相对方亦有权要求违约方支付该批次煤炭合同总价款20%的违约金。</w:t>
      </w:r>
    </w:p>
    <w:p w14:paraId="7BF9FC1E">
      <w:pPr>
        <w:adjustRightInd w:val="0"/>
        <w:snapToGrid w:val="0"/>
        <w:spacing w:line="420" w:lineRule="exact"/>
        <w:ind w:firstLine="480" w:firstLineChars="200"/>
        <w:rPr>
          <w:rFonts w:asciiTheme="minorEastAsia" w:hAnsiTheme="minorEastAsia" w:eastAsiaTheme="minorEastAsia"/>
          <w:color w:val="000000" w:themeColor="text1"/>
          <w:sz w:val="24"/>
          <w:highlight w:val="none"/>
          <w14:textFill>
            <w14:solidFill>
              <w14:schemeClr w14:val="tx1"/>
            </w14:solidFill>
          </w14:textFill>
        </w:rPr>
      </w:pPr>
      <w:bookmarkStart w:id="3" w:name="_Hlk120780751"/>
      <w:r>
        <w:rPr>
          <w:rFonts w:hint="eastAsia" w:asciiTheme="minorEastAsia" w:hAnsiTheme="minorEastAsia" w:eastAsiaTheme="minorEastAsia"/>
          <w:color w:val="000000" w:themeColor="text1"/>
          <w:sz w:val="24"/>
          <w:highlight w:val="none"/>
          <w14:textFill>
            <w14:solidFill>
              <w14:schemeClr w14:val="tx1"/>
            </w14:solidFill>
          </w14:textFill>
        </w:rPr>
        <w:t>7</w:t>
      </w:r>
      <w:r>
        <w:rPr>
          <w:rFonts w:asciiTheme="minorEastAsia" w:hAnsiTheme="minorEastAsia" w:eastAsiaTheme="minorEastAsia"/>
          <w:color w:val="000000" w:themeColor="text1"/>
          <w:sz w:val="24"/>
          <w:highlight w:val="none"/>
          <w14:textFill>
            <w14:solidFill>
              <w14:schemeClr w14:val="tx1"/>
            </w14:solidFill>
          </w14:textFill>
        </w:rPr>
        <w:t>.5</w:t>
      </w:r>
      <w:r>
        <w:rPr>
          <w:rFonts w:hint="eastAsia" w:asciiTheme="minorEastAsia" w:hAnsiTheme="minorEastAsia" w:eastAsiaTheme="minorEastAsia"/>
          <w:color w:val="000000" w:themeColor="text1"/>
          <w:sz w:val="24"/>
          <w:highlight w:val="none"/>
          <w14:textFill>
            <w14:solidFill>
              <w14:schemeClr w14:val="tx1"/>
            </w14:solidFill>
          </w14:textFill>
        </w:rPr>
        <w:t>因乙方拒绝交付煤炭或交付煤炭数量不足，甲方另行向第三方采购以满足自身经营需求的，乙方还应承担因此发生的损失，包括但不限于采购费用、煤炭采购差价损失等。</w:t>
      </w:r>
    </w:p>
    <w:p w14:paraId="7DE838F0">
      <w:pPr>
        <w:adjustRightInd w:val="0"/>
        <w:snapToGrid w:val="0"/>
        <w:spacing w:line="420" w:lineRule="exact"/>
        <w:ind w:firstLine="480" w:firstLineChars="200"/>
        <w:rPr>
          <w:rFonts w:asciiTheme="minorEastAsia" w:hAnsiTheme="minorEastAsia" w:eastAsiaTheme="minorEastAsia"/>
          <w:sz w:val="24"/>
          <w:highlight w:val="none"/>
        </w:rPr>
      </w:pPr>
      <w:r>
        <w:rPr>
          <w:rFonts w:hint="eastAsia" w:ascii="宋体" w:hAnsi="宋体"/>
          <w:sz w:val="24"/>
          <w:highlight w:val="none"/>
        </w:rPr>
        <w:t>7.6</w:t>
      </w:r>
      <w:r>
        <w:rPr>
          <w:rFonts w:hint="eastAsia"/>
          <w:color w:val="000000" w:themeColor="text1"/>
          <w:sz w:val="24"/>
          <w:highlight w:val="none"/>
          <w14:textFill>
            <w14:solidFill>
              <w14:schemeClr w14:val="tx1"/>
            </w14:solidFill>
          </w14:textFill>
        </w:rPr>
        <w:t>上述应由乙方承担的违约金或赔偿款，甲方有权从乙方缴纳的履约保证金或应向乙方支付的任何一笔应付款项中扣除，无论该笔应付款项是否与本合同相关。</w:t>
      </w:r>
    </w:p>
    <w:bookmarkEnd w:id="3"/>
    <w:p w14:paraId="404A046F">
      <w:pPr>
        <w:adjustRightInd w:val="0"/>
        <w:snapToGrid w:val="0"/>
        <w:spacing w:line="420" w:lineRule="exact"/>
        <w:ind w:firstLine="482" w:firstLineChars="200"/>
        <w:rPr>
          <w:rFonts w:ascii="宋体" w:hAnsi="宋体"/>
          <w:b/>
          <w:bCs/>
          <w:sz w:val="24"/>
          <w:highlight w:val="none"/>
        </w:rPr>
      </w:pPr>
      <w:r>
        <w:rPr>
          <w:rFonts w:hint="eastAsia" w:ascii="宋体" w:hAnsi="宋体"/>
          <w:b/>
          <w:bCs/>
          <w:sz w:val="24"/>
          <w:highlight w:val="none"/>
        </w:rPr>
        <w:t>第八条 不可抗力</w:t>
      </w:r>
    </w:p>
    <w:p w14:paraId="7298E1C6">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8.1由于不可预见，不可避免，人力不可抗力的因素（包括地震、雷电、火灾、水灾、台风等）导致一方不能履行合同，受影响一方应立即通知对方当事人，并积极采取补救措施，并在不可抗力事件结束后15天内提供相关部门出具的有关不可抗力事件的证明。受影响的一方在受不可抗力影响的程度和范围内延迟或免于履行部分或全部合同义务。</w:t>
      </w:r>
    </w:p>
    <w:p w14:paraId="6E1A65C2">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8.2如果发生不可抗力事件，各方应立即互相协商，以找到公平的解决办法。如不可抗力的发生或后果对本合同的履行造成重大妨碍，持续时间超过60天，则甲方有权解除合同。</w:t>
      </w:r>
    </w:p>
    <w:p w14:paraId="05BEB4FF">
      <w:pPr>
        <w:adjustRightInd w:val="0"/>
        <w:snapToGrid w:val="0"/>
        <w:spacing w:line="420" w:lineRule="exact"/>
        <w:ind w:firstLine="482" w:firstLineChars="200"/>
        <w:rPr>
          <w:rFonts w:ascii="宋体" w:hAnsi="宋体"/>
          <w:b/>
          <w:bCs/>
          <w:sz w:val="24"/>
          <w:highlight w:val="none"/>
        </w:rPr>
      </w:pPr>
      <w:r>
        <w:rPr>
          <w:rFonts w:hint="eastAsia" w:ascii="宋体" w:hAnsi="宋体"/>
          <w:b/>
          <w:bCs/>
          <w:sz w:val="24"/>
          <w:highlight w:val="none"/>
        </w:rPr>
        <w:t>第九条 廉政协议</w:t>
      </w:r>
    </w:p>
    <w:p w14:paraId="0032554F">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9.1甲乙双方共同的权利和义务</w:t>
      </w:r>
    </w:p>
    <w:p w14:paraId="25FF73CB">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甲乙双方须严格遵守党和国家有关法律法规、行业相关规定以及廉洁从业要求，不得损害国家和集体利益；坚持公开、公正、诚信、透明的原则（商业秘密和合同文件另有规定的除外），坚持服务至上理念，提升工作效率，坚决不设障碍，杜绝推诿扯皮、敷衍塞责、拖延不办等不良风气。如发现对方在业务活动中有违反廉洁从业和作风建设有关规定的行为，有义务及时要求对方纠正，并向对方纪检监督等内部监督机构通报并要求处理。</w:t>
      </w:r>
    </w:p>
    <w:p w14:paraId="540A0026">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9.2 甲方的廉洁责任</w:t>
      </w:r>
    </w:p>
    <w:p w14:paraId="1EB48C05">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甲方及其工作人员不得以任何形式索要或接受乙方提供的礼品礼金、有价证券和回扣、好处费，不得在乙方报销任何应由甲方及其工作人员支付的费用；不得要求或者接受乙方为其住房装修、婚丧嫁娶活动、配偶子女及其他亲属的工作安排以及出国出境、旅游等提供便利；不得参加乙方安排的超标准宴请和娱乐活动，不得接受乙方提供的通讯工具、交通工具和高档办公用品；不得以任何形式强制向乙方推荐物资供应单位、工程承包或劳务分包单位，不得要求乙方购买与合同履行无关的材料和设备；不得向乙方泄露商业秘密。</w:t>
      </w:r>
    </w:p>
    <w:p w14:paraId="0F6C69F8">
      <w:pPr>
        <w:adjustRightInd w:val="0"/>
        <w:snapToGrid w:val="0"/>
        <w:spacing w:line="420" w:lineRule="exact"/>
        <w:ind w:firstLine="482" w:firstLineChars="200"/>
        <w:rPr>
          <w:rFonts w:ascii="宋体" w:hAnsi="宋体"/>
          <w:b/>
          <w:bCs/>
          <w:sz w:val="24"/>
          <w:highlight w:val="none"/>
        </w:rPr>
      </w:pPr>
      <w:r>
        <w:rPr>
          <w:rFonts w:hint="eastAsia" w:ascii="宋体" w:hAnsi="宋体"/>
          <w:b/>
          <w:bCs/>
          <w:sz w:val="24"/>
          <w:highlight w:val="none"/>
        </w:rPr>
        <w:t>9.3乙方的廉洁责任</w:t>
      </w:r>
    </w:p>
    <w:p w14:paraId="4D2A13E1">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乙方及其工作人员不得以任何理由向甲方及其工作人员礼品礼金、有价证券和回扣、好处费；不得以任何名义为甲方及其工作人员报销应由甲方单位或个人支付的费用；不得以任何理由安排甲方及其工作人员参加高消费宴请及娱乐活动；不得为甲方单位和个人购置或提供通讯工具、交通工具和高档办公用品；不得为甲方工作人员及其配偶、子女或其他亲属的工作安排、升学、旅游及出国出境等提供方便；乙方与甲方业务往来过程中，不得有弄虚作假、以次充好、虚结虚算等违反诚信原则的行为。</w:t>
      </w:r>
    </w:p>
    <w:p w14:paraId="62496ED6">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9.4违约责任</w:t>
      </w:r>
    </w:p>
    <w:p w14:paraId="362DE840">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9.4.1甲方及其工作人员违反本合同第9.1、9.2条，按管理权限，依据有关规定给予党纪、政纪或组织处理；涉嫌违法犯罪的，移交司法机关追究法律责任；给乙方单位造成经济损失的，应赔偿乙方损失和可得利益。</w:t>
      </w:r>
    </w:p>
    <w:p w14:paraId="1A33B74B">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9.4.2乙方及其工作人员违反本合同第9.1、9.3条，按照管理权限，依据有关规定给予党纪、政纪或组织处理；涉嫌违法犯罪的，移交司法机关追究法律责任；给甲方单位造成经济损失的，应赔偿甲方损失和可得利益；甲方有权据此冻结款项支付、暂停业务活动、取消乙方合格供应商和信用赊销客户资格，无偿解除终止与乙方的一切合作协议，有权要求乙方支付本业务合同结算金额1%-3%的违约金。</w:t>
      </w:r>
    </w:p>
    <w:p w14:paraId="4D0B7C21">
      <w:pPr>
        <w:adjustRightInd w:val="0"/>
        <w:snapToGrid w:val="0"/>
        <w:spacing w:line="420" w:lineRule="exact"/>
        <w:ind w:firstLine="482" w:firstLineChars="200"/>
        <w:rPr>
          <w:rFonts w:ascii="宋体" w:hAnsi="宋体"/>
          <w:b/>
          <w:bCs/>
          <w:sz w:val="24"/>
          <w:highlight w:val="none"/>
        </w:rPr>
      </w:pPr>
      <w:r>
        <w:rPr>
          <w:rFonts w:hint="eastAsia" w:ascii="宋体" w:hAnsi="宋体"/>
          <w:b/>
          <w:bCs/>
          <w:sz w:val="24"/>
          <w:highlight w:val="none"/>
        </w:rPr>
        <w:t>第十条 争议的解决</w:t>
      </w:r>
    </w:p>
    <w:p w14:paraId="4CA5ED8E">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10.1因对本合同条款解释不一致、违约、终止而引起的任何争议、纠纷或索赔首先应通过双方友好协商解决。</w:t>
      </w:r>
    </w:p>
    <w:p w14:paraId="14974C30">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10.2因本合同产生的任何争议，双方应友好协商解决。60日内协商不成的，双方均可向杭州仲裁委员会申请仲裁解决。仲裁裁决是终局裁定，对各方均有约束力。</w:t>
      </w:r>
    </w:p>
    <w:p w14:paraId="0B527A9F">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10.3争议解决期间除涉及争议的条款以外，双方应继续履行本合同的其他条款。</w:t>
      </w:r>
    </w:p>
    <w:p w14:paraId="7636ED8A">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10.4本合同未尽事宜双方应友好协商解决，双方在本合同框架下签署的具体煤炭买卖合同属于本合同的补充协议，与本合同具有同等法律效力。</w:t>
      </w:r>
    </w:p>
    <w:p w14:paraId="3443C7C9">
      <w:pPr>
        <w:adjustRightInd w:val="0"/>
        <w:snapToGrid w:val="0"/>
        <w:spacing w:line="420" w:lineRule="exact"/>
        <w:ind w:firstLine="482" w:firstLineChars="200"/>
        <w:rPr>
          <w:rFonts w:ascii="宋体" w:hAnsi="宋体"/>
          <w:b/>
          <w:bCs/>
          <w:sz w:val="24"/>
          <w:highlight w:val="none"/>
        </w:rPr>
      </w:pPr>
      <w:r>
        <w:rPr>
          <w:rFonts w:hint="eastAsia" w:ascii="宋体" w:hAnsi="宋体"/>
          <w:b/>
          <w:bCs/>
          <w:sz w:val="24"/>
          <w:highlight w:val="none"/>
        </w:rPr>
        <w:t>第十一条 生效与期限</w:t>
      </w:r>
    </w:p>
    <w:p w14:paraId="27543F37">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11.1本合同经甲乙双方法定代表人或授权代表签字并加盖双方公章或合同专用章后生效。</w:t>
      </w:r>
    </w:p>
    <w:p w14:paraId="6609E89C">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11.2本合同履行地为杭州市。</w:t>
      </w:r>
    </w:p>
    <w:p w14:paraId="252D9B64">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11.3乙方在所提供给甲方的煤炭在开采过程及运输过程中应符合《安全生产法》、《消防法》、《环境保护法》和《国务院关于特大安全事故行政责任追究的规定》等法律法规要求，所产生的粉尘、废气、废水、噪音等的排放应符合相应法律法规要求。粉尘、废气、废水、噪音等的处理费由乙方自行承担。</w:t>
      </w:r>
    </w:p>
    <w:p w14:paraId="61AF0253">
      <w:pPr>
        <w:adjustRightInd w:val="0"/>
        <w:snapToGrid w:val="0"/>
        <w:spacing w:line="420" w:lineRule="exact"/>
        <w:ind w:firstLine="480" w:firstLineChars="200"/>
        <w:rPr>
          <w:rFonts w:ascii="宋体" w:hAnsi="宋体"/>
          <w:sz w:val="24"/>
          <w:highlight w:val="none"/>
        </w:rPr>
      </w:pPr>
      <w:r>
        <w:rPr>
          <w:rFonts w:hint="eastAsia" w:ascii="宋体" w:hAnsi="宋体"/>
          <w:sz w:val="24"/>
          <w:highlight w:val="none"/>
        </w:rPr>
        <w:t>11.4本合同正本一式四份，甲、乙双方各执二份。</w:t>
      </w:r>
    </w:p>
    <w:p w14:paraId="11F9106F">
      <w:pPr>
        <w:adjustRightInd w:val="0"/>
        <w:snapToGrid w:val="0"/>
        <w:spacing w:line="420" w:lineRule="exact"/>
        <w:ind w:firstLine="480" w:firstLineChars="200"/>
        <w:rPr>
          <w:rFonts w:ascii="宋体" w:hAnsi="宋体"/>
          <w:sz w:val="24"/>
          <w:szCs w:val="20"/>
          <w:highlight w:val="none"/>
        </w:rPr>
      </w:pPr>
      <w:r>
        <w:rPr>
          <w:rFonts w:hint="eastAsia" w:ascii="宋体" w:hAnsi="宋体"/>
          <w:sz w:val="24"/>
          <w:highlight w:val="none"/>
        </w:rPr>
        <w:t>11.5本合同未尽事项，双方可以签订补充协议。</w:t>
      </w:r>
    </w:p>
    <w:tbl>
      <w:tblPr>
        <w:tblStyle w:val="9"/>
        <w:tblW w:w="14694" w:type="dxa"/>
        <w:tblInd w:w="0" w:type="dxa"/>
        <w:tblLayout w:type="fixed"/>
        <w:tblCellMar>
          <w:top w:w="0" w:type="dxa"/>
          <w:left w:w="0" w:type="dxa"/>
          <w:bottom w:w="0" w:type="dxa"/>
          <w:right w:w="0" w:type="dxa"/>
        </w:tblCellMar>
      </w:tblPr>
      <w:tblGrid>
        <w:gridCol w:w="4426"/>
        <w:gridCol w:w="5134"/>
        <w:gridCol w:w="5134"/>
      </w:tblGrid>
      <w:tr w14:paraId="06C691A0">
        <w:tblPrEx>
          <w:tblCellMar>
            <w:top w:w="0" w:type="dxa"/>
            <w:left w:w="0" w:type="dxa"/>
            <w:bottom w:w="0" w:type="dxa"/>
            <w:right w:w="0" w:type="dxa"/>
          </w:tblCellMar>
        </w:tblPrEx>
        <w:trPr>
          <w:trHeight w:val="461" w:hRule="exact"/>
        </w:trPr>
        <w:tc>
          <w:tcPr>
            <w:tcW w:w="4426" w:type="dxa"/>
            <w:tcBorders>
              <w:top w:val="nil"/>
              <w:left w:val="nil"/>
              <w:bottom w:val="nil"/>
              <w:right w:val="nil"/>
            </w:tcBorders>
            <w:vAlign w:val="center"/>
          </w:tcPr>
          <w:p w14:paraId="1AF8237B">
            <w:pPr>
              <w:widowControl/>
              <w:spacing w:line="420" w:lineRule="exact"/>
              <w:jc w:val="left"/>
              <w:rPr>
                <w:rFonts w:ascii="宋体" w:hAnsi="宋体" w:cs="宋体"/>
                <w:kern w:val="0"/>
                <w:sz w:val="24"/>
                <w:highlight w:val="none"/>
              </w:rPr>
            </w:pPr>
            <w:r>
              <w:rPr>
                <w:rFonts w:hint="eastAsia" w:ascii="宋体" w:hAnsi="宋体" w:cs="宋体"/>
                <w:b/>
                <w:kern w:val="0"/>
                <w:sz w:val="24"/>
                <w:szCs w:val="20"/>
                <w:highlight w:val="none"/>
              </w:rPr>
              <w:t>买受人：</w:t>
            </w:r>
            <w:r>
              <w:rPr>
                <w:rFonts w:hint="eastAsia" w:ascii="宋体" w:hAnsi="宋体"/>
                <w:b/>
                <w:sz w:val="24"/>
                <w:szCs w:val="20"/>
                <w:highlight w:val="none"/>
              </w:rPr>
              <w:t>浙江浙能富兴</w:t>
            </w:r>
            <w:r>
              <w:rPr>
                <w:rFonts w:hint="eastAsia" w:ascii="宋体" w:hAnsi="宋体" w:cs="宋体"/>
                <w:b/>
                <w:kern w:val="0"/>
                <w:sz w:val="24"/>
                <w:szCs w:val="20"/>
                <w:highlight w:val="none"/>
              </w:rPr>
              <w:t>燃料有限公司</w:t>
            </w:r>
          </w:p>
        </w:tc>
        <w:tc>
          <w:tcPr>
            <w:tcW w:w="5134" w:type="dxa"/>
            <w:tcBorders>
              <w:top w:val="nil"/>
              <w:left w:val="nil"/>
              <w:right w:val="nil"/>
            </w:tcBorders>
            <w:vAlign w:val="center"/>
          </w:tcPr>
          <w:p w14:paraId="3C75DF27">
            <w:pPr>
              <w:adjustRightInd w:val="0"/>
              <w:snapToGrid w:val="0"/>
              <w:spacing w:line="420" w:lineRule="exact"/>
              <w:rPr>
                <w:rFonts w:ascii="宋体" w:hAnsi="宋体"/>
                <w:b/>
                <w:sz w:val="24"/>
                <w:highlight w:val="none"/>
              </w:rPr>
            </w:pPr>
            <w:r>
              <w:rPr>
                <w:rFonts w:hint="eastAsia" w:ascii="宋体" w:hAnsi="宋体" w:cs="宋体"/>
                <w:b/>
                <w:kern w:val="0"/>
                <w:sz w:val="24"/>
                <w:szCs w:val="20"/>
                <w:highlight w:val="none"/>
              </w:rPr>
              <w:t>出卖人：</w:t>
            </w:r>
            <w:r>
              <w:rPr>
                <w:rFonts w:hint="eastAsia" w:ascii="宋体" w:hAnsi="宋体"/>
                <w:b/>
                <w:sz w:val="24"/>
                <w:highlight w:val="none"/>
              </w:rPr>
              <w:t xml:space="preserve"> </w:t>
            </w:r>
          </w:p>
          <w:p w14:paraId="10FEC139">
            <w:pPr>
              <w:widowControl/>
              <w:spacing w:line="460" w:lineRule="exact"/>
              <w:jc w:val="left"/>
              <w:rPr>
                <w:rFonts w:ascii="宋体" w:hAnsi="宋体"/>
                <w:b/>
                <w:sz w:val="24"/>
                <w:szCs w:val="20"/>
                <w:highlight w:val="none"/>
              </w:rPr>
            </w:pPr>
          </w:p>
        </w:tc>
        <w:tc>
          <w:tcPr>
            <w:tcW w:w="5134" w:type="dxa"/>
            <w:tcBorders>
              <w:top w:val="nil"/>
              <w:left w:val="nil"/>
              <w:right w:val="nil"/>
            </w:tcBorders>
            <w:vAlign w:val="center"/>
          </w:tcPr>
          <w:p w14:paraId="18476A52">
            <w:pPr>
              <w:widowControl/>
              <w:spacing w:line="420" w:lineRule="exact"/>
              <w:jc w:val="left"/>
              <w:rPr>
                <w:rFonts w:ascii="宋体" w:hAnsi="宋体"/>
                <w:b/>
                <w:sz w:val="24"/>
                <w:szCs w:val="20"/>
                <w:highlight w:val="none"/>
              </w:rPr>
            </w:pPr>
          </w:p>
        </w:tc>
      </w:tr>
      <w:tr w14:paraId="4804AE9E">
        <w:tblPrEx>
          <w:tblCellMar>
            <w:top w:w="0" w:type="dxa"/>
            <w:left w:w="0" w:type="dxa"/>
            <w:bottom w:w="0" w:type="dxa"/>
            <w:right w:w="0" w:type="dxa"/>
          </w:tblCellMar>
        </w:tblPrEx>
        <w:trPr>
          <w:trHeight w:val="424" w:hRule="exact"/>
        </w:trPr>
        <w:tc>
          <w:tcPr>
            <w:tcW w:w="4426" w:type="dxa"/>
            <w:tcBorders>
              <w:top w:val="nil"/>
              <w:left w:val="nil"/>
              <w:bottom w:val="nil"/>
              <w:right w:val="nil"/>
            </w:tcBorders>
            <w:vAlign w:val="center"/>
          </w:tcPr>
          <w:p w14:paraId="0ACD65B2">
            <w:pPr>
              <w:widowControl/>
              <w:spacing w:line="420" w:lineRule="exact"/>
              <w:jc w:val="left"/>
              <w:rPr>
                <w:rFonts w:ascii="宋体" w:hAnsi="宋体" w:cs="宋体"/>
                <w:b/>
                <w:kern w:val="0"/>
                <w:sz w:val="24"/>
                <w:szCs w:val="20"/>
                <w:highlight w:val="none"/>
              </w:rPr>
            </w:pPr>
            <w:r>
              <w:rPr>
                <w:rFonts w:hint="eastAsia" w:ascii="宋体" w:hAnsi="宋体" w:cs="宋体"/>
                <w:b/>
                <w:kern w:val="0"/>
                <w:sz w:val="24"/>
                <w:szCs w:val="20"/>
                <w:highlight w:val="none"/>
              </w:rPr>
              <w:t>法定（授权）代表：</w:t>
            </w:r>
          </w:p>
        </w:tc>
        <w:tc>
          <w:tcPr>
            <w:tcW w:w="5134" w:type="dxa"/>
            <w:tcBorders>
              <w:top w:val="nil"/>
              <w:left w:val="nil"/>
              <w:bottom w:val="nil"/>
              <w:right w:val="nil"/>
            </w:tcBorders>
            <w:vAlign w:val="center"/>
          </w:tcPr>
          <w:p w14:paraId="04C3047B">
            <w:pPr>
              <w:widowControl/>
              <w:spacing w:line="460" w:lineRule="exact"/>
              <w:jc w:val="left"/>
              <w:rPr>
                <w:rFonts w:ascii="宋体" w:hAnsi="宋体" w:cs="宋体"/>
                <w:b/>
                <w:kern w:val="0"/>
                <w:sz w:val="24"/>
                <w:szCs w:val="20"/>
                <w:highlight w:val="none"/>
              </w:rPr>
            </w:pPr>
            <w:r>
              <w:rPr>
                <w:rFonts w:hint="eastAsia" w:ascii="宋体" w:hAnsi="宋体" w:cs="宋体"/>
                <w:b/>
                <w:kern w:val="0"/>
                <w:sz w:val="24"/>
                <w:szCs w:val="20"/>
                <w:highlight w:val="none"/>
              </w:rPr>
              <w:t>法定（授权）代表：</w:t>
            </w:r>
          </w:p>
        </w:tc>
        <w:tc>
          <w:tcPr>
            <w:tcW w:w="5134" w:type="dxa"/>
            <w:tcBorders>
              <w:top w:val="nil"/>
              <w:left w:val="nil"/>
              <w:bottom w:val="nil"/>
              <w:right w:val="nil"/>
            </w:tcBorders>
            <w:vAlign w:val="center"/>
          </w:tcPr>
          <w:p w14:paraId="488F999B">
            <w:pPr>
              <w:widowControl/>
              <w:spacing w:line="420" w:lineRule="exact"/>
              <w:jc w:val="left"/>
              <w:rPr>
                <w:rFonts w:ascii="宋体" w:hAnsi="宋体" w:cs="宋体"/>
                <w:b/>
                <w:kern w:val="0"/>
                <w:sz w:val="24"/>
                <w:szCs w:val="20"/>
                <w:highlight w:val="none"/>
              </w:rPr>
            </w:pPr>
          </w:p>
        </w:tc>
      </w:tr>
      <w:tr w14:paraId="77D3DA65">
        <w:tblPrEx>
          <w:tblCellMar>
            <w:top w:w="0" w:type="dxa"/>
            <w:left w:w="0" w:type="dxa"/>
            <w:bottom w:w="0" w:type="dxa"/>
            <w:right w:w="0" w:type="dxa"/>
          </w:tblCellMar>
        </w:tblPrEx>
        <w:trPr>
          <w:trHeight w:val="414" w:hRule="exact"/>
        </w:trPr>
        <w:tc>
          <w:tcPr>
            <w:tcW w:w="4426" w:type="dxa"/>
            <w:tcBorders>
              <w:top w:val="nil"/>
              <w:left w:val="nil"/>
              <w:bottom w:val="nil"/>
              <w:right w:val="nil"/>
            </w:tcBorders>
            <w:vAlign w:val="center"/>
          </w:tcPr>
          <w:p w14:paraId="76ABBF08">
            <w:pPr>
              <w:widowControl/>
              <w:spacing w:line="420" w:lineRule="exact"/>
              <w:jc w:val="left"/>
              <w:rPr>
                <w:rFonts w:ascii="宋体" w:hAnsi="宋体" w:cs="宋体"/>
                <w:b/>
                <w:kern w:val="0"/>
                <w:sz w:val="24"/>
                <w:szCs w:val="20"/>
                <w:highlight w:val="none"/>
              </w:rPr>
            </w:pPr>
            <w:r>
              <w:rPr>
                <w:rFonts w:hint="eastAsia" w:ascii="宋体" w:hAnsi="宋体" w:cs="宋体"/>
                <w:b/>
                <w:kern w:val="0"/>
                <w:sz w:val="24"/>
                <w:szCs w:val="20"/>
                <w:highlight w:val="none"/>
              </w:rPr>
              <w:t xml:space="preserve">联系人： </w:t>
            </w:r>
          </w:p>
        </w:tc>
        <w:tc>
          <w:tcPr>
            <w:tcW w:w="5134" w:type="dxa"/>
            <w:tcBorders>
              <w:top w:val="nil"/>
              <w:left w:val="nil"/>
              <w:bottom w:val="nil"/>
              <w:right w:val="nil"/>
            </w:tcBorders>
            <w:vAlign w:val="center"/>
          </w:tcPr>
          <w:p w14:paraId="35CC9BBB">
            <w:pPr>
              <w:widowControl/>
              <w:spacing w:line="460" w:lineRule="exact"/>
              <w:jc w:val="left"/>
              <w:rPr>
                <w:rFonts w:ascii="宋体" w:hAnsi="宋体" w:cs="宋体"/>
                <w:b/>
                <w:kern w:val="0"/>
                <w:sz w:val="24"/>
                <w:szCs w:val="20"/>
                <w:highlight w:val="none"/>
              </w:rPr>
            </w:pPr>
            <w:r>
              <w:rPr>
                <w:rFonts w:hint="eastAsia" w:ascii="宋体" w:hAnsi="宋体" w:cs="宋体"/>
                <w:b/>
                <w:kern w:val="0"/>
                <w:sz w:val="24"/>
                <w:szCs w:val="20"/>
                <w:highlight w:val="none"/>
              </w:rPr>
              <w:t xml:space="preserve">联系人： </w:t>
            </w:r>
          </w:p>
        </w:tc>
        <w:tc>
          <w:tcPr>
            <w:tcW w:w="5134" w:type="dxa"/>
            <w:tcBorders>
              <w:top w:val="nil"/>
              <w:left w:val="nil"/>
              <w:bottom w:val="nil"/>
              <w:right w:val="nil"/>
            </w:tcBorders>
            <w:vAlign w:val="center"/>
          </w:tcPr>
          <w:p w14:paraId="057F184C">
            <w:pPr>
              <w:widowControl/>
              <w:spacing w:line="420" w:lineRule="exact"/>
              <w:jc w:val="left"/>
              <w:rPr>
                <w:rFonts w:ascii="宋体" w:hAnsi="宋体" w:cs="宋体"/>
                <w:b/>
                <w:kern w:val="0"/>
                <w:sz w:val="24"/>
                <w:szCs w:val="20"/>
                <w:highlight w:val="none"/>
              </w:rPr>
            </w:pPr>
          </w:p>
        </w:tc>
      </w:tr>
      <w:tr w14:paraId="0177AC46">
        <w:tblPrEx>
          <w:tblCellMar>
            <w:top w:w="0" w:type="dxa"/>
            <w:left w:w="0" w:type="dxa"/>
            <w:bottom w:w="0" w:type="dxa"/>
            <w:right w:w="0" w:type="dxa"/>
          </w:tblCellMar>
        </w:tblPrEx>
        <w:trPr>
          <w:trHeight w:val="423" w:hRule="exact"/>
        </w:trPr>
        <w:tc>
          <w:tcPr>
            <w:tcW w:w="4426" w:type="dxa"/>
            <w:tcBorders>
              <w:top w:val="nil"/>
              <w:left w:val="nil"/>
              <w:bottom w:val="nil"/>
              <w:right w:val="nil"/>
            </w:tcBorders>
            <w:vAlign w:val="center"/>
          </w:tcPr>
          <w:p w14:paraId="156E5D24">
            <w:pPr>
              <w:widowControl/>
              <w:spacing w:line="420" w:lineRule="exact"/>
              <w:jc w:val="left"/>
              <w:rPr>
                <w:rFonts w:ascii="宋体" w:hAnsi="宋体" w:cs="宋体"/>
                <w:b/>
                <w:kern w:val="0"/>
                <w:sz w:val="24"/>
                <w:highlight w:val="none"/>
              </w:rPr>
            </w:pPr>
            <w:r>
              <w:rPr>
                <w:rFonts w:hint="eastAsia" w:ascii="宋体" w:hAnsi="宋体" w:cs="宋体"/>
                <w:b/>
                <w:kern w:val="0"/>
                <w:sz w:val="24"/>
                <w:highlight w:val="none"/>
              </w:rPr>
              <w:t xml:space="preserve">联系电话： </w:t>
            </w:r>
          </w:p>
        </w:tc>
        <w:tc>
          <w:tcPr>
            <w:tcW w:w="5134" w:type="dxa"/>
            <w:tcBorders>
              <w:top w:val="nil"/>
              <w:left w:val="nil"/>
              <w:bottom w:val="nil"/>
              <w:right w:val="nil"/>
            </w:tcBorders>
            <w:vAlign w:val="center"/>
          </w:tcPr>
          <w:p w14:paraId="45F7D8B6">
            <w:pPr>
              <w:widowControl/>
              <w:spacing w:line="460" w:lineRule="exact"/>
              <w:jc w:val="left"/>
              <w:rPr>
                <w:rFonts w:ascii="宋体" w:hAnsi="宋体" w:cs="宋体"/>
                <w:b/>
                <w:kern w:val="0"/>
                <w:sz w:val="24"/>
                <w:highlight w:val="none"/>
              </w:rPr>
            </w:pPr>
            <w:r>
              <w:rPr>
                <w:rFonts w:hint="eastAsia" w:ascii="宋体" w:hAnsi="宋体" w:cs="宋体"/>
                <w:b/>
                <w:kern w:val="0"/>
                <w:sz w:val="24"/>
                <w:highlight w:val="none"/>
              </w:rPr>
              <w:t xml:space="preserve">联系电话： </w:t>
            </w:r>
          </w:p>
        </w:tc>
        <w:tc>
          <w:tcPr>
            <w:tcW w:w="5134" w:type="dxa"/>
            <w:tcBorders>
              <w:top w:val="nil"/>
              <w:left w:val="nil"/>
              <w:bottom w:val="nil"/>
              <w:right w:val="nil"/>
            </w:tcBorders>
            <w:vAlign w:val="center"/>
          </w:tcPr>
          <w:p w14:paraId="5041A584">
            <w:pPr>
              <w:widowControl/>
              <w:spacing w:line="420" w:lineRule="exact"/>
              <w:jc w:val="left"/>
              <w:rPr>
                <w:rFonts w:ascii="宋体" w:hAnsi="宋体" w:cs="宋体"/>
                <w:b/>
                <w:kern w:val="0"/>
                <w:sz w:val="24"/>
                <w:highlight w:val="none"/>
              </w:rPr>
            </w:pPr>
          </w:p>
        </w:tc>
      </w:tr>
    </w:tbl>
    <w:p w14:paraId="67189B72">
      <w:pPr>
        <w:adjustRightInd w:val="0"/>
        <w:snapToGrid w:val="0"/>
        <w:spacing w:line="420" w:lineRule="exact"/>
        <w:rPr>
          <w:rFonts w:ascii="宋体" w:hAnsi="宋体"/>
          <w:b/>
          <w:sz w:val="24"/>
          <w:highlight w:val="none"/>
        </w:rPr>
      </w:pPr>
    </w:p>
    <w:bookmarkEnd w:id="4"/>
    <w:sectPr>
      <w:headerReference r:id="rId3" w:type="default"/>
      <w:footerReference r:id="rId4" w:type="default"/>
      <w:pgSz w:w="11906" w:h="16838"/>
      <w:pgMar w:top="1134" w:right="1418" w:bottom="113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4CA51">
    <w:pPr>
      <w:pStyle w:val="7"/>
      <w:jc w:val="right"/>
    </w:pPr>
    <w:r>
      <w:rPr>
        <w:rFonts w:hint="eastAsia"/>
      </w:rPr>
      <w:t>第</w:t>
    </w:r>
    <w:r>
      <w:fldChar w:fldCharType="begin"/>
    </w:r>
    <w:r>
      <w:rPr>
        <w:rStyle w:val="11"/>
      </w:rPr>
      <w:instrText xml:space="preserve"> PAGE </w:instrText>
    </w:r>
    <w:r>
      <w:fldChar w:fldCharType="separate"/>
    </w:r>
    <w:r>
      <w:rPr>
        <w:rStyle w:val="11"/>
      </w:rPr>
      <w:t>5</w:t>
    </w:r>
    <w:r>
      <w:fldChar w:fldCharType="end"/>
    </w:r>
    <w:r>
      <w:rPr>
        <w:rStyle w:val="11"/>
        <w:rFonts w:hint="eastAsia"/>
      </w:rPr>
      <w:t>页共</w:t>
    </w:r>
    <w:r>
      <w:fldChar w:fldCharType="begin"/>
    </w:r>
    <w:r>
      <w:rPr>
        <w:rStyle w:val="11"/>
      </w:rPr>
      <w:instrText xml:space="preserve"> NUMPAGES </w:instrText>
    </w:r>
    <w:r>
      <w:fldChar w:fldCharType="separate"/>
    </w:r>
    <w:r>
      <w:rPr>
        <w:rStyle w:val="11"/>
      </w:rPr>
      <w:t>7</w:t>
    </w:r>
    <w:r>
      <w:fldChar w:fldCharType="end"/>
    </w:r>
    <w:r>
      <w:rPr>
        <w:rStyle w:val="11"/>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52607">
    <w:pPr>
      <w:pStyle w:val="8"/>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2ZWExMDIwMTAyNTlkY2I3MDQ0MGE2NzkwYzQ5NGQifQ=="/>
  </w:docVars>
  <w:rsids>
    <w:rsidRoot w:val="00172A27"/>
    <w:rsid w:val="00000F66"/>
    <w:rsid w:val="00007605"/>
    <w:rsid w:val="00013783"/>
    <w:rsid w:val="00021041"/>
    <w:rsid w:val="000216C8"/>
    <w:rsid w:val="000279A8"/>
    <w:rsid w:val="00027B5C"/>
    <w:rsid w:val="00030031"/>
    <w:rsid w:val="000334A6"/>
    <w:rsid w:val="000334B4"/>
    <w:rsid w:val="00037461"/>
    <w:rsid w:val="00037A36"/>
    <w:rsid w:val="0004329D"/>
    <w:rsid w:val="00045263"/>
    <w:rsid w:val="00046195"/>
    <w:rsid w:val="000475C3"/>
    <w:rsid w:val="000548FE"/>
    <w:rsid w:val="00055F31"/>
    <w:rsid w:val="000662D9"/>
    <w:rsid w:val="0006785C"/>
    <w:rsid w:val="000707D1"/>
    <w:rsid w:val="00072216"/>
    <w:rsid w:val="00073639"/>
    <w:rsid w:val="00073FF2"/>
    <w:rsid w:val="000766C7"/>
    <w:rsid w:val="000819DF"/>
    <w:rsid w:val="00087664"/>
    <w:rsid w:val="00087EEF"/>
    <w:rsid w:val="000939E2"/>
    <w:rsid w:val="00093DAE"/>
    <w:rsid w:val="000961C4"/>
    <w:rsid w:val="000A1117"/>
    <w:rsid w:val="000A4086"/>
    <w:rsid w:val="000A501E"/>
    <w:rsid w:val="000A5244"/>
    <w:rsid w:val="000B3B62"/>
    <w:rsid w:val="000B58EA"/>
    <w:rsid w:val="000B6423"/>
    <w:rsid w:val="000C1F34"/>
    <w:rsid w:val="000D1E1C"/>
    <w:rsid w:val="000D2AE3"/>
    <w:rsid w:val="000D6F59"/>
    <w:rsid w:val="000E0F0B"/>
    <w:rsid w:val="000F48A6"/>
    <w:rsid w:val="00100D3E"/>
    <w:rsid w:val="00106E59"/>
    <w:rsid w:val="00107410"/>
    <w:rsid w:val="001147AC"/>
    <w:rsid w:val="00115C7E"/>
    <w:rsid w:val="00115F9D"/>
    <w:rsid w:val="001216C9"/>
    <w:rsid w:val="00122E23"/>
    <w:rsid w:val="001236E2"/>
    <w:rsid w:val="0012702F"/>
    <w:rsid w:val="00127356"/>
    <w:rsid w:val="00131CD8"/>
    <w:rsid w:val="00135477"/>
    <w:rsid w:val="00143ACD"/>
    <w:rsid w:val="001471D0"/>
    <w:rsid w:val="001522B9"/>
    <w:rsid w:val="001542D9"/>
    <w:rsid w:val="00155426"/>
    <w:rsid w:val="00161729"/>
    <w:rsid w:val="0016279D"/>
    <w:rsid w:val="00172A27"/>
    <w:rsid w:val="00173D85"/>
    <w:rsid w:val="00176374"/>
    <w:rsid w:val="0018126B"/>
    <w:rsid w:val="001817FD"/>
    <w:rsid w:val="001835F1"/>
    <w:rsid w:val="00193349"/>
    <w:rsid w:val="001A28EC"/>
    <w:rsid w:val="001A55E0"/>
    <w:rsid w:val="001B55D6"/>
    <w:rsid w:val="001C1CA4"/>
    <w:rsid w:val="001D30C1"/>
    <w:rsid w:val="001D4974"/>
    <w:rsid w:val="001D68B1"/>
    <w:rsid w:val="001D7C10"/>
    <w:rsid w:val="001E5432"/>
    <w:rsid w:val="001E63D9"/>
    <w:rsid w:val="001F1C57"/>
    <w:rsid w:val="001F1FA8"/>
    <w:rsid w:val="001F655E"/>
    <w:rsid w:val="00200F39"/>
    <w:rsid w:val="002031EF"/>
    <w:rsid w:val="0020401F"/>
    <w:rsid w:val="00204C8F"/>
    <w:rsid w:val="00204D2B"/>
    <w:rsid w:val="00206D93"/>
    <w:rsid w:val="00210AD9"/>
    <w:rsid w:val="002158DD"/>
    <w:rsid w:val="00220520"/>
    <w:rsid w:val="00220F87"/>
    <w:rsid w:val="00222D93"/>
    <w:rsid w:val="002233D9"/>
    <w:rsid w:val="0022551D"/>
    <w:rsid w:val="00232B60"/>
    <w:rsid w:val="00232D42"/>
    <w:rsid w:val="00235229"/>
    <w:rsid w:val="00242075"/>
    <w:rsid w:val="00242BC2"/>
    <w:rsid w:val="00257B23"/>
    <w:rsid w:val="00261221"/>
    <w:rsid w:val="00264CC9"/>
    <w:rsid w:val="0027122C"/>
    <w:rsid w:val="00272728"/>
    <w:rsid w:val="002736D7"/>
    <w:rsid w:val="00282B37"/>
    <w:rsid w:val="00283A8A"/>
    <w:rsid w:val="00287A07"/>
    <w:rsid w:val="0029057D"/>
    <w:rsid w:val="0029202B"/>
    <w:rsid w:val="00293A92"/>
    <w:rsid w:val="002B50B3"/>
    <w:rsid w:val="002B6F4A"/>
    <w:rsid w:val="002C1604"/>
    <w:rsid w:val="002C278C"/>
    <w:rsid w:val="002D749D"/>
    <w:rsid w:val="002E7DCB"/>
    <w:rsid w:val="002F196D"/>
    <w:rsid w:val="002F37EE"/>
    <w:rsid w:val="002F4BD9"/>
    <w:rsid w:val="002F7A62"/>
    <w:rsid w:val="003015D5"/>
    <w:rsid w:val="00303AE4"/>
    <w:rsid w:val="0031003B"/>
    <w:rsid w:val="00313C15"/>
    <w:rsid w:val="00325B19"/>
    <w:rsid w:val="00330957"/>
    <w:rsid w:val="003314C6"/>
    <w:rsid w:val="003471C4"/>
    <w:rsid w:val="00352A1D"/>
    <w:rsid w:val="00362899"/>
    <w:rsid w:val="003651D2"/>
    <w:rsid w:val="00371629"/>
    <w:rsid w:val="00377385"/>
    <w:rsid w:val="00382839"/>
    <w:rsid w:val="00382863"/>
    <w:rsid w:val="00384153"/>
    <w:rsid w:val="00385494"/>
    <w:rsid w:val="003909BF"/>
    <w:rsid w:val="0039147E"/>
    <w:rsid w:val="003940FE"/>
    <w:rsid w:val="003944F2"/>
    <w:rsid w:val="003A41A6"/>
    <w:rsid w:val="003A5071"/>
    <w:rsid w:val="003A5FB0"/>
    <w:rsid w:val="003A6E0C"/>
    <w:rsid w:val="003A779E"/>
    <w:rsid w:val="003B142F"/>
    <w:rsid w:val="003B6E4D"/>
    <w:rsid w:val="003C1854"/>
    <w:rsid w:val="003C2EC1"/>
    <w:rsid w:val="003D10EC"/>
    <w:rsid w:val="003D24E4"/>
    <w:rsid w:val="003E105D"/>
    <w:rsid w:val="003E193E"/>
    <w:rsid w:val="003E1C2D"/>
    <w:rsid w:val="003E72C9"/>
    <w:rsid w:val="003F00E5"/>
    <w:rsid w:val="00402BA7"/>
    <w:rsid w:val="00402C3F"/>
    <w:rsid w:val="004053D9"/>
    <w:rsid w:val="0041080E"/>
    <w:rsid w:val="004124E7"/>
    <w:rsid w:val="004167A7"/>
    <w:rsid w:val="00416A41"/>
    <w:rsid w:val="0042095A"/>
    <w:rsid w:val="00434004"/>
    <w:rsid w:val="00443684"/>
    <w:rsid w:val="00443E34"/>
    <w:rsid w:val="00447151"/>
    <w:rsid w:val="0045006E"/>
    <w:rsid w:val="004546E4"/>
    <w:rsid w:val="0045646B"/>
    <w:rsid w:val="00467951"/>
    <w:rsid w:val="00473FEE"/>
    <w:rsid w:val="00477F6C"/>
    <w:rsid w:val="004821C8"/>
    <w:rsid w:val="00483455"/>
    <w:rsid w:val="00484DDE"/>
    <w:rsid w:val="00485B69"/>
    <w:rsid w:val="00486051"/>
    <w:rsid w:val="004868EE"/>
    <w:rsid w:val="00486FB9"/>
    <w:rsid w:val="004922CF"/>
    <w:rsid w:val="00497990"/>
    <w:rsid w:val="004A1096"/>
    <w:rsid w:val="004A1DAC"/>
    <w:rsid w:val="004A2763"/>
    <w:rsid w:val="004A54AE"/>
    <w:rsid w:val="004B2620"/>
    <w:rsid w:val="004B30C4"/>
    <w:rsid w:val="004B3200"/>
    <w:rsid w:val="004B3E54"/>
    <w:rsid w:val="004B43B2"/>
    <w:rsid w:val="004B5807"/>
    <w:rsid w:val="004B77F2"/>
    <w:rsid w:val="004C0E7B"/>
    <w:rsid w:val="004C5696"/>
    <w:rsid w:val="004C7D86"/>
    <w:rsid w:val="004D2CC9"/>
    <w:rsid w:val="004D2DC5"/>
    <w:rsid w:val="004D7FD4"/>
    <w:rsid w:val="004E2811"/>
    <w:rsid w:val="004E2FB0"/>
    <w:rsid w:val="004E6D33"/>
    <w:rsid w:val="004F5098"/>
    <w:rsid w:val="00501433"/>
    <w:rsid w:val="005076C5"/>
    <w:rsid w:val="005152D2"/>
    <w:rsid w:val="00517EEB"/>
    <w:rsid w:val="00521081"/>
    <w:rsid w:val="00522007"/>
    <w:rsid w:val="00522C77"/>
    <w:rsid w:val="00523467"/>
    <w:rsid w:val="005241AF"/>
    <w:rsid w:val="00526A37"/>
    <w:rsid w:val="00530722"/>
    <w:rsid w:val="005323A0"/>
    <w:rsid w:val="00542CCB"/>
    <w:rsid w:val="00552A3B"/>
    <w:rsid w:val="00552D3C"/>
    <w:rsid w:val="00555915"/>
    <w:rsid w:val="00555BBB"/>
    <w:rsid w:val="00556C97"/>
    <w:rsid w:val="005641EC"/>
    <w:rsid w:val="00566F53"/>
    <w:rsid w:val="005716FB"/>
    <w:rsid w:val="005722EA"/>
    <w:rsid w:val="00572658"/>
    <w:rsid w:val="005730D0"/>
    <w:rsid w:val="00573730"/>
    <w:rsid w:val="00574C45"/>
    <w:rsid w:val="0057607C"/>
    <w:rsid w:val="00580607"/>
    <w:rsid w:val="00580D0B"/>
    <w:rsid w:val="00581B2C"/>
    <w:rsid w:val="00582B49"/>
    <w:rsid w:val="00586CC4"/>
    <w:rsid w:val="005874A1"/>
    <w:rsid w:val="005964FB"/>
    <w:rsid w:val="005A6F75"/>
    <w:rsid w:val="005A74EE"/>
    <w:rsid w:val="005B22EB"/>
    <w:rsid w:val="005B67B5"/>
    <w:rsid w:val="005B6F2F"/>
    <w:rsid w:val="005B751C"/>
    <w:rsid w:val="005C264B"/>
    <w:rsid w:val="005C2804"/>
    <w:rsid w:val="005C7C64"/>
    <w:rsid w:val="005D226F"/>
    <w:rsid w:val="005D2DF5"/>
    <w:rsid w:val="005D7F07"/>
    <w:rsid w:val="005E2CE5"/>
    <w:rsid w:val="005E5ACC"/>
    <w:rsid w:val="005E7631"/>
    <w:rsid w:val="005F308D"/>
    <w:rsid w:val="005F66C2"/>
    <w:rsid w:val="005F75B6"/>
    <w:rsid w:val="006039BD"/>
    <w:rsid w:val="006065FA"/>
    <w:rsid w:val="00606764"/>
    <w:rsid w:val="006125F1"/>
    <w:rsid w:val="00612CE4"/>
    <w:rsid w:val="0061427B"/>
    <w:rsid w:val="00615404"/>
    <w:rsid w:val="00616704"/>
    <w:rsid w:val="0062254A"/>
    <w:rsid w:val="0063185F"/>
    <w:rsid w:val="00633431"/>
    <w:rsid w:val="00635011"/>
    <w:rsid w:val="006378F8"/>
    <w:rsid w:val="00637DD2"/>
    <w:rsid w:val="006400EC"/>
    <w:rsid w:val="00640989"/>
    <w:rsid w:val="006420C7"/>
    <w:rsid w:val="00643813"/>
    <w:rsid w:val="00645370"/>
    <w:rsid w:val="00653BB2"/>
    <w:rsid w:val="00656FC3"/>
    <w:rsid w:val="0066531B"/>
    <w:rsid w:val="00666F11"/>
    <w:rsid w:val="0067138A"/>
    <w:rsid w:val="006716B4"/>
    <w:rsid w:val="0067459E"/>
    <w:rsid w:val="006762BB"/>
    <w:rsid w:val="00676505"/>
    <w:rsid w:val="0068255A"/>
    <w:rsid w:val="006844B6"/>
    <w:rsid w:val="00685564"/>
    <w:rsid w:val="00685E3B"/>
    <w:rsid w:val="00687BB7"/>
    <w:rsid w:val="00694637"/>
    <w:rsid w:val="00695D82"/>
    <w:rsid w:val="006A2CF8"/>
    <w:rsid w:val="006A2E73"/>
    <w:rsid w:val="006B71C5"/>
    <w:rsid w:val="006C5BAB"/>
    <w:rsid w:val="006C6DC6"/>
    <w:rsid w:val="006C793C"/>
    <w:rsid w:val="006D210C"/>
    <w:rsid w:val="006D41A5"/>
    <w:rsid w:val="006E179F"/>
    <w:rsid w:val="006E3AF6"/>
    <w:rsid w:val="006F58A5"/>
    <w:rsid w:val="0070249D"/>
    <w:rsid w:val="007044DD"/>
    <w:rsid w:val="00706CBA"/>
    <w:rsid w:val="00711F15"/>
    <w:rsid w:val="0071347C"/>
    <w:rsid w:val="00721167"/>
    <w:rsid w:val="00722601"/>
    <w:rsid w:val="00727172"/>
    <w:rsid w:val="00731D8D"/>
    <w:rsid w:val="0073292A"/>
    <w:rsid w:val="007436FA"/>
    <w:rsid w:val="00750B95"/>
    <w:rsid w:val="007550FA"/>
    <w:rsid w:val="00757D41"/>
    <w:rsid w:val="00767107"/>
    <w:rsid w:val="00767269"/>
    <w:rsid w:val="00775DEB"/>
    <w:rsid w:val="007768CE"/>
    <w:rsid w:val="00780F44"/>
    <w:rsid w:val="0078286A"/>
    <w:rsid w:val="00782945"/>
    <w:rsid w:val="0078296A"/>
    <w:rsid w:val="00782A6F"/>
    <w:rsid w:val="00786F98"/>
    <w:rsid w:val="00792C74"/>
    <w:rsid w:val="00793486"/>
    <w:rsid w:val="007934A4"/>
    <w:rsid w:val="00794445"/>
    <w:rsid w:val="00795FDE"/>
    <w:rsid w:val="007A386E"/>
    <w:rsid w:val="007A54FD"/>
    <w:rsid w:val="007A602E"/>
    <w:rsid w:val="007A6DB7"/>
    <w:rsid w:val="007B6E9E"/>
    <w:rsid w:val="007B7B25"/>
    <w:rsid w:val="007C314D"/>
    <w:rsid w:val="007C3526"/>
    <w:rsid w:val="007C352D"/>
    <w:rsid w:val="007C3C80"/>
    <w:rsid w:val="007C577C"/>
    <w:rsid w:val="007C77D2"/>
    <w:rsid w:val="007D2001"/>
    <w:rsid w:val="007D4151"/>
    <w:rsid w:val="007D5847"/>
    <w:rsid w:val="007D5E0D"/>
    <w:rsid w:val="007E4C83"/>
    <w:rsid w:val="007E605F"/>
    <w:rsid w:val="007E6151"/>
    <w:rsid w:val="0080158B"/>
    <w:rsid w:val="008019D5"/>
    <w:rsid w:val="0080249E"/>
    <w:rsid w:val="00806ACE"/>
    <w:rsid w:val="008177CE"/>
    <w:rsid w:val="00822E5F"/>
    <w:rsid w:val="00827021"/>
    <w:rsid w:val="0082736C"/>
    <w:rsid w:val="00831829"/>
    <w:rsid w:val="00832DA2"/>
    <w:rsid w:val="00835F3E"/>
    <w:rsid w:val="00837C35"/>
    <w:rsid w:val="00840199"/>
    <w:rsid w:val="00844684"/>
    <w:rsid w:val="00846013"/>
    <w:rsid w:val="00846D64"/>
    <w:rsid w:val="0085137F"/>
    <w:rsid w:val="0085430F"/>
    <w:rsid w:val="00854840"/>
    <w:rsid w:val="00854B59"/>
    <w:rsid w:val="008573AF"/>
    <w:rsid w:val="008579D4"/>
    <w:rsid w:val="008605BE"/>
    <w:rsid w:val="0086240B"/>
    <w:rsid w:val="008648BF"/>
    <w:rsid w:val="00866399"/>
    <w:rsid w:val="00867819"/>
    <w:rsid w:val="00867CDE"/>
    <w:rsid w:val="008718A0"/>
    <w:rsid w:val="00872208"/>
    <w:rsid w:val="00876F0E"/>
    <w:rsid w:val="00881D62"/>
    <w:rsid w:val="008878E3"/>
    <w:rsid w:val="008923FE"/>
    <w:rsid w:val="00892B24"/>
    <w:rsid w:val="00896DCE"/>
    <w:rsid w:val="008A2058"/>
    <w:rsid w:val="008A5E40"/>
    <w:rsid w:val="008B563D"/>
    <w:rsid w:val="008C0040"/>
    <w:rsid w:val="008C10DA"/>
    <w:rsid w:val="008C4BE8"/>
    <w:rsid w:val="008C5620"/>
    <w:rsid w:val="008C77D3"/>
    <w:rsid w:val="008D4BD9"/>
    <w:rsid w:val="008E1BF8"/>
    <w:rsid w:val="008E71E9"/>
    <w:rsid w:val="008F3127"/>
    <w:rsid w:val="008F5943"/>
    <w:rsid w:val="008F5F2B"/>
    <w:rsid w:val="008F75CA"/>
    <w:rsid w:val="0090296C"/>
    <w:rsid w:val="009068DE"/>
    <w:rsid w:val="00910A42"/>
    <w:rsid w:val="00911B69"/>
    <w:rsid w:val="00914724"/>
    <w:rsid w:val="00917540"/>
    <w:rsid w:val="0092229B"/>
    <w:rsid w:val="00927028"/>
    <w:rsid w:val="009276CD"/>
    <w:rsid w:val="009322F2"/>
    <w:rsid w:val="0093235B"/>
    <w:rsid w:val="00943B70"/>
    <w:rsid w:val="009465EC"/>
    <w:rsid w:val="00955D76"/>
    <w:rsid w:val="0096259C"/>
    <w:rsid w:val="00967C7A"/>
    <w:rsid w:val="00985426"/>
    <w:rsid w:val="009856BE"/>
    <w:rsid w:val="009925F0"/>
    <w:rsid w:val="00992F9E"/>
    <w:rsid w:val="00994177"/>
    <w:rsid w:val="009A1060"/>
    <w:rsid w:val="009A2FFF"/>
    <w:rsid w:val="009A3011"/>
    <w:rsid w:val="009A3987"/>
    <w:rsid w:val="009B2880"/>
    <w:rsid w:val="009B3EB1"/>
    <w:rsid w:val="009B434C"/>
    <w:rsid w:val="009B63FE"/>
    <w:rsid w:val="009C3068"/>
    <w:rsid w:val="009C58AD"/>
    <w:rsid w:val="009C7CE4"/>
    <w:rsid w:val="009D29D4"/>
    <w:rsid w:val="009D4262"/>
    <w:rsid w:val="009D4B8B"/>
    <w:rsid w:val="009D674C"/>
    <w:rsid w:val="009D6F4E"/>
    <w:rsid w:val="009E6329"/>
    <w:rsid w:val="009E68B8"/>
    <w:rsid w:val="009F05C4"/>
    <w:rsid w:val="009F656D"/>
    <w:rsid w:val="00A057C4"/>
    <w:rsid w:val="00A1130D"/>
    <w:rsid w:val="00A1456C"/>
    <w:rsid w:val="00A17047"/>
    <w:rsid w:val="00A20238"/>
    <w:rsid w:val="00A20E65"/>
    <w:rsid w:val="00A216BA"/>
    <w:rsid w:val="00A25906"/>
    <w:rsid w:val="00A35AC2"/>
    <w:rsid w:val="00A40584"/>
    <w:rsid w:val="00A54250"/>
    <w:rsid w:val="00A65CB5"/>
    <w:rsid w:val="00A660F6"/>
    <w:rsid w:val="00A662AD"/>
    <w:rsid w:val="00A7202F"/>
    <w:rsid w:val="00A7291D"/>
    <w:rsid w:val="00A850E7"/>
    <w:rsid w:val="00A91258"/>
    <w:rsid w:val="00A93386"/>
    <w:rsid w:val="00A971CD"/>
    <w:rsid w:val="00A97B63"/>
    <w:rsid w:val="00AA5329"/>
    <w:rsid w:val="00AA5387"/>
    <w:rsid w:val="00AA6FBB"/>
    <w:rsid w:val="00AA6FCF"/>
    <w:rsid w:val="00AB0178"/>
    <w:rsid w:val="00AB03A3"/>
    <w:rsid w:val="00AB1E74"/>
    <w:rsid w:val="00AB6209"/>
    <w:rsid w:val="00AC07CE"/>
    <w:rsid w:val="00AC2179"/>
    <w:rsid w:val="00AC3434"/>
    <w:rsid w:val="00AC4476"/>
    <w:rsid w:val="00AC5A5F"/>
    <w:rsid w:val="00AC6DF1"/>
    <w:rsid w:val="00AD1046"/>
    <w:rsid w:val="00AD740C"/>
    <w:rsid w:val="00AE22FC"/>
    <w:rsid w:val="00AE7244"/>
    <w:rsid w:val="00AF0231"/>
    <w:rsid w:val="00AF2D3C"/>
    <w:rsid w:val="00AF3BDD"/>
    <w:rsid w:val="00B0630A"/>
    <w:rsid w:val="00B07D18"/>
    <w:rsid w:val="00B126A6"/>
    <w:rsid w:val="00B128AD"/>
    <w:rsid w:val="00B205C8"/>
    <w:rsid w:val="00B2141C"/>
    <w:rsid w:val="00B24EA2"/>
    <w:rsid w:val="00B2624A"/>
    <w:rsid w:val="00B26B83"/>
    <w:rsid w:val="00B27AC3"/>
    <w:rsid w:val="00B4183E"/>
    <w:rsid w:val="00B4520D"/>
    <w:rsid w:val="00B454B7"/>
    <w:rsid w:val="00B51837"/>
    <w:rsid w:val="00B52E6C"/>
    <w:rsid w:val="00B5681C"/>
    <w:rsid w:val="00B576E7"/>
    <w:rsid w:val="00B57C28"/>
    <w:rsid w:val="00B64C32"/>
    <w:rsid w:val="00B65010"/>
    <w:rsid w:val="00B665E0"/>
    <w:rsid w:val="00B72841"/>
    <w:rsid w:val="00B7779D"/>
    <w:rsid w:val="00B80287"/>
    <w:rsid w:val="00BA00A3"/>
    <w:rsid w:val="00BA05BC"/>
    <w:rsid w:val="00BA20FA"/>
    <w:rsid w:val="00BA2803"/>
    <w:rsid w:val="00BA39CF"/>
    <w:rsid w:val="00BA3FEC"/>
    <w:rsid w:val="00BA6ED8"/>
    <w:rsid w:val="00BA718F"/>
    <w:rsid w:val="00BA7A4E"/>
    <w:rsid w:val="00BB273F"/>
    <w:rsid w:val="00BB43D4"/>
    <w:rsid w:val="00BB7D74"/>
    <w:rsid w:val="00BC1762"/>
    <w:rsid w:val="00BC6BD3"/>
    <w:rsid w:val="00BC7E35"/>
    <w:rsid w:val="00BD1600"/>
    <w:rsid w:val="00BD19D3"/>
    <w:rsid w:val="00BD1E34"/>
    <w:rsid w:val="00BD5C35"/>
    <w:rsid w:val="00BF00C5"/>
    <w:rsid w:val="00BF30F3"/>
    <w:rsid w:val="00BF3E07"/>
    <w:rsid w:val="00BF6110"/>
    <w:rsid w:val="00BF62E2"/>
    <w:rsid w:val="00C00679"/>
    <w:rsid w:val="00C00D8B"/>
    <w:rsid w:val="00C075F4"/>
    <w:rsid w:val="00C11A0A"/>
    <w:rsid w:val="00C14268"/>
    <w:rsid w:val="00C1475C"/>
    <w:rsid w:val="00C15B53"/>
    <w:rsid w:val="00C174E9"/>
    <w:rsid w:val="00C23C23"/>
    <w:rsid w:val="00C26D4E"/>
    <w:rsid w:val="00C30287"/>
    <w:rsid w:val="00C33BB1"/>
    <w:rsid w:val="00C52315"/>
    <w:rsid w:val="00C56A37"/>
    <w:rsid w:val="00C61845"/>
    <w:rsid w:val="00C633F3"/>
    <w:rsid w:val="00C66532"/>
    <w:rsid w:val="00C74843"/>
    <w:rsid w:val="00C75DE4"/>
    <w:rsid w:val="00C76775"/>
    <w:rsid w:val="00C80C12"/>
    <w:rsid w:val="00C82B99"/>
    <w:rsid w:val="00C87428"/>
    <w:rsid w:val="00C92B83"/>
    <w:rsid w:val="00C94C8E"/>
    <w:rsid w:val="00C952C0"/>
    <w:rsid w:val="00CA071F"/>
    <w:rsid w:val="00CA2EE9"/>
    <w:rsid w:val="00CA4801"/>
    <w:rsid w:val="00CB20B8"/>
    <w:rsid w:val="00CB4F3B"/>
    <w:rsid w:val="00CC2A19"/>
    <w:rsid w:val="00CC5DCF"/>
    <w:rsid w:val="00CC698D"/>
    <w:rsid w:val="00CD14CB"/>
    <w:rsid w:val="00CD3A85"/>
    <w:rsid w:val="00CD738A"/>
    <w:rsid w:val="00CE67D3"/>
    <w:rsid w:val="00CF0F42"/>
    <w:rsid w:val="00CF2277"/>
    <w:rsid w:val="00CF3840"/>
    <w:rsid w:val="00CF3B98"/>
    <w:rsid w:val="00CF43A6"/>
    <w:rsid w:val="00CF6628"/>
    <w:rsid w:val="00CF6B39"/>
    <w:rsid w:val="00CF76C4"/>
    <w:rsid w:val="00D0035D"/>
    <w:rsid w:val="00D031CF"/>
    <w:rsid w:val="00D03C52"/>
    <w:rsid w:val="00D16205"/>
    <w:rsid w:val="00D223E8"/>
    <w:rsid w:val="00D2268E"/>
    <w:rsid w:val="00D259BC"/>
    <w:rsid w:val="00D30A73"/>
    <w:rsid w:val="00D3708C"/>
    <w:rsid w:val="00D4195D"/>
    <w:rsid w:val="00D52C84"/>
    <w:rsid w:val="00D53F00"/>
    <w:rsid w:val="00D5583F"/>
    <w:rsid w:val="00D570B6"/>
    <w:rsid w:val="00D572D5"/>
    <w:rsid w:val="00D6086C"/>
    <w:rsid w:val="00D62A8A"/>
    <w:rsid w:val="00D744B2"/>
    <w:rsid w:val="00D84750"/>
    <w:rsid w:val="00D851D5"/>
    <w:rsid w:val="00D864BC"/>
    <w:rsid w:val="00D96E7C"/>
    <w:rsid w:val="00DA6D4B"/>
    <w:rsid w:val="00DB33DF"/>
    <w:rsid w:val="00DB38DF"/>
    <w:rsid w:val="00DB6A36"/>
    <w:rsid w:val="00DB7EBB"/>
    <w:rsid w:val="00DC2AC4"/>
    <w:rsid w:val="00DC6D12"/>
    <w:rsid w:val="00DD10FB"/>
    <w:rsid w:val="00DD63D4"/>
    <w:rsid w:val="00DD6CF9"/>
    <w:rsid w:val="00DD7350"/>
    <w:rsid w:val="00DE0BD1"/>
    <w:rsid w:val="00DE1ECA"/>
    <w:rsid w:val="00DE2A90"/>
    <w:rsid w:val="00DF0D14"/>
    <w:rsid w:val="00DF0E96"/>
    <w:rsid w:val="00DF50C9"/>
    <w:rsid w:val="00E02B52"/>
    <w:rsid w:val="00E14DEA"/>
    <w:rsid w:val="00E151E7"/>
    <w:rsid w:val="00E2153A"/>
    <w:rsid w:val="00E233E5"/>
    <w:rsid w:val="00E36F83"/>
    <w:rsid w:val="00E4786D"/>
    <w:rsid w:val="00E51396"/>
    <w:rsid w:val="00E54679"/>
    <w:rsid w:val="00E56A17"/>
    <w:rsid w:val="00E56EA2"/>
    <w:rsid w:val="00E57A6B"/>
    <w:rsid w:val="00E57FA2"/>
    <w:rsid w:val="00E65053"/>
    <w:rsid w:val="00E65658"/>
    <w:rsid w:val="00E715F4"/>
    <w:rsid w:val="00E7370D"/>
    <w:rsid w:val="00E74EA0"/>
    <w:rsid w:val="00E754C8"/>
    <w:rsid w:val="00E90757"/>
    <w:rsid w:val="00E93C20"/>
    <w:rsid w:val="00E943D9"/>
    <w:rsid w:val="00E97703"/>
    <w:rsid w:val="00EA2383"/>
    <w:rsid w:val="00EA3412"/>
    <w:rsid w:val="00EA406D"/>
    <w:rsid w:val="00EA4712"/>
    <w:rsid w:val="00EA5AF9"/>
    <w:rsid w:val="00EA5E49"/>
    <w:rsid w:val="00EB0D12"/>
    <w:rsid w:val="00EB5A0C"/>
    <w:rsid w:val="00EB6CCC"/>
    <w:rsid w:val="00EB6D72"/>
    <w:rsid w:val="00EC21AC"/>
    <w:rsid w:val="00EC3600"/>
    <w:rsid w:val="00EC4D38"/>
    <w:rsid w:val="00EC5845"/>
    <w:rsid w:val="00EC5AEC"/>
    <w:rsid w:val="00ED053B"/>
    <w:rsid w:val="00ED1A74"/>
    <w:rsid w:val="00ED66EC"/>
    <w:rsid w:val="00EE18F4"/>
    <w:rsid w:val="00EE1C27"/>
    <w:rsid w:val="00EE68F9"/>
    <w:rsid w:val="00EF1185"/>
    <w:rsid w:val="00EF68CB"/>
    <w:rsid w:val="00F00877"/>
    <w:rsid w:val="00F008D2"/>
    <w:rsid w:val="00F13DD7"/>
    <w:rsid w:val="00F16322"/>
    <w:rsid w:val="00F21F93"/>
    <w:rsid w:val="00F22C93"/>
    <w:rsid w:val="00F22CD7"/>
    <w:rsid w:val="00F234B6"/>
    <w:rsid w:val="00F23673"/>
    <w:rsid w:val="00F26BFB"/>
    <w:rsid w:val="00F34D8D"/>
    <w:rsid w:val="00F35888"/>
    <w:rsid w:val="00F407DA"/>
    <w:rsid w:val="00F432F0"/>
    <w:rsid w:val="00F46F53"/>
    <w:rsid w:val="00F50B2D"/>
    <w:rsid w:val="00F546DA"/>
    <w:rsid w:val="00F5538F"/>
    <w:rsid w:val="00F57B22"/>
    <w:rsid w:val="00F65773"/>
    <w:rsid w:val="00F6726D"/>
    <w:rsid w:val="00F676A6"/>
    <w:rsid w:val="00F73704"/>
    <w:rsid w:val="00F74362"/>
    <w:rsid w:val="00F762A1"/>
    <w:rsid w:val="00F76E6A"/>
    <w:rsid w:val="00F81168"/>
    <w:rsid w:val="00F82500"/>
    <w:rsid w:val="00F82C82"/>
    <w:rsid w:val="00F83D0C"/>
    <w:rsid w:val="00F908C9"/>
    <w:rsid w:val="00F92246"/>
    <w:rsid w:val="00F93924"/>
    <w:rsid w:val="00F962A3"/>
    <w:rsid w:val="00F96D45"/>
    <w:rsid w:val="00FA04C4"/>
    <w:rsid w:val="00FA0DE6"/>
    <w:rsid w:val="00FB3265"/>
    <w:rsid w:val="00FB399D"/>
    <w:rsid w:val="00FB61B3"/>
    <w:rsid w:val="00FB7AB8"/>
    <w:rsid w:val="00FC0ADB"/>
    <w:rsid w:val="00FC3E09"/>
    <w:rsid w:val="00FC5896"/>
    <w:rsid w:val="00FC5DA3"/>
    <w:rsid w:val="00FC6F9C"/>
    <w:rsid w:val="00FD05E1"/>
    <w:rsid w:val="00FD12CF"/>
    <w:rsid w:val="00FD21E8"/>
    <w:rsid w:val="00FD24D3"/>
    <w:rsid w:val="00FD73A6"/>
    <w:rsid w:val="00FD75EA"/>
    <w:rsid w:val="00FE29CC"/>
    <w:rsid w:val="00FE4F5F"/>
    <w:rsid w:val="00FE70F3"/>
    <w:rsid w:val="00FE77C8"/>
    <w:rsid w:val="00FF0C14"/>
    <w:rsid w:val="00FF12D2"/>
    <w:rsid w:val="00FF24B6"/>
    <w:rsid w:val="00FF35C6"/>
    <w:rsid w:val="00FF39A9"/>
    <w:rsid w:val="00FF39CA"/>
    <w:rsid w:val="00FF58CB"/>
    <w:rsid w:val="00FF71C1"/>
    <w:rsid w:val="01BF4FAE"/>
    <w:rsid w:val="04171903"/>
    <w:rsid w:val="06DE006E"/>
    <w:rsid w:val="076D097F"/>
    <w:rsid w:val="08B1624E"/>
    <w:rsid w:val="08D7180B"/>
    <w:rsid w:val="09F80122"/>
    <w:rsid w:val="0BDB3C75"/>
    <w:rsid w:val="0BE17C74"/>
    <w:rsid w:val="0E8430A7"/>
    <w:rsid w:val="10F94B4C"/>
    <w:rsid w:val="11395DCD"/>
    <w:rsid w:val="12852ECE"/>
    <w:rsid w:val="12C529AE"/>
    <w:rsid w:val="15D20B41"/>
    <w:rsid w:val="16524CCA"/>
    <w:rsid w:val="192B6E3F"/>
    <w:rsid w:val="19712C91"/>
    <w:rsid w:val="19BA6317"/>
    <w:rsid w:val="19F1533F"/>
    <w:rsid w:val="1AE45850"/>
    <w:rsid w:val="1D1C36BF"/>
    <w:rsid w:val="1D65073F"/>
    <w:rsid w:val="1E6F4D73"/>
    <w:rsid w:val="1FBC7B4B"/>
    <w:rsid w:val="1FCD8B53"/>
    <w:rsid w:val="1FCF60EE"/>
    <w:rsid w:val="217C34F5"/>
    <w:rsid w:val="24E635AE"/>
    <w:rsid w:val="2D08028C"/>
    <w:rsid w:val="2D1722D6"/>
    <w:rsid w:val="2E5444BD"/>
    <w:rsid w:val="32741B50"/>
    <w:rsid w:val="33562A62"/>
    <w:rsid w:val="3646469C"/>
    <w:rsid w:val="37522155"/>
    <w:rsid w:val="375E646E"/>
    <w:rsid w:val="398F0DF7"/>
    <w:rsid w:val="3C27344C"/>
    <w:rsid w:val="3CEC23D4"/>
    <w:rsid w:val="3D086F1C"/>
    <w:rsid w:val="3D9D6768"/>
    <w:rsid w:val="3F9E6ADF"/>
    <w:rsid w:val="41102052"/>
    <w:rsid w:val="46C75CE3"/>
    <w:rsid w:val="46DC258D"/>
    <w:rsid w:val="4BEB44D6"/>
    <w:rsid w:val="4C2F6A93"/>
    <w:rsid w:val="4CF223D6"/>
    <w:rsid w:val="4D064FDB"/>
    <w:rsid w:val="4D130EBE"/>
    <w:rsid w:val="51CC19DC"/>
    <w:rsid w:val="52030A04"/>
    <w:rsid w:val="547B0B88"/>
    <w:rsid w:val="54F76AB1"/>
    <w:rsid w:val="562B40AD"/>
    <w:rsid w:val="56A64433"/>
    <w:rsid w:val="577F761C"/>
    <w:rsid w:val="590A5AEE"/>
    <w:rsid w:val="5B0B28E7"/>
    <w:rsid w:val="5B477014"/>
    <w:rsid w:val="5C8A5769"/>
    <w:rsid w:val="5EAF4B18"/>
    <w:rsid w:val="5FED00DD"/>
    <w:rsid w:val="60337D7E"/>
    <w:rsid w:val="606C2025"/>
    <w:rsid w:val="61F3541A"/>
    <w:rsid w:val="61FE401D"/>
    <w:rsid w:val="63994C2A"/>
    <w:rsid w:val="67CF1169"/>
    <w:rsid w:val="68D51CAB"/>
    <w:rsid w:val="69E6099B"/>
    <w:rsid w:val="6AB311A9"/>
    <w:rsid w:val="6ADD3921"/>
    <w:rsid w:val="6DAC0DCC"/>
    <w:rsid w:val="6EE37D1E"/>
    <w:rsid w:val="6EF64C2B"/>
    <w:rsid w:val="6F5DD42B"/>
    <w:rsid w:val="6FCFAF33"/>
    <w:rsid w:val="74546BF4"/>
    <w:rsid w:val="74AB77D4"/>
    <w:rsid w:val="75DF4748"/>
    <w:rsid w:val="77F570AD"/>
    <w:rsid w:val="77FFBBCC"/>
    <w:rsid w:val="78890175"/>
    <w:rsid w:val="78F138E6"/>
    <w:rsid w:val="7BAB4EB6"/>
    <w:rsid w:val="7C925839"/>
    <w:rsid w:val="9ECE4839"/>
    <w:rsid w:val="BFEB8EAF"/>
    <w:rsid w:val="C3D7F5DE"/>
    <w:rsid w:val="C71B6AE7"/>
    <w:rsid w:val="DBBFE761"/>
    <w:rsid w:val="DFDB1707"/>
    <w:rsid w:val="DFFF254C"/>
    <w:rsid w:val="E37FAA2D"/>
    <w:rsid w:val="F35EF52A"/>
    <w:rsid w:val="FAEA9FDB"/>
    <w:rsid w:val="FB96C761"/>
    <w:rsid w:val="FBB60E9B"/>
    <w:rsid w:val="FCD5D6EA"/>
    <w:rsid w:val="FCF90A2B"/>
    <w:rsid w:val="FDF23875"/>
    <w:rsid w:val="FEFB41F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semiHidden/>
    <w:unhideWhenUsed/>
    <w:qFormat/>
    <w:uiPriority w:val="0"/>
    <w:pPr>
      <w:widowControl/>
      <w:jc w:val="left"/>
    </w:pPr>
    <w:rPr>
      <w:rFonts w:eastAsia="Times New Roman" w:cstheme="minorBidi"/>
      <w:kern w:val="0"/>
      <w:szCs w:val="21"/>
    </w:rPr>
  </w:style>
  <w:style w:type="paragraph" w:styleId="4">
    <w:name w:val="Body Text Indent"/>
    <w:basedOn w:val="1"/>
    <w:qFormat/>
    <w:uiPriority w:val="0"/>
    <w:pPr>
      <w:ind w:firstLine="540"/>
    </w:pPr>
    <w:rPr>
      <w:sz w:val="28"/>
    </w:rPr>
  </w:style>
  <w:style w:type="paragraph" w:styleId="5">
    <w:name w:val="Plain Text"/>
    <w:basedOn w:val="1"/>
    <w:link w:val="13"/>
    <w:qFormat/>
    <w:uiPriority w:val="0"/>
    <w:rPr>
      <w:rFonts w:ascii="宋体" w:hAnsi="Courier New" w:eastAsia="楷体_GB2312"/>
      <w:sz w:val="28"/>
      <w:szCs w:val="20"/>
    </w:r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1">
    <w:name w:val="page number"/>
    <w:basedOn w:val="10"/>
    <w:qFormat/>
    <w:uiPriority w:val="0"/>
  </w:style>
  <w:style w:type="character" w:styleId="12">
    <w:name w:val="annotation reference"/>
    <w:basedOn w:val="10"/>
    <w:semiHidden/>
    <w:unhideWhenUsed/>
    <w:qFormat/>
    <w:uiPriority w:val="0"/>
    <w:rPr>
      <w:sz w:val="21"/>
      <w:szCs w:val="21"/>
    </w:rPr>
  </w:style>
  <w:style w:type="character" w:customStyle="1" w:styleId="13">
    <w:name w:val="纯文本 Char"/>
    <w:link w:val="5"/>
    <w:qFormat/>
    <w:uiPriority w:val="0"/>
    <w:rPr>
      <w:rFonts w:ascii="宋体" w:hAnsi="Courier New" w:eastAsia="楷体_GB2312"/>
      <w:kern w:val="2"/>
      <w:sz w:val="28"/>
    </w:rPr>
  </w:style>
  <w:style w:type="paragraph" w:customStyle="1" w:styleId="1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5">
    <w:name w:val="批注文字 Char"/>
    <w:basedOn w:val="10"/>
    <w:link w:val="3"/>
    <w:semiHidden/>
    <w:qFormat/>
    <w:uiPriority w:val="0"/>
    <w:rPr>
      <w:rFonts w:eastAsia="Times New Roman" w:cstheme="minorBidi"/>
      <w:sz w:val="21"/>
      <w:szCs w:val="21"/>
    </w:rPr>
  </w:style>
  <w:style w:type="paragraph" w:customStyle="1" w:styleId="16">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7">
    <w:name w:val="Revision"/>
    <w:hidden/>
    <w:unhideWhenUsed/>
    <w:qFormat/>
    <w:uiPriority w:val="99"/>
    <w:rPr>
      <w:rFonts w:ascii="Times New Roman" w:hAnsi="Times New Roman" w:eastAsia="宋体" w:cs="Times New Roman"/>
      <w:kern w:val="2"/>
      <w:sz w:val="21"/>
      <w:szCs w:val="24"/>
      <w:lang w:val="en-US" w:eastAsia="zh-CN" w:bidi="ar-SA"/>
    </w:rPr>
  </w:style>
  <w:style w:type="paragraph" w:customStyle="1" w:styleId="18">
    <w:name w:val="正文_4"/>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7</Pages>
  <Words>5575</Words>
  <Characters>6138</Characters>
  <Lines>45</Lines>
  <Paragraphs>12</Paragraphs>
  <TotalTime>1</TotalTime>
  <ScaleCrop>false</ScaleCrop>
  <LinksUpToDate>false</LinksUpToDate>
  <CharactersWithSpaces>6341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2024-01-04T08:14:00Z</dcterms:created>
  <dc:creator>CN=庄婷/OU=计划资源部/OU=富兴燃料/O=ZJENERGY</dc:creator>
  <cp:lastModifiedBy>俞寅超</cp:lastModifiedBy>
  <cp:lastPrinted>2022-10-02T06:27:00Z</cp:lastPrinted>
  <dcterms:modified xsi:type="dcterms:W3CDTF">2025-05-16T13:48:19Z</dcterms:modified>
  <dc:title>浙江浙能富兴燃料有限公司</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FD66372AE248BE960BFA8E67A9F480E2_43</vt:lpwstr>
  </property>
  <property fmtid="{D5CDD505-2E9C-101B-9397-08002B2CF9AE}" pid="4" name="KSOTemplateDocerSaveRecord">
    <vt:lpwstr>eyJoZGlkIjoiYTBmZGY4MTNjOGUwOTYyNzNiMGU1YjBlMjJlYjQ0MmEiLCJ1c2VySWQiOiIxNTczMzI5MjI3In0=</vt:lpwstr>
  </property>
</Properties>
</file>