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6A3621">
      <w:pPr>
        <w:pStyle w:val="4"/>
        <w:spacing w:before="120" w:after="120" w:line="460" w:lineRule="exact"/>
        <w:jc w:val="center"/>
        <w:rPr>
          <w:rStyle w:val="3"/>
          <w:rFonts w:ascii="宋体" w:hAnsi="宋体" w:cs="Times New Roman"/>
          <w:b/>
          <w:sz w:val="32"/>
          <w:szCs w:val="32"/>
        </w:rPr>
      </w:pPr>
      <w:bookmarkStart w:id="0" w:name="_Toc410052066"/>
      <w:bookmarkStart w:id="1" w:name="_Toc336511754"/>
      <w:bookmarkStart w:id="2" w:name="_Toc336503547"/>
      <w:bookmarkStart w:id="3" w:name="_Toc392362327"/>
      <w:r>
        <w:rPr>
          <w:rStyle w:val="3"/>
          <w:rFonts w:hint="eastAsia" w:ascii="宋体" w:hAnsi="宋体" w:cs="Times New Roman"/>
          <w:b/>
          <w:sz w:val="32"/>
          <w:szCs w:val="32"/>
        </w:rPr>
        <w:t xml:space="preserve"> 招标内容及技术要求</w:t>
      </w:r>
      <w:bookmarkEnd w:id="0"/>
      <w:bookmarkEnd w:id="1"/>
      <w:bookmarkEnd w:id="2"/>
      <w:bookmarkEnd w:id="3"/>
    </w:p>
    <w:p w14:paraId="483D78E4">
      <w:pPr>
        <w:pStyle w:val="5"/>
        <w:rPr>
          <w:rStyle w:val="3"/>
          <w:rFonts w:ascii="等线" w:hAnsi="等线" w:eastAsia="等线" w:cs="Times New Roman"/>
        </w:rPr>
      </w:pPr>
    </w:p>
    <w:p w14:paraId="037AED54">
      <w:pPr>
        <w:pStyle w:val="5"/>
        <w:numPr>
          <w:ilvl w:val="0"/>
          <w:numId w:val="0"/>
        </w:numPr>
        <w:rPr>
          <w:rStyle w:val="3"/>
          <w:rFonts w:hint="default" w:cs="Times New Roman"/>
          <w:lang w:val="en-US" w:eastAsia="zh-CN"/>
        </w:rPr>
      </w:pPr>
      <w:r>
        <w:rPr>
          <w:rStyle w:val="3"/>
          <w:rFonts w:hint="eastAsia" w:cs="Times New Roman"/>
          <w:lang w:val="en-US" w:eastAsia="zh-CN"/>
        </w:rPr>
        <w:t>一、采购简介：</w:t>
      </w:r>
    </w:p>
    <w:p w14:paraId="51A8CE0F">
      <w:pPr>
        <w:pStyle w:val="6"/>
        <w:adjustRightInd w:val="0"/>
        <w:snapToGrid w:val="0"/>
        <w:spacing w:line="360" w:lineRule="auto"/>
        <w:ind w:firstLine="420" w:firstLineChars="200"/>
        <w:textAlignment w:val="baseline"/>
        <w:rPr>
          <w:rStyle w:val="3"/>
          <w:rFonts w:hint="eastAsia" w:ascii="宋体" w:hAnsi="宋体" w:eastAsia="宋体" w:cs="宋体"/>
          <w:kern w:val="0"/>
          <w:szCs w:val="21"/>
          <w:lang w:eastAsia="zh-CN"/>
        </w:rPr>
      </w:pPr>
      <w:r>
        <w:rPr>
          <w:rStyle w:val="3"/>
          <w:rFonts w:hint="eastAsia" w:ascii="宋体" w:hAnsi="宋体" w:eastAsia="宋体" w:cs="宋体"/>
          <w:kern w:val="0"/>
          <w:szCs w:val="21"/>
        </w:rPr>
        <w:t>浙江浙能富兴燃料有限公司成立于2004年7月，注册资本为人民币80000万元，公司总部位于浙江省杭州市，是浙江省省属国企——浙江省能源集团有限公司所属二级营运企业，上市公司浙能电力的全资子公司。公司致力于保障浙能集团系统内电厂用煤安全和开拓煤炭市场贸易</w:t>
      </w:r>
      <w:r>
        <w:rPr>
          <w:rStyle w:val="3"/>
          <w:rFonts w:hint="eastAsia" w:ascii="宋体" w:hAnsi="宋体" w:eastAsia="宋体" w:cs="宋体"/>
          <w:kern w:val="0"/>
          <w:szCs w:val="21"/>
          <w:lang w:eastAsia="zh-CN"/>
        </w:rPr>
        <w:t>。</w:t>
      </w:r>
    </w:p>
    <w:p w14:paraId="03C0DD26">
      <w:pPr>
        <w:pStyle w:val="6"/>
        <w:adjustRightInd w:val="0"/>
        <w:snapToGrid w:val="0"/>
        <w:spacing w:line="360" w:lineRule="auto"/>
        <w:ind w:firstLine="420" w:firstLineChars="200"/>
        <w:textAlignment w:val="baseline"/>
        <w:rPr>
          <w:rStyle w:val="3"/>
          <w:rFonts w:hint="eastAsia" w:ascii="宋体" w:hAnsi="宋体" w:eastAsia="宋体" w:cs="宋体"/>
          <w:kern w:val="0"/>
          <w:szCs w:val="21"/>
        </w:rPr>
      </w:pPr>
      <w:r>
        <w:rPr>
          <w:rStyle w:val="3"/>
          <w:rFonts w:hint="eastAsia" w:ascii="宋体" w:hAnsi="宋体" w:eastAsia="宋体" w:cs="宋体"/>
          <w:kern w:val="0"/>
          <w:szCs w:val="21"/>
          <w:lang w:val="en-US" w:eastAsia="zh-CN"/>
        </w:rPr>
        <w:t>2024年富兴燃料公司全年电煤采购量超6500万吨，煤炭资源主要来自于晋、陕、蒙等内贸煤主要产区，以及澳大利亚、印尼、俄罗斯等国际产区。电煤保供主要通过年度长协为主要渠道，并预留部分需求量用以市场临时采购。</w:t>
      </w:r>
      <w:r>
        <w:rPr>
          <w:rStyle w:val="3"/>
          <w:rFonts w:hint="eastAsia" w:ascii="宋体" w:hAnsi="宋体" w:eastAsia="宋体" w:cs="宋体"/>
          <w:kern w:val="0"/>
          <w:szCs w:val="21"/>
        </w:rPr>
        <w:t>根据浙能集团深化电煤阳光采购的</w:t>
      </w:r>
      <w:r>
        <w:rPr>
          <w:rStyle w:val="3"/>
          <w:rFonts w:hint="eastAsia" w:ascii="宋体" w:hAnsi="宋体" w:eastAsia="宋体" w:cs="宋体"/>
          <w:kern w:val="0"/>
          <w:szCs w:val="21"/>
          <w:lang w:val="en-US" w:eastAsia="zh-CN"/>
        </w:rPr>
        <w:t>要求</w:t>
      </w:r>
      <w:r>
        <w:rPr>
          <w:rStyle w:val="3"/>
          <w:rFonts w:hint="eastAsia" w:ascii="宋体" w:hAnsi="宋体" w:eastAsia="宋体" w:cs="宋体"/>
          <w:kern w:val="0"/>
          <w:szCs w:val="21"/>
        </w:rPr>
        <w:t>，结合集团电煤保供要求及煤炭市场供需形势，</w:t>
      </w:r>
      <w:r>
        <w:rPr>
          <w:rStyle w:val="3"/>
          <w:rFonts w:hint="eastAsia" w:ascii="宋体" w:hAnsi="宋体" w:eastAsia="宋体" w:cs="宋体"/>
          <w:kern w:val="0"/>
          <w:szCs w:val="21"/>
          <w:lang w:val="en-US" w:eastAsia="zh-CN"/>
        </w:rPr>
        <w:t>特开展此次招投标采购。</w:t>
      </w:r>
    </w:p>
    <w:p w14:paraId="4DE1467B">
      <w:pPr>
        <w:pStyle w:val="6"/>
        <w:numPr>
          <w:ilvl w:val="0"/>
          <w:numId w:val="0"/>
        </w:numPr>
        <w:adjustRightInd w:val="0"/>
        <w:snapToGrid w:val="0"/>
        <w:spacing w:line="360" w:lineRule="auto"/>
        <w:ind w:leftChars="0"/>
        <w:textAlignment w:val="baseline"/>
        <w:rPr>
          <w:rStyle w:val="3"/>
          <w:rFonts w:hint="eastAsia" w:ascii="宋体" w:hAnsi="宋体" w:eastAsia="宋体" w:cs="宋体"/>
          <w:kern w:val="0"/>
          <w:szCs w:val="21"/>
          <w:lang w:val="en-US" w:eastAsia="zh-CN"/>
        </w:rPr>
      </w:pPr>
      <w:r>
        <w:rPr>
          <w:rStyle w:val="3"/>
          <w:rFonts w:hint="eastAsia" w:ascii="宋体" w:hAnsi="宋体" w:eastAsia="宋体" w:cs="宋体"/>
          <w:kern w:val="0"/>
          <w:szCs w:val="21"/>
          <w:lang w:val="en-US" w:eastAsia="zh-CN"/>
        </w:rPr>
        <w:t>二、标的</w:t>
      </w:r>
    </w:p>
    <w:tbl>
      <w:tblPr>
        <w:tblStyle w:val="2"/>
        <w:tblW w:w="9420" w:type="dxa"/>
        <w:tblInd w:w="8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9"/>
        <w:gridCol w:w="1024"/>
        <w:gridCol w:w="1132"/>
        <w:gridCol w:w="1215"/>
        <w:gridCol w:w="931"/>
        <w:gridCol w:w="3562"/>
        <w:gridCol w:w="717"/>
      </w:tblGrid>
      <w:tr w14:paraId="5854D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6" w:hRule="atLeast"/>
        </w:trPr>
        <w:tc>
          <w:tcPr>
            <w:tcW w:w="839" w:type="dxa"/>
            <w:tcBorders>
              <w:top w:val="single" w:color="000000" w:sz="8" w:space="0"/>
              <w:left w:val="single" w:color="000000" w:sz="8" w:space="0"/>
              <w:bottom w:val="single" w:color="000000" w:sz="4" w:space="0"/>
              <w:right w:val="single" w:color="000000" w:sz="4" w:space="0"/>
            </w:tcBorders>
            <w:noWrap w:val="0"/>
            <w:vAlign w:val="center"/>
          </w:tcPr>
          <w:p w14:paraId="75CB6FCF">
            <w:pPr>
              <w:keepNext w:val="0"/>
              <w:keepLines w:val="0"/>
              <w:widowControl/>
              <w:suppressLineNumbers w:val="0"/>
              <w:jc w:val="center"/>
              <w:textAlignment w:val="center"/>
              <w:rPr>
                <w:rFonts w:ascii="等线" w:hAnsi="等线" w:eastAsia="等线" w:cs="等线"/>
                <w:b/>
                <w:bCs/>
                <w:i w:val="0"/>
                <w:iCs w:val="0"/>
                <w:color w:val="000000"/>
                <w:sz w:val="21"/>
                <w:szCs w:val="21"/>
                <w:u w:val="none"/>
              </w:rPr>
            </w:pPr>
            <w:r>
              <w:rPr>
                <w:rFonts w:hint="default" w:ascii="等线" w:hAnsi="等线" w:eastAsia="等线" w:cs="等线"/>
                <w:b/>
                <w:bCs/>
                <w:i w:val="0"/>
                <w:iCs w:val="0"/>
                <w:color w:val="000000"/>
                <w:kern w:val="0"/>
                <w:sz w:val="21"/>
                <w:szCs w:val="21"/>
                <w:u w:val="none"/>
                <w:lang w:val="en-US" w:eastAsia="zh-CN" w:bidi="ar"/>
              </w:rPr>
              <w:t>标段序号</w:t>
            </w:r>
          </w:p>
        </w:tc>
        <w:tc>
          <w:tcPr>
            <w:tcW w:w="1024" w:type="dxa"/>
            <w:tcBorders>
              <w:top w:val="single" w:color="000000" w:sz="8" w:space="0"/>
              <w:left w:val="single" w:color="000000" w:sz="4" w:space="0"/>
              <w:bottom w:val="single" w:color="000000" w:sz="4" w:space="0"/>
              <w:right w:val="single" w:color="000000" w:sz="4" w:space="0"/>
            </w:tcBorders>
            <w:noWrap w:val="0"/>
            <w:vAlign w:val="center"/>
          </w:tcPr>
          <w:p w14:paraId="57119346">
            <w:pPr>
              <w:keepNext w:val="0"/>
              <w:keepLines w:val="0"/>
              <w:widowControl/>
              <w:suppressLineNumbers w:val="0"/>
              <w:jc w:val="center"/>
              <w:textAlignment w:val="center"/>
              <w:rPr>
                <w:rFonts w:hint="default" w:ascii="等线" w:hAnsi="等线" w:eastAsia="等线" w:cs="等线"/>
                <w:b/>
                <w:bCs/>
                <w:i w:val="0"/>
                <w:iCs w:val="0"/>
                <w:color w:val="000000"/>
                <w:sz w:val="21"/>
                <w:szCs w:val="21"/>
                <w:u w:val="none"/>
              </w:rPr>
            </w:pPr>
            <w:r>
              <w:rPr>
                <w:rFonts w:hint="default" w:ascii="等线" w:hAnsi="等线" w:eastAsia="等线" w:cs="等线"/>
                <w:b/>
                <w:bCs/>
                <w:i w:val="0"/>
                <w:iCs w:val="0"/>
                <w:color w:val="000000"/>
                <w:kern w:val="0"/>
                <w:sz w:val="21"/>
                <w:szCs w:val="21"/>
                <w:u w:val="none"/>
                <w:lang w:val="en-US" w:eastAsia="zh-CN" w:bidi="ar"/>
              </w:rPr>
              <w:t>标的</w:t>
            </w:r>
          </w:p>
        </w:tc>
        <w:tc>
          <w:tcPr>
            <w:tcW w:w="1132" w:type="dxa"/>
            <w:tcBorders>
              <w:top w:val="single" w:color="000000" w:sz="8" w:space="0"/>
              <w:left w:val="single" w:color="000000" w:sz="4" w:space="0"/>
              <w:bottom w:val="single" w:color="000000" w:sz="4" w:space="0"/>
              <w:right w:val="single" w:color="000000" w:sz="4" w:space="0"/>
            </w:tcBorders>
            <w:noWrap w:val="0"/>
            <w:vAlign w:val="center"/>
          </w:tcPr>
          <w:p w14:paraId="1C16ADB1">
            <w:pPr>
              <w:keepNext w:val="0"/>
              <w:keepLines w:val="0"/>
              <w:widowControl/>
              <w:suppressLineNumbers w:val="0"/>
              <w:jc w:val="center"/>
              <w:textAlignment w:val="center"/>
              <w:rPr>
                <w:rFonts w:hint="default" w:ascii="等线" w:hAnsi="等线" w:eastAsia="等线" w:cs="等线"/>
                <w:b/>
                <w:bCs/>
                <w:i w:val="0"/>
                <w:iCs w:val="0"/>
                <w:color w:val="000000"/>
                <w:sz w:val="21"/>
                <w:szCs w:val="21"/>
                <w:u w:val="none"/>
              </w:rPr>
            </w:pPr>
            <w:r>
              <w:rPr>
                <w:rFonts w:hint="default" w:ascii="等线" w:hAnsi="等线" w:eastAsia="等线" w:cs="等线"/>
                <w:b/>
                <w:bCs/>
                <w:i w:val="0"/>
                <w:iCs w:val="0"/>
                <w:color w:val="000000"/>
                <w:kern w:val="0"/>
                <w:sz w:val="21"/>
                <w:szCs w:val="21"/>
                <w:u w:val="none"/>
                <w:lang w:val="en-US" w:eastAsia="zh-CN" w:bidi="ar"/>
              </w:rPr>
              <w:t>标的规格</w:t>
            </w:r>
          </w:p>
        </w:tc>
        <w:tc>
          <w:tcPr>
            <w:tcW w:w="1215" w:type="dxa"/>
            <w:tcBorders>
              <w:top w:val="single" w:color="000000" w:sz="8" w:space="0"/>
              <w:left w:val="single" w:color="000000" w:sz="4" w:space="0"/>
              <w:bottom w:val="single" w:color="000000" w:sz="4" w:space="0"/>
              <w:right w:val="single" w:color="000000" w:sz="4" w:space="0"/>
            </w:tcBorders>
            <w:noWrap w:val="0"/>
            <w:vAlign w:val="center"/>
          </w:tcPr>
          <w:p w14:paraId="1FB4AFD1">
            <w:pPr>
              <w:keepNext w:val="0"/>
              <w:keepLines w:val="0"/>
              <w:widowControl/>
              <w:suppressLineNumbers w:val="0"/>
              <w:jc w:val="center"/>
              <w:textAlignment w:val="center"/>
              <w:rPr>
                <w:rFonts w:hint="default" w:ascii="等线" w:hAnsi="等线" w:eastAsia="等线" w:cs="等线"/>
                <w:b/>
                <w:bCs/>
                <w:i w:val="0"/>
                <w:iCs w:val="0"/>
                <w:color w:val="000000"/>
                <w:sz w:val="21"/>
                <w:szCs w:val="21"/>
                <w:u w:val="none"/>
              </w:rPr>
            </w:pPr>
            <w:r>
              <w:rPr>
                <w:rFonts w:hint="default" w:ascii="等线" w:hAnsi="等线" w:eastAsia="等线" w:cs="等线"/>
                <w:b/>
                <w:bCs/>
                <w:i w:val="0"/>
                <w:iCs w:val="0"/>
                <w:color w:val="000000"/>
                <w:kern w:val="0"/>
                <w:sz w:val="21"/>
                <w:szCs w:val="21"/>
                <w:u w:val="none"/>
                <w:lang w:val="en-US" w:eastAsia="zh-CN" w:bidi="ar"/>
              </w:rPr>
              <w:t>交付条件</w:t>
            </w:r>
          </w:p>
        </w:tc>
        <w:tc>
          <w:tcPr>
            <w:tcW w:w="931" w:type="dxa"/>
            <w:tcBorders>
              <w:top w:val="single" w:color="000000" w:sz="8" w:space="0"/>
              <w:left w:val="single" w:color="000000" w:sz="4" w:space="0"/>
              <w:bottom w:val="single" w:color="000000" w:sz="4" w:space="0"/>
              <w:right w:val="single" w:color="000000" w:sz="4" w:space="0"/>
            </w:tcBorders>
            <w:noWrap w:val="0"/>
            <w:vAlign w:val="center"/>
          </w:tcPr>
          <w:p w14:paraId="1252F386">
            <w:pPr>
              <w:keepNext w:val="0"/>
              <w:keepLines w:val="0"/>
              <w:widowControl/>
              <w:suppressLineNumbers w:val="0"/>
              <w:jc w:val="center"/>
              <w:textAlignment w:val="center"/>
              <w:rPr>
                <w:rFonts w:hint="default" w:ascii="等线" w:hAnsi="等线" w:eastAsia="等线" w:cs="等线"/>
                <w:b/>
                <w:bCs/>
                <w:i w:val="0"/>
                <w:iCs w:val="0"/>
                <w:color w:val="000000"/>
                <w:kern w:val="0"/>
                <w:sz w:val="21"/>
                <w:szCs w:val="21"/>
                <w:u w:val="none"/>
                <w:lang w:val="en-US" w:eastAsia="zh-CN" w:bidi="ar"/>
              </w:rPr>
            </w:pPr>
            <w:r>
              <w:rPr>
                <w:rFonts w:hint="default" w:ascii="等线" w:hAnsi="等线" w:eastAsia="等线" w:cs="等线"/>
                <w:b/>
                <w:bCs/>
                <w:i w:val="0"/>
                <w:iCs w:val="0"/>
                <w:color w:val="000000"/>
                <w:kern w:val="0"/>
                <w:sz w:val="21"/>
                <w:szCs w:val="21"/>
                <w:u w:val="none"/>
                <w:lang w:val="en-US" w:eastAsia="zh-CN" w:bidi="ar"/>
              </w:rPr>
              <w:t>标段</w:t>
            </w:r>
          </w:p>
          <w:p w14:paraId="36C3B896">
            <w:pPr>
              <w:keepNext w:val="0"/>
              <w:keepLines w:val="0"/>
              <w:widowControl/>
              <w:suppressLineNumbers w:val="0"/>
              <w:jc w:val="center"/>
              <w:textAlignment w:val="center"/>
              <w:rPr>
                <w:rFonts w:hint="default" w:ascii="等线" w:hAnsi="等线" w:eastAsia="等线" w:cs="等线"/>
                <w:b/>
                <w:bCs/>
                <w:i w:val="0"/>
                <w:iCs w:val="0"/>
                <w:color w:val="000000"/>
                <w:sz w:val="21"/>
                <w:szCs w:val="21"/>
                <w:u w:val="none"/>
              </w:rPr>
            </w:pPr>
            <w:r>
              <w:rPr>
                <w:rFonts w:hint="default" w:ascii="等线" w:hAnsi="等线" w:eastAsia="等线" w:cs="等线"/>
                <w:b/>
                <w:bCs/>
                <w:i w:val="0"/>
                <w:iCs w:val="0"/>
                <w:color w:val="000000"/>
                <w:kern w:val="0"/>
                <w:sz w:val="21"/>
                <w:szCs w:val="21"/>
                <w:u w:val="none"/>
                <w:lang w:val="en-US" w:eastAsia="zh-CN" w:bidi="ar"/>
              </w:rPr>
              <w:t>采购量</w:t>
            </w:r>
          </w:p>
        </w:tc>
        <w:tc>
          <w:tcPr>
            <w:tcW w:w="3562" w:type="dxa"/>
            <w:tcBorders>
              <w:top w:val="single" w:color="000000" w:sz="8" w:space="0"/>
              <w:left w:val="single" w:color="000000" w:sz="4" w:space="0"/>
              <w:bottom w:val="single" w:color="000000" w:sz="4" w:space="0"/>
              <w:right w:val="single" w:color="000000" w:sz="4" w:space="0"/>
            </w:tcBorders>
            <w:noWrap w:val="0"/>
            <w:vAlign w:val="center"/>
          </w:tcPr>
          <w:p w14:paraId="10FF346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标包设置</w:t>
            </w:r>
          </w:p>
        </w:tc>
        <w:tc>
          <w:tcPr>
            <w:tcW w:w="717" w:type="dxa"/>
            <w:tcBorders>
              <w:top w:val="single" w:color="000000" w:sz="8" w:space="0"/>
              <w:left w:val="single" w:color="000000" w:sz="4" w:space="0"/>
              <w:bottom w:val="single" w:color="000000" w:sz="4" w:space="0"/>
              <w:right w:val="single" w:color="000000" w:sz="8" w:space="0"/>
            </w:tcBorders>
            <w:noWrap w:val="0"/>
            <w:vAlign w:val="center"/>
          </w:tcPr>
          <w:p w14:paraId="148FC68A">
            <w:pPr>
              <w:keepNext w:val="0"/>
              <w:keepLines w:val="0"/>
              <w:widowControl/>
              <w:suppressLineNumbers w:val="0"/>
              <w:jc w:val="both"/>
              <w:textAlignment w:val="center"/>
              <w:rPr>
                <w:rFonts w:hint="default" w:ascii="等线" w:hAnsi="等线" w:eastAsia="等线" w:cs="等线"/>
                <w:b/>
                <w:bCs/>
                <w:i w:val="0"/>
                <w:iCs w:val="0"/>
                <w:color w:val="000000"/>
                <w:sz w:val="21"/>
                <w:szCs w:val="21"/>
                <w:u w:val="none"/>
                <w:lang w:val="en-US" w:eastAsia="zh-CN"/>
              </w:rPr>
            </w:pPr>
            <w:r>
              <w:rPr>
                <w:rFonts w:hint="eastAsia" w:ascii="等线" w:hAnsi="等线" w:eastAsia="等线" w:cs="等线"/>
                <w:b/>
                <w:bCs/>
                <w:i w:val="0"/>
                <w:iCs w:val="0"/>
                <w:color w:val="000000"/>
                <w:sz w:val="21"/>
                <w:szCs w:val="21"/>
                <w:u w:val="none"/>
                <w:lang w:val="en-US" w:eastAsia="zh-CN"/>
              </w:rPr>
              <w:t>流向</w:t>
            </w:r>
          </w:p>
        </w:tc>
      </w:tr>
      <w:tr w14:paraId="2956D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6" w:hRule="atLeast"/>
        </w:trPr>
        <w:tc>
          <w:tcPr>
            <w:tcW w:w="839" w:type="dxa"/>
            <w:tcBorders>
              <w:top w:val="single" w:color="000000" w:sz="4" w:space="0"/>
              <w:left w:val="single" w:color="000000" w:sz="8" w:space="0"/>
              <w:bottom w:val="single" w:color="000000" w:sz="4" w:space="0"/>
              <w:right w:val="single" w:color="000000" w:sz="4" w:space="0"/>
            </w:tcBorders>
            <w:noWrap w:val="0"/>
            <w:vAlign w:val="center"/>
          </w:tcPr>
          <w:p w14:paraId="61C7EE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1024" w:type="dxa"/>
            <w:tcBorders>
              <w:top w:val="single" w:color="000000" w:sz="4" w:space="0"/>
              <w:left w:val="single" w:color="000000" w:sz="4" w:space="0"/>
              <w:bottom w:val="single" w:color="000000" w:sz="4" w:space="0"/>
              <w:right w:val="single" w:color="000000" w:sz="4" w:space="0"/>
            </w:tcBorders>
            <w:noWrap w:val="0"/>
            <w:vAlign w:val="center"/>
          </w:tcPr>
          <w:p w14:paraId="01AD4B66">
            <w:pPr>
              <w:keepNext w:val="0"/>
              <w:keepLines w:val="0"/>
              <w:widowControl/>
              <w:suppressLineNumbers w:val="0"/>
              <w:jc w:val="center"/>
              <w:textAlignment w:val="center"/>
              <w:rPr>
                <w:rFonts w:hint="default" w:ascii="等线" w:hAnsi="等线" w:eastAsia="等线" w:cs="等线"/>
                <w:i w:val="0"/>
                <w:iCs w:val="0"/>
                <w:color w:val="000000"/>
                <w:sz w:val="21"/>
                <w:szCs w:val="21"/>
                <w:u w:val="none"/>
              </w:rPr>
            </w:pPr>
            <w:r>
              <w:rPr>
                <w:rFonts w:hint="default" w:ascii="等线" w:hAnsi="等线" w:eastAsia="等线" w:cs="等线"/>
                <w:i w:val="0"/>
                <w:iCs w:val="0"/>
                <w:color w:val="000000"/>
                <w:kern w:val="0"/>
                <w:sz w:val="21"/>
                <w:szCs w:val="21"/>
                <w:u w:val="none"/>
                <w:lang w:val="en-US" w:eastAsia="zh-CN" w:bidi="ar"/>
              </w:rPr>
              <w:t>陕蒙煤</w:t>
            </w:r>
          </w:p>
        </w:tc>
        <w:tc>
          <w:tcPr>
            <w:tcW w:w="1132" w:type="dxa"/>
            <w:tcBorders>
              <w:top w:val="single" w:color="000000" w:sz="4" w:space="0"/>
              <w:left w:val="single" w:color="000000" w:sz="4" w:space="0"/>
              <w:bottom w:val="single" w:color="000000" w:sz="4" w:space="0"/>
              <w:right w:val="single" w:color="000000" w:sz="4" w:space="0"/>
            </w:tcBorders>
            <w:noWrap w:val="0"/>
            <w:vAlign w:val="center"/>
          </w:tcPr>
          <w:p w14:paraId="222133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5500</w:t>
            </w:r>
            <w:r>
              <w:rPr>
                <w:rStyle w:val="7"/>
                <w:lang w:val="en-US" w:eastAsia="zh-CN" w:bidi="ar"/>
              </w:rPr>
              <w:t>大卡</w:t>
            </w:r>
          </w:p>
        </w:tc>
        <w:tc>
          <w:tcPr>
            <w:tcW w:w="1215" w:type="dxa"/>
            <w:tcBorders>
              <w:top w:val="single" w:color="000000" w:sz="4" w:space="0"/>
              <w:left w:val="single" w:color="000000" w:sz="4" w:space="0"/>
              <w:bottom w:val="single" w:color="000000" w:sz="4" w:space="0"/>
              <w:right w:val="single" w:color="000000" w:sz="4" w:space="0"/>
            </w:tcBorders>
            <w:noWrap w:val="0"/>
            <w:vAlign w:val="center"/>
          </w:tcPr>
          <w:p w14:paraId="1086EB02">
            <w:pPr>
              <w:keepNext w:val="0"/>
              <w:keepLines w:val="0"/>
              <w:widowControl/>
              <w:suppressLineNumbers w:val="0"/>
              <w:jc w:val="center"/>
              <w:textAlignment w:val="center"/>
              <w:rPr>
                <w:rFonts w:hint="default" w:ascii="等线" w:hAnsi="等线" w:eastAsia="等线" w:cs="等线"/>
                <w:i w:val="0"/>
                <w:iCs w:val="0"/>
                <w:color w:val="000000"/>
                <w:sz w:val="21"/>
                <w:szCs w:val="21"/>
                <w:u w:val="none"/>
              </w:rPr>
            </w:pPr>
            <w:r>
              <w:rPr>
                <w:rFonts w:hint="default" w:ascii="等线" w:hAnsi="等线" w:eastAsia="等线" w:cs="等线"/>
                <w:i w:val="0"/>
                <w:iCs w:val="0"/>
                <w:color w:val="000000"/>
                <w:kern w:val="0"/>
                <w:sz w:val="21"/>
                <w:szCs w:val="21"/>
                <w:u w:val="none"/>
                <w:lang w:val="en-US" w:eastAsia="zh-CN" w:bidi="ar"/>
              </w:rPr>
              <w:t>场地交货</w:t>
            </w:r>
          </w:p>
        </w:tc>
        <w:tc>
          <w:tcPr>
            <w:tcW w:w="931" w:type="dxa"/>
            <w:tcBorders>
              <w:top w:val="single" w:color="000000" w:sz="4" w:space="0"/>
              <w:left w:val="single" w:color="000000" w:sz="4" w:space="0"/>
              <w:bottom w:val="single" w:color="000000" w:sz="4" w:space="0"/>
              <w:right w:val="single" w:color="000000" w:sz="4" w:space="0"/>
            </w:tcBorders>
            <w:noWrap w:val="0"/>
            <w:vAlign w:val="center"/>
          </w:tcPr>
          <w:p w14:paraId="6289D1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r>
              <w:rPr>
                <w:rStyle w:val="7"/>
                <w:lang w:val="en-US" w:eastAsia="zh-CN" w:bidi="ar"/>
              </w:rPr>
              <w:t>万吨</w:t>
            </w:r>
          </w:p>
        </w:tc>
        <w:tc>
          <w:tcPr>
            <w:tcW w:w="3562" w:type="dxa"/>
            <w:tcBorders>
              <w:top w:val="single" w:color="000000" w:sz="4" w:space="0"/>
              <w:left w:val="single" w:color="000000" w:sz="4" w:space="0"/>
              <w:bottom w:val="single" w:color="000000" w:sz="4" w:space="0"/>
              <w:right w:val="single" w:color="000000" w:sz="4" w:space="0"/>
            </w:tcBorders>
            <w:noWrap w:val="0"/>
            <w:vAlign w:val="center"/>
          </w:tcPr>
          <w:p w14:paraId="051956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12列煤炭，每列煤炭标重8400吨</w:t>
            </w:r>
          </w:p>
        </w:tc>
        <w:tc>
          <w:tcPr>
            <w:tcW w:w="717" w:type="dxa"/>
            <w:tcBorders>
              <w:top w:val="single" w:color="000000" w:sz="4" w:space="0"/>
              <w:left w:val="single" w:color="000000" w:sz="4" w:space="0"/>
              <w:bottom w:val="single" w:color="000000" w:sz="4" w:space="0"/>
              <w:right w:val="single" w:color="000000" w:sz="8" w:space="0"/>
            </w:tcBorders>
            <w:noWrap/>
            <w:vAlign w:val="center"/>
          </w:tcPr>
          <w:p w14:paraId="28108F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32F1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0" w:hRule="atLeast"/>
        </w:trPr>
        <w:tc>
          <w:tcPr>
            <w:tcW w:w="839" w:type="dxa"/>
            <w:tcBorders>
              <w:top w:val="single" w:color="000000" w:sz="4" w:space="0"/>
              <w:left w:val="single" w:color="000000" w:sz="8" w:space="0"/>
              <w:bottom w:val="single" w:color="000000" w:sz="8" w:space="0"/>
              <w:right w:val="single" w:color="000000" w:sz="4" w:space="0"/>
            </w:tcBorders>
            <w:noWrap w:val="0"/>
            <w:vAlign w:val="center"/>
          </w:tcPr>
          <w:p w14:paraId="0EA9AA6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二</w:t>
            </w:r>
          </w:p>
        </w:tc>
        <w:tc>
          <w:tcPr>
            <w:tcW w:w="1024" w:type="dxa"/>
            <w:tcBorders>
              <w:top w:val="single" w:color="000000" w:sz="4" w:space="0"/>
              <w:left w:val="single" w:color="000000" w:sz="4" w:space="0"/>
              <w:bottom w:val="single" w:color="000000" w:sz="8" w:space="0"/>
              <w:right w:val="single" w:color="000000" w:sz="4" w:space="0"/>
            </w:tcBorders>
            <w:noWrap w:val="0"/>
            <w:vAlign w:val="center"/>
          </w:tcPr>
          <w:p w14:paraId="011D5A4D">
            <w:pPr>
              <w:keepNext w:val="0"/>
              <w:keepLines w:val="0"/>
              <w:widowControl/>
              <w:suppressLineNumbers w:val="0"/>
              <w:jc w:val="center"/>
              <w:textAlignment w:val="center"/>
              <w:rPr>
                <w:rFonts w:hint="default" w:ascii="等线" w:hAnsi="等线" w:eastAsia="等线" w:cs="等线"/>
                <w:i w:val="0"/>
                <w:iCs w:val="0"/>
                <w:color w:val="000000"/>
                <w:sz w:val="21"/>
                <w:szCs w:val="21"/>
                <w:u w:val="none"/>
              </w:rPr>
            </w:pPr>
            <w:r>
              <w:rPr>
                <w:rFonts w:hint="default" w:ascii="等线" w:hAnsi="等线" w:eastAsia="等线" w:cs="等线"/>
                <w:i w:val="0"/>
                <w:iCs w:val="0"/>
                <w:color w:val="000000"/>
                <w:kern w:val="0"/>
                <w:sz w:val="21"/>
                <w:szCs w:val="21"/>
                <w:u w:val="none"/>
                <w:lang w:val="en-US" w:eastAsia="zh-CN" w:bidi="ar"/>
              </w:rPr>
              <w:t>山西煤</w:t>
            </w:r>
          </w:p>
        </w:tc>
        <w:tc>
          <w:tcPr>
            <w:tcW w:w="1132" w:type="dxa"/>
            <w:tcBorders>
              <w:top w:val="single" w:color="000000" w:sz="4" w:space="0"/>
              <w:left w:val="single" w:color="000000" w:sz="4" w:space="0"/>
              <w:bottom w:val="single" w:color="000000" w:sz="8" w:space="0"/>
              <w:right w:val="single" w:color="000000" w:sz="4" w:space="0"/>
            </w:tcBorders>
            <w:noWrap w:val="0"/>
            <w:vAlign w:val="center"/>
          </w:tcPr>
          <w:p w14:paraId="025CA8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5500</w:t>
            </w:r>
            <w:r>
              <w:rPr>
                <w:rStyle w:val="7"/>
                <w:lang w:val="en-US" w:eastAsia="zh-CN" w:bidi="ar"/>
              </w:rPr>
              <w:t>大卡</w:t>
            </w:r>
          </w:p>
        </w:tc>
        <w:tc>
          <w:tcPr>
            <w:tcW w:w="1215" w:type="dxa"/>
            <w:tcBorders>
              <w:top w:val="single" w:color="000000" w:sz="4" w:space="0"/>
              <w:left w:val="single" w:color="000000" w:sz="4" w:space="0"/>
              <w:bottom w:val="single" w:color="000000" w:sz="8" w:space="0"/>
              <w:right w:val="single" w:color="000000" w:sz="4" w:space="0"/>
            </w:tcBorders>
            <w:noWrap w:val="0"/>
            <w:vAlign w:val="center"/>
          </w:tcPr>
          <w:p w14:paraId="6BFAC6A3">
            <w:pPr>
              <w:keepNext w:val="0"/>
              <w:keepLines w:val="0"/>
              <w:widowControl/>
              <w:suppressLineNumbers w:val="0"/>
              <w:jc w:val="center"/>
              <w:textAlignment w:val="center"/>
              <w:rPr>
                <w:rFonts w:hint="default" w:ascii="等线" w:hAnsi="等线" w:eastAsia="等线" w:cs="等线"/>
                <w:i w:val="0"/>
                <w:iCs w:val="0"/>
                <w:color w:val="000000"/>
                <w:sz w:val="21"/>
                <w:szCs w:val="21"/>
                <w:u w:val="none"/>
              </w:rPr>
            </w:pPr>
            <w:r>
              <w:rPr>
                <w:rFonts w:hint="eastAsia" w:ascii="等线" w:hAnsi="等线" w:eastAsia="等线" w:cs="等线"/>
                <w:i w:val="0"/>
                <w:iCs w:val="0"/>
                <w:color w:val="000000"/>
                <w:kern w:val="0"/>
                <w:sz w:val="21"/>
                <w:szCs w:val="21"/>
                <w:u w:val="none"/>
                <w:lang w:val="en-US" w:eastAsia="zh-CN" w:bidi="ar"/>
              </w:rPr>
              <w:t>场地</w:t>
            </w:r>
            <w:r>
              <w:rPr>
                <w:rFonts w:hint="default" w:ascii="等线" w:hAnsi="等线" w:eastAsia="等线" w:cs="等线"/>
                <w:i w:val="0"/>
                <w:iCs w:val="0"/>
                <w:color w:val="000000"/>
                <w:kern w:val="0"/>
                <w:sz w:val="21"/>
                <w:szCs w:val="21"/>
                <w:u w:val="none"/>
                <w:lang w:val="en-US" w:eastAsia="zh-CN" w:bidi="ar"/>
              </w:rPr>
              <w:t>交货</w:t>
            </w:r>
          </w:p>
        </w:tc>
        <w:tc>
          <w:tcPr>
            <w:tcW w:w="931" w:type="dxa"/>
            <w:tcBorders>
              <w:top w:val="single" w:color="000000" w:sz="4" w:space="0"/>
              <w:left w:val="single" w:color="000000" w:sz="4" w:space="0"/>
              <w:bottom w:val="single" w:color="000000" w:sz="8" w:space="0"/>
              <w:right w:val="single" w:color="000000" w:sz="4" w:space="0"/>
            </w:tcBorders>
            <w:noWrap w:val="0"/>
            <w:vAlign w:val="center"/>
          </w:tcPr>
          <w:p w14:paraId="55F943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r>
              <w:rPr>
                <w:rStyle w:val="7"/>
                <w:lang w:val="en-US" w:eastAsia="zh-CN" w:bidi="ar"/>
              </w:rPr>
              <w:t>万吨</w:t>
            </w:r>
          </w:p>
        </w:tc>
        <w:tc>
          <w:tcPr>
            <w:tcW w:w="3562" w:type="dxa"/>
            <w:tcBorders>
              <w:top w:val="single" w:color="000000" w:sz="4" w:space="0"/>
              <w:left w:val="single" w:color="000000" w:sz="4" w:space="0"/>
              <w:bottom w:val="single" w:color="000000" w:sz="8" w:space="0"/>
              <w:right w:val="single" w:color="000000" w:sz="4" w:space="0"/>
            </w:tcBorders>
            <w:noWrap w:val="0"/>
            <w:vAlign w:val="center"/>
          </w:tcPr>
          <w:p w14:paraId="0C7BC4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12列煤炭，每列煤炭标重8400吨</w:t>
            </w:r>
          </w:p>
        </w:tc>
        <w:tc>
          <w:tcPr>
            <w:tcW w:w="717" w:type="dxa"/>
            <w:tcBorders>
              <w:top w:val="single" w:color="000000" w:sz="4" w:space="0"/>
              <w:left w:val="single" w:color="000000" w:sz="4" w:space="0"/>
              <w:bottom w:val="single" w:color="000000" w:sz="4" w:space="0"/>
              <w:right w:val="single" w:color="000000" w:sz="8" w:space="0"/>
            </w:tcBorders>
            <w:noWrap/>
            <w:vAlign w:val="center"/>
          </w:tcPr>
          <w:p w14:paraId="2D72F431">
            <w:pPr>
              <w:jc w:val="center"/>
              <w:rPr>
                <w:rFonts w:hint="eastAsia" w:ascii="宋体" w:hAnsi="宋体" w:eastAsia="宋体" w:cs="宋体"/>
                <w:i w:val="0"/>
                <w:iCs w:val="0"/>
                <w:color w:val="000000"/>
                <w:sz w:val="22"/>
                <w:szCs w:val="22"/>
                <w:u w:val="none"/>
              </w:rPr>
            </w:pPr>
          </w:p>
        </w:tc>
      </w:tr>
    </w:tbl>
    <w:p w14:paraId="7649D42A">
      <w:pPr>
        <w:pStyle w:val="6"/>
        <w:numPr>
          <w:ilvl w:val="0"/>
          <w:numId w:val="0"/>
        </w:numPr>
        <w:adjustRightInd w:val="0"/>
        <w:snapToGrid w:val="0"/>
        <w:spacing w:line="360" w:lineRule="auto"/>
        <w:ind w:leftChars="0"/>
        <w:textAlignment w:val="baseline"/>
        <w:rPr>
          <w:rStyle w:val="3"/>
          <w:rFonts w:hint="eastAsia" w:ascii="宋体" w:hAnsi="宋体" w:eastAsia="宋体" w:cs="宋体"/>
          <w:kern w:val="0"/>
          <w:szCs w:val="21"/>
          <w:lang w:val="en-US" w:eastAsia="zh-CN"/>
        </w:rPr>
      </w:pPr>
    </w:p>
    <w:p w14:paraId="1126BDE9">
      <w:pPr>
        <w:pStyle w:val="6"/>
        <w:numPr>
          <w:ilvl w:val="0"/>
          <w:numId w:val="0"/>
        </w:numPr>
        <w:adjustRightInd w:val="0"/>
        <w:snapToGrid w:val="0"/>
        <w:spacing w:line="360" w:lineRule="auto"/>
        <w:ind w:leftChars="0"/>
        <w:textAlignment w:val="baseline"/>
        <w:rPr>
          <w:rStyle w:val="3"/>
          <w:rFonts w:hint="eastAsia" w:ascii="宋体" w:hAnsi="宋体" w:eastAsia="宋体" w:cs="宋体"/>
          <w:kern w:val="0"/>
          <w:szCs w:val="21"/>
          <w:lang w:val="en-US" w:eastAsia="zh-CN"/>
        </w:rPr>
      </w:pPr>
      <w:r>
        <w:rPr>
          <w:rStyle w:val="3"/>
          <w:rFonts w:hint="eastAsia" w:ascii="宋体" w:hAnsi="宋体" w:eastAsia="宋体" w:cs="宋体"/>
          <w:kern w:val="0"/>
          <w:szCs w:val="21"/>
          <w:lang w:val="en-US" w:eastAsia="zh-CN"/>
        </w:rPr>
        <w:t>三、煤炭品名和数量</w:t>
      </w:r>
    </w:p>
    <w:p w14:paraId="339EA60A">
      <w:pPr>
        <w:pStyle w:val="6"/>
        <w:adjustRightInd w:val="0"/>
        <w:snapToGrid w:val="0"/>
        <w:spacing w:line="360" w:lineRule="auto"/>
        <w:ind w:firstLine="420" w:firstLineChars="200"/>
        <w:textAlignment w:val="baseline"/>
        <w:rPr>
          <w:rStyle w:val="3"/>
          <w:rFonts w:hint="default" w:ascii="宋体" w:hAnsi="宋体" w:eastAsia="宋体" w:cs="宋体"/>
          <w:kern w:val="0"/>
          <w:szCs w:val="21"/>
          <w:lang w:val="en-US"/>
        </w:rPr>
      </w:pPr>
      <w:r>
        <w:rPr>
          <w:rStyle w:val="3"/>
          <w:rFonts w:hint="eastAsia" w:ascii="宋体" w:hAnsi="宋体" w:eastAsia="宋体" w:cs="宋体"/>
          <w:kern w:val="0"/>
          <w:szCs w:val="21"/>
          <w:lang w:val="en-US" w:eastAsia="zh-CN"/>
        </w:rPr>
        <w:t>1.1</w:t>
      </w:r>
      <w:r>
        <w:rPr>
          <w:rStyle w:val="3"/>
          <w:rFonts w:hint="eastAsia" w:ascii="宋体" w:hAnsi="宋体" w:eastAsia="宋体" w:cs="宋体"/>
          <w:kern w:val="0"/>
          <w:szCs w:val="21"/>
        </w:rPr>
        <w:t>煤炭品名：</w:t>
      </w:r>
      <w:r>
        <w:rPr>
          <w:rStyle w:val="3"/>
          <w:rFonts w:hint="eastAsia" w:ascii="宋体" w:hAnsi="宋体" w:eastAsia="宋体" w:cs="宋体"/>
          <w:kern w:val="0"/>
          <w:szCs w:val="21"/>
          <w:lang w:val="en-US" w:eastAsia="zh-CN"/>
        </w:rPr>
        <w:t>XX煤</w:t>
      </w:r>
    </w:p>
    <w:p w14:paraId="79F0C2C1">
      <w:pPr>
        <w:pStyle w:val="6"/>
        <w:adjustRightInd w:val="0"/>
        <w:snapToGrid w:val="0"/>
        <w:spacing w:line="360" w:lineRule="auto"/>
        <w:ind w:firstLine="420" w:firstLineChars="200"/>
        <w:textAlignment w:val="baseline"/>
        <w:rPr>
          <w:rStyle w:val="3"/>
          <w:rFonts w:hint="eastAsia" w:ascii="宋体" w:hAnsi="宋体" w:eastAsia="宋体" w:cs="宋体"/>
          <w:kern w:val="0"/>
          <w:szCs w:val="21"/>
        </w:rPr>
      </w:pPr>
      <w:r>
        <w:rPr>
          <w:rStyle w:val="3"/>
          <w:rFonts w:hint="eastAsia" w:ascii="宋体" w:hAnsi="宋体" w:eastAsia="宋体" w:cs="宋体"/>
          <w:kern w:val="0"/>
          <w:szCs w:val="21"/>
        </w:rPr>
        <w:t>1.2 煤炭产地：</w:t>
      </w:r>
      <w:r>
        <w:rPr>
          <w:rStyle w:val="3"/>
          <w:rFonts w:hint="eastAsia" w:ascii="宋体" w:hAnsi="宋体" w:eastAsia="宋体" w:cs="宋体"/>
          <w:kern w:val="0"/>
          <w:szCs w:val="21"/>
          <w:lang w:val="en-US" w:eastAsia="zh-CN"/>
        </w:rPr>
        <w:t>XX</w:t>
      </w:r>
    </w:p>
    <w:p w14:paraId="757DE155">
      <w:pPr>
        <w:pStyle w:val="6"/>
        <w:adjustRightInd w:val="0"/>
        <w:snapToGrid w:val="0"/>
        <w:spacing w:line="360" w:lineRule="auto"/>
        <w:ind w:firstLine="420" w:firstLineChars="200"/>
        <w:textAlignment w:val="baseline"/>
        <w:rPr>
          <w:rFonts w:ascii="宋体" w:hAnsi="宋体"/>
          <w:sz w:val="24"/>
        </w:rPr>
      </w:pPr>
      <w:r>
        <w:rPr>
          <w:rStyle w:val="3"/>
          <w:rFonts w:hint="eastAsia" w:ascii="宋体" w:hAnsi="宋体" w:eastAsia="宋体" w:cs="宋体"/>
          <w:kern w:val="0"/>
          <w:szCs w:val="21"/>
        </w:rPr>
        <w:t>1.3煤炭数量：双方约定，在202</w:t>
      </w:r>
      <w:r>
        <w:rPr>
          <w:rStyle w:val="3"/>
          <w:rFonts w:hint="eastAsia" w:ascii="宋体" w:hAnsi="宋体" w:eastAsia="宋体" w:cs="宋体"/>
          <w:kern w:val="0"/>
          <w:szCs w:val="21"/>
          <w:lang w:val="en-US" w:eastAsia="zh-CN"/>
        </w:rPr>
        <w:t>5</w:t>
      </w:r>
      <w:r>
        <w:rPr>
          <w:rStyle w:val="3"/>
          <w:rFonts w:hint="eastAsia" w:ascii="宋体" w:hAnsi="宋体" w:eastAsia="宋体" w:cs="宋体"/>
          <w:kern w:val="0"/>
          <w:szCs w:val="21"/>
        </w:rPr>
        <w:t>年  月  日至  月  日期间，乙方向甲方供煤</w:t>
      </w:r>
      <w:r>
        <w:rPr>
          <w:rStyle w:val="3"/>
          <w:rFonts w:hint="eastAsia" w:ascii="宋体" w:hAnsi="宋体" w:eastAsia="宋体" w:cs="宋体"/>
          <w:kern w:val="0"/>
          <w:szCs w:val="21"/>
          <w:lang w:val="en-US" w:eastAsia="zh-CN"/>
        </w:rPr>
        <w:t>XX</w:t>
      </w:r>
      <w:r>
        <w:rPr>
          <w:rStyle w:val="3"/>
          <w:rFonts w:hint="eastAsia" w:ascii="宋体" w:hAnsi="宋体" w:eastAsia="宋体" w:cs="宋体"/>
          <w:kern w:val="0"/>
          <w:szCs w:val="21"/>
        </w:rPr>
        <w:t>万吨±10%。</w:t>
      </w:r>
    </w:p>
    <w:p w14:paraId="4886C12A">
      <w:pPr>
        <w:pStyle w:val="6"/>
        <w:numPr>
          <w:ilvl w:val="0"/>
          <w:numId w:val="0"/>
        </w:numPr>
        <w:adjustRightInd w:val="0"/>
        <w:snapToGrid w:val="0"/>
        <w:spacing w:line="360" w:lineRule="auto"/>
        <w:ind w:leftChars="0"/>
        <w:textAlignment w:val="baseline"/>
        <w:rPr>
          <w:rFonts w:ascii="宋体" w:hAnsi="宋体"/>
          <w:sz w:val="24"/>
        </w:rPr>
      </w:pPr>
      <w:r>
        <w:rPr>
          <w:rStyle w:val="3"/>
          <w:rFonts w:hint="eastAsia" w:ascii="宋体" w:hAnsi="宋体" w:eastAsia="宋体" w:cs="宋体"/>
          <w:kern w:val="0"/>
          <w:szCs w:val="21"/>
          <w:lang w:val="en-US" w:eastAsia="zh-CN"/>
        </w:rPr>
        <w:t>四、交货方式、交货地：</w:t>
      </w:r>
    </w:p>
    <w:p w14:paraId="49E72024">
      <w:pPr>
        <w:pStyle w:val="6"/>
        <w:adjustRightInd w:val="0"/>
        <w:snapToGrid w:val="0"/>
        <w:spacing w:line="360" w:lineRule="auto"/>
        <w:ind w:firstLine="420" w:firstLineChars="200"/>
        <w:textAlignment w:val="baseline"/>
        <w:rPr>
          <w:rStyle w:val="3"/>
          <w:rFonts w:hint="eastAsia" w:ascii="宋体" w:hAnsi="宋体" w:eastAsia="宋体" w:cs="宋体"/>
          <w:kern w:val="0"/>
          <w:szCs w:val="21"/>
        </w:rPr>
      </w:pPr>
      <w:r>
        <w:rPr>
          <w:rStyle w:val="3"/>
          <w:rFonts w:hint="eastAsia" w:ascii="宋体" w:hAnsi="宋体" w:eastAsia="宋体" w:cs="宋体"/>
          <w:kern w:val="0"/>
          <w:szCs w:val="21"/>
        </w:rPr>
        <w:t>交货方式：场地交货。</w:t>
      </w:r>
    </w:p>
    <w:p w14:paraId="7996E28C">
      <w:pPr>
        <w:pStyle w:val="6"/>
        <w:adjustRightInd w:val="0"/>
        <w:snapToGrid w:val="0"/>
        <w:spacing w:line="360" w:lineRule="auto"/>
        <w:ind w:firstLine="420" w:firstLineChars="200"/>
        <w:textAlignment w:val="baseline"/>
        <w:rPr>
          <w:rStyle w:val="3"/>
          <w:rFonts w:hint="eastAsia" w:ascii="宋体" w:hAnsi="宋体" w:eastAsia="宋体" w:cs="宋体"/>
          <w:kern w:val="0"/>
          <w:szCs w:val="21"/>
        </w:rPr>
      </w:pPr>
      <w:r>
        <w:rPr>
          <w:rStyle w:val="3"/>
          <w:rFonts w:hint="eastAsia" w:ascii="宋体" w:hAnsi="宋体" w:eastAsia="宋体" w:cs="宋体"/>
          <w:kern w:val="0"/>
          <w:szCs w:val="21"/>
        </w:rPr>
        <w:t>交货地：甲方在</w:t>
      </w:r>
      <w:r>
        <w:rPr>
          <w:rStyle w:val="3"/>
          <w:rFonts w:hint="eastAsia" w:ascii="宋体" w:hAnsi="宋体" w:eastAsia="宋体" w:cs="宋体"/>
          <w:kern w:val="0"/>
          <w:szCs w:val="21"/>
          <w:lang w:val="en-US" w:eastAsia="zh-CN"/>
        </w:rPr>
        <w:t>秦皇岛港二、七、九公司；国投曹妃甸港口有限公司；唐山曹妃甸煤炭港务有限公司；华能曹妃甸港口有限公司。</w:t>
      </w:r>
    </w:p>
    <w:p w14:paraId="6EE17F4C">
      <w:pPr>
        <w:pStyle w:val="6"/>
        <w:numPr>
          <w:ilvl w:val="0"/>
          <w:numId w:val="0"/>
        </w:numPr>
        <w:adjustRightInd w:val="0"/>
        <w:snapToGrid w:val="0"/>
        <w:spacing w:line="360" w:lineRule="auto"/>
        <w:ind w:leftChars="0"/>
        <w:textAlignment w:val="baseline"/>
        <w:rPr>
          <w:rStyle w:val="3"/>
          <w:rFonts w:hint="eastAsia" w:ascii="宋体" w:hAnsi="宋体" w:eastAsia="宋体" w:cs="宋体"/>
          <w:kern w:val="0"/>
          <w:szCs w:val="21"/>
          <w:lang w:val="en-US" w:eastAsia="zh-CN"/>
        </w:rPr>
      </w:pPr>
      <w:r>
        <w:rPr>
          <w:rStyle w:val="3"/>
          <w:rFonts w:hint="eastAsia" w:ascii="宋体" w:hAnsi="宋体" w:eastAsia="宋体" w:cs="宋体"/>
          <w:kern w:val="0"/>
          <w:szCs w:val="21"/>
          <w:lang w:val="en-US" w:eastAsia="zh-CN"/>
        </w:rPr>
        <w:t>五、煤炭质量考核要求</w:t>
      </w:r>
    </w:p>
    <w:p w14:paraId="46CD5B67">
      <w:pPr>
        <w:pStyle w:val="6"/>
        <w:widowControl w:val="0"/>
        <w:numPr>
          <w:ilvl w:val="0"/>
          <w:numId w:val="0"/>
        </w:numPr>
        <w:adjustRightInd w:val="0"/>
        <w:snapToGrid w:val="0"/>
        <w:spacing w:line="360" w:lineRule="auto"/>
        <w:ind w:leftChars="0" w:firstLine="420" w:firstLineChars="200"/>
        <w:jc w:val="both"/>
        <w:textAlignment w:val="baseline"/>
        <w:rPr>
          <w:rStyle w:val="3"/>
          <w:rFonts w:hint="eastAsia" w:ascii="宋体" w:hAnsi="宋体" w:eastAsia="宋体" w:cs="宋体"/>
          <w:kern w:val="0"/>
          <w:szCs w:val="21"/>
          <w:lang w:val="en-US" w:eastAsia="zh-CN"/>
        </w:rPr>
      </w:pPr>
      <w:r>
        <w:rPr>
          <w:rStyle w:val="3"/>
          <w:rFonts w:hint="eastAsia" w:ascii="宋体" w:hAnsi="宋体" w:eastAsia="宋体" w:cs="宋体"/>
          <w:kern w:val="0"/>
          <w:szCs w:val="21"/>
          <w:lang w:val="en-US" w:eastAsia="zh-CN"/>
        </w:rPr>
        <w:t>煤炭质量要求：乙方所提供的煤炭，不得与其它煤炭产地的煤炭进行掺配。具体煤质参数要求如下：</w:t>
      </w:r>
    </w:p>
    <w:tbl>
      <w:tblPr>
        <w:tblStyle w:val="2"/>
        <w:tblpPr w:leftFromText="180" w:rightFromText="180" w:vertAnchor="text" w:horzAnchor="page" w:tblpX="857" w:tblpY="1554"/>
        <w:tblOverlap w:val="never"/>
        <w:tblW w:w="104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6"/>
        <w:gridCol w:w="908"/>
        <w:gridCol w:w="1041"/>
        <w:gridCol w:w="1044"/>
        <w:gridCol w:w="1476"/>
        <w:gridCol w:w="1034"/>
        <w:gridCol w:w="1037"/>
        <w:gridCol w:w="1056"/>
        <w:gridCol w:w="1056"/>
      </w:tblGrid>
      <w:tr w14:paraId="2D37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6" w:type="dxa"/>
            <w:noWrap w:val="0"/>
            <w:vAlign w:val="center"/>
          </w:tcPr>
          <w:p w14:paraId="379238B0">
            <w:pPr>
              <w:snapToGrid w:val="0"/>
              <w:spacing w:line="420" w:lineRule="exact"/>
              <w:jc w:val="center"/>
              <w:rPr>
                <w:rFonts w:ascii="宋体" w:hAnsi="宋体"/>
                <w:b/>
                <w:bCs/>
                <w:sz w:val="24"/>
                <w:szCs w:val="20"/>
              </w:rPr>
            </w:pPr>
            <w:r>
              <w:rPr>
                <w:rFonts w:hint="eastAsia" w:ascii="宋体" w:hAnsi="宋体"/>
                <w:b/>
                <w:bCs/>
                <w:sz w:val="24"/>
                <w:szCs w:val="20"/>
              </w:rPr>
              <w:t>煤种</w:t>
            </w:r>
          </w:p>
        </w:tc>
        <w:tc>
          <w:tcPr>
            <w:tcW w:w="908" w:type="dxa"/>
            <w:noWrap w:val="0"/>
            <w:vAlign w:val="center"/>
          </w:tcPr>
          <w:p w14:paraId="5BE6858E">
            <w:pPr>
              <w:adjustRightInd w:val="0"/>
              <w:snapToGrid w:val="0"/>
              <w:spacing w:line="420" w:lineRule="exact"/>
              <w:jc w:val="center"/>
              <w:rPr>
                <w:b/>
                <w:bCs/>
                <w:sz w:val="24"/>
              </w:rPr>
            </w:pPr>
            <w:r>
              <w:rPr>
                <w:b/>
                <w:bCs/>
                <w:sz w:val="24"/>
              </w:rPr>
              <w:t xml:space="preserve">M t </w:t>
            </w:r>
            <w:r>
              <w:rPr>
                <w:b/>
                <w:bCs/>
                <w:sz w:val="24"/>
              </w:rPr>
              <w:br w:type="textWrapping"/>
            </w:r>
            <w:r>
              <w:rPr>
                <w:b/>
                <w:bCs/>
                <w:sz w:val="24"/>
              </w:rPr>
              <w:t>(%)</w:t>
            </w:r>
          </w:p>
        </w:tc>
        <w:tc>
          <w:tcPr>
            <w:tcW w:w="1041" w:type="dxa"/>
            <w:noWrap w:val="0"/>
            <w:vAlign w:val="center"/>
          </w:tcPr>
          <w:p w14:paraId="4A87B33B">
            <w:pPr>
              <w:adjustRightInd w:val="0"/>
              <w:snapToGrid w:val="0"/>
              <w:spacing w:line="420" w:lineRule="exact"/>
              <w:jc w:val="center"/>
              <w:rPr>
                <w:b/>
                <w:bCs/>
                <w:sz w:val="24"/>
              </w:rPr>
            </w:pPr>
            <w:r>
              <w:rPr>
                <w:b/>
                <w:bCs/>
                <w:sz w:val="24"/>
              </w:rPr>
              <w:t>Ad</w:t>
            </w:r>
            <w:r>
              <w:rPr>
                <w:b/>
                <w:bCs/>
                <w:sz w:val="24"/>
              </w:rPr>
              <w:br w:type="textWrapping"/>
            </w:r>
            <w:r>
              <w:rPr>
                <w:b/>
                <w:bCs/>
                <w:sz w:val="24"/>
              </w:rPr>
              <w:t xml:space="preserve"> (%)</w:t>
            </w:r>
          </w:p>
        </w:tc>
        <w:tc>
          <w:tcPr>
            <w:tcW w:w="1044" w:type="dxa"/>
            <w:noWrap w:val="0"/>
            <w:vAlign w:val="center"/>
          </w:tcPr>
          <w:p w14:paraId="4465DD60">
            <w:pPr>
              <w:adjustRightInd w:val="0"/>
              <w:snapToGrid w:val="0"/>
              <w:spacing w:line="420" w:lineRule="exact"/>
              <w:jc w:val="center"/>
              <w:rPr>
                <w:b/>
                <w:bCs/>
                <w:sz w:val="24"/>
              </w:rPr>
            </w:pPr>
            <w:r>
              <w:rPr>
                <w:b/>
                <w:bCs/>
                <w:sz w:val="24"/>
              </w:rPr>
              <w:t>Vdaf</w:t>
            </w:r>
            <w:r>
              <w:rPr>
                <w:b/>
                <w:bCs/>
                <w:sz w:val="24"/>
              </w:rPr>
              <w:br w:type="textWrapping"/>
            </w:r>
            <w:r>
              <w:rPr>
                <w:b/>
                <w:bCs/>
                <w:sz w:val="24"/>
              </w:rPr>
              <w:t>(%)</w:t>
            </w:r>
          </w:p>
        </w:tc>
        <w:tc>
          <w:tcPr>
            <w:tcW w:w="1476" w:type="dxa"/>
            <w:noWrap w:val="0"/>
            <w:vAlign w:val="center"/>
          </w:tcPr>
          <w:p w14:paraId="607ED68C">
            <w:pPr>
              <w:adjustRightInd w:val="0"/>
              <w:snapToGrid w:val="0"/>
              <w:spacing w:line="420" w:lineRule="exact"/>
              <w:jc w:val="center"/>
              <w:rPr>
                <w:b/>
                <w:bCs/>
                <w:sz w:val="24"/>
              </w:rPr>
            </w:pPr>
            <w:r>
              <w:rPr>
                <w:b/>
                <w:bCs/>
                <w:sz w:val="24"/>
              </w:rPr>
              <w:t>Qnet,ar</w:t>
            </w:r>
            <w:r>
              <w:rPr>
                <w:b/>
                <w:bCs/>
                <w:sz w:val="24"/>
              </w:rPr>
              <w:br w:type="textWrapping"/>
            </w:r>
            <w:r>
              <w:rPr>
                <w:b/>
                <w:bCs/>
                <w:sz w:val="24"/>
              </w:rPr>
              <w:t>(kcal/kg)</w:t>
            </w:r>
          </w:p>
        </w:tc>
        <w:tc>
          <w:tcPr>
            <w:tcW w:w="1034" w:type="dxa"/>
            <w:noWrap w:val="0"/>
            <w:vAlign w:val="center"/>
          </w:tcPr>
          <w:p w14:paraId="52436C26">
            <w:pPr>
              <w:adjustRightInd w:val="0"/>
              <w:snapToGrid w:val="0"/>
              <w:spacing w:line="420" w:lineRule="exact"/>
              <w:jc w:val="center"/>
              <w:rPr>
                <w:b/>
                <w:bCs/>
                <w:sz w:val="24"/>
              </w:rPr>
            </w:pPr>
            <w:r>
              <w:rPr>
                <w:b/>
                <w:bCs/>
                <w:sz w:val="24"/>
              </w:rPr>
              <w:t>St,d</w:t>
            </w:r>
            <w:r>
              <w:rPr>
                <w:b/>
                <w:bCs/>
                <w:sz w:val="24"/>
              </w:rPr>
              <w:br w:type="textWrapping"/>
            </w:r>
            <w:r>
              <w:rPr>
                <w:b/>
                <w:bCs/>
                <w:sz w:val="24"/>
              </w:rPr>
              <w:t xml:space="preserve"> (%)</w:t>
            </w:r>
          </w:p>
        </w:tc>
        <w:tc>
          <w:tcPr>
            <w:tcW w:w="1037" w:type="dxa"/>
            <w:noWrap w:val="0"/>
            <w:vAlign w:val="center"/>
          </w:tcPr>
          <w:p w14:paraId="2B255E00">
            <w:pPr>
              <w:adjustRightInd w:val="0"/>
              <w:snapToGrid w:val="0"/>
              <w:spacing w:line="420" w:lineRule="exact"/>
              <w:jc w:val="center"/>
              <w:rPr>
                <w:b/>
                <w:bCs/>
                <w:sz w:val="24"/>
              </w:rPr>
            </w:pPr>
            <w:r>
              <w:rPr>
                <w:b/>
                <w:bCs/>
                <w:sz w:val="24"/>
              </w:rPr>
              <w:t xml:space="preserve">ST </w:t>
            </w:r>
            <w:r>
              <w:rPr>
                <w:b/>
                <w:bCs/>
                <w:sz w:val="24"/>
              </w:rPr>
              <w:br w:type="textWrapping"/>
            </w:r>
            <w:r>
              <w:rPr>
                <w:b/>
                <w:bCs/>
                <w:sz w:val="24"/>
              </w:rPr>
              <w:t>(</w:t>
            </w:r>
            <w:r>
              <w:rPr>
                <w:rFonts w:hint="eastAsia"/>
                <w:b/>
                <w:bCs/>
                <w:sz w:val="24"/>
              </w:rPr>
              <w:t>℃</w:t>
            </w:r>
            <w:r>
              <w:rPr>
                <w:b/>
                <w:bCs/>
                <w:sz w:val="24"/>
              </w:rPr>
              <w:t>)</w:t>
            </w:r>
          </w:p>
        </w:tc>
        <w:tc>
          <w:tcPr>
            <w:tcW w:w="1056" w:type="dxa"/>
            <w:noWrap w:val="0"/>
            <w:vAlign w:val="center"/>
          </w:tcPr>
          <w:p w14:paraId="0CEF8576">
            <w:pPr>
              <w:adjustRightInd w:val="0"/>
              <w:snapToGrid w:val="0"/>
              <w:spacing w:line="420" w:lineRule="exact"/>
              <w:jc w:val="center"/>
              <w:rPr>
                <w:rFonts w:hint="eastAsia" w:ascii="宋体" w:hAnsi="宋体" w:eastAsia="宋体"/>
                <w:b/>
                <w:bCs/>
                <w:kern w:val="2"/>
                <w:sz w:val="24"/>
                <w:szCs w:val="20"/>
                <w:lang w:val="en-US" w:eastAsia="zh-CN" w:bidi="ar-SA"/>
              </w:rPr>
            </w:pPr>
            <w:r>
              <w:rPr>
                <w:rFonts w:hint="eastAsia" w:ascii="宋体" w:hAnsi="宋体"/>
                <w:b/>
                <w:bCs/>
                <w:sz w:val="24"/>
                <w:szCs w:val="20"/>
                <w:lang w:val="en-US" w:eastAsia="zh-CN"/>
              </w:rPr>
              <w:t>HGI</w:t>
            </w:r>
          </w:p>
        </w:tc>
        <w:tc>
          <w:tcPr>
            <w:tcW w:w="1056" w:type="dxa"/>
            <w:noWrap w:val="0"/>
            <w:vAlign w:val="center"/>
          </w:tcPr>
          <w:p w14:paraId="07577070">
            <w:pPr>
              <w:adjustRightInd w:val="0"/>
              <w:snapToGrid w:val="0"/>
              <w:spacing w:line="420" w:lineRule="exact"/>
              <w:jc w:val="center"/>
              <w:rPr>
                <w:rFonts w:ascii="宋体" w:hAnsi="宋体"/>
                <w:b/>
                <w:bCs/>
                <w:sz w:val="24"/>
                <w:szCs w:val="20"/>
              </w:rPr>
            </w:pPr>
            <w:r>
              <w:rPr>
                <w:rFonts w:hint="eastAsia" w:ascii="宋体" w:hAnsi="宋体"/>
                <w:b/>
                <w:bCs/>
                <w:sz w:val="24"/>
                <w:szCs w:val="20"/>
              </w:rPr>
              <w:t>粒度</w:t>
            </w:r>
          </w:p>
          <w:p w14:paraId="7859E6BD">
            <w:pPr>
              <w:adjustRightInd w:val="0"/>
              <w:snapToGrid w:val="0"/>
              <w:spacing w:line="420" w:lineRule="exact"/>
              <w:jc w:val="center"/>
              <w:rPr>
                <w:rFonts w:ascii="宋体" w:hAnsi="宋体"/>
                <w:b/>
                <w:bCs/>
                <w:sz w:val="24"/>
                <w:szCs w:val="20"/>
              </w:rPr>
            </w:pPr>
            <w:r>
              <w:rPr>
                <w:rFonts w:hint="eastAsia" w:ascii="宋体" w:hAnsi="宋体"/>
                <w:b/>
                <w:bCs/>
                <w:sz w:val="24"/>
                <w:szCs w:val="20"/>
              </w:rPr>
              <w:t>（mm）</w:t>
            </w:r>
          </w:p>
        </w:tc>
      </w:tr>
      <w:tr w14:paraId="41AD9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6" w:type="dxa"/>
            <w:noWrap w:val="0"/>
            <w:vAlign w:val="center"/>
          </w:tcPr>
          <w:p w14:paraId="6B7EE2CB">
            <w:pPr>
              <w:snapToGrid w:val="0"/>
              <w:spacing w:line="440" w:lineRule="exact"/>
              <w:ind w:firstLine="480" w:firstLineChars="200"/>
              <w:rPr>
                <w:rFonts w:ascii="宋体" w:hAnsi="宋体"/>
                <w:sz w:val="24"/>
                <w:szCs w:val="20"/>
              </w:rPr>
            </w:pPr>
            <w:r>
              <w:rPr>
                <w:rFonts w:hint="eastAsia" w:ascii="宋体" w:hAnsi="宋体"/>
                <w:sz w:val="24"/>
                <w:szCs w:val="20"/>
              </w:rPr>
              <w:t>优混</w:t>
            </w:r>
          </w:p>
        </w:tc>
        <w:tc>
          <w:tcPr>
            <w:tcW w:w="908" w:type="dxa"/>
            <w:noWrap w:val="0"/>
            <w:vAlign w:val="center"/>
          </w:tcPr>
          <w:p w14:paraId="7751DD5D">
            <w:pPr>
              <w:spacing w:line="440" w:lineRule="exact"/>
              <w:jc w:val="center"/>
              <w:rPr>
                <w:rFonts w:ascii="宋体" w:hAnsi="宋体" w:cs="宋体"/>
                <w:sz w:val="24"/>
              </w:rPr>
            </w:pPr>
            <w:r>
              <w:rPr>
                <w:rFonts w:hint="eastAsia" w:ascii="宋体" w:hAnsi="宋体"/>
                <w:sz w:val="24"/>
              </w:rPr>
              <w:t>≤10</w:t>
            </w:r>
          </w:p>
        </w:tc>
        <w:tc>
          <w:tcPr>
            <w:tcW w:w="1041" w:type="dxa"/>
            <w:noWrap w:val="0"/>
            <w:vAlign w:val="center"/>
          </w:tcPr>
          <w:p w14:paraId="467E7386">
            <w:pPr>
              <w:spacing w:line="440" w:lineRule="exact"/>
              <w:jc w:val="center"/>
              <w:rPr>
                <w:rFonts w:ascii="宋体" w:hAnsi="宋体" w:cs="宋体"/>
                <w:sz w:val="24"/>
              </w:rPr>
            </w:pPr>
            <w:r>
              <w:rPr>
                <w:rFonts w:hint="eastAsia" w:ascii="宋体" w:hAnsi="宋体"/>
                <w:sz w:val="24"/>
              </w:rPr>
              <w:t>≤</w:t>
            </w:r>
            <w:r>
              <w:rPr>
                <w:rFonts w:hint="eastAsia" w:ascii="宋体" w:hAnsi="宋体" w:cs="宋体"/>
                <w:sz w:val="24"/>
              </w:rPr>
              <w:t>20</w:t>
            </w:r>
          </w:p>
        </w:tc>
        <w:tc>
          <w:tcPr>
            <w:tcW w:w="1044" w:type="dxa"/>
            <w:noWrap w:val="0"/>
            <w:vAlign w:val="center"/>
          </w:tcPr>
          <w:p w14:paraId="23F30CE1">
            <w:pPr>
              <w:spacing w:line="440" w:lineRule="exact"/>
              <w:jc w:val="center"/>
              <w:rPr>
                <w:rFonts w:ascii="宋体" w:hAnsi="宋体"/>
                <w:sz w:val="24"/>
              </w:rPr>
            </w:pPr>
            <w:r>
              <w:rPr>
                <w:rFonts w:hint="eastAsia" w:ascii="宋体" w:hAnsi="宋体"/>
                <w:sz w:val="24"/>
              </w:rPr>
              <w:t>30</w:t>
            </w:r>
            <w:r>
              <w:rPr>
                <w:rFonts w:ascii="宋体" w:hAnsi="宋体"/>
                <w:sz w:val="24"/>
              </w:rPr>
              <w:t>-3</w:t>
            </w:r>
            <w:r>
              <w:rPr>
                <w:rFonts w:hint="eastAsia" w:ascii="宋体" w:hAnsi="宋体"/>
                <w:sz w:val="24"/>
              </w:rPr>
              <w:t>8</w:t>
            </w:r>
          </w:p>
        </w:tc>
        <w:tc>
          <w:tcPr>
            <w:tcW w:w="1476" w:type="dxa"/>
            <w:noWrap w:val="0"/>
            <w:vAlign w:val="center"/>
          </w:tcPr>
          <w:p w14:paraId="1501BE0D">
            <w:pPr>
              <w:spacing w:line="440" w:lineRule="exact"/>
              <w:jc w:val="center"/>
              <w:rPr>
                <w:rFonts w:ascii="宋体" w:hAnsi="宋体" w:cs="宋体"/>
                <w:sz w:val="24"/>
              </w:rPr>
            </w:pPr>
            <w:r>
              <w:rPr>
                <w:rFonts w:hint="eastAsia" w:ascii="宋体" w:hAnsi="宋体"/>
                <w:sz w:val="24"/>
              </w:rPr>
              <w:t>≥</w:t>
            </w:r>
            <w:r>
              <w:rPr>
                <w:rFonts w:ascii="宋体" w:hAnsi="宋体"/>
                <w:sz w:val="24"/>
              </w:rPr>
              <w:t>5500</w:t>
            </w:r>
          </w:p>
        </w:tc>
        <w:tc>
          <w:tcPr>
            <w:tcW w:w="1034" w:type="dxa"/>
            <w:noWrap w:val="0"/>
            <w:vAlign w:val="center"/>
          </w:tcPr>
          <w:p w14:paraId="549F7826">
            <w:pPr>
              <w:spacing w:line="440" w:lineRule="exact"/>
              <w:jc w:val="center"/>
              <w:rPr>
                <w:rFonts w:ascii="宋体" w:hAnsi="宋体" w:cs="宋体"/>
                <w:sz w:val="24"/>
              </w:rPr>
            </w:pPr>
            <w:r>
              <w:rPr>
                <w:rFonts w:hint="eastAsia" w:ascii="宋体" w:hAnsi="宋体"/>
                <w:sz w:val="24"/>
              </w:rPr>
              <w:t>≤</w:t>
            </w:r>
            <w:r>
              <w:rPr>
                <w:rFonts w:ascii="宋体" w:hAnsi="宋体"/>
                <w:sz w:val="24"/>
              </w:rPr>
              <w:t>1.0</w:t>
            </w:r>
          </w:p>
        </w:tc>
        <w:tc>
          <w:tcPr>
            <w:tcW w:w="1037" w:type="dxa"/>
            <w:noWrap w:val="0"/>
            <w:vAlign w:val="center"/>
          </w:tcPr>
          <w:p w14:paraId="5F643E5D">
            <w:pPr>
              <w:spacing w:line="440" w:lineRule="exact"/>
              <w:jc w:val="center"/>
              <w:rPr>
                <w:rFonts w:ascii="宋体" w:hAnsi="宋体" w:cs="宋体"/>
                <w:sz w:val="24"/>
              </w:rPr>
            </w:pPr>
            <w:r>
              <w:rPr>
                <w:rFonts w:hint="eastAsia" w:ascii="宋体" w:hAnsi="宋体"/>
                <w:sz w:val="24"/>
              </w:rPr>
              <w:t>≥1400</w:t>
            </w:r>
          </w:p>
        </w:tc>
        <w:tc>
          <w:tcPr>
            <w:tcW w:w="1056" w:type="dxa"/>
            <w:noWrap w:val="0"/>
            <w:vAlign w:val="center"/>
          </w:tcPr>
          <w:p w14:paraId="6104CCC6">
            <w:pPr>
              <w:snapToGrid w:val="0"/>
              <w:spacing w:line="440" w:lineRule="exact"/>
              <w:jc w:val="center"/>
              <w:rPr>
                <w:rFonts w:hint="eastAsia" w:ascii="宋体" w:hAnsi="宋体" w:eastAsia="宋体"/>
                <w:kern w:val="2"/>
                <w:sz w:val="24"/>
                <w:szCs w:val="20"/>
                <w:lang w:val="en-US" w:eastAsia="zh-CN" w:bidi="ar-SA"/>
              </w:rPr>
            </w:pPr>
            <w:r>
              <w:rPr>
                <w:rFonts w:hint="eastAsia" w:ascii="宋体" w:hAnsi="宋体"/>
                <w:sz w:val="24"/>
              </w:rPr>
              <w:t>≥</w:t>
            </w:r>
            <w:r>
              <w:rPr>
                <w:rFonts w:hint="eastAsia" w:ascii="宋体" w:hAnsi="宋体"/>
                <w:sz w:val="24"/>
                <w:lang w:val="en-US" w:eastAsia="zh-CN"/>
              </w:rPr>
              <w:t>55</w:t>
            </w:r>
          </w:p>
        </w:tc>
        <w:tc>
          <w:tcPr>
            <w:tcW w:w="1056" w:type="dxa"/>
            <w:noWrap w:val="0"/>
            <w:vAlign w:val="center"/>
          </w:tcPr>
          <w:p w14:paraId="5A8785E5">
            <w:pPr>
              <w:snapToGrid w:val="0"/>
              <w:spacing w:line="440" w:lineRule="exact"/>
              <w:jc w:val="center"/>
              <w:rPr>
                <w:rFonts w:ascii="宋体" w:hAnsi="宋体"/>
                <w:sz w:val="24"/>
                <w:szCs w:val="20"/>
              </w:rPr>
            </w:pPr>
            <w:r>
              <w:rPr>
                <w:rFonts w:hint="eastAsia" w:ascii="宋体" w:hAnsi="宋体"/>
                <w:sz w:val="24"/>
                <w:szCs w:val="20"/>
              </w:rPr>
              <w:t>0-50</w:t>
            </w:r>
          </w:p>
        </w:tc>
      </w:tr>
      <w:tr w14:paraId="18159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76" w:type="dxa"/>
            <w:noWrap w:val="0"/>
            <w:vAlign w:val="center"/>
          </w:tcPr>
          <w:p w14:paraId="0462331D">
            <w:pPr>
              <w:snapToGrid w:val="0"/>
              <w:spacing w:line="440" w:lineRule="exact"/>
              <w:ind w:firstLine="480" w:firstLineChars="200"/>
              <w:rPr>
                <w:rFonts w:hint="eastAsia" w:ascii="宋体" w:hAnsi="宋体" w:eastAsia="宋体"/>
                <w:kern w:val="2"/>
                <w:sz w:val="24"/>
                <w:szCs w:val="20"/>
                <w:lang w:val="en-US" w:eastAsia="zh-CN" w:bidi="ar-SA"/>
              </w:rPr>
            </w:pPr>
            <w:r>
              <w:rPr>
                <w:rFonts w:hint="eastAsia" w:ascii="宋体" w:hAnsi="宋体"/>
                <w:sz w:val="24"/>
                <w:szCs w:val="20"/>
                <w:lang w:val="en-US" w:eastAsia="zh-CN"/>
              </w:rPr>
              <w:t>蒙陕煤</w:t>
            </w:r>
          </w:p>
        </w:tc>
        <w:tc>
          <w:tcPr>
            <w:tcW w:w="908" w:type="dxa"/>
            <w:noWrap w:val="0"/>
            <w:vAlign w:val="center"/>
          </w:tcPr>
          <w:p w14:paraId="759A43FC">
            <w:pPr>
              <w:spacing w:line="440" w:lineRule="exact"/>
              <w:jc w:val="center"/>
              <w:rPr>
                <w:rFonts w:hint="eastAsia" w:ascii="宋体" w:hAnsi="宋体" w:eastAsia="宋体" w:cs="宋体"/>
                <w:kern w:val="2"/>
                <w:sz w:val="24"/>
                <w:szCs w:val="22"/>
                <w:lang w:val="en-US" w:eastAsia="zh-CN" w:bidi="ar-SA"/>
              </w:rPr>
            </w:pPr>
            <w:r>
              <w:rPr>
                <w:rFonts w:hint="eastAsia" w:ascii="宋体" w:hAnsi="宋体"/>
                <w:sz w:val="24"/>
              </w:rPr>
              <w:t>≤1</w:t>
            </w:r>
            <w:r>
              <w:rPr>
                <w:rFonts w:hint="eastAsia" w:ascii="宋体" w:hAnsi="宋体"/>
                <w:sz w:val="24"/>
                <w:lang w:val="en-US" w:eastAsia="zh-CN"/>
              </w:rPr>
              <w:t>8</w:t>
            </w:r>
          </w:p>
        </w:tc>
        <w:tc>
          <w:tcPr>
            <w:tcW w:w="1041" w:type="dxa"/>
            <w:noWrap w:val="0"/>
            <w:vAlign w:val="center"/>
          </w:tcPr>
          <w:p w14:paraId="74A1CFA1">
            <w:pPr>
              <w:spacing w:line="440" w:lineRule="exact"/>
              <w:jc w:val="center"/>
              <w:rPr>
                <w:rFonts w:hint="eastAsia" w:ascii="宋体" w:hAnsi="宋体" w:eastAsia="宋体" w:cs="宋体"/>
                <w:kern w:val="2"/>
                <w:sz w:val="24"/>
                <w:szCs w:val="22"/>
                <w:lang w:val="en-US" w:eastAsia="zh-CN" w:bidi="ar-SA"/>
              </w:rPr>
            </w:pPr>
            <w:r>
              <w:rPr>
                <w:rFonts w:hint="eastAsia" w:ascii="宋体" w:hAnsi="宋体"/>
                <w:sz w:val="24"/>
              </w:rPr>
              <w:t>≤</w:t>
            </w:r>
            <w:r>
              <w:rPr>
                <w:rFonts w:hint="eastAsia" w:ascii="宋体" w:hAnsi="宋体" w:cs="宋体"/>
                <w:sz w:val="24"/>
                <w:lang w:val="en-US" w:eastAsia="zh-CN"/>
              </w:rPr>
              <w:t>12</w:t>
            </w:r>
          </w:p>
        </w:tc>
        <w:tc>
          <w:tcPr>
            <w:tcW w:w="1044" w:type="dxa"/>
            <w:noWrap w:val="0"/>
            <w:vAlign w:val="center"/>
          </w:tcPr>
          <w:p w14:paraId="1564C1FA">
            <w:pPr>
              <w:spacing w:line="440" w:lineRule="exact"/>
              <w:jc w:val="center"/>
              <w:rPr>
                <w:rFonts w:hint="eastAsia" w:ascii="宋体" w:hAnsi="宋体" w:eastAsia="宋体"/>
                <w:kern w:val="2"/>
                <w:sz w:val="24"/>
                <w:szCs w:val="22"/>
                <w:lang w:val="en-US" w:eastAsia="zh-CN" w:bidi="ar-SA"/>
              </w:rPr>
            </w:pPr>
            <w:r>
              <w:rPr>
                <w:rFonts w:hint="eastAsia" w:ascii="宋体" w:hAnsi="宋体"/>
                <w:sz w:val="24"/>
              </w:rPr>
              <w:t>3</w:t>
            </w:r>
            <w:r>
              <w:rPr>
                <w:rFonts w:hint="eastAsia" w:ascii="宋体" w:hAnsi="宋体"/>
                <w:sz w:val="24"/>
                <w:lang w:val="en-US" w:eastAsia="zh-CN"/>
              </w:rPr>
              <w:t>3</w:t>
            </w:r>
            <w:r>
              <w:rPr>
                <w:rFonts w:ascii="宋体" w:hAnsi="宋体"/>
                <w:sz w:val="24"/>
              </w:rPr>
              <w:t>-</w:t>
            </w:r>
            <w:r>
              <w:rPr>
                <w:rFonts w:hint="eastAsia" w:ascii="宋体" w:hAnsi="宋体"/>
                <w:sz w:val="24"/>
                <w:lang w:val="en-US" w:eastAsia="zh-CN"/>
              </w:rPr>
              <w:t>40</w:t>
            </w:r>
          </w:p>
        </w:tc>
        <w:tc>
          <w:tcPr>
            <w:tcW w:w="1476" w:type="dxa"/>
            <w:noWrap w:val="0"/>
            <w:vAlign w:val="center"/>
          </w:tcPr>
          <w:p w14:paraId="7F24D06D">
            <w:pPr>
              <w:spacing w:line="440" w:lineRule="exact"/>
              <w:jc w:val="center"/>
              <w:rPr>
                <w:rFonts w:hint="eastAsia" w:ascii="宋体" w:hAnsi="宋体" w:cs="宋体"/>
                <w:kern w:val="2"/>
                <w:sz w:val="24"/>
                <w:szCs w:val="22"/>
                <w:lang w:val="en-US" w:eastAsia="zh-CN" w:bidi="ar-SA"/>
              </w:rPr>
            </w:pPr>
            <w:r>
              <w:rPr>
                <w:rFonts w:hint="eastAsia" w:ascii="宋体" w:hAnsi="宋体"/>
                <w:sz w:val="24"/>
              </w:rPr>
              <w:t>≥</w:t>
            </w:r>
            <w:r>
              <w:rPr>
                <w:rFonts w:ascii="宋体" w:hAnsi="宋体"/>
                <w:sz w:val="24"/>
              </w:rPr>
              <w:t>5500</w:t>
            </w:r>
          </w:p>
        </w:tc>
        <w:tc>
          <w:tcPr>
            <w:tcW w:w="1034" w:type="dxa"/>
            <w:noWrap w:val="0"/>
            <w:vAlign w:val="center"/>
          </w:tcPr>
          <w:p w14:paraId="6549F2F2">
            <w:pPr>
              <w:spacing w:line="440" w:lineRule="exact"/>
              <w:jc w:val="center"/>
              <w:rPr>
                <w:rFonts w:hint="eastAsia" w:ascii="宋体" w:hAnsi="宋体" w:eastAsia="宋体" w:cs="宋体"/>
                <w:kern w:val="2"/>
                <w:sz w:val="24"/>
                <w:szCs w:val="22"/>
                <w:lang w:val="en-US" w:eastAsia="zh-CN" w:bidi="ar-SA"/>
              </w:rPr>
            </w:pPr>
            <w:r>
              <w:rPr>
                <w:rFonts w:hint="eastAsia" w:ascii="宋体" w:hAnsi="宋体"/>
                <w:sz w:val="24"/>
              </w:rPr>
              <w:t>≤</w:t>
            </w:r>
            <w:r>
              <w:rPr>
                <w:rFonts w:hint="eastAsia" w:ascii="宋体" w:hAnsi="宋体"/>
                <w:sz w:val="24"/>
                <w:lang w:val="en-US" w:eastAsia="zh-CN"/>
              </w:rPr>
              <w:t>0.6</w:t>
            </w:r>
          </w:p>
        </w:tc>
        <w:tc>
          <w:tcPr>
            <w:tcW w:w="1037" w:type="dxa"/>
            <w:noWrap w:val="0"/>
            <w:vAlign w:val="center"/>
          </w:tcPr>
          <w:p w14:paraId="3DBDD411">
            <w:pPr>
              <w:spacing w:line="440" w:lineRule="exact"/>
              <w:jc w:val="center"/>
              <w:rPr>
                <w:rFonts w:hint="eastAsia" w:ascii="宋体" w:hAnsi="宋体" w:cs="宋体"/>
                <w:kern w:val="2"/>
                <w:sz w:val="24"/>
                <w:szCs w:val="22"/>
                <w:lang w:val="en-US" w:eastAsia="zh-CN" w:bidi="ar-SA"/>
              </w:rPr>
            </w:pPr>
            <w:r>
              <w:rPr>
                <w:rFonts w:hint="eastAsia" w:ascii="宋体" w:hAnsi="宋体"/>
                <w:sz w:val="24"/>
              </w:rPr>
              <w:t>≥1</w:t>
            </w:r>
            <w:r>
              <w:rPr>
                <w:rFonts w:hint="eastAsia" w:ascii="宋体" w:hAnsi="宋体"/>
                <w:sz w:val="24"/>
                <w:lang w:val="en-US" w:eastAsia="zh-CN"/>
              </w:rPr>
              <w:t>2</w:t>
            </w:r>
            <w:r>
              <w:rPr>
                <w:rFonts w:hint="eastAsia" w:ascii="宋体" w:hAnsi="宋体"/>
                <w:sz w:val="24"/>
              </w:rPr>
              <w:t>00</w:t>
            </w:r>
          </w:p>
        </w:tc>
        <w:tc>
          <w:tcPr>
            <w:tcW w:w="1056" w:type="dxa"/>
            <w:noWrap w:val="0"/>
            <w:vAlign w:val="center"/>
          </w:tcPr>
          <w:p w14:paraId="284FDA4F">
            <w:pPr>
              <w:snapToGrid w:val="0"/>
              <w:spacing w:line="440" w:lineRule="exact"/>
              <w:jc w:val="center"/>
              <w:rPr>
                <w:rFonts w:hint="eastAsia" w:ascii="宋体" w:hAnsi="宋体"/>
                <w:kern w:val="2"/>
                <w:sz w:val="24"/>
                <w:szCs w:val="20"/>
                <w:lang w:val="en-US" w:eastAsia="zh-CN" w:bidi="ar-SA"/>
              </w:rPr>
            </w:pPr>
            <w:r>
              <w:rPr>
                <w:rFonts w:hint="eastAsia" w:ascii="宋体" w:hAnsi="宋体"/>
                <w:sz w:val="24"/>
              </w:rPr>
              <w:t>≥</w:t>
            </w:r>
            <w:r>
              <w:rPr>
                <w:rFonts w:hint="eastAsia" w:ascii="宋体" w:hAnsi="宋体"/>
                <w:sz w:val="24"/>
                <w:lang w:val="en-US" w:eastAsia="zh-CN"/>
              </w:rPr>
              <w:t>55</w:t>
            </w:r>
          </w:p>
        </w:tc>
        <w:tc>
          <w:tcPr>
            <w:tcW w:w="1056" w:type="dxa"/>
            <w:noWrap w:val="0"/>
            <w:vAlign w:val="center"/>
          </w:tcPr>
          <w:p w14:paraId="5DB83248">
            <w:pPr>
              <w:snapToGrid w:val="0"/>
              <w:spacing w:line="440" w:lineRule="exact"/>
              <w:jc w:val="center"/>
              <w:rPr>
                <w:rFonts w:hint="eastAsia" w:ascii="宋体" w:hAnsi="宋体"/>
                <w:kern w:val="2"/>
                <w:sz w:val="24"/>
                <w:szCs w:val="20"/>
                <w:lang w:val="en-US" w:eastAsia="zh-CN" w:bidi="ar-SA"/>
              </w:rPr>
            </w:pPr>
            <w:r>
              <w:rPr>
                <w:rFonts w:hint="eastAsia" w:ascii="宋体" w:hAnsi="宋体"/>
                <w:sz w:val="24"/>
                <w:szCs w:val="20"/>
              </w:rPr>
              <w:t>0-50</w:t>
            </w:r>
          </w:p>
        </w:tc>
      </w:tr>
    </w:tbl>
    <w:p w14:paraId="2B8D3F4B">
      <w:pPr>
        <w:pStyle w:val="6"/>
        <w:adjustRightInd w:val="0"/>
        <w:snapToGrid w:val="0"/>
        <w:spacing w:line="360" w:lineRule="auto"/>
        <w:ind w:firstLine="420" w:firstLineChars="200"/>
        <w:textAlignment w:val="baseline"/>
        <w:rPr>
          <w:rStyle w:val="3"/>
          <w:rFonts w:hint="eastAsia" w:ascii="宋体" w:hAnsi="宋体" w:eastAsia="宋体" w:cs="宋体"/>
          <w:kern w:val="0"/>
          <w:szCs w:val="21"/>
          <w:lang w:val="en-US" w:eastAsia="zh-CN"/>
        </w:rPr>
      </w:pPr>
      <w:r>
        <w:rPr>
          <w:rStyle w:val="3"/>
          <w:rFonts w:hint="eastAsia" w:ascii="宋体" w:hAnsi="宋体" w:eastAsia="宋体" w:cs="宋体"/>
          <w:kern w:val="0"/>
          <w:szCs w:val="21"/>
          <w:lang w:val="en-US" w:eastAsia="zh-CN"/>
        </w:rPr>
        <w:t>乙方所供应的煤炭应符合国家现行有效的《商品煤质量管理暂行办法》中关于煤炭质量的有关规定，同时还应符合甲方所供电站锅炉设计和适烧煤质的要求，如乙方所供煤炭达不到上述煤质要求，甲方有权单方面退货，若甲方让步接收的，双方应在合同条约定的质量调整方式的基础上协商解决货物质量问题。</w:t>
      </w:r>
    </w:p>
    <w:p w14:paraId="10192BD5">
      <w:pPr>
        <w:pStyle w:val="6"/>
        <w:adjustRightInd w:val="0"/>
        <w:snapToGrid w:val="0"/>
        <w:spacing w:line="360" w:lineRule="auto"/>
        <w:ind w:firstLine="420" w:firstLineChars="200"/>
        <w:textAlignment w:val="baseline"/>
        <w:rPr>
          <w:rStyle w:val="3"/>
          <w:rFonts w:hint="eastAsia" w:ascii="宋体" w:hAnsi="宋体" w:eastAsia="宋体" w:cs="宋体"/>
          <w:kern w:val="0"/>
          <w:szCs w:val="21"/>
          <w:lang w:val="en-US" w:eastAsia="zh-CN"/>
        </w:rPr>
      </w:pPr>
      <w:r>
        <w:rPr>
          <w:rStyle w:val="3"/>
          <w:rFonts w:hint="eastAsia" w:ascii="宋体" w:hAnsi="宋体" w:eastAsia="宋体" w:cs="宋体"/>
          <w:kern w:val="0"/>
          <w:szCs w:val="21"/>
          <w:lang w:val="en-US" w:eastAsia="zh-CN"/>
        </w:rPr>
        <w:t>乙方所供煤炭中不得含有任何对卸输煤设施、煤炭制粉系统及燃煤设备等造成意外损坏的物质，包括但不限于铁块、石块、木块等异物和雷管等残留爆炸物。如因该款煤炭质量原因造成甲方所供电厂发电系统设备故障或损坏的，甲方有权要求乙方赔偿经济损失，并承担相应法律责任。</w:t>
      </w:r>
    </w:p>
    <w:p w14:paraId="030CB731">
      <w:pPr>
        <w:numPr>
          <w:ilvl w:val="0"/>
          <w:numId w:val="1"/>
        </w:numPr>
        <w:rPr>
          <w:rFonts w:hint="eastAsia"/>
          <w:lang w:val="en-US" w:eastAsia="zh-CN"/>
        </w:rPr>
      </w:pPr>
      <w:r>
        <w:rPr>
          <w:rFonts w:hint="eastAsia"/>
          <w:lang w:val="en-US" w:eastAsia="zh-CN"/>
        </w:rPr>
        <w:t>投标人需提供资质及业务介绍</w:t>
      </w:r>
    </w:p>
    <w:p w14:paraId="3EEA7000">
      <w:pPr>
        <w:pStyle w:val="6"/>
        <w:adjustRightInd w:val="0"/>
        <w:snapToGrid w:val="0"/>
        <w:spacing w:line="360" w:lineRule="auto"/>
        <w:ind w:firstLine="420" w:firstLineChars="200"/>
        <w:textAlignment w:val="baseline"/>
        <w:rPr>
          <w:rStyle w:val="3"/>
          <w:rFonts w:hint="eastAsia" w:ascii="宋体" w:hAnsi="宋体" w:eastAsia="宋体" w:cs="宋体"/>
          <w:kern w:val="0"/>
          <w:szCs w:val="21"/>
          <w:lang w:val="en-US" w:eastAsia="zh-CN"/>
        </w:rPr>
      </w:pPr>
      <w:r>
        <w:rPr>
          <w:rStyle w:val="3"/>
          <w:rFonts w:hint="eastAsia" w:ascii="宋体" w:hAnsi="宋体" w:cs="宋体"/>
          <w:kern w:val="0"/>
          <w:szCs w:val="21"/>
          <w:lang w:val="en-US" w:eastAsia="zh-CN"/>
        </w:rPr>
        <w:t>1、企业资质</w:t>
      </w:r>
    </w:p>
    <w:p w14:paraId="69908F0F">
      <w:pPr>
        <w:pStyle w:val="6"/>
        <w:adjustRightInd w:val="0"/>
        <w:snapToGrid w:val="0"/>
        <w:spacing w:line="360" w:lineRule="auto"/>
        <w:ind w:firstLine="420" w:firstLineChars="200"/>
        <w:textAlignment w:val="baseline"/>
        <w:rPr>
          <w:rStyle w:val="3"/>
          <w:rFonts w:hint="eastAsia" w:ascii="宋体" w:hAnsi="宋体" w:eastAsia="宋体" w:cs="宋体"/>
          <w:kern w:val="0"/>
          <w:szCs w:val="21"/>
          <w:lang w:val="en-US" w:eastAsia="zh-CN"/>
        </w:rPr>
      </w:pPr>
      <w:r>
        <w:rPr>
          <w:rStyle w:val="3"/>
          <w:rFonts w:hint="eastAsia" w:ascii="宋体" w:hAnsi="宋体" w:eastAsia="宋体" w:cs="宋体"/>
          <w:kern w:val="0"/>
          <w:szCs w:val="21"/>
          <w:lang w:val="en-US" w:eastAsia="zh-CN"/>
        </w:rPr>
        <w:t>基本资质：投标企业须为依法注册、提供营业执照、税务登记证、组织机构代码证（或三证合一证件），证件应在有效期内且年检合格。​</w:t>
      </w:r>
    </w:p>
    <w:p w14:paraId="22C95FD0">
      <w:pPr>
        <w:pStyle w:val="6"/>
        <w:numPr>
          <w:ilvl w:val="0"/>
          <w:numId w:val="0"/>
        </w:numPr>
        <w:adjustRightInd w:val="0"/>
        <w:snapToGrid w:val="0"/>
        <w:spacing w:line="360" w:lineRule="auto"/>
        <w:ind w:leftChars="200"/>
        <w:textAlignment w:val="baseline"/>
        <w:rPr>
          <w:rStyle w:val="3"/>
          <w:rFonts w:hint="eastAsia" w:ascii="宋体" w:hAnsi="宋体" w:cs="宋体"/>
          <w:kern w:val="0"/>
          <w:szCs w:val="21"/>
          <w:lang w:val="en-US" w:eastAsia="zh-CN"/>
        </w:rPr>
      </w:pPr>
      <w:r>
        <w:rPr>
          <w:rStyle w:val="3"/>
          <w:rFonts w:hint="eastAsia" w:ascii="宋体" w:hAnsi="宋体" w:cs="宋体"/>
          <w:kern w:val="0"/>
          <w:szCs w:val="21"/>
          <w:lang w:val="en-US" w:eastAsia="zh-CN"/>
        </w:rPr>
        <w:t>2、煤源介绍</w:t>
      </w:r>
    </w:p>
    <w:p w14:paraId="566EFC30">
      <w:pPr>
        <w:pStyle w:val="6"/>
        <w:adjustRightInd w:val="0"/>
        <w:snapToGrid w:val="0"/>
        <w:spacing w:line="360" w:lineRule="auto"/>
        <w:ind w:firstLine="420" w:firstLineChars="200"/>
        <w:textAlignment w:val="baseline"/>
        <w:rPr>
          <w:rStyle w:val="3"/>
          <w:rFonts w:hint="eastAsia" w:ascii="宋体" w:hAnsi="宋体" w:eastAsia="宋体" w:cs="宋体"/>
          <w:kern w:val="0"/>
          <w:szCs w:val="21"/>
          <w:lang w:val="en-US" w:eastAsia="zh-CN"/>
        </w:rPr>
      </w:pPr>
      <w:r>
        <w:rPr>
          <w:rStyle w:val="3"/>
          <w:rFonts w:hint="eastAsia" w:ascii="宋体" w:hAnsi="宋体" w:eastAsia="宋体" w:cs="宋体"/>
          <w:kern w:val="0"/>
          <w:szCs w:val="21"/>
          <w:lang w:val="en-US" w:eastAsia="zh-CN"/>
        </w:rPr>
        <w:t>产地基本信息：明确煤炭产地名称、地理位置</w:t>
      </w:r>
      <w:bookmarkStart w:id="4" w:name="_GoBack"/>
      <w:bookmarkEnd w:id="4"/>
      <w:r>
        <w:rPr>
          <w:rStyle w:val="3"/>
          <w:rFonts w:hint="eastAsia" w:ascii="宋体" w:hAnsi="宋体" w:eastAsia="宋体" w:cs="宋体"/>
          <w:kern w:val="0"/>
          <w:szCs w:val="21"/>
          <w:lang w:val="en-US" w:eastAsia="zh-CN"/>
        </w:rPr>
        <w:t>、矿区规模等 。</w:t>
      </w:r>
    </w:p>
    <w:p w14:paraId="097A3128">
      <w:pPr>
        <w:pStyle w:val="6"/>
        <w:adjustRightInd w:val="0"/>
        <w:snapToGrid w:val="0"/>
        <w:spacing w:line="360" w:lineRule="auto"/>
        <w:ind w:firstLine="420" w:firstLineChars="200"/>
        <w:textAlignment w:val="baseline"/>
        <w:rPr>
          <w:rStyle w:val="3"/>
          <w:rFonts w:hint="eastAsia" w:ascii="宋体" w:hAnsi="宋体" w:eastAsia="宋体" w:cs="宋体"/>
          <w:kern w:val="0"/>
          <w:szCs w:val="21"/>
          <w:lang w:val="en-US" w:eastAsia="zh-CN"/>
        </w:rPr>
      </w:pPr>
      <w:r>
        <w:rPr>
          <w:rStyle w:val="3"/>
          <w:rFonts w:hint="eastAsia" w:ascii="宋体" w:hAnsi="宋体" w:eastAsia="宋体" w:cs="宋体"/>
          <w:kern w:val="0"/>
          <w:szCs w:val="21"/>
          <w:lang w:val="en-US" w:eastAsia="zh-CN"/>
        </w:rPr>
        <w:t>煤炭特性：详细描述产地煤炭的煤质指标，包括发热量、灰分（%）、硫分（%）、挥发分（%）、水分（%）</w:t>
      </w:r>
      <w:r>
        <w:rPr>
          <w:rStyle w:val="3"/>
          <w:rFonts w:hint="eastAsia" w:ascii="宋体" w:hAnsi="宋体" w:cs="宋体"/>
          <w:kern w:val="0"/>
          <w:szCs w:val="21"/>
          <w:lang w:val="en-US" w:eastAsia="zh-CN"/>
        </w:rPr>
        <w:t>、灰熔点、哈氏可磨</w:t>
      </w:r>
      <w:r>
        <w:rPr>
          <w:rStyle w:val="3"/>
          <w:rFonts w:hint="eastAsia" w:ascii="宋体" w:hAnsi="宋体" w:eastAsia="宋体" w:cs="宋体"/>
          <w:kern w:val="0"/>
          <w:szCs w:val="21"/>
          <w:lang w:val="en-US" w:eastAsia="zh-CN"/>
        </w:rPr>
        <w:t>等，提供具有资质的第三方检测机构出具的近期煤质检测报告，确保煤质数据真实可靠。​</w:t>
      </w:r>
    </w:p>
    <w:p w14:paraId="642CF157">
      <w:pPr>
        <w:pStyle w:val="6"/>
        <w:numPr>
          <w:numId w:val="0"/>
        </w:numPr>
        <w:adjustRightInd w:val="0"/>
        <w:snapToGrid w:val="0"/>
        <w:spacing w:line="360" w:lineRule="auto"/>
        <w:ind w:firstLine="420" w:firstLineChars="200"/>
        <w:textAlignment w:val="baseline"/>
        <w:rPr>
          <w:rStyle w:val="3"/>
          <w:rFonts w:hint="eastAsia" w:ascii="宋体" w:hAnsi="宋体" w:cs="宋体"/>
          <w:kern w:val="0"/>
          <w:szCs w:val="21"/>
          <w:lang w:val="en-US" w:eastAsia="zh-CN"/>
        </w:rPr>
      </w:pPr>
      <w:r>
        <w:rPr>
          <w:rStyle w:val="3"/>
          <w:rFonts w:hint="eastAsia" w:ascii="宋体" w:hAnsi="宋体" w:cs="宋体"/>
          <w:kern w:val="0"/>
          <w:szCs w:val="21"/>
          <w:lang w:val="en-US" w:eastAsia="zh-CN"/>
        </w:rPr>
        <w:t>3、供应业绩</w:t>
      </w:r>
    </w:p>
    <w:p w14:paraId="1567767F">
      <w:pPr>
        <w:pStyle w:val="6"/>
        <w:adjustRightInd w:val="0"/>
        <w:snapToGrid w:val="0"/>
        <w:spacing w:line="360" w:lineRule="auto"/>
        <w:ind w:firstLine="420" w:firstLineChars="200"/>
        <w:textAlignment w:val="baseline"/>
        <w:rPr>
          <w:rStyle w:val="3"/>
          <w:rFonts w:hint="eastAsia" w:ascii="宋体" w:hAnsi="宋体" w:cs="宋体"/>
          <w:kern w:val="0"/>
          <w:szCs w:val="21"/>
          <w:lang w:val="en-US" w:eastAsia="zh-CN"/>
        </w:rPr>
      </w:pPr>
      <w:r>
        <w:rPr>
          <w:rStyle w:val="3"/>
          <w:rFonts w:hint="eastAsia" w:ascii="宋体" w:hAnsi="宋体" w:eastAsia="宋体" w:cs="宋体"/>
          <w:kern w:val="0"/>
          <w:szCs w:val="21"/>
          <w:lang w:val="en-US" w:eastAsia="zh-CN"/>
        </w:rPr>
        <w:t xml:space="preserve">业绩清单：投标人需提供近 </w:t>
      </w:r>
      <w:r>
        <w:rPr>
          <w:rStyle w:val="3"/>
          <w:rFonts w:hint="eastAsia" w:ascii="宋体" w:hAnsi="宋体" w:cs="宋体"/>
          <w:kern w:val="0"/>
          <w:szCs w:val="21"/>
          <w:lang w:val="en-US" w:eastAsia="zh-CN"/>
        </w:rPr>
        <w:t>1</w:t>
      </w:r>
      <w:r>
        <w:rPr>
          <w:rStyle w:val="3"/>
          <w:rFonts w:hint="eastAsia" w:ascii="宋体" w:hAnsi="宋体" w:eastAsia="宋体" w:cs="宋体"/>
          <w:kern w:val="0"/>
          <w:szCs w:val="21"/>
          <w:lang w:val="en-US" w:eastAsia="zh-CN"/>
        </w:rPr>
        <w:t xml:space="preserve"> 年内向其他企业供应煤炭的详细业绩清单，包括但不限于客户名称</w:t>
      </w:r>
      <w:r>
        <w:rPr>
          <w:rStyle w:val="3"/>
          <w:rFonts w:hint="eastAsia" w:ascii="宋体" w:hAnsi="宋体" w:cs="宋体"/>
          <w:kern w:val="0"/>
          <w:szCs w:val="21"/>
          <w:lang w:val="en-US" w:eastAsia="zh-CN"/>
        </w:rPr>
        <w:t>、</w:t>
      </w:r>
      <w:r>
        <w:rPr>
          <w:rStyle w:val="3"/>
          <w:rFonts w:hint="eastAsia" w:ascii="宋体" w:hAnsi="宋体" w:eastAsia="宋体" w:cs="宋体"/>
          <w:kern w:val="0"/>
          <w:szCs w:val="21"/>
          <w:lang w:val="en-US" w:eastAsia="zh-CN"/>
        </w:rPr>
        <w:t>供应时间、煤炭品种、供应数量、验收结果等信息</w:t>
      </w:r>
      <w:r>
        <w:rPr>
          <w:rStyle w:val="3"/>
          <w:rFonts w:hint="eastAsia" w:ascii="宋体" w:hAnsi="宋体" w:cs="宋体"/>
          <w:kern w:val="0"/>
          <w:szCs w:val="21"/>
          <w:lang w:val="en-US" w:eastAsia="zh-CN"/>
        </w:rPr>
        <w:t>。</w:t>
      </w:r>
    </w:p>
    <w:p w14:paraId="44938CD4">
      <w:pPr>
        <w:pStyle w:val="6"/>
        <w:numPr>
          <w:ilvl w:val="0"/>
          <w:numId w:val="0"/>
        </w:numPr>
        <w:adjustRightInd w:val="0"/>
        <w:snapToGrid w:val="0"/>
        <w:spacing w:line="360" w:lineRule="auto"/>
        <w:textAlignment w:val="baseline"/>
        <w:rPr>
          <w:rStyle w:val="3"/>
          <w:rFonts w:hint="default" w:ascii="宋体" w:hAnsi="宋体" w:cs="宋体"/>
          <w:kern w:val="0"/>
          <w:szCs w:val="21"/>
          <w:lang w:val="en-US" w:eastAsia="zh-CN"/>
        </w:rPr>
      </w:pPr>
    </w:p>
    <w:p w14:paraId="3751B559">
      <w:pPr>
        <w:pStyle w:val="6"/>
        <w:numPr>
          <w:ilvl w:val="0"/>
          <w:numId w:val="0"/>
        </w:numPr>
        <w:adjustRightInd w:val="0"/>
        <w:snapToGrid w:val="0"/>
        <w:spacing w:line="360" w:lineRule="auto"/>
        <w:ind w:leftChars="200"/>
        <w:textAlignment w:val="baseline"/>
        <w:rPr>
          <w:rStyle w:val="3"/>
          <w:rFonts w:hint="default" w:ascii="宋体" w:hAnsi="宋体" w:cs="宋体"/>
          <w:kern w:val="0"/>
          <w:szCs w:val="21"/>
          <w:lang w:val="en-US" w:eastAsia="zh-CN"/>
        </w:rPr>
      </w:pPr>
    </w:p>
    <w:p w14:paraId="2265C2CD">
      <w:pPr>
        <w:pStyle w:val="6"/>
        <w:adjustRightInd w:val="0"/>
        <w:snapToGrid w:val="0"/>
        <w:spacing w:line="360" w:lineRule="auto"/>
        <w:ind w:firstLine="420" w:firstLineChars="200"/>
        <w:textAlignment w:val="baseline"/>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00"/>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Arial Unicode MS">
    <w:panose1 w:val="020B0604020202020204"/>
    <w:charset w:val="86"/>
    <w:family w:val="auto"/>
    <w:pitch w:val="default"/>
    <w:sig w:usb0="FFFFFFFF" w:usb1="E9FFFFFF" w:usb2="0000003F" w:usb3="00000000" w:csb0="603F01FF" w:csb1="FFFF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CFEE15"/>
    <w:multiLevelType w:val="singleLevel"/>
    <w:tmpl w:val="FDCFEE15"/>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F76A4"/>
    <w:rsid w:val="1F6D457D"/>
    <w:rsid w:val="4DEB1761"/>
    <w:rsid w:val="67BB1EB5"/>
    <w:rsid w:val="6DE56E87"/>
    <w:rsid w:val="748F76A4"/>
    <w:rsid w:val="787EBC09"/>
    <w:rsid w:val="7C7DBC5F"/>
    <w:rsid w:val="7DFE236B"/>
    <w:rsid w:val="BFEF32E6"/>
    <w:rsid w:val="D67CBCA0"/>
    <w:rsid w:val="DFFF7F75"/>
    <w:rsid w:val="F77FF5C9"/>
    <w:rsid w:val="FE13569D"/>
    <w:rsid w:val="FFEF36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标题 1_3"/>
    <w:basedOn w:val="5"/>
    <w:next w:val="5"/>
    <w:qFormat/>
    <w:uiPriority w:val="0"/>
    <w:pPr>
      <w:keepNext/>
      <w:keepLines/>
      <w:spacing w:before="340" w:after="330" w:line="576" w:lineRule="auto"/>
      <w:outlineLvl w:val="0"/>
    </w:pPr>
    <w:rPr>
      <w:rFonts w:ascii="Times New Roman" w:hAnsi="Times New Roman" w:eastAsia="宋体"/>
      <w:kern w:val="44"/>
      <w:sz w:val="44"/>
      <w:szCs w:val="44"/>
    </w:rPr>
  </w:style>
  <w:style w:type="paragraph" w:customStyle="1" w:styleId="5">
    <w:name w:val="正文_7"/>
    <w:qFormat/>
    <w:uiPriority w:val="0"/>
    <w:pPr>
      <w:widowControl w:val="0"/>
      <w:jc w:val="both"/>
    </w:pPr>
    <w:rPr>
      <w:rFonts w:ascii="等线" w:hAnsi="等线" w:eastAsia="等线" w:cs="Times New Roman"/>
      <w:kern w:val="2"/>
      <w:sz w:val="21"/>
      <w:szCs w:val="22"/>
      <w:lang w:val="en-US" w:eastAsia="zh-CN" w:bidi="ar-SA"/>
    </w:rPr>
  </w:style>
  <w:style w:type="paragraph" w:customStyle="1" w:styleId="6">
    <w:name w:val="正文_4"/>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7">
    <w:name w:val="font31"/>
    <w:basedOn w:val="3"/>
    <w:qFormat/>
    <w:uiPriority w:val="0"/>
    <w:rPr>
      <w:rFonts w:hint="default" w:ascii="等线" w:hAnsi="等线" w:eastAsia="等线" w:cs="等线"/>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42</TotalTime>
  <ScaleCrop>false</ScaleCrop>
  <LinksUpToDate>false</LinksUpToDate>
  <CharactersWithSpaces>0</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2019-12-25T22:42:00Z</dcterms:created>
  <dc:creator>alpha</dc:creator>
  <cp:lastModifiedBy>马选龙</cp:lastModifiedBy>
  <dcterms:modified xsi:type="dcterms:W3CDTF">2025-05-14T15:33:55Z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5432F7480F04D4892A2CA467DA7FE9E2_43</vt:lpwstr>
  </property>
</Properties>
</file>