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jpeg" ContentType="image/jpeg"/>
  <Default Extension="JPG" ContentType="image/.jp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3B728E2">
      <w:pPr>
        <w:keepNext w:val="0"/>
        <w:keepLines w:val="0"/>
        <w:pageBreakBefore w:val="0"/>
        <w:kinsoku/>
        <w:wordWrap/>
        <w:overflowPunct/>
        <w:autoSpaceDE/>
        <w:autoSpaceDN/>
        <w:bidi w:val="0"/>
        <w:spacing w:line="570" w:lineRule="exact"/>
        <w:ind w:firstLine="964" w:firstLineChars="200"/>
        <w:jc w:val="center"/>
        <w:rPr>
          <w:b/>
          <w:sz w:val="48"/>
          <w:szCs w:val="44"/>
        </w:rPr>
      </w:pPr>
    </w:p>
    <w:p w14:paraId="24A81575">
      <w:pPr>
        <w:keepNext w:val="0"/>
        <w:keepLines w:val="0"/>
        <w:pageBreakBefore w:val="0"/>
        <w:kinsoku/>
        <w:wordWrap/>
        <w:overflowPunct/>
        <w:autoSpaceDE/>
        <w:autoSpaceDN/>
        <w:bidi w:val="0"/>
        <w:spacing w:line="570" w:lineRule="exact"/>
        <w:ind w:firstLine="964" w:firstLineChars="200"/>
        <w:jc w:val="center"/>
        <w:rPr>
          <w:b/>
          <w:sz w:val="48"/>
          <w:szCs w:val="44"/>
        </w:rPr>
      </w:pPr>
    </w:p>
    <w:p w14:paraId="3413666A">
      <w:pPr>
        <w:keepNext w:val="0"/>
        <w:keepLines w:val="0"/>
        <w:pageBreakBefore w:val="0"/>
        <w:widowControl w:val="0"/>
        <w:kinsoku/>
        <w:wordWrap/>
        <w:overflowPunct/>
        <w:topLinePunct w:val="0"/>
        <w:autoSpaceDE/>
        <w:autoSpaceDN/>
        <w:bidi w:val="0"/>
        <w:adjustRightInd w:val="0"/>
        <w:snapToGrid w:val="0"/>
        <w:spacing w:line="570" w:lineRule="exact"/>
        <w:ind w:left="0" w:leftChars="0" w:firstLine="0" w:firstLineChars="0"/>
        <w:jc w:val="center"/>
        <w:rPr>
          <w:rFonts w:hint="eastAsia" w:ascii="宋体" w:hAnsi="宋体" w:eastAsia="宋体" w:cs="宋体"/>
          <w:b/>
          <w:sz w:val="44"/>
          <w:szCs w:val="44"/>
          <w:lang w:val="en-US" w:eastAsia="zh-CN"/>
        </w:rPr>
      </w:pPr>
      <w:r>
        <w:rPr>
          <w:rFonts w:hint="eastAsia" w:ascii="宋体" w:hAnsi="宋体" w:eastAsia="宋体" w:cs="宋体"/>
          <w:b/>
          <w:sz w:val="44"/>
          <w:szCs w:val="44"/>
          <w:lang w:val="en-US" w:eastAsia="zh-CN"/>
        </w:rPr>
        <w:t>嘉峪关二期光储电站储能系统快速频率</w:t>
      </w:r>
    </w:p>
    <w:p w14:paraId="740F05E8">
      <w:pPr>
        <w:keepNext w:val="0"/>
        <w:keepLines w:val="0"/>
        <w:pageBreakBefore w:val="0"/>
        <w:widowControl w:val="0"/>
        <w:kinsoku/>
        <w:wordWrap/>
        <w:overflowPunct/>
        <w:topLinePunct w:val="0"/>
        <w:autoSpaceDE/>
        <w:autoSpaceDN/>
        <w:bidi w:val="0"/>
        <w:adjustRightInd w:val="0"/>
        <w:snapToGrid w:val="0"/>
        <w:spacing w:line="570" w:lineRule="exact"/>
        <w:ind w:left="0" w:leftChars="0" w:firstLine="0" w:firstLineChars="0"/>
        <w:jc w:val="center"/>
        <w:rPr>
          <w:rFonts w:hint="eastAsia" w:ascii="宋体" w:hAnsi="宋体" w:eastAsia="宋体" w:cs="宋体"/>
          <w:b/>
          <w:color w:val="000000"/>
          <w:sz w:val="24"/>
          <w:szCs w:val="24"/>
        </w:rPr>
      </w:pPr>
      <w:r>
        <w:rPr>
          <w:rFonts w:hint="eastAsia" w:ascii="宋体" w:hAnsi="宋体" w:eastAsia="宋体" w:cs="宋体"/>
          <w:b/>
          <w:sz w:val="44"/>
          <w:szCs w:val="44"/>
          <w:lang w:val="en-US" w:eastAsia="zh-CN"/>
        </w:rPr>
        <w:t>响应功能改造技术规范书</w:t>
      </w:r>
    </w:p>
    <w:p w14:paraId="2C806CC3">
      <w:pPr>
        <w:keepNext w:val="0"/>
        <w:keepLines w:val="0"/>
        <w:pageBreakBefore w:val="0"/>
        <w:widowControl w:val="0"/>
        <w:kinsoku/>
        <w:wordWrap/>
        <w:overflowPunct/>
        <w:topLinePunct w:val="0"/>
        <w:autoSpaceDE/>
        <w:autoSpaceDN/>
        <w:bidi w:val="0"/>
        <w:adjustRightInd w:val="0"/>
        <w:snapToGrid w:val="0"/>
        <w:spacing w:line="570" w:lineRule="exact"/>
        <w:ind w:left="0" w:firstLine="482" w:firstLineChars="200"/>
        <w:jc w:val="center"/>
        <w:rPr>
          <w:rFonts w:hint="eastAsia" w:ascii="宋体" w:hAnsi="宋体" w:eastAsia="宋体" w:cs="宋体"/>
          <w:b/>
          <w:color w:val="000000"/>
          <w:sz w:val="24"/>
          <w:szCs w:val="24"/>
        </w:rPr>
      </w:pPr>
    </w:p>
    <w:p w14:paraId="35E9BC7C">
      <w:pPr>
        <w:pStyle w:val="5"/>
        <w:keepNext w:val="0"/>
        <w:keepLines w:val="0"/>
        <w:pageBreakBefore w:val="0"/>
        <w:kinsoku/>
        <w:wordWrap/>
        <w:overflowPunct/>
        <w:autoSpaceDE/>
        <w:autoSpaceDN/>
        <w:bidi w:val="0"/>
        <w:spacing w:line="570" w:lineRule="exact"/>
        <w:ind w:firstLine="480" w:firstLineChars="200"/>
        <w:rPr>
          <w:rFonts w:hint="eastAsia"/>
        </w:rPr>
      </w:pPr>
    </w:p>
    <w:p w14:paraId="658BF984">
      <w:pPr>
        <w:pStyle w:val="5"/>
        <w:keepNext w:val="0"/>
        <w:keepLines w:val="0"/>
        <w:pageBreakBefore w:val="0"/>
        <w:kinsoku/>
        <w:wordWrap/>
        <w:overflowPunct/>
        <w:autoSpaceDE/>
        <w:autoSpaceDN/>
        <w:bidi w:val="0"/>
        <w:spacing w:line="570" w:lineRule="exact"/>
        <w:ind w:firstLine="482" w:firstLineChars="200"/>
        <w:rPr>
          <w:rFonts w:hint="eastAsia" w:ascii="宋体" w:hAnsi="宋体" w:eastAsia="宋体" w:cs="宋体"/>
          <w:b/>
          <w:color w:val="000000"/>
          <w:sz w:val="24"/>
          <w:szCs w:val="24"/>
        </w:rPr>
      </w:pPr>
    </w:p>
    <w:p w14:paraId="03961BA1">
      <w:pPr>
        <w:keepNext w:val="0"/>
        <w:keepLines w:val="0"/>
        <w:pageBreakBefore w:val="0"/>
        <w:widowControl w:val="0"/>
        <w:kinsoku/>
        <w:wordWrap/>
        <w:overflowPunct/>
        <w:topLinePunct w:val="0"/>
        <w:autoSpaceDE/>
        <w:autoSpaceDN/>
        <w:bidi w:val="0"/>
        <w:adjustRightInd w:val="0"/>
        <w:snapToGrid w:val="0"/>
        <w:spacing w:before="312" w:beforeLines="100" w:line="600" w:lineRule="auto"/>
        <w:ind w:left="0" w:leftChars="0" w:firstLine="2168" w:firstLineChars="600"/>
        <w:textAlignment w:val="auto"/>
        <w:rPr>
          <w:rFonts w:hint="eastAsia" w:ascii="宋体" w:hAnsi="宋体" w:eastAsia="宋体" w:cs="Times New Roman"/>
          <w:b/>
          <w:bCs/>
          <w:color w:val="auto"/>
          <w:sz w:val="36"/>
          <w:szCs w:val="36"/>
        </w:rPr>
      </w:pPr>
      <w:r>
        <w:rPr>
          <w:rFonts w:hint="eastAsia" w:ascii="宋体" w:hAnsi="宋体" w:eastAsia="宋体" w:cs="Times New Roman"/>
          <w:b/>
          <w:bCs/>
          <w:color w:val="auto"/>
          <w:sz w:val="36"/>
          <w:szCs w:val="36"/>
        </w:rPr>
        <w:t>编制：</w:t>
      </w:r>
    </w:p>
    <w:p w14:paraId="32CC1FAE">
      <w:pPr>
        <w:keepNext w:val="0"/>
        <w:keepLines w:val="0"/>
        <w:pageBreakBefore w:val="0"/>
        <w:widowControl w:val="0"/>
        <w:kinsoku/>
        <w:wordWrap/>
        <w:overflowPunct/>
        <w:topLinePunct w:val="0"/>
        <w:autoSpaceDE/>
        <w:autoSpaceDN/>
        <w:bidi w:val="0"/>
        <w:adjustRightInd w:val="0"/>
        <w:snapToGrid w:val="0"/>
        <w:spacing w:before="312" w:beforeLines="100" w:line="600" w:lineRule="auto"/>
        <w:ind w:left="0" w:leftChars="0" w:firstLine="2168" w:firstLineChars="600"/>
        <w:textAlignment w:val="auto"/>
        <w:rPr>
          <w:rFonts w:hint="eastAsia" w:ascii="宋体" w:hAnsi="宋体" w:eastAsia="宋体" w:cs="Times New Roman"/>
          <w:b/>
          <w:bCs/>
          <w:color w:val="auto"/>
          <w:sz w:val="36"/>
          <w:szCs w:val="36"/>
        </w:rPr>
      </w:pPr>
      <w:r>
        <w:rPr>
          <w:rFonts w:hint="eastAsia" w:ascii="宋体" w:hAnsi="宋体" w:eastAsia="宋体" w:cs="Times New Roman"/>
          <w:b/>
          <w:bCs/>
          <w:color w:val="auto"/>
          <w:sz w:val="36"/>
          <w:szCs w:val="36"/>
        </w:rPr>
        <w:t>初审：</w:t>
      </w:r>
    </w:p>
    <w:p w14:paraId="0752B9F0">
      <w:pPr>
        <w:keepNext w:val="0"/>
        <w:keepLines w:val="0"/>
        <w:pageBreakBefore w:val="0"/>
        <w:widowControl w:val="0"/>
        <w:kinsoku/>
        <w:wordWrap/>
        <w:overflowPunct/>
        <w:topLinePunct w:val="0"/>
        <w:autoSpaceDE/>
        <w:autoSpaceDN/>
        <w:bidi w:val="0"/>
        <w:adjustRightInd w:val="0"/>
        <w:snapToGrid w:val="0"/>
        <w:spacing w:before="312" w:beforeLines="100" w:line="600" w:lineRule="auto"/>
        <w:ind w:left="0" w:leftChars="0" w:firstLine="2168" w:firstLineChars="600"/>
        <w:textAlignment w:val="auto"/>
        <w:rPr>
          <w:rFonts w:hint="eastAsia" w:ascii="宋体" w:hAnsi="宋体" w:eastAsia="宋体" w:cs="Times New Roman"/>
          <w:b/>
          <w:bCs/>
          <w:color w:val="auto"/>
          <w:sz w:val="36"/>
          <w:szCs w:val="36"/>
        </w:rPr>
      </w:pPr>
      <w:r>
        <w:rPr>
          <w:rFonts w:hint="eastAsia" w:ascii="宋体" w:hAnsi="宋体" w:eastAsia="宋体" w:cs="Times New Roman"/>
          <w:b/>
          <w:bCs/>
          <w:color w:val="auto"/>
          <w:sz w:val="36"/>
          <w:szCs w:val="36"/>
        </w:rPr>
        <w:t>审核：</w:t>
      </w:r>
    </w:p>
    <w:p w14:paraId="33F2BFFD">
      <w:pPr>
        <w:keepNext w:val="0"/>
        <w:keepLines w:val="0"/>
        <w:pageBreakBefore w:val="0"/>
        <w:widowControl w:val="0"/>
        <w:kinsoku/>
        <w:wordWrap/>
        <w:overflowPunct/>
        <w:topLinePunct w:val="0"/>
        <w:autoSpaceDE/>
        <w:autoSpaceDN/>
        <w:bidi w:val="0"/>
        <w:adjustRightInd w:val="0"/>
        <w:snapToGrid w:val="0"/>
        <w:spacing w:before="312" w:beforeLines="100" w:line="600" w:lineRule="auto"/>
        <w:ind w:left="0" w:leftChars="0" w:firstLine="2168" w:firstLineChars="600"/>
        <w:textAlignment w:val="auto"/>
        <w:rPr>
          <w:rFonts w:hint="eastAsia" w:ascii="宋体" w:hAnsi="宋体" w:eastAsia="宋体" w:cs="Times New Roman"/>
          <w:b/>
          <w:bCs/>
          <w:color w:val="auto"/>
          <w:sz w:val="36"/>
          <w:szCs w:val="36"/>
        </w:rPr>
      </w:pPr>
      <w:r>
        <w:rPr>
          <w:rFonts w:hint="eastAsia" w:ascii="宋体" w:hAnsi="宋体" w:eastAsia="宋体" w:cs="Times New Roman"/>
          <w:b/>
          <w:bCs/>
          <w:color w:val="auto"/>
          <w:sz w:val="36"/>
          <w:szCs w:val="36"/>
        </w:rPr>
        <w:t>批准：</w:t>
      </w:r>
    </w:p>
    <w:p w14:paraId="45ABDE7D">
      <w:pPr>
        <w:keepNext w:val="0"/>
        <w:keepLines w:val="0"/>
        <w:pageBreakBefore w:val="0"/>
        <w:widowControl w:val="0"/>
        <w:kinsoku/>
        <w:wordWrap/>
        <w:overflowPunct/>
        <w:topLinePunct w:val="0"/>
        <w:autoSpaceDE/>
        <w:autoSpaceDN/>
        <w:bidi w:val="0"/>
        <w:adjustRightInd w:val="0"/>
        <w:snapToGrid w:val="0"/>
        <w:spacing w:line="570" w:lineRule="exact"/>
        <w:ind w:left="0" w:leftChars="0" w:firstLine="480" w:firstLineChars="200"/>
        <w:jc w:val="center"/>
        <w:textAlignment w:val="auto"/>
        <w:rPr>
          <w:rFonts w:hint="eastAsia" w:ascii="宋体" w:hAnsi="宋体" w:eastAsia="宋体" w:cs="宋体"/>
          <w:color w:val="000000"/>
          <w:sz w:val="24"/>
          <w:szCs w:val="24"/>
        </w:rPr>
      </w:pPr>
    </w:p>
    <w:p w14:paraId="6EB24E8F">
      <w:pPr>
        <w:keepNext w:val="0"/>
        <w:keepLines w:val="0"/>
        <w:pageBreakBefore w:val="0"/>
        <w:widowControl w:val="0"/>
        <w:kinsoku/>
        <w:wordWrap/>
        <w:overflowPunct/>
        <w:topLinePunct w:val="0"/>
        <w:autoSpaceDE/>
        <w:autoSpaceDN/>
        <w:bidi w:val="0"/>
        <w:adjustRightInd w:val="0"/>
        <w:snapToGrid w:val="0"/>
        <w:spacing w:line="570" w:lineRule="exact"/>
        <w:ind w:left="0" w:leftChars="0" w:firstLine="480" w:firstLineChars="200"/>
        <w:jc w:val="center"/>
        <w:textAlignment w:val="auto"/>
        <w:rPr>
          <w:rFonts w:hint="eastAsia" w:ascii="宋体" w:hAnsi="宋体" w:eastAsia="宋体" w:cs="宋体"/>
          <w:color w:val="000000"/>
          <w:sz w:val="24"/>
          <w:szCs w:val="24"/>
        </w:rPr>
      </w:pPr>
    </w:p>
    <w:p w14:paraId="42870AE9">
      <w:pPr>
        <w:keepNext w:val="0"/>
        <w:keepLines w:val="0"/>
        <w:pageBreakBefore w:val="0"/>
        <w:widowControl w:val="0"/>
        <w:kinsoku/>
        <w:wordWrap/>
        <w:overflowPunct/>
        <w:topLinePunct w:val="0"/>
        <w:autoSpaceDE/>
        <w:autoSpaceDN/>
        <w:bidi w:val="0"/>
        <w:adjustRightInd w:val="0"/>
        <w:snapToGrid w:val="0"/>
        <w:spacing w:line="570" w:lineRule="exact"/>
        <w:ind w:left="0" w:leftChars="0" w:firstLine="480" w:firstLineChars="200"/>
        <w:textAlignment w:val="auto"/>
        <w:rPr>
          <w:rFonts w:hint="eastAsia" w:ascii="宋体" w:hAnsi="宋体" w:eastAsia="宋体" w:cs="宋体"/>
          <w:color w:val="000000"/>
          <w:sz w:val="24"/>
          <w:szCs w:val="24"/>
        </w:rPr>
      </w:pPr>
    </w:p>
    <w:p w14:paraId="0DEEF3D2">
      <w:pPr>
        <w:keepNext w:val="0"/>
        <w:keepLines w:val="0"/>
        <w:pageBreakBefore w:val="0"/>
        <w:widowControl w:val="0"/>
        <w:kinsoku/>
        <w:wordWrap/>
        <w:overflowPunct/>
        <w:topLinePunct w:val="0"/>
        <w:autoSpaceDE/>
        <w:autoSpaceDN/>
        <w:bidi w:val="0"/>
        <w:adjustRightInd w:val="0"/>
        <w:snapToGrid w:val="0"/>
        <w:spacing w:line="570" w:lineRule="exact"/>
        <w:ind w:left="0" w:leftChars="0" w:firstLine="480" w:firstLineChars="200"/>
        <w:textAlignment w:val="auto"/>
        <w:rPr>
          <w:rFonts w:hint="eastAsia" w:ascii="宋体" w:hAnsi="宋体" w:eastAsia="宋体" w:cs="宋体"/>
          <w:color w:val="000000"/>
          <w:sz w:val="24"/>
          <w:szCs w:val="24"/>
        </w:rPr>
      </w:pPr>
    </w:p>
    <w:p w14:paraId="0B425BD7">
      <w:pPr>
        <w:keepNext w:val="0"/>
        <w:keepLines w:val="0"/>
        <w:pageBreakBefore w:val="0"/>
        <w:widowControl w:val="0"/>
        <w:kinsoku/>
        <w:wordWrap/>
        <w:overflowPunct/>
        <w:topLinePunct w:val="0"/>
        <w:autoSpaceDE/>
        <w:autoSpaceDN/>
        <w:bidi w:val="0"/>
        <w:adjustRightInd w:val="0"/>
        <w:snapToGrid w:val="0"/>
        <w:spacing w:line="570" w:lineRule="exact"/>
        <w:ind w:left="0" w:leftChars="0" w:firstLine="482" w:firstLineChars="200"/>
        <w:jc w:val="center"/>
        <w:textAlignment w:val="auto"/>
        <w:rPr>
          <w:rFonts w:hint="eastAsia" w:ascii="宋体" w:hAnsi="宋体" w:eastAsia="宋体" w:cs="宋体"/>
          <w:b/>
          <w:bCs/>
          <w:color w:val="000000"/>
          <w:sz w:val="24"/>
          <w:szCs w:val="24"/>
          <w:lang w:val="en-US" w:eastAsia="zh-CN"/>
        </w:rPr>
      </w:pPr>
      <w:r>
        <w:rPr>
          <w:rFonts w:hint="eastAsia" w:ascii="宋体" w:hAnsi="宋体" w:eastAsia="宋体" w:cs="宋体"/>
          <w:b/>
          <w:bCs/>
          <w:color w:val="000000"/>
          <w:sz w:val="24"/>
          <w:szCs w:val="24"/>
          <w:lang w:val="en-US" w:eastAsia="zh-CN"/>
        </w:rPr>
        <w:t>嘉峪关正泰光伏发电有限公司</w:t>
      </w:r>
    </w:p>
    <w:p w14:paraId="412F9FCB">
      <w:pPr>
        <w:keepNext w:val="0"/>
        <w:keepLines w:val="0"/>
        <w:pageBreakBefore w:val="0"/>
        <w:widowControl w:val="0"/>
        <w:kinsoku/>
        <w:wordWrap/>
        <w:overflowPunct/>
        <w:topLinePunct w:val="0"/>
        <w:autoSpaceDE/>
        <w:autoSpaceDN/>
        <w:bidi w:val="0"/>
        <w:adjustRightInd w:val="0"/>
        <w:snapToGrid w:val="0"/>
        <w:spacing w:line="570" w:lineRule="exact"/>
        <w:ind w:left="0" w:leftChars="0" w:firstLine="482" w:firstLineChars="200"/>
        <w:jc w:val="center"/>
        <w:textAlignment w:val="auto"/>
        <w:rPr>
          <w:rFonts w:hint="eastAsia" w:ascii="宋体" w:hAnsi="宋体" w:eastAsia="宋体" w:cs="宋体"/>
          <w:b/>
          <w:bCs/>
          <w:color w:val="000000"/>
          <w:sz w:val="24"/>
          <w:szCs w:val="24"/>
          <w:lang w:val="en-US" w:eastAsia="zh-CN"/>
        </w:rPr>
      </w:pPr>
      <w:r>
        <w:rPr>
          <w:rFonts w:hint="eastAsia" w:ascii="宋体" w:hAnsi="宋体" w:eastAsia="宋体" w:cs="宋体"/>
          <w:b/>
          <w:bCs/>
          <w:color w:val="000000"/>
          <w:sz w:val="24"/>
          <w:szCs w:val="24"/>
          <w:lang w:val="en-US" w:eastAsia="zh-CN"/>
        </w:rPr>
        <w:t>二○二五年四月</w:t>
      </w:r>
    </w:p>
    <w:p w14:paraId="3B5EFB2A">
      <w:pPr>
        <w:keepNext w:val="0"/>
        <w:keepLines w:val="0"/>
        <w:pageBreakBefore w:val="0"/>
        <w:widowControl w:val="0"/>
        <w:kinsoku/>
        <w:wordWrap/>
        <w:overflowPunct/>
        <w:topLinePunct w:val="0"/>
        <w:autoSpaceDE/>
        <w:autoSpaceDN/>
        <w:bidi w:val="0"/>
        <w:adjustRightInd w:val="0"/>
        <w:snapToGrid w:val="0"/>
        <w:spacing w:line="570" w:lineRule="exact"/>
        <w:ind w:left="0" w:leftChars="0" w:firstLine="482" w:firstLineChars="200"/>
        <w:jc w:val="center"/>
        <w:textAlignment w:val="auto"/>
        <w:rPr>
          <w:rFonts w:hint="eastAsia" w:ascii="宋体" w:hAnsi="宋体" w:eastAsia="宋体" w:cs="宋体"/>
          <w:b/>
          <w:bCs/>
          <w:color w:val="000000"/>
          <w:sz w:val="24"/>
          <w:szCs w:val="24"/>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cols w:space="720" w:num="1"/>
          <w:docGrid w:type="lines" w:linePitch="312" w:charSpace="0"/>
        </w:sectPr>
      </w:pPr>
    </w:p>
    <w:p w14:paraId="30BDEAD0">
      <w:pPr>
        <w:pStyle w:val="13"/>
        <w:keepNext w:val="0"/>
        <w:keepLines w:val="0"/>
        <w:pageBreakBefore w:val="0"/>
        <w:kinsoku/>
        <w:wordWrap/>
        <w:overflowPunct/>
        <w:autoSpaceDE/>
        <w:autoSpaceDN/>
        <w:bidi w:val="0"/>
        <w:spacing w:line="570" w:lineRule="exact"/>
        <w:ind w:firstLine="883" w:firstLineChars="200"/>
        <w:jc w:val="center"/>
        <w:rPr>
          <w:sz w:val="44"/>
          <w:szCs w:val="44"/>
        </w:rPr>
      </w:pPr>
      <w:r>
        <w:rPr>
          <w:rFonts w:hint="eastAsia"/>
          <w:sz w:val="44"/>
          <w:szCs w:val="44"/>
        </w:rPr>
        <w:t>目            录</w:t>
      </w:r>
    </w:p>
    <w:p w14:paraId="75F9426D">
      <w:pPr>
        <w:pStyle w:val="13"/>
        <w:tabs>
          <w:tab w:val="right" w:leader="dot" w:pos="8306"/>
          <w:tab w:val="clear" w:pos="8296"/>
        </w:tabs>
      </w:pPr>
      <w:r>
        <w:fldChar w:fldCharType="begin"/>
      </w:r>
      <w:r>
        <w:instrText xml:space="preserve"> TOC \o "1-2" \h \z \u </w:instrText>
      </w:r>
      <w:r>
        <w:fldChar w:fldCharType="separate"/>
      </w:r>
      <w:r>
        <w:fldChar w:fldCharType="begin"/>
      </w:r>
      <w:r>
        <w:instrText xml:space="preserve"> HYPERLINK \l _Toc9945 </w:instrText>
      </w:r>
      <w:r>
        <w:fldChar w:fldCharType="separate"/>
      </w:r>
      <w:r>
        <w:rPr>
          <w:rFonts w:hint="eastAsia"/>
        </w:rPr>
        <w:t>一</w:t>
      </w:r>
      <w:r>
        <w:rPr>
          <w:rFonts w:hint="eastAsia"/>
          <w:lang w:eastAsia="zh-CN"/>
        </w:rPr>
        <w:t>、</w:t>
      </w:r>
      <w:r>
        <w:rPr>
          <w:rFonts w:hint="eastAsia"/>
        </w:rPr>
        <w:t>总则</w:t>
      </w:r>
      <w:r>
        <w:tab/>
      </w:r>
      <w:r>
        <w:fldChar w:fldCharType="begin"/>
      </w:r>
      <w:r>
        <w:instrText xml:space="preserve"> PAGEREF _Toc9945 \h </w:instrText>
      </w:r>
      <w:r>
        <w:fldChar w:fldCharType="separate"/>
      </w:r>
      <w:r>
        <w:t>2</w:t>
      </w:r>
      <w:r>
        <w:fldChar w:fldCharType="end"/>
      </w:r>
      <w:r>
        <w:fldChar w:fldCharType="end"/>
      </w:r>
    </w:p>
    <w:p w14:paraId="7B8E41B0">
      <w:pPr>
        <w:pStyle w:val="13"/>
        <w:tabs>
          <w:tab w:val="right" w:leader="dot" w:pos="8306"/>
          <w:tab w:val="clear" w:pos="8296"/>
        </w:tabs>
      </w:pPr>
      <w:r>
        <w:fldChar w:fldCharType="begin"/>
      </w:r>
      <w:r>
        <w:instrText xml:space="preserve"> HYPERLINK \l _Toc16898 </w:instrText>
      </w:r>
      <w:r>
        <w:fldChar w:fldCharType="separate"/>
      </w:r>
      <w:r>
        <w:rPr>
          <w:rFonts w:hint="eastAsia"/>
        </w:rPr>
        <w:t>二</w:t>
      </w:r>
      <w:r>
        <w:rPr>
          <w:rFonts w:hint="eastAsia"/>
          <w:lang w:eastAsia="zh-CN"/>
        </w:rPr>
        <w:t>、</w:t>
      </w:r>
      <w:r>
        <w:rPr>
          <w:rFonts w:hint="eastAsia"/>
        </w:rPr>
        <w:t>项目概况</w:t>
      </w:r>
      <w:r>
        <w:tab/>
      </w:r>
      <w:r>
        <w:fldChar w:fldCharType="begin"/>
      </w:r>
      <w:r>
        <w:instrText xml:space="preserve"> PAGEREF _Toc16898 \h </w:instrText>
      </w:r>
      <w:r>
        <w:fldChar w:fldCharType="separate"/>
      </w:r>
      <w:r>
        <w:t>2</w:t>
      </w:r>
      <w:r>
        <w:fldChar w:fldCharType="end"/>
      </w:r>
      <w:r>
        <w:fldChar w:fldCharType="end"/>
      </w:r>
    </w:p>
    <w:p w14:paraId="2714BA27">
      <w:pPr>
        <w:pStyle w:val="13"/>
        <w:tabs>
          <w:tab w:val="right" w:leader="dot" w:pos="8306"/>
          <w:tab w:val="clear" w:pos="8296"/>
        </w:tabs>
      </w:pPr>
      <w:r>
        <w:fldChar w:fldCharType="begin"/>
      </w:r>
      <w:r>
        <w:instrText xml:space="preserve"> HYPERLINK \l _Toc29868 </w:instrText>
      </w:r>
      <w:r>
        <w:fldChar w:fldCharType="separate"/>
      </w:r>
      <w:r>
        <w:rPr>
          <w:rFonts w:hint="eastAsia"/>
        </w:rPr>
        <w:t>三</w:t>
      </w:r>
      <w:r>
        <w:rPr>
          <w:rFonts w:hint="eastAsia"/>
          <w:lang w:eastAsia="zh-CN"/>
        </w:rPr>
        <w:t>、</w:t>
      </w:r>
      <w:r>
        <w:rPr>
          <w:rFonts w:hint="eastAsia"/>
        </w:rPr>
        <w:t>规范引用文件</w:t>
      </w:r>
      <w:r>
        <w:tab/>
      </w:r>
      <w:r>
        <w:fldChar w:fldCharType="begin"/>
      </w:r>
      <w:r>
        <w:instrText xml:space="preserve"> PAGEREF _Toc29868 \h </w:instrText>
      </w:r>
      <w:r>
        <w:fldChar w:fldCharType="separate"/>
      </w:r>
      <w:r>
        <w:t>5</w:t>
      </w:r>
      <w:r>
        <w:fldChar w:fldCharType="end"/>
      </w:r>
      <w:r>
        <w:fldChar w:fldCharType="end"/>
      </w:r>
    </w:p>
    <w:p w14:paraId="60ABDECA">
      <w:pPr>
        <w:pStyle w:val="13"/>
        <w:tabs>
          <w:tab w:val="right" w:leader="dot" w:pos="8306"/>
          <w:tab w:val="clear" w:pos="8296"/>
        </w:tabs>
      </w:pPr>
      <w:r>
        <w:fldChar w:fldCharType="begin"/>
      </w:r>
      <w:r>
        <w:instrText xml:space="preserve"> HYPERLINK \l _Toc32043 </w:instrText>
      </w:r>
      <w:r>
        <w:fldChar w:fldCharType="separate"/>
      </w:r>
      <w:r>
        <w:rPr>
          <w:rFonts w:hint="eastAsia"/>
        </w:rPr>
        <w:t>四</w:t>
      </w:r>
      <w:r>
        <w:rPr>
          <w:rFonts w:hint="eastAsia"/>
          <w:lang w:eastAsia="zh-CN"/>
        </w:rPr>
        <w:t>、</w:t>
      </w:r>
      <w:r>
        <w:rPr>
          <w:rFonts w:hint="eastAsia"/>
        </w:rPr>
        <w:t>技术要求</w:t>
      </w:r>
      <w:r>
        <w:tab/>
      </w:r>
      <w:r>
        <w:fldChar w:fldCharType="begin"/>
      </w:r>
      <w:r>
        <w:instrText xml:space="preserve"> PAGEREF _Toc32043 \h </w:instrText>
      </w:r>
      <w:r>
        <w:fldChar w:fldCharType="separate"/>
      </w:r>
      <w:r>
        <w:t>6</w:t>
      </w:r>
      <w:r>
        <w:fldChar w:fldCharType="end"/>
      </w:r>
      <w:r>
        <w:fldChar w:fldCharType="end"/>
      </w:r>
    </w:p>
    <w:p w14:paraId="7E0C4E56">
      <w:pPr>
        <w:pStyle w:val="14"/>
        <w:tabs>
          <w:tab w:val="right" w:leader="dot" w:pos="8306"/>
        </w:tabs>
      </w:pPr>
      <w:r>
        <w:fldChar w:fldCharType="begin"/>
      </w:r>
      <w:r>
        <w:instrText xml:space="preserve"> HYPERLINK \l _Toc15209 </w:instrText>
      </w:r>
      <w:r>
        <w:fldChar w:fldCharType="separate"/>
      </w:r>
      <w:r>
        <w:rPr>
          <w:rFonts w:hint="eastAsia" w:ascii="宋体" w:hAnsi="宋体" w:eastAsia="宋体" w:cs="宋体"/>
          <w:bCs w:val="0"/>
          <w:szCs w:val="24"/>
        </w:rPr>
        <w:t>4.1技术方案</w:t>
      </w:r>
      <w:r>
        <w:tab/>
      </w:r>
      <w:r>
        <w:fldChar w:fldCharType="begin"/>
      </w:r>
      <w:r>
        <w:instrText xml:space="preserve"> PAGEREF _Toc15209 \h </w:instrText>
      </w:r>
      <w:r>
        <w:fldChar w:fldCharType="separate"/>
      </w:r>
      <w:r>
        <w:t>6</w:t>
      </w:r>
      <w:r>
        <w:fldChar w:fldCharType="end"/>
      </w:r>
      <w:r>
        <w:fldChar w:fldCharType="end"/>
      </w:r>
    </w:p>
    <w:p w14:paraId="46D6C7DA">
      <w:pPr>
        <w:pStyle w:val="14"/>
        <w:tabs>
          <w:tab w:val="right" w:leader="dot" w:pos="8306"/>
        </w:tabs>
      </w:pPr>
      <w:r>
        <w:fldChar w:fldCharType="begin"/>
      </w:r>
      <w:r>
        <w:instrText xml:space="preserve"> HYPERLINK \l _Toc3566 </w:instrText>
      </w:r>
      <w:r>
        <w:fldChar w:fldCharType="separate"/>
      </w:r>
      <w:r>
        <w:rPr>
          <w:rFonts w:hint="eastAsia" w:ascii="宋体" w:hAnsi="宋体" w:eastAsia="宋体" w:cs="宋体"/>
          <w:bCs w:val="0"/>
          <w:szCs w:val="24"/>
        </w:rPr>
        <w:t>4.2</w:t>
      </w:r>
      <w:r>
        <w:rPr>
          <w:rFonts w:hint="eastAsia" w:ascii="宋体" w:hAnsi="宋体" w:eastAsia="宋体" w:cs="宋体"/>
          <w:bCs w:val="0"/>
          <w:szCs w:val="24"/>
          <w:lang w:val="en-US" w:eastAsia="zh-CN"/>
        </w:rPr>
        <w:t>改造</w:t>
      </w:r>
      <w:r>
        <w:rPr>
          <w:rFonts w:hint="eastAsia" w:ascii="宋体" w:hAnsi="宋体" w:eastAsia="宋体" w:cs="宋体"/>
          <w:bCs w:val="0"/>
          <w:szCs w:val="24"/>
        </w:rPr>
        <w:t>内容</w:t>
      </w:r>
      <w:r>
        <w:tab/>
      </w:r>
      <w:r>
        <w:fldChar w:fldCharType="begin"/>
      </w:r>
      <w:r>
        <w:instrText xml:space="preserve"> PAGEREF _Toc3566 \h </w:instrText>
      </w:r>
      <w:r>
        <w:fldChar w:fldCharType="separate"/>
      </w:r>
      <w:r>
        <w:t>7</w:t>
      </w:r>
      <w:r>
        <w:fldChar w:fldCharType="end"/>
      </w:r>
      <w:r>
        <w:fldChar w:fldCharType="end"/>
      </w:r>
    </w:p>
    <w:p w14:paraId="0014E1C2">
      <w:pPr>
        <w:pStyle w:val="14"/>
        <w:tabs>
          <w:tab w:val="right" w:leader="dot" w:pos="8306"/>
        </w:tabs>
      </w:pPr>
      <w:r>
        <w:fldChar w:fldCharType="begin"/>
      </w:r>
      <w:r>
        <w:instrText xml:space="preserve"> HYPERLINK \l _Toc29005 </w:instrText>
      </w:r>
      <w:r>
        <w:fldChar w:fldCharType="separate"/>
      </w:r>
      <w:r>
        <w:rPr>
          <w:rFonts w:hint="eastAsia" w:ascii="宋体" w:hAnsi="宋体" w:eastAsia="宋体" w:cs="宋体"/>
          <w:bCs w:val="0"/>
          <w:szCs w:val="24"/>
        </w:rPr>
        <w:t>4.3协调工作</w:t>
      </w:r>
      <w:r>
        <w:tab/>
      </w:r>
      <w:r>
        <w:fldChar w:fldCharType="begin"/>
      </w:r>
      <w:r>
        <w:instrText xml:space="preserve"> PAGEREF _Toc29005 \h </w:instrText>
      </w:r>
      <w:r>
        <w:fldChar w:fldCharType="separate"/>
      </w:r>
      <w:r>
        <w:t>8</w:t>
      </w:r>
      <w:r>
        <w:fldChar w:fldCharType="end"/>
      </w:r>
      <w:r>
        <w:fldChar w:fldCharType="end"/>
      </w:r>
    </w:p>
    <w:p w14:paraId="7ACAC7BC">
      <w:pPr>
        <w:pStyle w:val="14"/>
        <w:tabs>
          <w:tab w:val="right" w:leader="dot" w:pos="8306"/>
        </w:tabs>
      </w:pPr>
      <w:r>
        <w:fldChar w:fldCharType="begin"/>
      </w:r>
      <w:r>
        <w:instrText xml:space="preserve"> HYPERLINK \l _Toc28250 </w:instrText>
      </w:r>
      <w:r>
        <w:fldChar w:fldCharType="separate"/>
      </w:r>
      <w:r>
        <w:rPr>
          <w:rFonts w:hint="eastAsia" w:ascii="宋体" w:hAnsi="宋体" w:eastAsia="宋体" w:cs="宋体"/>
          <w:bCs w:val="0"/>
          <w:szCs w:val="24"/>
        </w:rPr>
        <w:t>4.4快频装置功能</w:t>
      </w:r>
      <w:r>
        <w:tab/>
      </w:r>
      <w:r>
        <w:fldChar w:fldCharType="begin"/>
      </w:r>
      <w:r>
        <w:instrText xml:space="preserve"> PAGEREF _Toc28250 \h </w:instrText>
      </w:r>
      <w:r>
        <w:fldChar w:fldCharType="separate"/>
      </w:r>
      <w:r>
        <w:t>8</w:t>
      </w:r>
      <w:r>
        <w:fldChar w:fldCharType="end"/>
      </w:r>
      <w:r>
        <w:fldChar w:fldCharType="end"/>
      </w:r>
    </w:p>
    <w:p w14:paraId="0692AC1B">
      <w:pPr>
        <w:pStyle w:val="14"/>
        <w:tabs>
          <w:tab w:val="right" w:leader="dot" w:pos="8306"/>
        </w:tabs>
      </w:pPr>
      <w:r>
        <w:fldChar w:fldCharType="begin"/>
      </w:r>
      <w:r>
        <w:instrText xml:space="preserve"> HYPERLINK \l _Toc6632 </w:instrText>
      </w:r>
      <w:r>
        <w:fldChar w:fldCharType="separate"/>
      </w:r>
      <w:r>
        <w:rPr>
          <w:rFonts w:hint="eastAsia" w:ascii="宋体" w:hAnsi="宋体" w:eastAsia="宋体" w:cs="宋体"/>
          <w:bCs w:val="0"/>
          <w:szCs w:val="24"/>
        </w:rPr>
        <w:t>4.5技术指标</w:t>
      </w:r>
      <w:r>
        <w:tab/>
      </w:r>
      <w:r>
        <w:fldChar w:fldCharType="begin"/>
      </w:r>
      <w:r>
        <w:instrText xml:space="preserve"> PAGEREF _Toc6632 \h </w:instrText>
      </w:r>
      <w:r>
        <w:fldChar w:fldCharType="separate"/>
      </w:r>
      <w:r>
        <w:t>10</w:t>
      </w:r>
      <w:r>
        <w:fldChar w:fldCharType="end"/>
      </w:r>
      <w:r>
        <w:fldChar w:fldCharType="end"/>
      </w:r>
    </w:p>
    <w:p w14:paraId="30301639">
      <w:pPr>
        <w:pStyle w:val="14"/>
        <w:tabs>
          <w:tab w:val="right" w:leader="dot" w:pos="8306"/>
        </w:tabs>
      </w:pPr>
      <w:r>
        <w:fldChar w:fldCharType="begin"/>
      </w:r>
      <w:r>
        <w:instrText xml:space="preserve"> HYPERLINK \l _Toc9865 </w:instrText>
      </w:r>
      <w:r>
        <w:fldChar w:fldCharType="separate"/>
      </w:r>
      <w:r>
        <w:rPr>
          <w:rFonts w:hint="eastAsia" w:ascii="宋体" w:hAnsi="宋体" w:eastAsia="宋体" w:cs="宋体"/>
          <w:bCs w:val="0"/>
          <w:szCs w:val="24"/>
          <w:lang w:val="en-US" w:eastAsia="zh-CN"/>
        </w:rPr>
        <w:t>4.6其他要求</w:t>
      </w:r>
      <w:r>
        <w:tab/>
      </w:r>
      <w:r>
        <w:fldChar w:fldCharType="begin"/>
      </w:r>
      <w:r>
        <w:instrText xml:space="preserve"> PAGEREF _Toc9865 \h </w:instrText>
      </w:r>
      <w:r>
        <w:fldChar w:fldCharType="separate"/>
      </w:r>
      <w:r>
        <w:t>12</w:t>
      </w:r>
      <w:r>
        <w:fldChar w:fldCharType="end"/>
      </w:r>
      <w:r>
        <w:fldChar w:fldCharType="end"/>
      </w:r>
    </w:p>
    <w:p w14:paraId="3E6BF50C">
      <w:pPr>
        <w:pStyle w:val="14"/>
        <w:tabs>
          <w:tab w:val="right" w:leader="dot" w:pos="8306"/>
        </w:tabs>
      </w:pPr>
      <w:r>
        <w:fldChar w:fldCharType="begin"/>
      </w:r>
      <w:r>
        <w:instrText xml:space="preserve"> HYPERLINK \l _Toc11384 </w:instrText>
      </w:r>
      <w:r>
        <w:fldChar w:fldCharType="separate"/>
      </w:r>
      <w:r>
        <w:rPr>
          <w:rFonts w:hint="eastAsia" w:ascii="宋体" w:hAnsi="宋体" w:eastAsia="宋体" w:cs="宋体"/>
          <w:bCs w:val="0"/>
          <w:szCs w:val="24"/>
        </w:rPr>
        <w:t>4.</w:t>
      </w:r>
      <w:r>
        <w:rPr>
          <w:rFonts w:hint="eastAsia" w:ascii="宋体" w:hAnsi="宋体" w:eastAsia="宋体" w:cs="宋体"/>
          <w:bCs w:val="0"/>
          <w:szCs w:val="24"/>
          <w:lang w:val="en-US" w:eastAsia="zh-CN"/>
        </w:rPr>
        <w:t>7</w:t>
      </w:r>
      <w:r>
        <w:rPr>
          <w:rFonts w:hint="eastAsia" w:ascii="宋体" w:hAnsi="宋体" w:eastAsia="宋体" w:cs="宋体"/>
          <w:bCs w:val="0"/>
          <w:szCs w:val="24"/>
          <w:lang w:eastAsia="zh-CN"/>
        </w:rPr>
        <w:t>其他</w:t>
      </w:r>
      <w:r>
        <w:rPr>
          <w:rFonts w:hint="eastAsia" w:ascii="宋体" w:hAnsi="宋体" w:eastAsia="宋体" w:cs="宋体"/>
          <w:bCs w:val="0"/>
          <w:szCs w:val="24"/>
        </w:rPr>
        <w:t>注意事项</w:t>
      </w:r>
      <w:r>
        <w:tab/>
      </w:r>
      <w:r>
        <w:fldChar w:fldCharType="begin"/>
      </w:r>
      <w:r>
        <w:instrText xml:space="preserve"> PAGEREF _Toc11384 \h </w:instrText>
      </w:r>
      <w:r>
        <w:fldChar w:fldCharType="separate"/>
      </w:r>
      <w:r>
        <w:t>14</w:t>
      </w:r>
      <w:r>
        <w:fldChar w:fldCharType="end"/>
      </w:r>
      <w:r>
        <w:fldChar w:fldCharType="end"/>
      </w:r>
    </w:p>
    <w:p w14:paraId="1299E153">
      <w:pPr>
        <w:pStyle w:val="13"/>
        <w:tabs>
          <w:tab w:val="right" w:leader="dot" w:pos="8306"/>
          <w:tab w:val="clear" w:pos="8296"/>
        </w:tabs>
      </w:pPr>
      <w:r>
        <w:fldChar w:fldCharType="begin"/>
      </w:r>
      <w:r>
        <w:instrText xml:space="preserve"> HYPERLINK \l _Toc18987 </w:instrText>
      </w:r>
      <w:r>
        <w:fldChar w:fldCharType="separate"/>
      </w:r>
      <w:r>
        <w:rPr>
          <w:rFonts w:hint="eastAsia"/>
        </w:rPr>
        <w:t>五、工作范围和进度要求</w:t>
      </w:r>
      <w:r>
        <w:tab/>
      </w:r>
      <w:r>
        <w:fldChar w:fldCharType="begin"/>
      </w:r>
      <w:r>
        <w:instrText xml:space="preserve"> PAGEREF _Toc18987 \h </w:instrText>
      </w:r>
      <w:r>
        <w:fldChar w:fldCharType="separate"/>
      </w:r>
      <w:r>
        <w:t>15</w:t>
      </w:r>
      <w:r>
        <w:fldChar w:fldCharType="end"/>
      </w:r>
      <w:r>
        <w:fldChar w:fldCharType="end"/>
      </w:r>
    </w:p>
    <w:p w14:paraId="1765D124">
      <w:pPr>
        <w:pStyle w:val="14"/>
        <w:tabs>
          <w:tab w:val="right" w:leader="dot" w:pos="8306"/>
        </w:tabs>
      </w:pPr>
      <w:r>
        <w:fldChar w:fldCharType="begin"/>
      </w:r>
      <w:r>
        <w:instrText xml:space="preserve"> HYPERLINK \l _Toc2497 </w:instrText>
      </w:r>
      <w:r>
        <w:fldChar w:fldCharType="separate"/>
      </w:r>
      <w:r>
        <w:rPr>
          <w:rFonts w:hint="eastAsia" w:ascii="宋体" w:hAnsi="宋体" w:eastAsia="宋体" w:cs="宋体"/>
          <w:bCs w:val="0"/>
          <w:szCs w:val="24"/>
        </w:rPr>
        <w:t>5.1工作范围</w:t>
      </w:r>
      <w:r>
        <w:tab/>
      </w:r>
      <w:r>
        <w:fldChar w:fldCharType="begin"/>
      </w:r>
      <w:r>
        <w:instrText xml:space="preserve"> PAGEREF _Toc2497 \h </w:instrText>
      </w:r>
      <w:r>
        <w:fldChar w:fldCharType="separate"/>
      </w:r>
      <w:r>
        <w:t>15</w:t>
      </w:r>
      <w:r>
        <w:fldChar w:fldCharType="end"/>
      </w:r>
      <w:r>
        <w:fldChar w:fldCharType="end"/>
      </w:r>
    </w:p>
    <w:p w14:paraId="2568AA95">
      <w:pPr>
        <w:pStyle w:val="14"/>
        <w:tabs>
          <w:tab w:val="right" w:leader="dot" w:pos="8306"/>
        </w:tabs>
      </w:pPr>
      <w:r>
        <w:fldChar w:fldCharType="begin"/>
      </w:r>
      <w:r>
        <w:instrText xml:space="preserve"> HYPERLINK \l _Toc19296 </w:instrText>
      </w:r>
      <w:r>
        <w:fldChar w:fldCharType="separate"/>
      </w:r>
      <w:r>
        <w:rPr>
          <w:rFonts w:hint="eastAsia" w:ascii="宋体" w:hAnsi="宋体" w:eastAsia="宋体" w:cs="宋体"/>
          <w:bCs w:val="0"/>
          <w:szCs w:val="24"/>
        </w:rPr>
        <w:t>5.2投标方必须提交的技术方案资料</w:t>
      </w:r>
      <w:r>
        <w:tab/>
      </w:r>
      <w:r>
        <w:fldChar w:fldCharType="begin"/>
      </w:r>
      <w:r>
        <w:instrText xml:space="preserve"> PAGEREF _Toc19296 \h </w:instrText>
      </w:r>
      <w:r>
        <w:fldChar w:fldCharType="separate"/>
      </w:r>
      <w:r>
        <w:t>16</w:t>
      </w:r>
      <w:r>
        <w:fldChar w:fldCharType="end"/>
      </w:r>
      <w:r>
        <w:fldChar w:fldCharType="end"/>
      </w:r>
    </w:p>
    <w:p w14:paraId="3C0D7EB9">
      <w:pPr>
        <w:pStyle w:val="14"/>
        <w:tabs>
          <w:tab w:val="right" w:leader="dot" w:pos="8306"/>
        </w:tabs>
      </w:pPr>
      <w:r>
        <w:fldChar w:fldCharType="begin"/>
      </w:r>
      <w:r>
        <w:instrText xml:space="preserve"> HYPERLINK \l _Toc26130 </w:instrText>
      </w:r>
      <w:r>
        <w:fldChar w:fldCharType="separate"/>
      </w:r>
      <w:r>
        <w:rPr>
          <w:rFonts w:hint="eastAsia" w:ascii="宋体" w:hAnsi="宋体" w:eastAsia="宋体" w:cs="宋体"/>
          <w:bCs w:val="0"/>
          <w:szCs w:val="24"/>
          <w:lang w:val="en-US" w:eastAsia="zh-CN"/>
        </w:rPr>
        <w:t>5.3中标人</w:t>
      </w:r>
      <w:r>
        <w:rPr>
          <w:rFonts w:hint="eastAsia" w:ascii="宋体" w:hAnsi="宋体" w:eastAsia="宋体" w:cs="宋体"/>
          <w:bCs w:val="0"/>
          <w:szCs w:val="24"/>
        </w:rPr>
        <w:t>必须提交的技术方案资料</w:t>
      </w:r>
      <w:r>
        <w:tab/>
      </w:r>
      <w:r>
        <w:fldChar w:fldCharType="begin"/>
      </w:r>
      <w:r>
        <w:instrText xml:space="preserve"> PAGEREF _Toc26130 \h </w:instrText>
      </w:r>
      <w:r>
        <w:fldChar w:fldCharType="separate"/>
      </w:r>
      <w:r>
        <w:t>16</w:t>
      </w:r>
      <w:r>
        <w:fldChar w:fldCharType="end"/>
      </w:r>
      <w:r>
        <w:fldChar w:fldCharType="end"/>
      </w:r>
    </w:p>
    <w:p w14:paraId="131DD27A">
      <w:pPr>
        <w:pStyle w:val="14"/>
        <w:tabs>
          <w:tab w:val="right" w:leader="dot" w:pos="8306"/>
        </w:tabs>
      </w:pPr>
      <w:r>
        <w:fldChar w:fldCharType="begin"/>
      </w:r>
      <w:r>
        <w:instrText xml:space="preserve"> HYPERLINK \l _Toc5438 </w:instrText>
      </w:r>
      <w:r>
        <w:fldChar w:fldCharType="separate"/>
      </w:r>
      <w:r>
        <w:rPr>
          <w:rFonts w:hint="eastAsia" w:ascii="宋体" w:hAnsi="宋体" w:eastAsia="宋体" w:cs="宋体"/>
          <w:bCs w:val="0"/>
          <w:szCs w:val="24"/>
        </w:rPr>
        <w:t>5.</w:t>
      </w:r>
      <w:r>
        <w:rPr>
          <w:rFonts w:hint="eastAsia" w:ascii="宋体" w:hAnsi="宋体" w:eastAsia="宋体" w:cs="宋体"/>
          <w:bCs w:val="0"/>
          <w:szCs w:val="24"/>
          <w:lang w:val="en-US" w:eastAsia="zh-CN"/>
        </w:rPr>
        <w:t>4检验、</w:t>
      </w:r>
      <w:r>
        <w:rPr>
          <w:rFonts w:hint="eastAsia" w:ascii="宋体" w:hAnsi="宋体" w:eastAsia="宋体" w:cs="宋体"/>
          <w:bCs w:val="0"/>
          <w:szCs w:val="24"/>
        </w:rPr>
        <w:t>安装、调试、性能试验</w:t>
      </w:r>
      <w:r>
        <w:tab/>
      </w:r>
      <w:r>
        <w:fldChar w:fldCharType="begin"/>
      </w:r>
      <w:r>
        <w:instrText xml:space="preserve"> PAGEREF _Toc5438 \h </w:instrText>
      </w:r>
      <w:r>
        <w:fldChar w:fldCharType="separate"/>
      </w:r>
      <w:r>
        <w:t>16</w:t>
      </w:r>
      <w:r>
        <w:fldChar w:fldCharType="end"/>
      </w:r>
      <w:r>
        <w:fldChar w:fldCharType="end"/>
      </w:r>
    </w:p>
    <w:p w14:paraId="182F67EE">
      <w:pPr>
        <w:pStyle w:val="14"/>
        <w:tabs>
          <w:tab w:val="right" w:leader="dot" w:pos="8306"/>
        </w:tabs>
      </w:pPr>
      <w:r>
        <w:fldChar w:fldCharType="begin"/>
      </w:r>
      <w:r>
        <w:instrText xml:space="preserve"> HYPERLINK \l _Toc28702 </w:instrText>
      </w:r>
      <w:r>
        <w:fldChar w:fldCharType="separate"/>
      </w:r>
      <w:r>
        <w:rPr>
          <w:rFonts w:hint="eastAsia" w:ascii="宋体" w:hAnsi="宋体" w:eastAsia="宋体" w:cs="宋体"/>
          <w:bCs w:val="0"/>
          <w:szCs w:val="24"/>
          <w:lang w:val="en-US" w:eastAsia="zh-CN"/>
        </w:rPr>
        <w:t>5.5</w:t>
      </w:r>
      <w:r>
        <w:rPr>
          <w:rFonts w:hint="eastAsia" w:ascii="宋体" w:hAnsi="宋体" w:eastAsia="宋体" w:cs="宋体"/>
          <w:bCs w:val="0"/>
          <w:szCs w:val="24"/>
        </w:rPr>
        <w:t>考核</w:t>
      </w:r>
      <w:r>
        <w:tab/>
      </w:r>
      <w:r>
        <w:fldChar w:fldCharType="begin"/>
      </w:r>
      <w:r>
        <w:instrText xml:space="preserve"> PAGEREF _Toc28702 \h </w:instrText>
      </w:r>
      <w:r>
        <w:fldChar w:fldCharType="separate"/>
      </w:r>
      <w:r>
        <w:t>18</w:t>
      </w:r>
      <w:r>
        <w:fldChar w:fldCharType="end"/>
      </w:r>
      <w:r>
        <w:fldChar w:fldCharType="end"/>
      </w:r>
    </w:p>
    <w:p w14:paraId="5B2654AE">
      <w:pPr>
        <w:pStyle w:val="13"/>
        <w:tabs>
          <w:tab w:val="right" w:leader="dot" w:pos="8306"/>
          <w:tab w:val="clear" w:pos="8296"/>
        </w:tabs>
      </w:pPr>
      <w:r>
        <w:fldChar w:fldCharType="begin"/>
      </w:r>
      <w:r>
        <w:instrText xml:space="preserve"> HYPERLINK \l _Toc13249 </w:instrText>
      </w:r>
      <w:r>
        <w:fldChar w:fldCharType="separate"/>
      </w:r>
      <w:r>
        <w:rPr>
          <w:rFonts w:hint="eastAsia"/>
        </w:rPr>
        <w:t>六、验收及质量保证</w:t>
      </w:r>
      <w:r>
        <w:tab/>
      </w:r>
      <w:r>
        <w:fldChar w:fldCharType="begin"/>
      </w:r>
      <w:r>
        <w:instrText xml:space="preserve"> PAGEREF _Toc13249 \h </w:instrText>
      </w:r>
      <w:r>
        <w:fldChar w:fldCharType="separate"/>
      </w:r>
      <w:r>
        <w:t>18</w:t>
      </w:r>
      <w:r>
        <w:fldChar w:fldCharType="end"/>
      </w:r>
      <w:r>
        <w:fldChar w:fldCharType="end"/>
      </w:r>
    </w:p>
    <w:p w14:paraId="1A5713C1">
      <w:pPr>
        <w:pStyle w:val="14"/>
        <w:tabs>
          <w:tab w:val="right" w:leader="dot" w:pos="8306"/>
        </w:tabs>
      </w:pPr>
      <w:r>
        <w:fldChar w:fldCharType="begin"/>
      </w:r>
      <w:r>
        <w:instrText xml:space="preserve"> HYPERLINK \l _Toc963 </w:instrText>
      </w:r>
      <w:r>
        <w:fldChar w:fldCharType="separate"/>
      </w:r>
      <w:r>
        <w:rPr>
          <w:rFonts w:hint="eastAsia" w:ascii="宋体" w:hAnsi="宋体" w:eastAsia="宋体" w:cs="宋体"/>
          <w:bCs w:val="0"/>
          <w:szCs w:val="24"/>
        </w:rPr>
        <w:t>6.1验收</w:t>
      </w:r>
      <w:r>
        <w:tab/>
      </w:r>
      <w:r>
        <w:fldChar w:fldCharType="begin"/>
      </w:r>
      <w:r>
        <w:instrText xml:space="preserve"> PAGEREF _Toc963 \h </w:instrText>
      </w:r>
      <w:r>
        <w:fldChar w:fldCharType="separate"/>
      </w:r>
      <w:r>
        <w:t>18</w:t>
      </w:r>
      <w:r>
        <w:fldChar w:fldCharType="end"/>
      </w:r>
      <w:r>
        <w:fldChar w:fldCharType="end"/>
      </w:r>
    </w:p>
    <w:p w14:paraId="674090B1">
      <w:pPr>
        <w:pStyle w:val="14"/>
        <w:tabs>
          <w:tab w:val="right" w:leader="dot" w:pos="8306"/>
        </w:tabs>
      </w:pPr>
      <w:r>
        <w:fldChar w:fldCharType="begin"/>
      </w:r>
      <w:r>
        <w:instrText xml:space="preserve"> HYPERLINK \l _Toc15343 </w:instrText>
      </w:r>
      <w:r>
        <w:fldChar w:fldCharType="separate"/>
      </w:r>
      <w:r>
        <w:rPr>
          <w:rFonts w:hint="eastAsia" w:ascii="宋体" w:hAnsi="宋体" w:eastAsia="宋体" w:cs="宋体"/>
          <w:bCs w:val="0"/>
          <w:szCs w:val="24"/>
        </w:rPr>
        <w:t>6.2质保期</w:t>
      </w:r>
      <w:r>
        <w:tab/>
      </w:r>
      <w:r>
        <w:fldChar w:fldCharType="begin"/>
      </w:r>
      <w:r>
        <w:instrText xml:space="preserve"> PAGEREF _Toc15343 \h </w:instrText>
      </w:r>
      <w:r>
        <w:fldChar w:fldCharType="separate"/>
      </w:r>
      <w:r>
        <w:t>18</w:t>
      </w:r>
      <w:r>
        <w:fldChar w:fldCharType="end"/>
      </w:r>
      <w:r>
        <w:fldChar w:fldCharType="end"/>
      </w:r>
    </w:p>
    <w:p w14:paraId="5FF79B3A">
      <w:pPr>
        <w:pStyle w:val="14"/>
        <w:tabs>
          <w:tab w:val="right" w:leader="dot" w:pos="8306"/>
        </w:tabs>
      </w:pPr>
      <w:r>
        <w:fldChar w:fldCharType="begin"/>
      </w:r>
      <w:r>
        <w:instrText xml:space="preserve"> HYPERLINK \l _Toc28672 </w:instrText>
      </w:r>
      <w:r>
        <w:fldChar w:fldCharType="separate"/>
      </w:r>
      <w:r>
        <w:rPr>
          <w:rFonts w:hint="eastAsia" w:ascii="宋体" w:hAnsi="宋体" w:eastAsia="宋体" w:cs="宋体"/>
          <w:bCs w:val="0"/>
          <w:szCs w:val="24"/>
        </w:rPr>
        <w:t>6.3质量保证</w:t>
      </w:r>
      <w:r>
        <w:tab/>
      </w:r>
      <w:r>
        <w:fldChar w:fldCharType="begin"/>
      </w:r>
      <w:r>
        <w:instrText xml:space="preserve"> PAGEREF _Toc28672 \h </w:instrText>
      </w:r>
      <w:r>
        <w:fldChar w:fldCharType="separate"/>
      </w:r>
      <w:r>
        <w:t>19</w:t>
      </w:r>
      <w:r>
        <w:fldChar w:fldCharType="end"/>
      </w:r>
      <w:r>
        <w:fldChar w:fldCharType="end"/>
      </w:r>
    </w:p>
    <w:p w14:paraId="63614693">
      <w:pPr>
        <w:pStyle w:val="13"/>
        <w:tabs>
          <w:tab w:val="right" w:leader="dot" w:pos="8306"/>
          <w:tab w:val="clear" w:pos="8296"/>
        </w:tabs>
      </w:pPr>
      <w:r>
        <w:fldChar w:fldCharType="begin"/>
      </w:r>
      <w:r>
        <w:instrText xml:space="preserve"> HYPERLINK \l _Toc32381 </w:instrText>
      </w:r>
      <w:r>
        <w:fldChar w:fldCharType="separate"/>
      </w:r>
      <w:r>
        <w:rPr>
          <w:rFonts w:hint="eastAsia"/>
        </w:rPr>
        <w:t>七、投标要求</w:t>
      </w:r>
      <w:r>
        <w:tab/>
      </w:r>
      <w:r>
        <w:fldChar w:fldCharType="begin"/>
      </w:r>
      <w:r>
        <w:instrText xml:space="preserve"> PAGEREF _Toc32381 \h </w:instrText>
      </w:r>
      <w:r>
        <w:fldChar w:fldCharType="separate"/>
      </w:r>
      <w:r>
        <w:t>19</w:t>
      </w:r>
      <w:r>
        <w:fldChar w:fldCharType="end"/>
      </w:r>
      <w:r>
        <w:fldChar w:fldCharType="end"/>
      </w:r>
    </w:p>
    <w:p w14:paraId="0DFC8BAD">
      <w:pPr>
        <w:pStyle w:val="14"/>
        <w:tabs>
          <w:tab w:val="right" w:leader="dot" w:pos="8306"/>
        </w:tabs>
      </w:pPr>
      <w:r>
        <w:fldChar w:fldCharType="begin"/>
      </w:r>
      <w:r>
        <w:instrText xml:space="preserve"> HYPERLINK \l _Toc20904 </w:instrText>
      </w:r>
      <w:r>
        <w:fldChar w:fldCharType="separate"/>
      </w:r>
      <w:r>
        <w:rPr>
          <w:rFonts w:hint="eastAsia" w:ascii="宋体" w:hAnsi="宋体" w:eastAsia="宋体" w:cs="宋体"/>
          <w:bCs w:val="0"/>
          <w:szCs w:val="24"/>
        </w:rPr>
        <w:t>7.1改造技术方案</w:t>
      </w:r>
      <w:r>
        <w:tab/>
      </w:r>
      <w:r>
        <w:fldChar w:fldCharType="begin"/>
      </w:r>
      <w:r>
        <w:instrText xml:space="preserve"> PAGEREF _Toc20904 \h </w:instrText>
      </w:r>
      <w:r>
        <w:fldChar w:fldCharType="separate"/>
      </w:r>
      <w:r>
        <w:t>19</w:t>
      </w:r>
      <w:r>
        <w:fldChar w:fldCharType="end"/>
      </w:r>
      <w:r>
        <w:fldChar w:fldCharType="end"/>
      </w:r>
    </w:p>
    <w:p w14:paraId="6E2EF5E4">
      <w:pPr>
        <w:pStyle w:val="14"/>
        <w:tabs>
          <w:tab w:val="right" w:leader="dot" w:pos="8306"/>
        </w:tabs>
      </w:pPr>
      <w:r>
        <w:fldChar w:fldCharType="begin"/>
      </w:r>
      <w:r>
        <w:instrText xml:space="preserve"> HYPERLINK \l _Toc8245 </w:instrText>
      </w:r>
      <w:r>
        <w:fldChar w:fldCharType="separate"/>
      </w:r>
      <w:r>
        <w:rPr>
          <w:rFonts w:hint="eastAsia" w:ascii="宋体" w:hAnsi="宋体" w:eastAsia="宋体" w:cs="宋体"/>
          <w:bCs w:val="0"/>
          <w:szCs w:val="24"/>
        </w:rPr>
        <w:t>7.2主要设备清单</w:t>
      </w:r>
      <w:r>
        <w:tab/>
      </w:r>
      <w:r>
        <w:fldChar w:fldCharType="begin"/>
      </w:r>
      <w:r>
        <w:instrText xml:space="preserve"> PAGEREF _Toc8245 \h </w:instrText>
      </w:r>
      <w:r>
        <w:fldChar w:fldCharType="separate"/>
      </w:r>
      <w:r>
        <w:t>21</w:t>
      </w:r>
      <w:r>
        <w:fldChar w:fldCharType="end"/>
      </w:r>
      <w:r>
        <w:fldChar w:fldCharType="end"/>
      </w:r>
    </w:p>
    <w:p w14:paraId="261275C3">
      <w:pPr>
        <w:pStyle w:val="14"/>
        <w:tabs>
          <w:tab w:val="right" w:leader="dot" w:pos="8306"/>
        </w:tabs>
      </w:pPr>
      <w:r>
        <w:fldChar w:fldCharType="begin"/>
      </w:r>
      <w:r>
        <w:instrText xml:space="preserve"> HYPERLINK \l _Toc20623 </w:instrText>
      </w:r>
      <w:r>
        <w:fldChar w:fldCharType="separate"/>
      </w:r>
      <w:r>
        <w:rPr>
          <w:rFonts w:hint="eastAsia" w:ascii="宋体" w:hAnsi="宋体" w:eastAsia="宋体" w:cs="宋体"/>
          <w:bCs w:val="0"/>
          <w:szCs w:val="24"/>
        </w:rPr>
        <w:t>7.3改造实施方案</w:t>
      </w:r>
      <w:r>
        <w:tab/>
      </w:r>
      <w:r>
        <w:fldChar w:fldCharType="begin"/>
      </w:r>
      <w:r>
        <w:instrText xml:space="preserve"> PAGEREF _Toc20623 \h </w:instrText>
      </w:r>
      <w:r>
        <w:fldChar w:fldCharType="separate"/>
      </w:r>
      <w:r>
        <w:t>22</w:t>
      </w:r>
      <w:r>
        <w:fldChar w:fldCharType="end"/>
      </w:r>
      <w:r>
        <w:fldChar w:fldCharType="end"/>
      </w:r>
    </w:p>
    <w:p w14:paraId="5E9840F4">
      <w:pPr>
        <w:pStyle w:val="14"/>
        <w:tabs>
          <w:tab w:val="right" w:leader="dot" w:pos="8306"/>
        </w:tabs>
      </w:pPr>
      <w:r>
        <w:fldChar w:fldCharType="begin"/>
      </w:r>
      <w:r>
        <w:instrText xml:space="preserve"> HYPERLINK \l _Toc20204 </w:instrText>
      </w:r>
      <w:r>
        <w:fldChar w:fldCharType="separate"/>
      </w:r>
      <w:r>
        <w:rPr>
          <w:rFonts w:hint="eastAsia" w:ascii="宋体" w:hAnsi="宋体" w:eastAsia="宋体" w:cs="宋体"/>
          <w:bCs w:val="0"/>
          <w:szCs w:val="24"/>
        </w:rPr>
        <w:t>7.4性能检测</w:t>
      </w:r>
      <w:r>
        <w:tab/>
      </w:r>
      <w:r>
        <w:fldChar w:fldCharType="begin"/>
      </w:r>
      <w:r>
        <w:instrText xml:space="preserve"> PAGEREF _Toc20204 \h </w:instrText>
      </w:r>
      <w:r>
        <w:fldChar w:fldCharType="separate"/>
      </w:r>
      <w:r>
        <w:t>23</w:t>
      </w:r>
      <w:r>
        <w:fldChar w:fldCharType="end"/>
      </w:r>
      <w:r>
        <w:fldChar w:fldCharType="end"/>
      </w:r>
    </w:p>
    <w:p w14:paraId="304021AA">
      <w:pPr>
        <w:pStyle w:val="14"/>
        <w:tabs>
          <w:tab w:val="right" w:leader="dot" w:pos="8306"/>
        </w:tabs>
      </w:pPr>
      <w:r>
        <w:fldChar w:fldCharType="begin"/>
      </w:r>
      <w:r>
        <w:instrText xml:space="preserve"> HYPERLINK \l _Toc15176 </w:instrText>
      </w:r>
      <w:r>
        <w:fldChar w:fldCharType="separate"/>
      </w:r>
      <w:r>
        <w:rPr>
          <w:rFonts w:hint="eastAsia" w:ascii="宋体" w:hAnsi="宋体" w:eastAsia="宋体" w:cs="宋体"/>
          <w:bCs w:val="0"/>
          <w:szCs w:val="24"/>
        </w:rPr>
        <w:t>7.5其他条款</w:t>
      </w:r>
      <w:r>
        <w:tab/>
      </w:r>
      <w:r>
        <w:fldChar w:fldCharType="begin"/>
      </w:r>
      <w:r>
        <w:instrText xml:space="preserve"> PAGEREF _Toc15176 \h </w:instrText>
      </w:r>
      <w:r>
        <w:fldChar w:fldCharType="separate"/>
      </w:r>
      <w:r>
        <w:t>23</w:t>
      </w:r>
      <w:r>
        <w:fldChar w:fldCharType="end"/>
      </w:r>
      <w:r>
        <w:fldChar w:fldCharType="end"/>
      </w:r>
    </w:p>
    <w:p w14:paraId="46C2B1F7">
      <w:pPr>
        <w:pStyle w:val="13"/>
        <w:tabs>
          <w:tab w:val="right" w:leader="dot" w:pos="8306"/>
          <w:tab w:val="clear" w:pos="8296"/>
        </w:tabs>
      </w:pPr>
      <w:r>
        <w:fldChar w:fldCharType="begin"/>
      </w:r>
      <w:r>
        <w:instrText xml:space="preserve"> HYPERLINK \l _Toc16074 </w:instrText>
      </w:r>
      <w:r>
        <w:fldChar w:fldCharType="separate"/>
      </w:r>
      <w:r>
        <w:rPr>
          <w:rFonts w:hint="eastAsia"/>
        </w:rPr>
        <w:t>八、培训</w:t>
      </w:r>
      <w:r>
        <w:tab/>
      </w:r>
      <w:r>
        <w:fldChar w:fldCharType="begin"/>
      </w:r>
      <w:r>
        <w:instrText xml:space="preserve"> PAGEREF _Toc16074 \h </w:instrText>
      </w:r>
      <w:r>
        <w:fldChar w:fldCharType="separate"/>
      </w:r>
      <w:r>
        <w:t>23</w:t>
      </w:r>
      <w:r>
        <w:fldChar w:fldCharType="end"/>
      </w:r>
      <w:r>
        <w:fldChar w:fldCharType="end"/>
      </w:r>
    </w:p>
    <w:p w14:paraId="6C39E0D7">
      <w:pPr>
        <w:keepNext w:val="0"/>
        <w:keepLines w:val="0"/>
        <w:pageBreakBefore w:val="0"/>
        <w:widowControl/>
        <w:kinsoku/>
        <w:wordWrap/>
        <w:overflowPunct/>
        <w:autoSpaceDE/>
        <w:autoSpaceDN/>
        <w:bidi w:val="0"/>
        <w:spacing w:line="570" w:lineRule="exact"/>
        <w:ind w:firstLine="480" w:firstLineChars="200"/>
        <w:jc w:val="left"/>
        <w:rPr>
          <w:rFonts w:hint="eastAsia" w:ascii="Times New Roman" w:hAnsi="Times New Roman" w:eastAsia="黑体" w:cs="Times New Roman"/>
          <w:b/>
          <w:bCs/>
          <w:kern w:val="44"/>
          <w:sz w:val="32"/>
          <w:szCs w:val="44"/>
          <w:lang w:val="en-US" w:eastAsia="zh-CN" w:bidi="ar-SA"/>
        </w:rPr>
      </w:pPr>
      <w:r>
        <w:fldChar w:fldCharType="end"/>
      </w:r>
      <w:bookmarkStart w:id="0" w:name="_Toc19493"/>
      <w:bookmarkStart w:id="1" w:name="_Toc22738"/>
      <w:bookmarkStart w:id="2" w:name="_Toc22124"/>
      <w:bookmarkStart w:id="3" w:name="_Toc21512"/>
      <w:bookmarkStart w:id="4" w:name="_Toc1337"/>
      <w:bookmarkStart w:id="5" w:name="_Toc6787"/>
      <w:bookmarkStart w:id="6" w:name="_Toc22617"/>
      <w:bookmarkStart w:id="7" w:name="_Toc9945"/>
      <w:bookmarkStart w:id="8" w:name="_Toc17308"/>
      <w:bookmarkStart w:id="9" w:name="_Toc517339714"/>
      <w:bookmarkStart w:id="10" w:name="_Toc5560"/>
      <w:r>
        <w:rPr>
          <w:rFonts w:hint="eastAsia" w:ascii="Times New Roman" w:hAnsi="Times New Roman" w:eastAsia="黑体" w:cs="Times New Roman"/>
          <w:b/>
          <w:bCs/>
          <w:kern w:val="44"/>
          <w:sz w:val="32"/>
          <w:szCs w:val="44"/>
          <w:lang w:val="en-US" w:eastAsia="zh-CN" w:bidi="ar-SA"/>
        </w:rPr>
        <w:t>一、总则</w:t>
      </w:r>
      <w:bookmarkEnd w:id="0"/>
      <w:bookmarkEnd w:id="1"/>
      <w:bookmarkEnd w:id="2"/>
      <w:bookmarkEnd w:id="3"/>
      <w:bookmarkEnd w:id="4"/>
      <w:bookmarkEnd w:id="5"/>
      <w:bookmarkEnd w:id="6"/>
      <w:bookmarkEnd w:id="7"/>
      <w:bookmarkEnd w:id="8"/>
      <w:bookmarkEnd w:id="9"/>
      <w:bookmarkEnd w:id="10"/>
    </w:p>
    <w:p w14:paraId="037376F8">
      <w:pPr>
        <w:keepNext w:val="0"/>
        <w:keepLines w:val="0"/>
        <w:pageBreakBefore w:val="0"/>
        <w:kinsoku/>
        <w:wordWrap/>
        <w:overflowPunct/>
        <w:autoSpaceDE/>
        <w:autoSpaceDN/>
        <w:bidi w:val="0"/>
        <w:spacing w:line="570" w:lineRule="exact"/>
        <w:ind w:firstLine="480" w:firstLineChars="200"/>
        <w:rPr>
          <w:rFonts w:ascii="宋体" w:hAnsi="宋体" w:eastAsia="宋体" w:cs="宋体"/>
          <w:color w:val="000000"/>
        </w:rPr>
      </w:pPr>
      <w:r>
        <w:rPr>
          <w:rFonts w:hint="eastAsia" w:ascii="宋体" w:hAnsi="宋体" w:eastAsia="宋体" w:cs="宋体"/>
          <w:color w:val="000000"/>
        </w:rPr>
        <w:t>1.本技术规范书适用于</w:t>
      </w:r>
      <w:r>
        <w:rPr>
          <w:rFonts w:hint="eastAsia" w:ascii="宋体" w:hAnsi="宋体" w:eastAsia="宋体" w:cs="宋体"/>
          <w:color w:val="000000"/>
          <w:lang w:eastAsia="zh-CN"/>
        </w:rPr>
        <w:t>嘉峪关二期光储电站储能系统</w:t>
      </w:r>
      <w:r>
        <w:rPr>
          <w:rFonts w:hint="eastAsia" w:ascii="宋体" w:hAnsi="宋体" w:eastAsia="宋体" w:cs="宋体"/>
          <w:color w:val="000000"/>
        </w:rPr>
        <w:t>快速频率响应</w:t>
      </w:r>
      <w:r>
        <w:rPr>
          <w:rFonts w:hint="eastAsia" w:ascii="宋体" w:hAnsi="宋体" w:eastAsia="宋体" w:cs="宋体"/>
          <w:color w:val="000000"/>
          <w:lang w:val="en-US" w:eastAsia="zh-CN"/>
        </w:rPr>
        <w:t>功能改造</w:t>
      </w:r>
      <w:r>
        <w:rPr>
          <w:rFonts w:hint="eastAsia" w:ascii="宋体" w:hAnsi="宋体" w:eastAsia="宋体" w:cs="宋体"/>
          <w:color w:val="000000"/>
        </w:rPr>
        <w:t>服务项目的招标，本规范对本项目改造中的技术要求、改造要求、考核验收和质量保证等方面提出了具体的要求。</w:t>
      </w:r>
    </w:p>
    <w:p w14:paraId="7FA7BA11">
      <w:pPr>
        <w:keepNext w:val="0"/>
        <w:keepLines w:val="0"/>
        <w:pageBreakBefore w:val="0"/>
        <w:kinsoku/>
        <w:wordWrap/>
        <w:overflowPunct/>
        <w:autoSpaceDE/>
        <w:autoSpaceDN/>
        <w:bidi w:val="0"/>
        <w:spacing w:line="570" w:lineRule="exact"/>
        <w:ind w:firstLine="480" w:firstLineChars="200"/>
        <w:rPr>
          <w:rFonts w:ascii="宋体" w:hAnsi="宋体" w:eastAsia="宋体" w:cs="宋体"/>
          <w:color w:val="000000"/>
        </w:rPr>
      </w:pPr>
      <w:r>
        <w:rPr>
          <w:rFonts w:hint="eastAsia" w:ascii="宋体" w:hAnsi="宋体" w:eastAsia="宋体" w:cs="宋体"/>
          <w:color w:val="000000"/>
        </w:rPr>
        <w:t>2.投标方应仔细阅读本文件，保证提供的改造技术方案和服务能够满足本规范中规定的技术要求。</w:t>
      </w:r>
    </w:p>
    <w:p w14:paraId="609A244C">
      <w:pPr>
        <w:keepNext w:val="0"/>
        <w:keepLines w:val="0"/>
        <w:pageBreakBefore w:val="0"/>
        <w:kinsoku/>
        <w:wordWrap/>
        <w:overflowPunct/>
        <w:autoSpaceDE/>
        <w:autoSpaceDN/>
        <w:bidi w:val="0"/>
        <w:spacing w:line="570" w:lineRule="exact"/>
        <w:ind w:firstLine="480" w:firstLineChars="200"/>
        <w:rPr>
          <w:rFonts w:ascii="宋体" w:hAnsi="宋体" w:eastAsia="宋体" w:cs="宋体"/>
          <w:color w:val="000000"/>
        </w:rPr>
      </w:pPr>
      <w:r>
        <w:rPr>
          <w:rFonts w:hint="eastAsia" w:ascii="宋体" w:hAnsi="宋体" w:eastAsia="宋体" w:cs="宋体"/>
          <w:color w:val="000000"/>
        </w:rPr>
        <w:t>3.本技术规范书提出的对</w:t>
      </w:r>
      <w:r>
        <w:rPr>
          <w:rFonts w:hint="eastAsia" w:ascii="宋体" w:hAnsi="宋体" w:eastAsia="宋体" w:cs="宋体"/>
          <w:color w:val="000000"/>
          <w:lang w:eastAsia="zh-CN"/>
        </w:rPr>
        <w:t>嘉峪关二期光储电站储能系统</w:t>
      </w:r>
      <w:r>
        <w:rPr>
          <w:rFonts w:hint="eastAsia" w:ascii="宋体" w:hAnsi="宋体" w:eastAsia="宋体" w:cs="宋体"/>
          <w:color w:val="000000"/>
        </w:rPr>
        <w:t>满足快速频率响应功能要求是最低限度的技术要求，并未对一切技术细节做出规定，也未充分引述标准和规范的条文。投标书提供的技术方案不但应满足本技术规范书的要求，还应符合相关的国家、电力行业标准。</w:t>
      </w:r>
    </w:p>
    <w:p w14:paraId="146F56D9">
      <w:pPr>
        <w:keepNext w:val="0"/>
        <w:keepLines w:val="0"/>
        <w:pageBreakBefore w:val="0"/>
        <w:kinsoku/>
        <w:wordWrap/>
        <w:overflowPunct/>
        <w:autoSpaceDE/>
        <w:autoSpaceDN/>
        <w:bidi w:val="0"/>
        <w:spacing w:line="570" w:lineRule="exact"/>
        <w:ind w:firstLine="480" w:firstLineChars="200"/>
        <w:rPr>
          <w:rFonts w:ascii="宋体" w:hAnsi="宋体" w:eastAsia="宋体" w:cs="宋体"/>
          <w:color w:val="000000"/>
        </w:rPr>
      </w:pPr>
      <w:r>
        <w:rPr>
          <w:rFonts w:hint="eastAsia" w:ascii="宋体" w:hAnsi="宋体" w:eastAsia="宋体" w:cs="宋体"/>
          <w:color w:val="000000"/>
        </w:rPr>
        <w:t>4.投标方提供的产品必须采取有效版本的国家标准、规定和技术规范设计系统产品。如果某个事项采用了一个以上的标准、规定和规范，必须按最高要求执行。</w:t>
      </w:r>
    </w:p>
    <w:p w14:paraId="0E637124">
      <w:pPr>
        <w:keepNext w:val="0"/>
        <w:keepLines w:val="0"/>
        <w:pageBreakBefore w:val="0"/>
        <w:kinsoku/>
        <w:wordWrap/>
        <w:overflowPunct/>
        <w:autoSpaceDE/>
        <w:autoSpaceDN/>
        <w:bidi w:val="0"/>
        <w:spacing w:line="570" w:lineRule="exact"/>
        <w:ind w:firstLine="480" w:firstLineChars="200"/>
        <w:rPr>
          <w:rFonts w:ascii="宋体" w:hAnsi="宋体" w:eastAsia="宋体" w:cs="宋体"/>
          <w:color w:val="000000"/>
        </w:rPr>
      </w:pPr>
      <w:r>
        <w:rPr>
          <w:rFonts w:hint="eastAsia" w:ascii="宋体" w:hAnsi="宋体" w:eastAsia="宋体" w:cs="宋体"/>
          <w:color w:val="000000"/>
        </w:rPr>
        <w:t>5.本技术规范书经供需双方确认后，作为技术改造合同的技术部分，与合同正文具有同等法律效力。</w:t>
      </w:r>
    </w:p>
    <w:p w14:paraId="17F82F4C">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color w:val="000000"/>
        </w:rPr>
      </w:pPr>
      <w:r>
        <w:rPr>
          <w:rFonts w:hint="eastAsia" w:ascii="宋体" w:hAnsi="宋体" w:eastAsia="宋体" w:cs="宋体"/>
          <w:color w:val="000000"/>
        </w:rPr>
        <w:t>6.本技术规范书所使用的标准如遇与投标方所执行的标准不一致时，按较高标准执行。</w:t>
      </w:r>
    </w:p>
    <w:p w14:paraId="273B3972">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color w:val="000000"/>
        </w:rPr>
        <w:t>7.</w:t>
      </w:r>
      <w:r>
        <w:rPr>
          <w:rFonts w:hint="eastAsia" w:ascii="宋体" w:hAnsi="宋体" w:eastAsia="宋体" w:cs="宋体"/>
        </w:rPr>
        <w:t>投标方对供货范围内的成套系统设备（含辅助系统及设备、附件等）负有全责，即包括分包（或对外采购）的产品。</w:t>
      </w:r>
    </w:p>
    <w:p w14:paraId="35957BDB">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color w:val="000000"/>
        </w:rPr>
      </w:pPr>
      <w:r>
        <w:rPr>
          <w:rFonts w:hint="eastAsia" w:ascii="宋体" w:hAnsi="宋体" w:eastAsia="宋体" w:cs="宋体"/>
          <w:color w:val="000000"/>
          <w:lang w:val="en-US" w:eastAsia="zh-CN"/>
        </w:rPr>
        <w:t>8.</w:t>
      </w:r>
      <w:r>
        <w:rPr>
          <w:rFonts w:ascii="宋体" w:hAnsi="宋体" w:eastAsia="宋体" w:cs="宋体"/>
          <w:color w:val="000000"/>
        </w:rPr>
        <w:t>投标人应执行本技术规范书所列标准，有不一致时，按较高标准执行。投标人在设备设计和制造中所涉及的各项规程、规范和标准必须遵循现行最新标准版本。若投标人所提供的投标文件前后有不一致的地方，应以更有利于设备安装运行、工程质量为原则，由招标人确定。</w:t>
      </w:r>
    </w:p>
    <w:p w14:paraId="2617A527">
      <w:pPr>
        <w:pStyle w:val="2"/>
        <w:keepNext w:val="0"/>
        <w:keepLines w:val="0"/>
        <w:pageBreakBefore w:val="0"/>
        <w:kinsoku/>
        <w:wordWrap/>
        <w:overflowPunct/>
        <w:autoSpaceDE/>
        <w:autoSpaceDN/>
        <w:bidi w:val="0"/>
        <w:spacing w:line="570" w:lineRule="exact"/>
      </w:pPr>
      <w:bookmarkStart w:id="11" w:name="_Toc25524"/>
      <w:bookmarkStart w:id="12" w:name="_Toc5657"/>
      <w:bookmarkStart w:id="13" w:name="_Toc16898"/>
      <w:bookmarkStart w:id="14" w:name="_Toc29986"/>
      <w:r>
        <w:rPr>
          <w:rFonts w:hint="eastAsia"/>
        </w:rPr>
        <w:t>二</w:t>
      </w:r>
      <w:r>
        <w:rPr>
          <w:rFonts w:hint="eastAsia"/>
          <w:lang w:eastAsia="zh-CN"/>
        </w:rPr>
        <w:t>、</w:t>
      </w:r>
      <w:r>
        <w:rPr>
          <w:rFonts w:hint="eastAsia"/>
        </w:rPr>
        <w:t>项目概况</w:t>
      </w:r>
      <w:bookmarkEnd w:id="11"/>
      <w:bookmarkEnd w:id="12"/>
      <w:bookmarkEnd w:id="13"/>
      <w:bookmarkEnd w:id="14"/>
    </w:p>
    <w:p w14:paraId="5A999CB1">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1.项目名称：</w:t>
      </w:r>
      <w:r>
        <w:rPr>
          <w:rFonts w:hint="eastAsia" w:ascii="宋体" w:hAnsi="宋体" w:eastAsia="宋体" w:cs="宋体"/>
          <w:lang w:val="en-US" w:eastAsia="zh-CN"/>
        </w:rPr>
        <w:t>嘉峪关二期</w:t>
      </w:r>
      <w:r>
        <w:rPr>
          <w:rFonts w:hint="eastAsia" w:ascii="宋体" w:hAnsi="宋体" w:eastAsia="宋体" w:cs="宋体"/>
        </w:rPr>
        <w:t>光储电站</w:t>
      </w:r>
      <w:r>
        <w:rPr>
          <w:rFonts w:hint="eastAsia" w:ascii="宋体" w:hAnsi="宋体" w:eastAsia="宋体" w:cs="宋体"/>
          <w:lang w:val="en-US" w:eastAsia="zh-CN"/>
        </w:rPr>
        <w:t>储能系统</w:t>
      </w:r>
      <w:r>
        <w:rPr>
          <w:rFonts w:hint="eastAsia" w:ascii="宋体" w:hAnsi="宋体" w:eastAsia="宋体" w:cs="宋体"/>
        </w:rPr>
        <w:t>快速频率响应</w:t>
      </w:r>
      <w:r>
        <w:rPr>
          <w:rFonts w:hint="eastAsia" w:ascii="宋体" w:hAnsi="宋体" w:eastAsia="宋体" w:cs="宋体"/>
          <w:lang w:val="en-US" w:eastAsia="zh-CN"/>
        </w:rPr>
        <w:t>功能</w:t>
      </w:r>
      <w:r>
        <w:rPr>
          <w:rFonts w:hint="eastAsia" w:ascii="宋体" w:hAnsi="宋体" w:eastAsia="宋体" w:cs="宋体"/>
        </w:rPr>
        <w:t>改造</w:t>
      </w:r>
    </w:p>
    <w:p w14:paraId="1278E54A">
      <w:pPr>
        <w:keepNext w:val="0"/>
        <w:keepLines w:val="0"/>
        <w:pageBreakBefore w:val="0"/>
        <w:kinsoku/>
        <w:wordWrap/>
        <w:overflowPunct/>
        <w:autoSpaceDE/>
        <w:autoSpaceDN/>
        <w:bidi w:val="0"/>
        <w:spacing w:line="570" w:lineRule="exact"/>
        <w:ind w:firstLine="480"/>
        <w:rPr>
          <w:rFonts w:ascii="宋体" w:hAnsi="宋体" w:eastAsia="宋体" w:cs="宋体"/>
        </w:rPr>
      </w:pPr>
      <w:r>
        <w:rPr>
          <w:rFonts w:hint="eastAsia" w:ascii="宋体" w:hAnsi="宋体" w:eastAsia="宋体" w:cs="宋体"/>
          <w:lang w:val="en-US" w:eastAsia="zh-CN"/>
        </w:rPr>
        <w:t>嘉峪关二期</w:t>
      </w:r>
      <w:r>
        <w:rPr>
          <w:rFonts w:hint="eastAsia" w:ascii="宋体" w:hAnsi="宋体" w:eastAsia="宋体" w:cs="宋体"/>
        </w:rPr>
        <w:t>光储电站位于甘肃省嘉峪关市嘉西光伏产业园，项目建成于2021年12月，装机容量为70MW，通过35kV地埋电缆接入嘉峪关正泰110kV升压站。电站共有22个光伏发电单元和1个储能单元，#1-#14发电单元每个发电单元含1台35kV箱变及12台组串式逆变器，#15-#22发电单元每个发电单元含1台35kV箱变及14台组串式逆变器。共6条光伏汇集线路</w:t>
      </w:r>
      <w:r>
        <w:rPr>
          <w:rFonts w:hint="eastAsia" w:ascii="宋体" w:hAnsi="宋体" w:eastAsia="宋体" w:cs="宋体"/>
          <w:lang w:eastAsia="zh-CN"/>
        </w:rPr>
        <w:t>接入</w:t>
      </w:r>
      <w:r>
        <w:rPr>
          <w:rFonts w:hint="eastAsia" w:ascii="宋体" w:hAnsi="宋体" w:eastAsia="宋体" w:cs="宋体"/>
        </w:rPr>
        <w:t>站内开关站35kV母线，另外储能单元单独1条汇集线路接入35kV母线。详见</w:t>
      </w:r>
      <w:r>
        <w:rPr>
          <w:rFonts w:hint="eastAsia" w:ascii="宋体" w:hAnsi="宋体" w:eastAsia="宋体" w:cs="宋体"/>
          <w:lang w:eastAsia="zh-CN"/>
        </w:rPr>
        <w:t>嘉峪关二期光储电站</w:t>
      </w:r>
      <w:r>
        <w:rPr>
          <w:rFonts w:hint="eastAsia" w:ascii="宋体" w:hAnsi="宋体" w:eastAsia="宋体" w:cs="宋体"/>
        </w:rPr>
        <w:t>电气主接线图。</w:t>
      </w:r>
    </w:p>
    <w:p w14:paraId="3084616C">
      <w:pPr>
        <w:keepNext w:val="0"/>
        <w:keepLines w:val="0"/>
        <w:pageBreakBefore w:val="0"/>
        <w:kinsoku/>
        <w:wordWrap/>
        <w:overflowPunct/>
        <w:autoSpaceDE/>
        <w:autoSpaceDN/>
        <w:bidi w:val="0"/>
        <w:spacing w:line="570" w:lineRule="exact"/>
        <w:ind w:firstLine="480" w:firstLineChars="200"/>
        <w:jc w:val="center"/>
        <w:rPr>
          <w:rFonts w:hint="eastAsia" w:ascii="宋体" w:hAnsi="宋体" w:eastAsia="宋体" w:cs="宋体"/>
        </w:rPr>
      </w:pPr>
      <w:r>
        <w:rPr>
          <w:rFonts w:hint="eastAsia"/>
          <w:color w:val="000000" w:themeColor="text1"/>
        </w:rPr>
        <w:drawing>
          <wp:anchor distT="0" distB="0" distL="114300" distR="114300" simplePos="0" relativeHeight="251660288" behindDoc="0" locked="0" layoutInCell="1" allowOverlap="1">
            <wp:simplePos x="0" y="0"/>
            <wp:positionH relativeFrom="column">
              <wp:posOffset>19050</wp:posOffset>
            </wp:positionH>
            <wp:positionV relativeFrom="paragraph">
              <wp:posOffset>118110</wp:posOffset>
            </wp:positionV>
            <wp:extent cx="5372100" cy="4253230"/>
            <wp:effectExtent l="0" t="0" r="0" b="13970"/>
            <wp:wrapNone/>
            <wp:docPr id="1" name="图片 1" descr="9b133f32e648ea05cce6a6f057ac79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9b133f32e648ea05cce6a6f057ac79b"/>
                    <pic:cNvPicPr>
                      <a:picLocks noChangeAspect="1"/>
                    </pic:cNvPicPr>
                  </pic:nvPicPr>
                  <pic:blipFill>
                    <a:blip r:embed="rId8"/>
                    <a:stretch>
                      <a:fillRect/>
                    </a:stretch>
                  </pic:blipFill>
                  <pic:spPr>
                    <a:xfrm>
                      <a:off x="0" y="0"/>
                      <a:ext cx="5372100" cy="4253230"/>
                    </a:xfrm>
                    <a:prstGeom prst="rect">
                      <a:avLst/>
                    </a:prstGeom>
                  </pic:spPr>
                </pic:pic>
              </a:graphicData>
            </a:graphic>
          </wp:anchor>
        </w:drawing>
      </w:r>
    </w:p>
    <w:p w14:paraId="7B37BEC1">
      <w:pPr>
        <w:keepNext w:val="0"/>
        <w:keepLines w:val="0"/>
        <w:pageBreakBefore w:val="0"/>
        <w:kinsoku/>
        <w:wordWrap/>
        <w:overflowPunct/>
        <w:autoSpaceDE/>
        <w:autoSpaceDN/>
        <w:bidi w:val="0"/>
        <w:spacing w:line="570" w:lineRule="exact"/>
        <w:ind w:firstLine="480" w:firstLineChars="200"/>
        <w:jc w:val="center"/>
        <w:rPr>
          <w:rFonts w:hint="eastAsia" w:ascii="宋体" w:hAnsi="宋体" w:eastAsia="宋体" w:cs="宋体"/>
        </w:rPr>
      </w:pPr>
    </w:p>
    <w:p w14:paraId="6CDDD136">
      <w:pPr>
        <w:keepNext w:val="0"/>
        <w:keepLines w:val="0"/>
        <w:pageBreakBefore w:val="0"/>
        <w:kinsoku/>
        <w:wordWrap/>
        <w:overflowPunct/>
        <w:autoSpaceDE/>
        <w:autoSpaceDN/>
        <w:bidi w:val="0"/>
        <w:spacing w:line="570" w:lineRule="exact"/>
        <w:ind w:firstLine="480" w:firstLineChars="200"/>
        <w:jc w:val="center"/>
        <w:rPr>
          <w:rFonts w:hint="eastAsia" w:ascii="宋体" w:hAnsi="宋体" w:eastAsia="宋体" w:cs="宋体"/>
        </w:rPr>
      </w:pPr>
    </w:p>
    <w:p w14:paraId="6392B77D">
      <w:pPr>
        <w:keepNext w:val="0"/>
        <w:keepLines w:val="0"/>
        <w:pageBreakBefore w:val="0"/>
        <w:kinsoku/>
        <w:wordWrap/>
        <w:overflowPunct/>
        <w:autoSpaceDE/>
        <w:autoSpaceDN/>
        <w:bidi w:val="0"/>
        <w:spacing w:line="570" w:lineRule="exact"/>
        <w:ind w:firstLine="480" w:firstLineChars="200"/>
        <w:jc w:val="center"/>
        <w:rPr>
          <w:rFonts w:hint="eastAsia" w:ascii="宋体" w:hAnsi="宋体" w:eastAsia="宋体" w:cs="宋体"/>
        </w:rPr>
      </w:pPr>
    </w:p>
    <w:p w14:paraId="1A5F7D47">
      <w:pPr>
        <w:keepNext w:val="0"/>
        <w:keepLines w:val="0"/>
        <w:pageBreakBefore w:val="0"/>
        <w:kinsoku/>
        <w:wordWrap/>
        <w:overflowPunct/>
        <w:autoSpaceDE/>
        <w:autoSpaceDN/>
        <w:bidi w:val="0"/>
        <w:spacing w:line="570" w:lineRule="exact"/>
        <w:ind w:firstLine="480" w:firstLineChars="200"/>
        <w:jc w:val="center"/>
        <w:rPr>
          <w:rFonts w:hint="eastAsia" w:ascii="宋体" w:hAnsi="宋体" w:eastAsia="宋体" w:cs="宋体"/>
        </w:rPr>
      </w:pPr>
    </w:p>
    <w:p w14:paraId="4387056A">
      <w:pPr>
        <w:keepNext w:val="0"/>
        <w:keepLines w:val="0"/>
        <w:pageBreakBefore w:val="0"/>
        <w:kinsoku/>
        <w:wordWrap/>
        <w:overflowPunct/>
        <w:autoSpaceDE/>
        <w:autoSpaceDN/>
        <w:bidi w:val="0"/>
        <w:spacing w:line="570" w:lineRule="exact"/>
        <w:ind w:firstLine="480" w:firstLineChars="200"/>
        <w:jc w:val="center"/>
        <w:rPr>
          <w:rFonts w:hint="eastAsia" w:ascii="宋体" w:hAnsi="宋体" w:eastAsia="宋体" w:cs="宋体"/>
        </w:rPr>
      </w:pPr>
    </w:p>
    <w:p w14:paraId="4ECC59B9">
      <w:pPr>
        <w:keepNext w:val="0"/>
        <w:keepLines w:val="0"/>
        <w:pageBreakBefore w:val="0"/>
        <w:kinsoku/>
        <w:wordWrap/>
        <w:overflowPunct/>
        <w:autoSpaceDE/>
        <w:autoSpaceDN/>
        <w:bidi w:val="0"/>
        <w:spacing w:line="570" w:lineRule="exact"/>
        <w:ind w:firstLine="480" w:firstLineChars="200"/>
        <w:jc w:val="center"/>
        <w:rPr>
          <w:rFonts w:hint="eastAsia" w:ascii="宋体" w:hAnsi="宋体" w:eastAsia="宋体" w:cs="宋体"/>
        </w:rPr>
      </w:pPr>
    </w:p>
    <w:p w14:paraId="165CC342">
      <w:pPr>
        <w:keepNext w:val="0"/>
        <w:keepLines w:val="0"/>
        <w:pageBreakBefore w:val="0"/>
        <w:kinsoku/>
        <w:wordWrap/>
        <w:overflowPunct/>
        <w:autoSpaceDE/>
        <w:autoSpaceDN/>
        <w:bidi w:val="0"/>
        <w:spacing w:line="570" w:lineRule="exact"/>
        <w:ind w:firstLine="480" w:firstLineChars="200"/>
        <w:jc w:val="center"/>
        <w:rPr>
          <w:rFonts w:hint="eastAsia" w:ascii="宋体" w:hAnsi="宋体" w:eastAsia="宋体" w:cs="宋体"/>
        </w:rPr>
      </w:pPr>
    </w:p>
    <w:p w14:paraId="3A6A98A9">
      <w:pPr>
        <w:keepNext w:val="0"/>
        <w:keepLines w:val="0"/>
        <w:pageBreakBefore w:val="0"/>
        <w:kinsoku/>
        <w:wordWrap/>
        <w:overflowPunct/>
        <w:autoSpaceDE/>
        <w:autoSpaceDN/>
        <w:bidi w:val="0"/>
        <w:spacing w:line="570" w:lineRule="exact"/>
        <w:ind w:firstLine="480" w:firstLineChars="200"/>
        <w:jc w:val="center"/>
        <w:rPr>
          <w:rFonts w:hint="eastAsia" w:ascii="宋体" w:hAnsi="宋体" w:eastAsia="宋体" w:cs="宋体"/>
        </w:rPr>
      </w:pPr>
    </w:p>
    <w:p w14:paraId="7E499E94">
      <w:pPr>
        <w:keepNext w:val="0"/>
        <w:keepLines w:val="0"/>
        <w:pageBreakBefore w:val="0"/>
        <w:kinsoku/>
        <w:wordWrap/>
        <w:overflowPunct/>
        <w:autoSpaceDE/>
        <w:autoSpaceDN/>
        <w:bidi w:val="0"/>
        <w:spacing w:line="570" w:lineRule="exact"/>
        <w:ind w:firstLine="480" w:firstLineChars="200"/>
        <w:jc w:val="center"/>
        <w:rPr>
          <w:rFonts w:hint="eastAsia" w:ascii="宋体" w:hAnsi="宋体" w:eastAsia="宋体" w:cs="宋体"/>
        </w:rPr>
      </w:pPr>
    </w:p>
    <w:p w14:paraId="279C5091">
      <w:pPr>
        <w:keepNext w:val="0"/>
        <w:keepLines w:val="0"/>
        <w:pageBreakBefore w:val="0"/>
        <w:kinsoku/>
        <w:wordWrap/>
        <w:overflowPunct/>
        <w:autoSpaceDE/>
        <w:autoSpaceDN/>
        <w:bidi w:val="0"/>
        <w:spacing w:line="570" w:lineRule="exact"/>
        <w:ind w:firstLine="480" w:firstLineChars="200"/>
        <w:jc w:val="center"/>
        <w:rPr>
          <w:rFonts w:hint="eastAsia" w:ascii="宋体" w:hAnsi="宋体" w:eastAsia="宋体" w:cs="宋体"/>
        </w:rPr>
      </w:pPr>
    </w:p>
    <w:p w14:paraId="5F5AB7AD">
      <w:pPr>
        <w:keepNext w:val="0"/>
        <w:keepLines w:val="0"/>
        <w:pageBreakBefore w:val="0"/>
        <w:kinsoku/>
        <w:wordWrap/>
        <w:overflowPunct/>
        <w:autoSpaceDE/>
        <w:autoSpaceDN/>
        <w:bidi w:val="0"/>
        <w:spacing w:line="570" w:lineRule="exact"/>
        <w:ind w:firstLine="480" w:firstLineChars="200"/>
        <w:jc w:val="center"/>
        <w:rPr>
          <w:rFonts w:hint="eastAsia" w:ascii="宋体" w:hAnsi="宋体" w:eastAsia="宋体" w:cs="宋体"/>
        </w:rPr>
      </w:pPr>
    </w:p>
    <w:p w14:paraId="221CFB61">
      <w:pPr>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图1 电气主接线图</w:t>
      </w:r>
    </w:p>
    <w:p w14:paraId="6B52884B">
      <w:pPr>
        <w:keepNext w:val="0"/>
        <w:keepLines w:val="0"/>
        <w:pageBreakBefore w:val="0"/>
        <w:kinsoku/>
        <w:wordWrap/>
        <w:overflowPunct/>
        <w:autoSpaceDE/>
        <w:autoSpaceDN/>
        <w:bidi w:val="0"/>
        <w:spacing w:line="570" w:lineRule="exact"/>
        <w:ind w:firstLine="480"/>
        <w:rPr>
          <w:rFonts w:ascii="宋体" w:hAnsi="宋体" w:eastAsia="宋体" w:cs="宋体"/>
        </w:rPr>
      </w:pPr>
      <w:r>
        <w:rPr>
          <w:rFonts w:hint="eastAsia" w:ascii="宋体" w:hAnsi="宋体" w:eastAsia="宋体" w:cs="宋体"/>
        </w:rPr>
        <w:t>根据光伏电站的地理位置及接入系统一次接线；</w:t>
      </w:r>
      <w:r>
        <w:rPr>
          <w:rFonts w:hint="eastAsia" w:ascii="宋体" w:hAnsi="宋体" w:eastAsia="宋体" w:cs="宋体"/>
          <w:lang w:val="en-US" w:eastAsia="zh-CN"/>
        </w:rPr>
        <w:t>嘉峪关二期</w:t>
      </w:r>
      <w:r>
        <w:rPr>
          <w:rFonts w:hint="eastAsia" w:ascii="宋体" w:hAnsi="宋体" w:eastAsia="宋体" w:cs="宋体"/>
        </w:rPr>
        <w:t>光储电站及配套110kV升压站由甘肃省调、酒泉地调实行两级调度管理，相关远动信息送至甘肃省调及酒泉地调，电能量信息直送甘肃省调及甘肃省电力公司营销部。</w:t>
      </w:r>
    </w:p>
    <w:p w14:paraId="48447002">
      <w:pPr>
        <w:keepNext w:val="0"/>
        <w:keepLines w:val="0"/>
        <w:pageBreakBefore w:val="0"/>
        <w:kinsoku/>
        <w:wordWrap/>
        <w:overflowPunct/>
        <w:autoSpaceDE/>
        <w:autoSpaceDN/>
        <w:bidi w:val="0"/>
        <w:spacing w:line="570" w:lineRule="exact"/>
        <w:ind w:firstLine="480"/>
        <w:rPr>
          <w:rFonts w:ascii="宋体" w:hAnsi="宋体" w:eastAsia="宋体" w:cs="宋体"/>
        </w:rPr>
      </w:pPr>
      <w:r>
        <w:rPr>
          <w:rFonts w:hint="eastAsia" w:ascii="宋体" w:hAnsi="宋体" w:eastAsia="宋体" w:cs="宋体"/>
          <w:lang w:eastAsia="zh-CN"/>
        </w:rPr>
        <w:t>嘉峪关二期光储电站</w:t>
      </w:r>
      <w:r>
        <w:rPr>
          <w:rFonts w:hint="eastAsia" w:ascii="宋体" w:hAnsi="宋体" w:eastAsia="宋体" w:cs="宋体"/>
        </w:rPr>
        <w:t>自动化包括：光伏电站监控系统、有功/无功功率控制系统、光功率预测系统、气象预报系统、有功智能控制系统、故障录波装置。远动功能通过光电转换器接入嘉峪关正泰110kV升压站的2套电力调度数据网设备，再通过数据网接入地调/省调，网络结构符合《电力监控系统安全防护规定》的“安全分区、网络专用、横向隔离、纵向认证”原则。电站投产并网时已通过当地省电力公司组织的一次、二次系统接入电网评审。</w:t>
      </w:r>
    </w:p>
    <w:p w14:paraId="22BC9ED3">
      <w:pPr>
        <w:pStyle w:val="26"/>
        <w:keepNext w:val="0"/>
        <w:keepLines w:val="0"/>
        <w:pageBreakBefore w:val="0"/>
        <w:kinsoku/>
        <w:wordWrap/>
        <w:overflowPunct/>
        <w:autoSpaceDE/>
        <w:autoSpaceDN/>
        <w:bidi w:val="0"/>
        <w:spacing w:line="570" w:lineRule="exact"/>
        <w:ind w:firstLine="420" w:firstLineChars="200"/>
        <w:jc w:val="center"/>
        <w:rPr>
          <w:rFonts w:hint="eastAsia" w:ascii="宋体" w:hAnsi="宋体" w:eastAsia="宋体" w:cs="宋体"/>
          <w:szCs w:val="21"/>
        </w:rPr>
      </w:pPr>
      <w:r>
        <w:rPr>
          <w:rFonts w:hint="eastAsia" w:ascii="宋体" w:hAnsi="宋体" w:eastAsia="宋体" w:cs="宋体"/>
          <w:lang w:eastAsia="zh-CN"/>
        </w:rPr>
        <w:drawing>
          <wp:anchor distT="0" distB="0" distL="114300" distR="114300" simplePos="0" relativeHeight="251661312" behindDoc="0" locked="0" layoutInCell="1" allowOverlap="1">
            <wp:simplePos x="0" y="0"/>
            <wp:positionH relativeFrom="column">
              <wp:posOffset>-92710</wp:posOffset>
            </wp:positionH>
            <wp:positionV relativeFrom="paragraph">
              <wp:posOffset>158115</wp:posOffset>
            </wp:positionV>
            <wp:extent cx="5672455" cy="4232275"/>
            <wp:effectExtent l="0" t="0" r="4445" b="15875"/>
            <wp:wrapNone/>
            <wp:docPr id="2" name="图片 2" descr="正泰雄关、正泰雄关第二光储电站网络拓扑图_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正泰雄关、正泰雄关第二光储电站网络拓扑图_00(1)(1)"/>
                    <pic:cNvPicPr>
                      <a:picLocks noChangeAspect="1"/>
                    </pic:cNvPicPr>
                  </pic:nvPicPr>
                  <pic:blipFill>
                    <a:blip r:embed="rId9"/>
                    <a:stretch>
                      <a:fillRect/>
                    </a:stretch>
                  </pic:blipFill>
                  <pic:spPr>
                    <a:xfrm>
                      <a:off x="0" y="0"/>
                      <a:ext cx="5672455" cy="4232275"/>
                    </a:xfrm>
                    <a:prstGeom prst="rect">
                      <a:avLst/>
                    </a:prstGeom>
                  </pic:spPr>
                </pic:pic>
              </a:graphicData>
            </a:graphic>
          </wp:anchor>
        </w:drawing>
      </w:r>
    </w:p>
    <w:p w14:paraId="4AED946A">
      <w:pPr>
        <w:pStyle w:val="26"/>
        <w:keepNext w:val="0"/>
        <w:keepLines w:val="0"/>
        <w:pageBreakBefore w:val="0"/>
        <w:kinsoku/>
        <w:wordWrap/>
        <w:overflowPunct/>
        <w:autoSpaceDE/>
        <w:autoSpaceDN/>
        <w:bidi w:val="0"/>
        <w:spacing w:line="570" w:lineRule="exact"/>
        <w:ind w:firstLine="420" w:firstLineChars="200"/>
        <w:jc w:val="center"/>
        <w:rPr>
          <w:rFonts w:hint="eastAsia" w:ascii="宋体" w:hAnsi="宋体" w:eastAsia="宋体" w:cs="宋体"/>
          <w:szCs w:val="21"/>
        </w:rPr>
      </w:pPr>
    </w:p>
    <w:p w14:paraId="42CC9646">
      <w:pPr>
        <w:pStyle w:val="26"/>
        <w:keepNext w:val="0"/>
        <w:keepLines w:val="0"/>
        <w:pageBreakBefore w:val="0"/>
        <w:kinsoku/>
        <w:wordWrap/>
        <w:overflowPunct/>
        <w:autoSpaceDE/>
        <w:autoSpaceDN/>
        <w:bidi w:val="0"/>
        <w:spacing w:line="570" w:lineRule="exact"/>
        <w:ind w:firstLine="420" w:firstLineChars="200"/>
        <w:jc w:val="center"/>
        <w:rPr>
          <w:rFonts w:hint="eastAsia" w:ascii="宋体" w:hAnsi="宋体" w:eastAsia="宋体" w:cs="宋体"/>
          <w:szCs w:val="21"/>
        </w:rPr>
      </w:pPr>
    </w:p>
    <w:p w14:paraId="5E901F74">
      <w:pPr>
        <w:pStyle w:val="26"/>
        <w:keepNext w:val="0"/>
        <w:keepLines w:val="0"/>
        <w:pageBreakBefore w:val="0"/>
        <w:kinsoku/>
        <w:wordWrap/>
        <w:overflowPunct/>
        <w:autoSpaceDE/>
        <w:autoSpaceDN/>
        <w:bidi w:val="0"/>
        <w:spacing w:line="570" w:lineRule="exact"/>
        <w:ind w:firstLine="420" w:firstLineChars="200"/>
        <w:jc w:val="center"/>
        <w:rPr>
          <w:rFonts w:hint="eastAsia" w:ascii="宋体" w:hAnsi="宋体" w:eastAsia="宋体" w:cs="宋体"/>
          <w:szCs w:val="21"/>
        </w:rPr>
      </w:pPr>
    </w:p>
    <w:p w14:paraId="663977A4">
      <w:pPr>
        <w:pStyle w:val="26"/>
        <w:keepNext w:val="0"/>
        <w:keepLines w:val="0"/>
        <w:pageBreakBefore w:val="0"/>
        <w:kinsoku/>
        <w:wordWrap/>
        <w:overflowPunct/>
        <w:autoSpaceDE/>
        <w:autoSpaceDN/>
        <w:bidi w:val="0"/>
        <w:spacing w:line="570" w:lineRule="exact"/>
        <w:ind w:firstLine="420" w:firstLineChars="200"/>
        <w:jc w:val="center"/>
        <w:rPr>
          <w:rFonts w:hint="eastAsia" w:ascii="宋体" w:hAnsi="宋体" w:eastAsia="宋体" w:cs="宋体"/>
          <w:szCs w:val="21"/>
        </w:rPr>
      </w:pPr>
    </w:p>
    <w:p w14:paraId="455ED2D9">
      <w:pPr>
        <w:pStyle w:val="26"/>
        <w:keepNext w:val="0"/>
        <w:keepLines w:val="0"/>
        <w:pageBreakBefore w:val="0"/>
        <w:kinsoku/>
        <w:wordWrap/>
        <w:overflowPunct/>
        <w:autoSpaceDE/>
        <w:autoSpaceDN/>
        <w:bidi w:val="0"/>
        <w:spacing w:line="570" w:lineRule="exact"/>
        <w:ind w:firstLine="420" w:firstLineChars="200"/>
        <w:jc w:val="center"/>
        <w:rPr>
          <w:rFonts w:hint="eastAsia" w:ascii="宋体" w:hAnsi="宋体" w:eastAsia="宋体" w:cs="宋体"/>
          <w:szCs w:val="21"/>
        </w:rPr>
      </w:pPr>
    </w:p>
    <w:p w14:paraId="0A827245">
      <w:pPr>
        <w:pStyle w:val="26"/>
        <w:keepNext w:val="0"/>
        <w:keepLines w:val="0"/>
        <w:pageBreakBefore w:val="0"/>
        <w:kinsoku/>
        <w:wordWrap/>
        <w:overflowPunct/>
        <w:autoSpaceDE/>
        <w:autoSpaceDN/>
        <w:bidi w:val="0"/>
        <w:spacing w:line="570" w:lineRule="exact"/>
        <w:ind w:firstLine="420" w:firstLineChars="200"/>
        <w:jc w:val="center"/>
        <w:rPr>
          <w:rFonts w:hint="eastAsia" w:ascii="宋体" w:hAnsi="宋体" w:eastAsia="宋体" w:cs="宋体"/>
          <w:szCs w:val="21"/>
        </w:rPr>
      </w:pPr>
    </w:p>
    <w:p w14:paraId="6FCD1A60">
      <w:pPr>
        <w:pStyle w:val="26"/>
        <w:keepNext w:val="0"/>
        <w:keepLines w:val="0"/>
        <w:pageBreakBefore w:val="0"/>
        <w:kinsoku/>
        <w:wordWrap/>
        <w:overflowPunct/>
        <w:autoSpaceDE/>
        <w:autoSpaceDN/>
        <w:bidi w:val="0"/>
        <w:spacing w:line="570" w:lineRule="exact"/>
        <w:ind w:firstLine="420" w:firstLineChars="200"/>
        <w:jc w:val="center"/>
        <w:rPr>
          <w:rFonts w:hint="eastAsia" w:ascii="宋体" w:hAnsi="宋体" w:eastAsia="宋体" w:cs="宋体"/>
          <w:szCs w:val="21"/>
        </w:rPr>
      </w:pPr>
    </w:p>
    <w:p w14:paraId="57C7CDA2">
      <w:pPr>
        <w:pStyle w:val="26"/>
        <w:keepNext w:val="0"/>
        <w:keepLines w:val="0"/>
        <w:pageBreakBefore w:val="0"/>
        <w:kinsoku/>
        <w:wordWrap/>
        <w:overflowPunct/>
        <w:autoSpaceDE/>
        <w:autoSpaceDN/>
        <w:bidi w:val="0"/>
        <w:spacing w:line="570" w:lineRule="exact"/>
        <w:ind w:firstLine="420" w:firstLineChars="200"/>
        <w:jc w:val="center"/>
        <w:rPr>
          <w:rFonts w:hint="eastAsia" w:ascii="宋体" w:hAnsi="宋体" w:eastAsia="宋体" w:cs="宋体"/>
          <w:szCs w:val="21"/>
        </w:rPr>
      </w:pPr>
    </w:p>
    <w:p w14:paraId="396CE84E">
      <w:pPr>
        <w:pStyle w:val="26"/>
        <w:keepNext w:val="0"/>
        <w:keepLines w:val="0"/>
        <w:pageBreakBefore w:val="0"/>
        <w:kinsoku/>
        <w:wordWrap/>
        <w:overflowPunct/>
        <w:autoSpaceDE/>
        <w:autoSpaceDN/>
        <w:bidi w:val="0"/>
        <w:spacing w:line="570" w:lineRule="exact"/>
        <w:ind w:firstLine="420" w:firstLineChars="200"/>
        <w:jc w:val="center"/>
        <w:rPr>
          <w:rFonts w:hint="eastAsia" w:ascii="宋体" w:hAnsi="宋体" w:eastAsia="宋体" w:cs="宋体"/>
          <w:szCs w:val="21"/>
        </w:rPr>
      </w:pPr>
    </w:p>
    <w:p w14:paraId="06814948">
      <w:pPr>
        <w:pStyle w:val="26"/>
        <w:keepNext w:val="0"/>
        <w:keepLines w:val="0"/>
        <w:pageBreakBefore w:val="0"/>
        <w:kinsoku/>
        <w:wordWrap/>
        <w:overflowPunct/>
        <w:autoSpaceDE/>
        <w:autoSpaceDN/>
        <w:bidi w:val="0"/>
        <w:spacing w:line="570" w:lineRule="exact"/>
        <w:ind w:firstLine="420" w:firstLineChars="200"/>
        <w:jc w:val="center"/>
        <w:rPr>
          <w:rFonts w:hint="eastAsia" w:ascii="宋体" w:hAnsi="宋体" w:eastAsia="宋体" w:cs="宋体"/>
          <w:szCs w:val="21"/>
        </w:rPr>
      </w:pPr>
    </w:p>
    <w:p w14:paraId="65456C24">
      <w:pPr>
        <w:pStyle w:val="26"/>
        <w:keepNext w:val="0"/>
        <w:keepLines w:val="0"/>
        <w:pageBreakBefore w:val="0"/>
        <w:kinsoku/>
        <w:wordWrap/>
        <w:overflowPunct/>
        <w:autoSpaceDE/>
        <w:autoSpaceDN/>
        <w:bidi w:val="0"/>
        <w:spacing w:line="570" w:lineRule="exact"/>
        <w:ind w:firstLine="420" w:firstLineChars="200"/>
        <w:jc w:val="center"/>
        <w:rPr>
          <w:rFonts w:hint="eastAsia" w:ascii="宋体" w:hAnsi="宋体" w:eastAsia="宋体" w:cs="宋体"/>
          <w:szCs w:val="21"/>
        </w:rPr>
      </w:pPr>
    </w:p>
    <w:p w14:paraId="5A6DA855">
      <w:pPr>
        <w:keepNext w:val="0"/>
        <w:keepLines w:val="0"/>
        <w:pageBreakBefore w:val="0"/>
        <w:kinsoku/>
        <w:wordWrap/>
        <w:overflowPunct/>
        <w:autoSpaceDE/>
        <w:autoSpaceDN/>
        <w:bidi w:val="0"/>
        <w:spacing w:line="570" w:lineRule="exact"/>
        <w:ind w:firstLine="420" w:firstLineChars="200"/>
        <w:jc w:val="center"/>
        <w:rPr>
          <w:rFonts w:hint="eastAsia" w:ascii="宋体" w:hAnsi="宋体" w:eastAsia="宋体" w:cs="宋体"/>
          <w:sz w:val="21"/>
          <w:szCs w:val="21"/>
        </w:rPr>
      </w:pPr>
      <w:r>
        <w:rPr>
          <w:rFonts w:hint="eastAsia" w:ascii="宋体" w:hAnsi="宋体" w:eastAsia="宋体" w:cs="宋体"/>
          <w:sz w:val="21"/>
          <w:szCs w:val="21"/>
        </w:rPr>
        <w:t>图2 网络拓扑图</w:t>
      </w:r>
    </w:p>
    <w:p w14:paraId="6FA79A5F">
      <w:pPr>
        <w:spacing w:line="560" w:lineRule="exact"/>
        <w:ind w:firstLine="480"/>
        <w:rPr>
          <w:rFonts w:hint="eastAsia" w:ascii="宋体" w:hAnsi="宋体" w:eastAsia="宋体" w:cs="宋体"/>
          <w:lang w:val="en-US" w:eastAsia="zh-CN"/>
        </w:rPr>
      </w:pPr>
      <w:r>
        <w:rPr>
          <w:rFonts w:hint="eastAsia" w:ascii="宋体" w:hAnsi="宋体" w:eastAsia="宋体" w:cs="宋体"/>
          <w:lang w:eastAsia="zh-CN"/>
        </w:rPr>
        <w:t>嘉峪关二期光储电站</w:t>
      </w:r>
      <w:r>
        <w:rPr>
          <w:rFonts w:hint="eastAsia" w:ascii="宋体" w:hAnsi="宋体" w:eastAsia="宋体" w:cs="宋体"/>
          <w:lang w:val="en-US" w:eastAsia="zh-CN"/>
        </w:rPr>
        <w:t>配套储能容量为3.5MW/7MWh。由两个发电单元组成，每个发电单元由一台PCS变流控制器、两台BMS电池管理系统、一台LC本地控制器组成，经过继保储能通讯柜通讯管理交换机传输到主控后台EMS能量管理系统。主要设备型号及厂家信息如下：</w:t>
      </w:r>
    </w:p>
    <w:p w14:paraId="1EEB6B9F">
      <w:pPr>
        <w:pStyle w:val="5"/>
        <w:keepNext w:val="0"/>
        <w:keepLines w:val="0"/>
        <w:pageBreakBefore w:val="0"/>
        <w:widowControl w:val="0"/>
        <w:kinsoku/>
        <w:wordWrap/>
        <w:overflowPunct/>
        <w:topLinePunct w:val="0"/>
        <w:autoSpaceDE/>
        <w:autoSpaceDN/>
        <w:bidi w:val="0"/>
        <w:adjustRightInd/>
        <w:snapToGrid/>
        <w:spacing w:line="570" w:lineRule="exact"/>
        <w:ind w:left="0" w:leftChars="0" w:firstLine="0" w:firstLineChars="0"/>
        <w:jc w:val="center"/>
        <w:textAlignment w:val="auto"/>
        <w:rPr>
          <w:rFonts w:eastAsia="宋体"/>
          <w:b/>
          <w:bCs/>
        </w:rPr>
      </w:pPr>
    </w:p>
    <w:p w14:paraId="328D23E6">
      <w:pPr>
        <w:pStyle w:val="5"/>
        <w:keepNext w:val="0"/>
        <w:keepLines w:val="0"/>
        <w:pageBreakBefore w:val="0"/>
        <w:widowControl w:val="0"/>
        <w:kinsoku/>
        <w:wordWrap/>
        <w:overflowPunct/>
        <w:topLinePunct w:val="0"/>
        <w:autoSpaceDE/>
        <w:autoSpaceDN/>
        <w:bidi w:val="0"/>
        <w:adjustRightInd/>
        <w:snapToGrid/>
        <w:spacing w:line="570" w:lineRule="exact"/>
        <w:ind w:left="0" w:leftChars="0" w:firstLine="0" w:firstLineChars="0"/>
        <w:jc w:val="center"/>
        <w:textAlignment w:val="auto"/>
        <w:rPr>
          <w:rFonts w:eastAsia="宋体"/>
          <w:b/>
          <w:bCs/>
        </w:rPr>
      </w:pPr>
      <w:r>
        <w:rPr>
          <w:rFonts w:eastAsia="宋体"/>
          <w:b/>
          <w:bCs/>
        </w:rPr>
        <w:t>表1 设备型号及厂家信息</w:t>
      </w:r>
    </w:p>
    <w:tbl>
      <w:tblPr>
        <w:tblStyle w:val="17"/>
        <w:tblW w:w="0" w:type="auto"/>
        <w:tblInd w:w="0" w:type="dxa"/>
        <w:tblLayout w:type="fixed"/>
        <w:tblCellMar>
          <w:top w:w="0" w:type="dxa"/>
          <w:left w:w="108" w:type="dxa"/>
          <w:bottom w:w="0" w:type="dxa"/>
          <w:right w:w="108" w:type="dxa"/>
        </w:tblCellMar>
      </w:tblPr>
      <w:tblGrid>
        <w:gridCol w:w="1156"/>
        <w:gridCol w:w="1796"/>
        <w:gridCol w:w="812"/>
        <w:gridCol w:w="1027"/>
        <w:gridCol w:w="1115"/>
        <w:gridCol w:w="1264"/>
        <w:gridCol w:w="1349"/>
      </w:tblGrid>
      <w:tr w14:paraId="23F6443D">
        <w:tblPrEx>
          <w:tblCellMar>
            <w:top w:w="0" w:type="dxa"/>
            <w:left w:w="108" w:type="dxa"/>
            <w:bottom w:w="0" w:type="dxa"/>
            <w:right w:w="108" w:type="dxa"/>
          </w:tblCellMar>
        </w:tblPrEx>
        <w:trPr>
          <w:trHeight w:val="480" w:hRule="atLeast"/>
          <w:tblHeader/>
        </w:trPr>
        <w:tc>
          <w:tcPr>
            <w:tcW w:w="1156" w:type="dxa"/>
            <w:tcBorders>
              <w:top w:val="single" w:color="auto" w:sz="4" w:space="0"/>
              <w:left w:val="single" w:color="auto" w:sz="4" w:space="0"/>
              <w:bottom w:val="single" w:color="auto" w:sz="4" w:space="0"/>
              <w:right w:val="single" w:color="auto" w:sz="4" w:space="0"/>
            </w:tcBorders>
            <w:noWrap w:val="0"/>
            <w:vAlign w:val="center"/>
          </w:tcPr>
          <w:p w14:paraId="0C19F138">
            <w:pPr>
              <w:pStyle w:val="26"/>
              <w:keepNext w:val="0"/>
              <w:keepLines w:val="0"/>
              <w:pageBreakBefore w:val="0"/>
              <w:kinsoku/>
              <w:wordWrap/>
              <w:overflowPunct/>
              <w:autoSpaceDE/>
              <w:autoSpaceDN/>
              <w:bidi w:val="0"/>
              <w:spacing w:line="570" w:lineRule="exact"/>
              <w:jc w:val="center"/>
              <w:rPr>
                <w:rFonts w:ascii="宋体" w:hAnsi="宋体" w:eastAsia="宋体" w:cs="宋体"/>
                <w:b/>
                <w:bCs/>
                <w:sz w:val="21"/>
                <w:szCs w:val="21"/>
              </w:rPr>
            </w:pPr>
            <w:r>
              <w:rPr>
                <w:rFonts w:hint="eastAsia" w:ascii="宋体" w:hAnsi="宋体" w:eastAsia="宋体" w:cs="宋体"/>
                <w:b/>
                <w:bCs/>
                <w:sz w:val="21"/>
                <w:szCs w:val="21"/>
              </w:rPr>
              <w:t>设备名称</w:t>
            </w:r>
          </w:p>
        </w:tc>
        <w:tc>
          <w:tcPr>
            <w:tcW w:w="1796" w:type="dxa"/>
            <w:tcBorders>
              <w:top w:val="single" w:color="auto" w:sz="4" w:space="0"/>
              <w:left w:val="nil"/>
              <w:bottom w:val="single" w:color="auto" w:sz="4" w:space="0"/>
              <w:right w:val="single" w:color="auto" w:sz="4" w:space="0"/>
            </w:tcBorders>
            <w:noWrap w:val="0"/>
            <w:vAlign w:val="center"/>
          </w:tcPr>
          <w:p w14:paraId="51B25E43">
            <w:pPr>
              <w:pStyle w:val="26"/>
              <w:keepNext w:val="0"/>
              <w:keepLines w:val="0"/>
              <w:pageBreakBefore w:val="0"/>
              <w:kinsoku/>
              <w:wordWrap/>
              <w:overflowPunct/>
              <w:autoSpaceDE/>
              <w:autoSpaceDN/>
              <w:bidi w:val="0"/>
              <w:spacing w:line="570" w:lineRule="exact"/>
              <w:jc w:val="center"/>
              <w:rPr>
                <w:rFonts w:ascii="宋体" w:hAnsi="宋体" w:eastAsia="宋体" w:cs="宋体"/>
                <w:b/>
                <w:bCs/>
                <w:sz w:val="21"/>
                <w:szCs w:val="21"/>
              </w:rPr>
            </w:pPr>
            <w:r>
              <w:rPr>
                <w:rFonts w:hint="eastAsia" w:ascii="宋体" w:hAnsi="宋体" w:eastAsia="宋体" w:cs="宋体"/>
                <w:b/>
                <w:bCs/>
                <w:sz w:val="21"/>
                <w:szCs w:val="21"/>
              </w:rPr>
              <w:t>型号</w:t>
            </w:r>
          </w:p>
        </w:tc>
        <w:tc>
          <w:tcPr>
            <w:tcW w:w="812" w:type="dxa"/>
            <w:tcBorders>
              <w:top w:val="single" w:color="auto" w:sz="4" w:space="0"/>
              <w:left w:val="nil"/>
              <w:bottom w:val="single" w:color="auto" w:sz="4" w:space="0"/>
              <w:right w:val="single" w:color="auto" w:sz="4" w:space="0"/>
            </w:tcBorders>
            <w:noWrap w:val="0"/>
            <w:vAlign w:val="center"/>
          </w:tcPr>
          <w:p w14:paraId="397FB52E">
            <w:pPr>
              <w:pStyle w:val="26"/>
              <w:keepNext w:val="0"/>
              <w:keepLines w:val="0"/>
              <w:pageBreakBefore w:val="0"/>
              <w:kinsoku/>
              <w:wordWrap/>
              <w:overflowPunct/>
              <w:autoSpaceDE/>
              <w:autoSpaceDN/>
              <w:bidi w:val="0"/>
              <w:spacing w:line="570" w:lineRule="exact"/>
              <w:jc w:val="center"/>
              <w:rPr>
                <w:rFonts w:ascii="宋体" w:hAnsi="宋体" w:eastAsia="宋体" w:cs="宋体"/>
                <w:b/>
                <w:bCs/>
                <w:sz w:val="21"/>
                <w:szCs w:val="21"/>
              </w:rPr>
            </w:pPr>
            <w:r>
              <w:rPr>
                <w:rFonts w:hint="eastAsia" w:ascii="宋体" w:hAnsi="宋体" w:eastAsia="宋体" w:cs="宋体"/>
                <w:b/>
                <w:bCs/>
                <w:sz w:val="21"/>
                <w:szCs w:val="21"/>
              </w:rPr>
              <w:t>数量</w:t>
            </w:r>
          </w:p>
        </w:tc>
        <w:tc>
          <w:tcPr>
            <w:tcW w:w="1027" w:type="dxa"/>
            <w:tcBorders>
              <w:top w:val="single" w:color="auto" w:sz="4" w:space="0"/>
              <w:left w:val="nil"/>
              <w:bottom w:val="single" w:color="auto" w:sz="4" w:space="0"/>
              <w:right w:val="single" w:color="auto" w:sz="4" w:space="0"/>
            </w:tcBorders>
            <w:noWrap w:val="0"/>
            <w:vAlign w:val="center"/>
          </w:tcPr>
          <w:p w14:paraId="33AECC88">
            <w:pPr>
              <w:pStyle w:val="26"/>
              <w:keepNext w:val="0"/>
              <w:keepLines w:val="0"/>
              <w:pageBreakBefore w:val="0"/>
              <w:kinsoku/>
              <w:wordWrap/>
              <w:overflowPunct/>
              <w:autoSpaceDE/>
              <w:autoSpaceDN/>
              <w:bidi w:val="0"/>
              <w:spacing w:line="570" w:lineRule="exact"/>
              <w:jc w:val="center"/>
              <w:rPr>
                <w:rFonts w:ascii="宋体" w:hAnsi="宋体" w:eastAsia="宋体" w:cs="宋体"/>
                <w:b/>
                <w:bCs/>
                <w:sz w:val="21"/>
                <w:szCs w:val="21"/>
              </w:rPr>
            </w:pPr>
            <w:r>
              <w:rPr>
                <w:rFonts w:hint="eastAsia" w:ascii="宋体" w:hAnsi="宋体" w:eastAsia="宋体" w:cs="宋体"/>
                <w:b/>
                <w:bCs/>
                <w:sz w:val="21"/>
                <w:szCs w:val="21"/>
              </w:rPr>
              <w:t>现场通讯方式</w:t>
            </w:r>
          </w:p>
        </w:tc>
        <w:tc>
          <w:tcPr>
            <w:tcW w:w="1115" w:type="dxa"/>
            <w:tcBorders>
              <w:top w:val="single" w:color="auto" w:sz="4" w:space="0"/>
              <w:left w:val="nil"/>
              <w:bottom w:val="single" w:color="auto" w:sz="4" w:space="0"/>
              <w:right w:val="single" w:color="auto" w:sz="4" w:space="0"/>
            </w:tcBorders>
            <w:noWrap w:val="0"/>
            <w:vAlign w:val="center"/>
          </w:tcPr>
          <w:p w14:paraId="57A64398">
            <w:pPr>
              <w:pStyle w:val="26"/>
              <w:keepNext w:val="0"/>
              <w:keepLines w:val="0"/>
              <w:pageBreakBefore w:val="0"/>
              <w:kinsoku/>
              <w:wordWrap/>
              <w:overflowPunct/>
              <w:autoSpaceDE/>
              <w:autoSpaceDN/>
              <w:bidi w:val="0"/>
              <w:spacing w:line="570" w:lineRule="exact"/>
              <w:jc w:val="center"/>
              <w:rPr>
                <w:rFonts w:ascii="宋体" w:hAnsi="宋体" w:eastAsia="宋体" w:cs="宋体"/>
                <w:b/>
                <w:bCs/>
                <w:sz w:val="21"/>
                <w:szCs w:val="21"/>
              </w:rPr>
            </w:pPr>
            <w:r>
              <w:rPr>
                <w:rFonts w:hint="eastAsia" w:ascii="宋体" w:hAnsi="宋体" w:eastAsia="宋体" w:cs="宋体"/>
                <w:b/>
                <w:bCs/>
                <w:sz w:val="21"/>
                <w:szCs w:val="21"/>
              </w:rPr>
              <w:t>通讯协议</w:t>
            </w:r>
          </w:p>
        </w:tc>
        <w:tc>
          <w:tcPr>
            <w:tcW w:w="1264" w:type="dxa"/>
            <w:tcBorders>
              <w:top w:val="single" w:color="auto" w:sz="4" w:space="0"/>
              <w:left w:val="nil"/>
              <w:bottom w:val="single" w:color="auto" w:sz="4" w:space="0"/>
              <w:right w:val="single" w:color="auto" w:sz="4" w:space="0"/>
            </w:tcBorders>
            <w:noWrap w:val="0"/>
            <w:vAlign w:val="center"/>
          </w:tcPr>
          <w:p w14:paraId="23AEF0D7">
            <w:pPr>
              <w:pStyle w:val="26"/>
              <w:keepNext w:val="0"/>
              <w:keepLines w:val="0"/>
              <w:pageBreakBefore w:val="0"/>
              <w:kinsoku/>
              <w:wordWrap/>
              <w:overflowPunct/>
              <w:autoSpaceDE/>
              <w:autoSpaceDN/>
              <w:bidi w:val="0"/>
              <w:spacing w:line="570" w:lineRule="exact"/>
              <w:jc w:val="center"/>
              <w:rPr>
                <w:rFonts w:ascii="宋体" w:hAnsi="宋体" w:eastAsia="宋体" w:cs="宋体"/>
                <w:b/>
                <w:bCs/>
                <w:sz w:val="21"/>
                <w:szCs w:val="21"/>
              </w:rPr>
            </w:pPr>
            <w:r>
              <w:rPr>
                <w:rFonts w:hint="eastAsia" w:ascii="宋体" w:hAnsi="宋体" w:eastAsia="宋体" w:cs="宋体"/>
                <w:b/>
                <w:bCs/>
                <w:sz w:val="21"/>
                <w:szCs w:val="21"/>
              </w:rPr>
              <w:t>厂家</w:t>
            </w:r>
          </w:p>
        </w:tc>
        <w:tc>
          <w:tcPr>
            <w:tcW w:w="1349" w:type="dxa"/>
            <w:tcBorders>
              <w:top w:val="single" w:color="auto" w:sz="4" w:space="0"/>
              <w:left w:val="nil"/>
              <w:bottom w:val="single" w:color="auto" w:sz="4" w:space="0"/>
              <w:right w:val="single" w:color="auto" w:sz="4" w:space="0"/>
            </w:tcBorders>
            <w:noWrap w:val="0"/>
            <w:vAlign w:val="center"/>
          </w:tcPr>
          <w:p w14:paraId="77314EBB">
            <w:pPr>
              <w:pStyle w:val="26"/>
              <w:keepNext w:val="0"/>
              <w:keepLines w:val="0"/>
              <w:pageBreakBefore w:val="0"/>
              <w:kinsoku/>
              <w:wordWrap/>
              <w:overflowPunct/>
              <w:autoSpaceDE/>
              <w:autoSpaceDN/>
              <w:bidi w:val="0"/>
              <w:spacing w:line="570" w:lineRule="exact"/>
              <w:jc w:val="center"/>
              <w:rPr>
                <w:rFonts w:ascii="宋体" w:hAnsi="宋体" w:eastAsia="宋体" w:cs="宋体"/>
                <w:b/>
                <w:bCs/>
                <w:sz w:val="21"/>
                <w:szCs w:val="21"/>
              </w:rPr>
            </w:pPr>
            <w:r>
              <w:rPr>
                <w:rFonts w:hint="eastAsia" w:ascii="宋体" w:hAnsi="宋体" w:eastAsia="宋体" w:cs="宋体"/>
                <w:b/>
                <w:bCs/>
                <w:sz w:val="21"/>
                <w:szCs w:val="21"/>
              </w:rPr>
              <w:t>备注</w:t>
            </w:r>
          </w:p>
        </w:tc>
      </w:tr>
      <w:tr w14:paraId="597A9AD3">
        <w:tblPrEx>
          <w:tblCellMar>
            <w:top w:w="0" w:type="dxa"/>
            <w:left w:w="108" w:type="dxa"/>
            <w:bottom w:w="0" w:type="dxa"/>
            <w:right w:w="108" w:type="dxa"/>
          </w:tblCellMar>
        </w:tblPrEx>
        <w:trPr>
          <w:trHeight w:val="600" w:hRule="atLeast"/>
        </w:trPr>
        <w:tc>
          <w:tcPr>
            <w:tcW w:w="1156" w:type="dxa"/>
            <w:tcBorders>
              <w:top w:val="nil"/>
              <w:left w:val="single" w:color="auto" w:sz="4" w:space="0"/>
              <w:bottom w:val="single" w:color="auto" w:sz="4" w:space="0"/>
              <w:right w:val="single" w:color="auto" w:sz="4" w:space="0"/>
            </w:tcBorders>
            <w:shd w:val="clear" w:color="auto" w:fill="auto"/>
            <w:noWrap w:val="0"/>
            <w:vAlign w:val="center"/>
          </w:tcPr>
          <w:p w14:paraId="3DC6EA82">
            <w:pPr>
              <w:pStyle w:val="26"/>
              <w:jc w:val="center"/>
              <w:rPr>
                <w:rFonts w:ascii="宋体" w:hAnsi="宋体" w:eastAsia="宋体" w:cs="宋体"/>
                <w:kern w:val="2"/>
                <w:sz w:val="21"/>
                <w:szCs w:val="21"/>
                <w:lang w:val="en-US" w:eastAsia="zh-CN" w:bidi="ar-SA"/>
              </w:rPr>
            </w:pPr>
            <w:r>
              <w:rPr>
                <w:rFonts w:hint="eastAsia" w:ascii="宋体" w:hAnsi="宋体" w:eastAsia="宋体" w:cs="宋体"/>
                <w:szCs w:val="21"/>
              </w:rPr>
              <w:t>PCS</w:t>
            </w:r>
          </w:p>
        </w:tc>
        <w:tc>
          <w:tcPr>
            <w:tcW w:w="1796" w:type="dxa"/>
            <w:tcBorders>
              <w:top w:val="nil"/>
              <w:left w:val="nil"/>
              <w:bottom w:val="single" w:color="auto" w:sz="4" w:space="0"/>
              <w:right w:val="single" w:color="auto" w:sz="4" w:space="0"/>
            </w:tcBorders>
            <w:shd w:val="clear" w:color="auto" w:fill="auto"/>
            <w:noWrap w:val="0"/>
            <w:vAlign w:val="center"/>
          </w:tcPr>
          <w:p w14:paraId="138813E8">
            <w:pPr>
              <w:pStyle w:val="26"/>
              <w:jc w:val="left"/>
              <w:rPr>
                <w:rFonts w:ascii="宋体" w:hAnsi="宋体" w:eastAsia="宋体" w:cs="宋体"/>
                <w:kern w:val="2"/>
                <w:sz w:val="21"/>
                <w:szCs w:val="21"/>
                <w:lang w:val="en-US" w:eastAsia="zh-CN" w:bidi="ar-SA"/>
              </w:rPr>
            </w:pPr>
            <w:r>
              <w:rPr>
                <w:rFonts w:hint="eastAsia" w:ascii="宋体" w:hAnsi="宋体" w:eastAsia="宋体" w:cs="宋体"/>
                <w:szCs w:val="21"/>
              </w:rPr>
              <w:t>DSP-UDseries -V1-A</w:t>
            </w:r>
          </w:p>
        </w:tc>
        <w:tc>
          <w:tcPr>
            <w:tcW w:w="812" w:type="dxa"/>
            <w:tcBorders>
              <w:top w:val="nil"/>
              <w:left w:val="nil"/>
              <w:bottom w:val="single" w:color="auto" w:sz="4" w:space="0"/>
              <w:right w:val="single" w:color="auto" w:sz="4" w:space="0"/>
            </w:tcBorders>
            <w:shd w:val="clear" w:color="auto" w:fill="auto"/>
            <w:noWrap w:val="0"/>
            <w:vAlign w:val="center"/>
          </w:tcPr>
          <w:p w14:paraId="3F348DF8">
            <w:pPr>
              <w:pStyle w:val="26"/>
              <w:jc w:val="left"/>
              <w:rPr>
                <w:rFonts w:ascii="宋体" w:hAnsi="宋体" w:eastAsia="宋体" w:cs="宋体"/>
                <w:kern w:val="2"/>
                <w:sz w:val="21"/>
                <w:szCs w:val="21"/>
                <w:lang w:val="en-US" w:eastAsia="zh-CN" w:bidi="ar-SA"/>
              </w:rPr>
            </w:pPr>
            <w:r>
              <w:rPr>
                <w:rFonts w:hint="eastAsia" w:ascii="宋体" w:hAnsi="宋体" w:eastAsia="宋体" w:cs="宋体"/>
                <w:szCs w:val="21"/>
              </w:rPr>
              <w:t>2台</w:t>
            </w:r>
          </w:p>
        </w:tc>
        <w:tc>
          <w:tcPr>
            <w:tcW w:w="1027" w:type="dxa"/>
            <w:tcBorders>
              <w:top w:val="nil"/>
              <w:left w:val="nil"/>
              <w:bottom w:val="single" w:color="auto" w:sz="4" w:space="0"/>
              <w:right w:val="single" w:color="auto" w:sz="4" w:space="0"/>
            </w:tcBorders>
            <w:shd w:val="clear" w:color="auto" w:fill="auto"/>
            <w:noWrap w:val="0"/>
            <w:vAlign w:val="center"/>
          </w:tcPr>
          <w:p w14:paraId="3B77F2D6">
            <w:pPr>
              <w:pStyle w:val="26"/>
              <w:jc w:val="left"/>
              <w:rPr>
                <w:rFonts w:ascii="宋体" w:hAnsi="宋体" w:eastAsia="宋体" w:cs="宋体"/>
                <w:kern w:val="2"/>
                <w:sz w:val="21"/>
                <w:szCs w:val="21"/>
                <w:lang w:val="en-US" w:eastAsia="zh-CN" w:bidi="ar-SA"/>
              </w:rPr>
            </w:pPr>
            <w:r>
              <w:rPr>
                <w:rFonts w:hint="eastAsia" w:ascii="宋体" w:hAnsi="宋体" w:eastAsia="宋体" w:cs="宋体"/>
                <w:szCs w:val="21"/>
              </w:rPr>
              <w:t>网线</w:t>
            </w:r>
          </w:p>
        </w:tc>
        <w:tc>
          <w:tcPr>
            <w:tcW w:w="1115" w:type="dxa"/>
            <w:tcBorders>
              <w:top w:val="nil"/>
              <w:left w:val="nil"/>
              <w:bottom w:val="single" w:color="auto" w:sz="4" w:space="0"/>
              <w:right w:val="single" w:color="auto" w:sz="4" w:space="0"/>
            </w:tcBorders>
            <w:shd w:val="clear" w:color="auto" w:fill="auto"/>
            <w:noWrap w:val="0"/>
            <w:vAlign w:val="center"/>
          </w:tcPr>
          <w:p w14:paraId="5F7D4EC3">
            <w:pPr>
              <w:pStyle w:val="26"/>
              <w:jc w:val="left"/>
              <w:rPr>
                <w:rFonts w:ascii="宋体" w:hAnsi="宋体" w:eastAsia="宋体" w:cs="宋体"/>
                <w:kern w:val="2"/>
                <w:sz w:val="21"/>
                <w:szCs w:val="21"/>
                <w:lang w:val="en-US" w:eastAsia="zh-CN" w:bidi="ar-SA"/>
              </w:rPr>
            </w:pPr>
            <w:r>
              <w:rPr>
                <w:rFonts w:hint="eastAsia" w:ascii="宋体" w:hAnsi="宋体" w:eastAsia="宋体" w:cs="宋体"/>
                <w:szCs w:val="21"/>
              </w:rPr>
              <w:t>104</w:t>
            </w:r>
          </w:p>
        </w:tc>
        <w:tc>
          <w:tcPr>
            <w:tcW w:w="1264" w:type="dxa"/>
            <w:tcBorders>
              <w:top w:val="nil"/>
              <w:left w:val="nil"/>
              <w:bottom w:val="single" w:color="auto" w:sz="4" w:space="0"/>
              <w:right w:val="single" w:color="auto" w:sz="4" w:space="0"/>
            </w:tcBorders>
            <w:shd w:val="clear" w:color="auto" w:fill="auto"/>
            <w:noWrap w:val="0"/>
            <w:vAlign w:val="center"/>
          </w:tcPr>
          <w:p w14:paraId="7482A99F">
            <w:pPr>
              <w:pStyle w:val="26"/>
              <w:jc w:val="left"/>
              <w:rPr>
                <w:rFonts w:ascii="宋体" w:hAnsi="宋体" w:eastAsia="宋体" w:cs="宋体"/>
                <w:kern w:val="2"/>
                <w:sz w:val="21"/>
                <w:szCs w:val="21"/>
                <w:lang w:val="en-US" w:eastAsia="zh-CN" w:bidi="ar-SA"/>
              </w:rPr>
            </w:pPr>
            <w:r>
              <w:rPr>
                <w:rFonts w:hint="eastAsia" w:ascii="宋体" w:hAnsi="宋体" w:eastAsia="宋体" w:cs="宋体"/>
                <w:szCs w:val="21"/>
              </w:rPr>
              <w:t>阳光电源</w:t>
            </w:r>
          </w:p>
        </w:tc>
        <w:tc>
          <w:tcPr>
            <w:tcW w:w="1349" w:type="dxa"/>
            <w:tcBorders>
              <w:top w:val="nil"/>
              <w:left w:val="single" w:color="auto" w:sz="4" w:space="0"/>
              <w:bottom w:val="single" w:color="auto" w:sz="4" w:space="0"/>
              <w:right w:val="single" w:color="auto" w:sz="4" w:space="0"/>
            </w:tcBorders>
            <w:shd w:val="clear" w:color="auto" w:fill="auto"/>
            <w:noWrap w:val="0"/>
            <w:vAlign w:val="center"/>
          </w:tcPr>
          <w:p w14:paraId="14853E1E">
            <w:pPr>
              <w:pStyle w:val="26"/>
              <w:jc w:val="left"/>
              <w:rPr>
                <w:rFonts w:ascii="宋体" w:hAnsi="宋体" w:eastAsia="宋体" w:cs="宋体"/>
                <w:kern w:val="2"/>
                <w:sz w:val="21"/>
                <w:szCs w:val="21"/>
                <w:lang w:val="en-US" w:eastAsia="zh-CN" w:bidi="ar-SA"/>
              </w:rPr>
            </w:pPr>
            <w:r>
              <w:rPr>
                <w:rFonts w:hint="eastAsia" w:ascii="宋体" w:hAnsi="宋体" w:eastAsia="宋体" w:cs="宋体"/>
                <w:szCs w:val="21"/>
              </w:rPr>
              <w:t>充放电双向变流</w:t>
            </w:r>
          </w:p>
        </w:tc>
      </w:tr>
      <w:tr w14:paraId="2AA1A4E0">
        <w:tblPrEx>
          <w:tblCellMar>
            <w:top w:w="0" w:type="dxa"/>
            <w:left w:w="108" w:type="dxa"/>
            <w:bottom w:w="0" w:type="dxa"/>
            <w:right w:w="108" w:type="dxa"/>
          </w:tblCellMar>
        </w:tblPrEx>
        <w:trPr>
          <w:trHeight w:val="480" w:hRule="atLeast"/>
        </w:trPr>
        <w:tc>
          <w:tcPr>
            <w:tcW w:w="1156" w:type="dxa"/>
            <w:tcBorders>
              <w:top w:val="nil"/>
              <w:left w:val="single" w:color="auto" w:sz="4" w:space="0"/>
              <w:bottom w:val="single" w:color="auto" w:sz="4" w:space="0"/>
              <w:right w:val="single" w:color="auto" w:sz="4" w:space="0"/>
            </w:tcBorders>
            <w:shd w:val="clear" w:color="auto" w:fill="auto"/>
            <w:noWrap w:val="0"/>
            <w:vAlign w:val="center"/>
          </w:tcPr>
          <w:p w14:paraId="7AD0C050">
            <w:pPr>
              <w:pStyle w:val="26"/>
              <w:jc w:val="center"/>
              <w:rPr>
                <w:rFonts w:ascii="宋体" w:hAnsi="宋体" w:eastAsia="宋体" w:cs="宋体"/>
                <w:kern w:val="2"/>
                <w:sz w:val="21"/>
                <w:szCs w:val="21"/>
                <w:lang w:val="en-US" w:eastAsia="zh-CN" w:bidi="ar-SA"/>
              </w:rPr>
            </w:pPr>
            <w:r>
              <w:rPr>
                <w:rFonts w:hint="eastAsia" w:ascii="宋体" w:hAnsi="宋体" w:eastAsia="宋体" w:cs="宋体"/>
                <w:szCs w:val="21"/>
              </w:rPr>
              <w:t>EMS</w:t>
            </w:r>
          </w:p>
        </w:tc>
        <w:tc>
          <w:tcPr>
            <w:tcW w:w="1796" w:type="dxa"/>
            <w:tcBorders>
              <w:top w:val="nil"/>
              <w:left w:val="nil"/>
              <w:bottom w:val="single" w:color="auto" w:sz="4" w:space="0"/>
              <w:right w:val="single" w:color="auto" w:sz="4" w:space="0"/>
            </w:tcBorders>
            <w:shd w:val="clear" w:color="auto" w:fill="auto"/>
            <w:noWrap/>
            <w:vAlign w:val="center"/>
          </w:tcPr>
          <w:p w14:paraId="601D7988">
            <w:pPr>
              <w:pStyle w:val="26"/>
              <w:jc w:val="left"/>
              <w:rPr>
                <w:rFonts w:hint="eastAsia" w:ascii="宋体" w:hAnsi="宋体" w:eastAsia="宋体" w:cs="宋体"/>
                <w:kern w:val="2"/>
                <w:sz w:val="21"/>
                <w:szCs w:val="21"/>
                <w:lang w:val="en-US" w:eastAsia="zh-CN" w:bidi="ar-SA"/>
              </w:rPr>
            </w:pPr>
            <w:r>
              <w:rPr>
                <w:rFonts w:hint="eastAsia" w:ascii="宋体" w:hAnsi="宋体" w:eastAsia="宋体" w:cs="宋体"/>
                <w:szCs w:val="21"/>
              </w:rPr>
              <w:t>M_ServerRack—V01—B_005</w:t>
            </w:r>
          </w:p>
        </w:tc>
        <w:tc>
          <w:tcPr>
            <w:tcW w:w="812" w:type="dxa"/>
            <w:tcBorders>
              <w:top w:val="nil"/>
              <w:left w:val="nil"/>
              <w:bottom w:val="single" w:color="auto" w:sz="4" w:space="0"/>
              <w:right w:val="single" w:color="auto" w:sz="4" w:space="0"/>
            </w:tcBorders>
            <w:shd w:val="clear" w:color="auto" w:fill="auto"/>
            <w:noWrap w:val="0"/>
            <w:vAlign w:val="center"/>
          </w:tcPr>
          <w:p w14:paraId="4B384C8E">
            <w:pPr>
              <w:pStyle w:val="26"/>
              <w:jc w:val="left"/>
              <w:rPr>
                <w:rFonts w:hint="default" w:ascii="宋体" w:hAnsi="宋体" w:eastAsia="宋体" w:cs="宋体"/>
                <w:kern w:val="2"/>
                <w:sz w:val="21"/>
                <w:szCs w:val="21"/>
                <w:lang w:val="en-US" w:eastAsia="zh-CN" w:bidi="ar-SA"/>
              </w:rPr>
            </w:pPr>
            <w:r>
              <w:rPr>
                <w:rFonts w:hint="eastAsia" w:ascii="宋体" w:hAnsi="宋体" w:eastAsia="宋体" w:cs="宋体"/>
                <w:szCs w:val="21"/>
              </w:rPr>
              <w:t>2台</w:t>
            </w:r>
            <w:r>
              <w:rPr>
                <w:rFonts w:hint="eastAsia" w:ascii="宋体" w:hAnsi="宋体" w:eastAsia="宋体" w:cs="宋体"/>
                <w:szCs w:val="21"/>
                <w:lang w:eastAsia="zh-CN"/>
              </w:rPr>
              <w:t>（</w:t>
            </w:r>
            <w:r>
              <w:rPr>
                <w:rFonts w:hint="eastAsia" w:ascii="宋体" w:hAnsi="宋体" w:eastAsia="宋体" w:cs="宋体"/>
                <w:szCs w:val="21"/>
              </w:rPr>
              <w:t>主备</w:t>
            </w:r>
            <w:r>
              <w:rPr>
                <w:rFonts w:hint="eastAsia" w:ascii="宋体" w:hAnsi="宋体" w:eastAsia="宋体" w:cs="宋体"/>
                <w:szCs w:val="21"/>
                <w:lang w:eastAsia="zh-CN"/>
              </w:rPr>
              <w:t>）</w:t>
            </w:r>
          </w:p>
        </w:tc>
        <w:tc>
          <w:tcPr>
            <w:tcW w:w="1027" w:type="dxa"/>
            <w:tcBorders>
              <w:top w:val="nil"/>
              <w:left w:val="nil"/>
              <w:bottom w:val="single" w:color="auto" w:sz="4" w:space="0"/>
              <w:right w:val="single" w:color="auto" w:sz="4" w:space="0"/>
            </w:tcBorders>
            <w:shd w:val="clear" w:color="auto" w:fill="auto"/>
            <w:noWrap w:val="0"/>
            <w:vAlign w:val="center"/>
          </w:tcPr>
          <w:p w14:paraId="7056F73F">
            <w:pPr>
              <w:pStyle w:val="26"/>
              <w:jc w:val="left"/>
              <w:rPr>
                <w:rFonts w:ascii="宋体" w:hAnsi="宋体" w:eastAsia="宋体" w:cs="宋体"/>
                <w:kern w:val="2"/>
                <w:sz w:val="21"/>
                <w:szCs w:val="21"/>
                <w:lang w:val="en-US" w:eastAsia="zh-CN" w:bidi="ar-SA"/>
              </w:rPr>
            </w:pPr>
            <w:r>
              <w:rPr>
                <w:rFonts w:hint="eastAsia" w:ascii="宋体" w:hAnsi="宋体" w:eastAsia="宋体" w:cs="宋体"/>
                <w:szCs w:val="21"/>
              </w:rPr>
              <w:t>网线</w:t>
            </w:r>
          </w:p>
        </w:tc>
        <w:tc>
          <w:tcPr>
            <w:tcW w:w="1115" w:type="dxa"/>
            <w:tcBorders>
              <w:top w:val="nil"/>
              <w:left w:val="nil"/>
              <w:bottom w:val="single" w:color="auto" w:sz="4" w:space="0"/>
              <w:right w:val="single" w:color="auto" w:sz="4" w:space="0"/>
            </w:tcBorders>
            <w:shd w:val="clear" w:color="auto" w:fill="auto"/>
            <w:noWrap/>
            <w:vAlign w:val="center"/>
          </w:tcPr>
          <w:p w14:paraId="621A37B8">
            <w:pPr>
              <w:pStyle w:val="26"/>
              <w:jc w:val="left"/>
              <w:rPr>
                <w:rFonts w:ascii="宋体" w:hAnsi="宋体" w:eastAsia="宋体" w:cs="宋体"/>
                <w:kern w:val="2"/>
                <w:sz w:val="21"/>
                <w:szCs w:val="21"/>
                <w:lang w:val="en-US" w:eastAsia="zh-CN" w:bidi="ar-SA"/>
              </w:rPr>
            </w:pPr>
            <w:r>
              <w:rPr>
                <w:rFonts w:hint="eastAsia" w:ascii="宋体" w:hAnsi="宋体" w:eastAsia="宋体" w:cs="宋体"/>
                <w:szCs w:val="21"/>
              </w:rPr>
              <w:t>104</w:t>
            </w:r>
          </w:p>
        </w:tc>
        <w:tc>
          <w:tcPr>
            <w:tcW w:w="1264" w:type="dxa"/>
            <w:tcBorders>
              <w:top w:val="nil"/>
              <w:left w:val="nil"/>
              <w:bottom w:val="single" w:color="auto" w:sz="4" w:space="0"/>
              <w:right w:val="single" w:color="auto" w:sz="4" w:space="0"/>
            </w:tcBorders>
            <w:shd w:val="clear" w:color="auto" w:fill="auto"/>
            <w:noWrap w:val="0"/>
            <w:vAlign w:val="center"/>
          </w:tcPr>
          <w:p w14:paraId="2E32A1C9">
            <w:pPr>
              <w:pStyle w:val="26"/>
              <w:jc w:val="left"/>
              <w:rPr>
                <w:rFonts w:ascii="宋体" w:hAnsi="宋体" w:eastAsia="宋体" w:cs="宋体"/>
                <w:kern w:val="2"/>
                <w:sz w:val="21"/>
                <w:szCs w:val="21"/>
                <w:lang w:val="en-US" w:eastAsia="zh-CN" w:bidi="ar-SA"/>
              </w:rPr>
            </w:pPr>
            <w:r>
              <w:rPr>
                <w:rFonts w:hint="eastAsia" w:ascii="宋体" w:hAnsi="宋体" w:eastAsia="宋体" w:cs="宋体"/>
                <w:szCs w:val="21"/>
              </w:rPr>
              <w:t>阳光电源</w:t>
            </w:r>
          </w:p>
        </w:tc>
        <w:tc>
          <w:tcPr>
            <w:tcW w:w="1349" w:type="dxa"/>
            <w:tcBorders>
              <w:top w:val="nil"/>
              <w:left w:val="nil"/>
              <w:bottom w:val="single" w:color="auto" w:sz="4" w:space="0"/>
              <w:right w:val="single" w:color="auto" w:sz="4" w:space="0"/>
            </w:tcBorders>
            <w:shd w:val="clear" w:color="auto" w:fill="auto"/>
            <w:noWrap w:val="0"/>
            <w:vAlign w:val="center"/>
          </w:tcPr>
          <w:p w14:paraId="4703B52E">
            <w:pPr>
              <w:pStyle w:val="26"/>
              <w:jc w:val="left"/>
              <w:rPr>
                <w:rFonts w:ascii="宋体" w:hAnsi="宋体" w:eastAsia="宋体" w:cs="宋体"/>
                <w:kern w:val="2"/>
                <w:sz w:val="21"/>
                <w:szCs w:val="21"/>
                <w:lang w:val="en-US" w:eastAsia="zh-CN" w:bidi="ar-SA"/>
              </w:rPr>
            </w:pPr>
            <w:r>
              <w:rPr>
                <w:rFonts w:hint="eastAsia" w:ascii="宋体" w:hAnsi="宋体" w:eastAsia="宋体" w:cs="宋体"/>
                <w:szCs w:val="21"/>
              </w:rPr>
              <w:t>能量控制管理</w:t>
            </w:r>
          </w:p>
        </w:tc>
      </w:tr>
      <w:tr w14:paraId="0970BF74">
        <w:tblPrEx>
          <w:tblCellMar>
            <w:top w:w="0" w:type="dxa"/>
            <w:left w:w="108" w:type="dxa"/>
            <w:bottom w:w="0" w:type="dxa"/>
            <w:right w:w="108" w:type="dxa"/>
          </w:tblCellMar>
        </w:tblPrEx>
        <w:trPr>
          <w:trHeight w:val="480" w:hRule="atLeast"/>
        </w:trPr>
        <w:tc>
          <w:tcPr>
            <w:tcW w:w="1156" w:type="dxa"/>
            <w:tcBorders>
              <w:top w:val="nil"/>
              <w:left w:val="single" w:color="auto" w:sz="4" w:space="0"/>
              <w:bottom w:val="single" w:color="auto" w:sz="4" w:space="0"/>
              <w:right w:val="single" w:color="auto" w:sz="4" w:space="0"/>
            </w:tcBorders>
            <w:shd w:val="clear" w:color="auto" w:fill="auto"/>
            <w:noWrap w:val="0"/>
            <w:vAlign w:val="center"/>
          </w:tcPr>
          <w:p w14:paraId="71AA1A54">
            <w:pPr>
              <w:pStyle w:val="26"/>
              <w:jc w:val="center"/>
              <w:rPr>
                <w:rFonts w:ascii="宋体" w:hAnsi="宋体" w:eastAsia="宋体" w:cs="宋体"/>
                <w:kern w:val="2"/>
                <w:sz w:val="21"/>
                <w:szCs w:val="21"/>
                <w:lang w:val="en-US" w:eastAsia="zh-CN" w:bidi="ar-SA"/>
              </w:rPr>
            </w:pPr>
            <w:r>
              <w:rPr>
                <w:rFonts w:hint="eastAsia" w:ascii="宋体" w:hAnsi="宋体" w:eastAsia="宋体" w:cs="宋体"/>
                <w:szCs w:val="21"/>
              </w:rPr>
              <w:t>BMS</w:t>
            </w:r>
          </w:p>
        </w:tc>
        <w:tc>
          <w:tcPr>
            <w:tcW w:w="1796" w:type="dxa"/>
            <w:tcBorders>
              <w:top w:val="nil"/>
              <w:left w:val="nil"/>
              <w:bottom w:val="single" w:color="auto" w:sz="4" w:space="0"/>
              <w:right w:val="single" w:color="auto" w:sz="4" w:space="0"/>
            </w:tcBorders>
            <w:shd w:val="clear" w:color="auto" w:fill="auto"/>
            <w:noWrap w:val="0"/>
            <w:vAlign w:val="center"/>
          </w:tcPr>
          <w:p w14:paraId="27F4E059">
            <w:pPr>
              <w:pStyle w:val="26"/>
              <w:jc w:val="left"/>
              <w:rPr>
                <w:rFonts w:ascii="宋体" w:hAnsi="宋体" w:eastAsia="宋体" w:cs="宋体"/>
                <w:kern w:val="2"/>
                <w:sz w:val="21"/>
                <w:szCs w:val="21"/>
                <w:lang w:val="en-US" w:eastAsia="zh-CN" w:bidi="ar-SA"/>
              </w:rPr>
            </w:pPr>
            <w:r>
              <w:rPr>
                <w:rFonts w:hint="eastAsia" w:ascii="宋体" w:hAnsi="宋体" w:eastAsia="宋体" w:cs="宋体"/>
                <w:szCs w:val="21"/>
              </w:rPr>
              <w:t>V1.11.1909260836</w:t>
            </w:r>
          </w:p>
        </w:tc>
        <w:tc>
          <w:tcPr>
            <w:tcW w:w="812" w:type="dxa"/>
            <w:tcBorders>
              <w:top w:val="nil"/>
              <w:left w:val="nil"/>
              <w:bottom w:val="single" w:color="auto" w:sz="4" w:space="0"/>
              <w:right w:val="single" w:color="auto" w:sz="4" w:space="0"/>
            </w:tcBorders>
            <w:shd w:val="clear" w:color="auto" w:fill="auto"/>
            <w:noWrap w:val="0"/>
            <w:vAlign w:val="center"/>
          </w:tcPr>
          <w:p w14:paraId="5C259CA9">
            <w:pPr>
              <w:pStyle w:val="26"/>
              <w:jc w:val="left"/>
              <w:rPr>
                <w:rFonts w:ascii="宋体" w:hAnsi="宋体" w:eastAsia="宋体" w:cs="宋体"/>
                <w:kern w:val="2"/>
                <w:sz w:val="21"/>
                <w:szCs w:val="21"/>
                <w:lang w:val="en-US" w:eastAsia="zh-CN" w:bidi="ar-SA"/>
              </w:rPr>
            </w:pPr>
            <w:r>
              <w:rPr>
                <w:rFonts w:hint="eastAsia" w:ascii="宋体" w:hAnsi="宋体" w:eastAsia="宋体" w:cs="宋体"/>
                <w:szCs w:val="21"/>
              </w:rPr>
              <w:t>4台</w:t>
            </w:r>
          </w:p>
        </w:tc>
        <w:tc>
          <w:tcPr>
            <w:tcW w:w="1027" w:type="dxa"/>
            <w:tcBorders>
              <w:top w:val="nil"/>
              <w:left w:val="nil"/>
              <w:bottom w:val="single" w:color="auto" w:sz="4" w:space="0"/>
              <w:right w:val="single" w:color="auto" w:sz="4" w:space="0"/>
            </w:tcBorders>
            <w:shd w:val="clear" w:color="auto" w:fill="auto"/>
            <w:noWrap w:val="0"/>
            <w:vAlign w:val="center"/>
          </w:tcPr>
          <w:p w14:paraId="543ECB9F">
            <w:pPr>
              <w:pStyle w:val="26"/>
              <w:jc w:val="left"/>
              <w:rPr>
                <w:rFonts w:ascii="宋体" w:hAnsi="宋体" w:eastAsia="宋体" w:cs="宋体"/>
                <w:kern w:val="2"/>
                <w:sz w:val="21"/>
                <w:szCs w:val="21"/>
                <w:lang w:val="en-US" w:eastAsia="zh-CN" w:bidi="ar-SA"/>
              </w:rPr>
            </w:pPr>
            <w:r>
              <w:rPr>
                <w:rFonts w:hint="eastAsia" w:ascii="宋体" w:hAnsi="宋体" w:eastAsia="宋体" w:cs="宋体"/>
                <w:szCs w:val="21"/>
              </w:rPr>
              <w:t>网线</w:t>
            </w:r>
          </w:p>
        </w:tc>
        <w:tc>
          <w:tcPr>
            <w:tcW w:w="1115" w:type="dxa"/>
            <w:tcBorders>
              <w:top w:val="nil"/>
              <w:left w:val="nil"/>
              <w:bottom w:val="single" w:color="auto" w:sz="4" w:space="0"/>
              <w:right w:val="single" w:color="auto" w:sz="4" w:space="0"/>
            </w:tcBorders>
            <w:shd w:val="clear" w:color="auto" w:fill="auto"/>
            <w:noWrap w:val="0"/>
            <w:vAlign w:val="center"/>
          </w:tcPr>
          <w:p w14:paraId="064D7720">
            <w:pPr>
              <w:pStyle w:val="26"/>
              <w:jc w:val="left"/>
              <w:rPr>
                <w:rFonts w:ascii="宋体" w:hAnsi="宋体" w:eastAsia="宋体" w:cs="宋体"/>
                <w:kern w:val="2"/>
                <w:sz w:val="21"/>
                <w:szCs w:val="21"/>
                <w:lang w:val="en-US" w:eastAsia="zh-CN" w:bidi="ar-SA"/>
              </w:rPr>
            </w:pPr>
            <w:r>
              <w:rPr>
                <w:rFonts w:hint="eastAsia" w:ascii="宋体" w:hAnsi="宋体" w:eastAsia="宋体" w:cs="宋体"/>
                <w:szCs w:val="21"/>
              </w:rPr>
              <w:t>MODBUS</w:t>
            </w:r>
          </w:p>
        </w:tc>
        <w:tc>
          <w:tcPr>
            <w:tcW w:w="1264" w:type="dxa"/>
            <w:tcBorders>
              <w:top w:val="nil"/>
              <w:left w:val="nil"/>
              <w:bottom w:val="single" w:color="auto" w:sz="4" w:space="0"/>
              <w:right w:val="single" w:color="auto" w:sz="4" w:space="0"/>
            </w:tcBorders>
            <w:shd w:val="clear" w:color="auto" w:fill="auto"/>
            <w:noWrap w:val="0"/>
            <w:vAlign w:val="center"/>
          </w:tcPr>
          <w:p w14:paraId="26706E7A">
            <w:pPr>
              <w:pStyle w:val="26"/>
              <w:jc w:val="left"/>
              <w:rPr>
                <w:rFonts w:ascii="宋体" w:hAnsi="宋体" w:eastAsia="宋体" w:cs="宋体"/>
                <w:kern w:val="2"/>
                <w:sz w:val="21"/>
                <w:szCs w:val="21"/>
                <w:lang w:val="en-US" w:eastAsia="zh-CN" w:bidi="ar-SA"/>
              </w:rPr>
            </w:pPr>
            <w:r>
              <w:rPr>
                <w:rFonts w:hint="eastAsia" w:ascii="宋体" w:hAnsi="宋体" w:eastAsia="宋体" w:cs="宋体"/>
                <w:szCs w:val="21"/>
              </w:rPr>
              <w:t>阳光电源</w:t>
            </w:r>
          </w:p>
        </w:tc>
        <w:tc>
          <w:tcPr>
            <w:tcW w:w="1349" w:type="dxa"/>
            <w:tcBorders>
              <w:top w:val="nil"/>
              <w:left w:val="nil"/>
              <w:bottom w:val="single" w:color="auto" w:sz="4" w:space="0"/>
              <w:right w:val="single" w:color="auto" w:sz="4" w:space="0"/>
            </w:tcBorders>
            <w:shd w:val="clear" w:color="auto" w:fill="auto"/>
            <w:noWrap/>
            <w:vAlign w:val="center"/>
          </w:tcPr>
          <w:p w14:paraId="1FC9B5C3">
            <w:pPr>
              <w:pStyle w:val="26"/>
              <w:jc w:val="left"/>
              <w:rPr>
                <w:rFonts w:ascii="宋体" w:hAnsi="宋体" w:eastAsia="宋体" w:cs="宋体"/>
                <w:kern w:val="2"/>
                <w:sz w:val="21"/>
                <w:szCs w:val="21"/>
                <w:lang w:val="en-US" w:eastAsia="zh-CN" w:bidi="ar-SA"/>
              </w:rPr>
            </w:pPr>
            <w:r>
              <w:rPr>
                <w:rFonts w:hint="eastAsia" w:ascii="宋体" w:hAnsi="宋体" w:eastAsia="宋体" w:cs="宋体"/>
                <w:szCs w:val="21"/>
              </w:rPr>
              <w:t>电池管理</w:t>
            </w:r>
          </w:p>
        </w:tc>
      </w:tr>
      <w:tr w14:paraId="4C0C7D40">
        <w:tblPrEx>
          <w:tblCellMar>
            <w:top w:w="0" w:type="dxa"/>
            <w:left w:w="108" w:type="dxa"/>
            <w:bottom w:w="0" w:type="dxa"/>
            <w:right w:w="108" w:type="dxa"/>
          </w:tblCellMar>
        </w:tblPrEx>
        <w:trPr>
          <w:trHeight w:val="720" w:hRule="atLeast"/>
        </w:trPr>
        <w:tc>
          <w:tcPr>
            <w:tcW w:w="1156" w:type="dxa"/>
            <w:tcBorders>
              <w:top w:val="nil"/>
              <w:left w:val="single" w:color="auto" w:sz="4" w:space="0"/>
              <w:bottom w:val="single" w:color="auto" w:sz="4" w:space="0"/>
              <w:right w:val="single" w:color="auto" w:sz="4" w:space="0"/>
            </w:tcBorders>
            <w:shd w:val="clear" w:color="auto" w:fill="auto"/>
            <w:noWrap w:val="0"/>
            <w:vAlign w:val="center"/>
          </w:tcPr>
          <w:p w14:paraId="59B5E460">
            <w:pPr>
              <w:pStyle w:val="26"/>
              <w:jc w:val="center"/>
              <w:rPr>
                <w:rFonts w:ascii="宋体" w:hAnsi="宋体" w:eastAsia="宋体" w:cs="宋体"/>
                <w:kern w:val="2"/>
                <w:sz w:val="21"/>
                <w:szCs w:val="21"/>
                <w:lang w:val="en-US" w:eastAsia="zh-CN" w:bidi="ar-SA"/>
              </w:rPr>
            </w:pPr>
            <w:r>
              <w:rPr>
                <w:rFonts w:hint="eastAsia" w:ascii="宋体" w:hAnsi="宋体" w:eastAsia="宋体" w:cs="宋体"/>
                <w:szCs w:val="21"/>
              </w:rPr>
              <w:t>LC</w:t>
            </w:r>
          </w:p>
        </w:tc>
        <w:tc>
          <w:tcPr>
            <w:tcW w:w="1796" w:type="dxa"/>
            <w:tcBorders>
              <w:top w:val="nil"/>
              <w:left w:val="nil"/>
              <w:bottom w:val="single" w:color="auto" w:sz="4" w:space="0"/>
              <w:right w:val="single" w:color="auto" w:sz="4" w:space="0"/>
            </w:tcBorders>
            <w:shd w:val="clear" w:color="auto" w:fill="auto"/>
            <w:noWrap w:val="0"/>
            <w:vAlign w:val="center"/>
          </w:tcPr>
          <w:p w14:paraId="14A630CB">
            <w:pPr>
              <w:pStyle w:val="26"/>
              <w:jc w:val="left"/>
              <w:rPr>
                <w:rFonts w:ascii="宋体" w:hAnsi="宋体" w:eastAsia="宋体" w:cs="宋体"/>
                <w:kern w:val="2"/>
                <w:sz w:val="21"/>
                <w:szCs w:val="21"/>
                <w:lang w:val="en-US" w:eastAsia="zh-CN" w:bidi="ar-SA"/>
              </w:rPr>
            </w:pPr>
            <w:r>
              <w:rPr>
                <w:rFonts w:hint="eastAsia" w:ascii="宋体" w:hAnsi="宋体" w:eastAsia="宋体" w:cs="宋体"/>
                <w:szCs w:val="21"/>
              </w:rPr>
              <w:t>V1.11.1911231121</w:t>
            </w:r>
          </w:p>
        </w:tc>
        <w:tc>
          <w:tcPr>
            <w:tcW w:w="812" w:type="dxa"/>
            <w:tcBorders>
              <w:top w:val="nil"/>
              <w:left w:val="nil"/>
              <w:bottom w:val="single" w:color="auto" w:sz="4" w:space="0"/>
              <w:right w:val="single" w:color="auto" w:sz="4" w:space="0"/>
            </w:tcBorders>
            <w:shd w:val="clear" w:color="auto" w:fill="auto"/>
            <w:noWrap w:val="0"/>
            <w:vAlign w:val="center"/>
          </w:tcPr>
          <w:p w14:paraId="76666A88">
            <w:pPr>
              <w:pStyle w:val="26"/>
              <w:jc w:val="left"/>
              <w:rPr>
                <w:rFonts w:ascii="宋体" w:hAnsi="宋体" w:eastAsia="宋体" w:cs="宋体"/>
                <w:kern w:val="2"/>
                <w:sz w:val="21"/>
                <w:szCs w:val="21"/>
                <w:lang w:val="en-US" w:eastAsia="zh-CN" w:bidi="ar-SA"/>
              </w:rPr>
            </w:pPr>
            <w:r>
              <w:rPr>
                <w:rFonts w:hint="eastAsia" w:ascii="宋体" w:hAnsi="宋体" w:eastAsia="宋体" w:cs="宋体"/>
                <w:szCs w:val="21"/>
              </w:rPr>
              <w:t>2台</w:t>
            </w:r>
          </w:p>
        </w:tc>
        <w:tc>
          <w:tcPr>
            <w:tcW w:w="1027" w:type="dxa"/>
            <w:tcBorders>
              <w:top w:val="nil"/>
              <w:left w:val="nil"/>
              <w:bottom w:val="single" w:color="auto" w:sz="4" w:space="0"/>
              <w:right w:val="single" w:color="auto" w:sz="4" w:space="0"/>
            </w:tcBorders>
            <w:shd w:val="clear" w:color="auto" w:fill="auto"/>
            <w:noWrap w:val="0"/>
            <w:vAlign w:val="center"/>
          </w:tcPr>
          <w:p w14:paraId="6422498B">
            <w:pPr>
              <w:pStyle w:val="26"/>
              <w:jc w:val="left"/>
              <w:rPr>
                <w:rFonts w:ascii="宋体" w:hAnsi="宋体" w:eastAsia="宋体" w:cs="宋体"/>
                <w:kern w:val="2"/>
                <w:sz w:val="21"/>
                <w:szCs w:val="21"/>
                <w:lang w:val="en-US" w:eastAsia="zh-CN" w:bidi="ar-SA"/>
              </w:rPr>
            </w:pPr>
            <w:r>
              <w:rPr>
                <w:rFonts w:hint="eastAsia" w:ascii="宋体" w:hAnsi="宋体" w:eastAsia="宋体" w:cs="宋体"/>
                <w:szCs w:val="21"/>
              </w:rPr>
              <w:t>网线</w:t>
            </w:r>
          </w:p>
        </w:tc>
        <w:tc>
          <w:tcPr>
            <w:tcW w:w="1115" w:type="dxa"/>
            <w:tcBorders>
              <w:top w:val="nil"/>
              <w:left w:val="nil"/>
              <w:bottom w:val="single" w:color="auto" w:sz="4" w:space="0"/>
              <w:right w:val="single" w:color="auto" w:sz="4" w:space="0"/>
            </w:tcBorders>
            <w:shd w:val="clear" w:color="auto" w:fill="auto"/>
            <w:noWrap w:val="0"/>
            <w:vAlign w:val="center"/>
          </w:tcPr>
          <w:p w14:paraId="3D65F203">
            <w:pPr>
              <w:pStyle w:val="26"/>
              <w:jc w:val="left"/>
              <w:rPr>
                <w:rFonts w:ascii="宋体" w:hAnsi="宋体" w:eastAsia="宋体" w:cs="宋体"/>
                <w:kern w:val="2"/>
                <w:sz w:val="21"/>
                <w:szCs w:val="21"/>
                <w:lang w:val="en-US" w:eastAsia="zh-CN" w:bidi="ar-SA"/>
              </w:rPr>
            </w:pPr>
            <w:r>
              <w:rPr>
                <w:rFonts w:hint="eastAsia" w:ascii="宋体" w:hAnsi="宋体" w:eastAsia="宋体" w:cs="宋体"/>
                <w:szCs w:val="21"/>
              </w:rPr>
              <w:t>MODBUS</w:t>
            </w:r>
          </w:p>
        </w:tc>
        <w:tc>
          <w:tcPr>
            <w:tcW w:w="1264" w:type="dxa"/>
            <w:tcBorders>
              <w:top w:val="nil"/>
              <w:left w:val="nil"/>
              <w:bottom w:val="single" w:color="auto" w:sz="4" w:space="0"/>
              <w:right w:val="single" w:color="auto" w:sz="4" w:space="0"/>
            </w:tcBorders>
            <w:shd w:val="clear" w:color="auto" w:fill="auto"/>
            <w:noWrap w:val="0"/>
            <w:vAlign w:val="center"/>
          </w:tcPr>
          <w:p w14:paraId="09786A95">
            <w:pPr>
              <w:pStyle w:val="26"/>
              <w:jc w:val="left"/>
              <w:rPr>
                <w:rFonts w:ascii="宋体" w:hAnsi="宋体" w:eastAsia="宋体" w:cs="宋体"/>
                <w:kern w:val="2"/>
                <w:sz w:val="21"/>
                <w:szCs w:val="21"/>
                <w:lang w:val="en-US" w:eastAsia="zh-CN" w:bidi="ar-SA"/>
              </w:rPr>
            </w:pPr>
            <w:r>
              <w:rPr>
                <w:rFonts w:hint="eastAsia" w:ascii="宋体" w:hAnsi="宋体" w:eastAsia="宋体" w:cs="宋体"/>
                <w:szCs w:val="21"/>
              </w:rPr>
              <w:t>阳光电源</w:t>
            </w:r>
          </w:p>
        </w:tc>
        <w:tc>
          <w:tcPr>
            <w:tcW w:w="1349" w:type="dxa"/>
            <w:tcBorders>
              <w:top w:val="nil"/>
              <w:left w:val="nil"/>
              <w:bottom w:val="single" w:color="auto" w:sz="4" w:space="0"/>
              <w:right w:val="single" w:color="auto" w:sz="4" w:space="0"/>
            </w:tcBorders>
            <w:shd w:val="clear" w:color="auto" w:fill="auto"/>
            <w:noWrap/>
            <w:vAlign w:val="center"/>
          </w:tcPr>
          <w:p w14:paraId="4910688A">
            <w:pPr>
              <w:pStyle w:val="26"/>
              <w:jc w:val="left"/>
              <w:rPr>
                <w:rFonts w:ascii="宋体" w:hAnsi="宋体" w:eastAsia="宋体" w:cs="宋体"/>
                <w:kern w:val="2"/>
                <w:sz w:val="21"/>
                <w:szCs w:val="21"/>
                <w:lang w:val="en-US" w:eastAsia="zh-CN" w:bidi="ar-SA"/>
              </w:rPr>
            </w:pPr>
            <w:r>
              <w:rPr>
                <w:rFonts w:hint="eastAsia" w:ascii="宋体" w:hAnsi="宋体" w:eastAsia="宋体" w:cs="宋体"/>
                <w:szCs w:val="21"/>
              </w:rPr>
              <w:t>电池仓本地控制器</w:t>
            </w:r>
          </w:p>
        </w:tc>
      </w:tr>
      <w:tr w14:paraId="4B511591">
        <w:tblPrEx>
          <w:tblCellMar>
            <w:top w:w="0" w:type="dxa"/>
            <w:left w:w="108" w:type="dxa"/>
            <w:bottom w:w="0" w:type="dxa"/>
            <w:right w:w="108" w:type="dxa"/>
          </w:tblCellMar>
        </w:tblPrEx>
        <w:trPr>
          <w:trHeight w:val="720" w:hRule="atLeast"/>
        </w:trPr>
        <w:tc>
          <w:tcPr>
            <w:tcW w:w="1156" w:type="dxa"/>
            <w:tcBorders>
              <w:top w:val="nil"/>
              <w:left w:val="single" w:color="auto" w:sz="4" w:space="0"/>
              <w:bottom w:val="single" w:color="auto" w:sz="4" w:space="0"/>
              <w:right w:val="single" w:color="auto" w:sz="4" w:space="0"/>
            </w:tcBorders>
            <w:shd w:val="clear" w:color="auto" w:fill="auto"/>
            <w:noWrap w:val="0"/>
            <w:vAlign w:val="center"/>
          </w:tcPr>
          <w:p w14:paraId="1998936F">
            <w:pPr>
              <w:pStyle w:val="26"/>
              <w:jc w:val="center"/>
              <w:rPr>
                <w:rFonts w:ascii="宋体" w:hAnsi="宋体" w:eastAsia="宋体" w:cs="宋体"/>
                <w:kern w:val="2"/>
                <w:sz w:val="21"/>
                <w:szCs w:val="21"/>
                <w:lang w:val="en-US" w:eastAsia="zh-CN" w:bidi="ar-SA"/>
              </w:rPr>
            </w:pPr>
            <w:r>
              <w:rPr>
                <w:rFonts w:hint="eastAsia" w:ascii="宋体" w:hAnsi="宋体" w:eastAsia="宋体" w:cs="宋体"/>
                <w:szCs w:val="21"/>
              </w:rPr>
              <w:t>通讯管理交换机</w:t>
            </w:r>
          </w:p>
        </w:tc>
        <w:tc>
          <w:tcPr>
            <w:tcW w:w="1796" w:type="dxa"/>
            <w:tcBorders>
              <w:top w:val="nil"/>
              <w:left w:val="nil"/>
              <w:bottom w:val="single" w:color="auto" w:sz="4" w:space="0"/>
              <w:right w:val="single" w:color="auto" w:sz="4" w:space="0"/>
            </w:tcBorders>
            <w:shd w:val="clear" w:color="auto" w:fill="auto"/>
            <w:noWrap w:val="0"/>
            <w:vAlign w:val="center"/>
          </w:tcPr>
          <w:p w14:paraId="321EFCDC">
            <w:pPr>
              <w:pStyle w:val="26"/>
              <w:jc w:val="left"/>
              <w:rPr>
                <w:rFonts w:ascii="宋体" w:hAnsi="宋体" w:eastAsia="宋体" w:cs="宋体"/>
                <w:kern w:val="2"/>
                <w:sz w:val="21"/>
                <w:szCs w:val="21"/>
                <w:lang w:val="en-US" w:eastAsia="zh-CN" w:bidi="ar-SA"/>
              </w:rPr>
            </w:pPr>
            <w:r>
              <w:rPr>
                <w:rFonts w:hint="eastAsia" w:ascii="宋体" w:hAnsi="宋体" w:eastAsia="宋体" w:cs="宋体"/>
                <w:szCs w:val="21"/>
              </w:rPr>
              <w:t>/</w:t>
            </w:r>
          </w:p>
        </w:tc>
        <w:tc>
          <w:tcPr>
            <w:tcW w:w="812" w:type="dxa"/>
            <w:tcBorders>
              <w:top w:val="nil"/>
              <w:left w:val="nil"/>
              <w:bottom w:val="single" w:color="auto" w:sz="4" w:space="0"/>
              <w:right w:val="single" w:color="auto" w:sz="4" w:space="0"/>
            </w:tcBorders>
            <w:shd w:val="clear" w:color="auto" w:fill="auto"/>
            <w:noWrap w:val="0"/>
            <w:vAlign w:val="center"/>
          </w:tcPr>
          <w:p w14:paraId="7482C54D">
            <w:pPr>
              <w:pStyle w:val="26"/>
              <w:jc w:val="left"/>
              <w:rPr>
                <w:rFonts w:ascii="宋体" w:hAnsi="宋体" w:eastAsia="宋体" w:cs="宋体"/>
                <w:kern w:val="2"/>
                <w:sz w:val="21"/>
                <w:szCs w:val="21"/>
                <w:lang w:val="en-US" w:eastAsia="zh-CN" w:bidi="ar-SA"/>
              </w:rPr>
            </w:pPr>
            <w:r>
              <w:rPr>
                <w:rFonts w:hint="eastAsia" w:ascii="宋体" w:hAnsi="宋体" w:eastAsia="宋体" w:cs="宋体"/>
                <w:szCs w:val="21"/>
              </w:rPr>
              <w:t>2台</w:t>
            </w:r>
          </w:p>
        </w:tc>
        <w:tc>
          <w:tcPr>
            <w:tcW w:w="1027" w:type="dxa"/>
            <w:tcBorders>
              <w:top w:val="nil"/>
              <w:left w:val="nil"/>
              <w:bottom w:val="single" w:color="auto" w:sz="4" w:space="0"/>
              <w:right w:val="single" w:color="auto" w:sz="4" w:space="0"/>
            </w:tcBorders>
            <w:shd w:val="clear" w:color="auto" w:fill="auto"/>
            <w:noWrap w:val="0"/>
            <w:vAlign w:val="center"/>
          </w:tcPr>
          <w:p w14:paraId="3EF0FB4A">
            <w:pPr>
              <w:pStyle w:val="26"/>
              <w:jc w:val="left"/>
              <w:rPr>
                <w:rFonts w:ascii="宋体" w:hAnsi="宋体" w:eastAsia="宋体" w:cs="宋体"/>
                <w:kern w:val="2"/>
                <w:sz w:val="21"/>
                <w:szCs w:val="21"/>
                <w:lang w:val="en-US" w:eastAsia="zh-CN" w:bidi="ar-SA"/>
              </w:rPr>
            </w:pPr>
            <w:r>
              <w:rPr>
                <w:rFonts w:hint="eastAsia" w:ascii="宋体" w:hAnsi="宋体" w:eastAsia="宋体" w:cs="宋体"/>
                <w:szCs w:val="21"/>
              </w:rPr>
              <w:t>光纤</w:t>
            </w:r>
          </w:p>
        </w:tc>
        <w:tc>
          <w:tcPr>
            <w:tcW w:w="1115" w:type="dxa"/>
            <w:tcBorders>
              <w:top w:val="nil"/>
              <w:left w:val="nil"/>
              <w:bottom w:val="single" w:color="auto" w:sz="4" w:space="0"/>
              <w:right w:val="single" w:color="auto" w:sz="4" w:space="0"/>
            </w:tcBorders>
            <w:shd w:val="clear" w:color="auto" w:fill="auto"/>
            <w:noWrap w:val="0"/>
            <w:vAlign w:val="center"/>
          </w:tcPr>
          <w:p w14:paraId="1CE1122F">
            <w:pPr>
              <w:pStyle w:val="26"/>
              <w:jc w:val="left"/>
              <w:rPr>
                <w:rFonts w:ascii="宋体" w:hAnsi="宋体" w:eastAsia="宋体" w:cs="宋体"/>
                <w:kern w:val="2"/>
                <w:sz w:val="21"/>
                <w:szCs w:val="21"/>
                <w:lang w:val="en-US" w:eastAsia="zh-CN" w:bidi="ar-SA"/>
              </w:rPr>
            </w:pPr>
            <w:r>
              <w:rPr>
                <w:rFonts w:hint="eastAsia" w:ascii="宋体" w:hAnsi="宋体" w:eastAsia="宋体" w:cs="宋体"/>
                <w:szCs w:val="21"/>
              </w:rPr>
              <w:t>/</w:t>
            </w:r>
          </w:p>
        </w:tc>
        <w:tc>
          <w:tcPr>
            <w:tcW w:w="1264" w:type="dxa"/>
            <w:tcBorders>
              <w:top w:val="nil"/>
              <w:left w:val="nil"/>
              <w:bottom w:val="single" w:color="auto" w:sz="4" w:space="0"/>
              <w:right w:val="single" w:color="auto" w:sz="4" w:space="0"/>
            </w:tcBorders>
            <w:shd w:val="clear" w:color="auto" w:fill="auto"/>
            <w:noWrap w:val="0"/>
            <w:vAlign w:val="center"/>
          </w:tcPr>
          <w:p w14:paraId="198D5273">
            <w:pPr>
              <w:pStyle w:val="26"/>
              <w:jc w:val="left"/>
              <w:rPr>
                <w:rFonts w:ascii="宋体" w:hAnsi="宋体" w:eastAsia="宋体" w:cs="宋体"/>
                <w:kern w:val="2"/>
                <w:sz w:val="21"/>
                <w:szCs w:val="21"/>
                <w:lang w:val="en-US" w:eastAsia="zh-CN" w:bidi="ar-SA"/>
              </w:rPr>
            </w:pPr>
            <w:r>
              <w:rPr>
                <w:rFonts w:hint="eastAsia" w:ascii="宋体" w:hAnsi="宋体" w:eastAsia="宋体" w:cs="宋体"/>
                <w:szCs w:val="21"/>
              </w:rPr>
              <w:t>阳光电源</w:t>
            </w:r>
          </w:p>
        </w:tc>
        <w:tc>
          <w:tcPr>
            <w:tcW w:w="1349" w:type="dxa"/>
            <w:tcBorders>
              <w:top w:val="nil"/>
              <w:left w:val="nil"/>
              <w:bottom w:val="single" w:color="auto" w:sz="4" w:space="0"/>
              <w:right w:val="single" w:color="auto" w:sz="4" w:space="0"/>
            </w:tcBorders>
            <w:shd w:val="clear" w:color="auto" w:fill="auto"/>
            <w:noWrap/>
            <w:vAlign w:val="center"/>
          </w:tcPr>
          <w:p w14:paraId="6FB2201E">
            <w:pPr>
              <w:pStyle w:val="26"/>
              <w:jc w:val="left"/>
              <w:rPr>
                <w:rFonts w:ascii="宋体" w:hAnsi="宋体" w:eastAsia="宋体" w:cs="宋体"/>
                <w:kern w:val="2"/>
                <w:sz w:val="21"/>
                <w:szCs w:val="21"/>
                <w:lang w:val="en-US" w:eastAsia="zh-CN" w:bidi="ar-SA"/>
              </w:rPr>
            </w:pPr>
            <w:r>
              <w:rPr>
                <w:rFonts w:hint="eastAsia" w:ascii="宋体" w:hAnsi="宋体" w:eastAsia="宋体" w:cs="宋体"/>
                <w:szCs w:val="21"/>
              </w:rPr>
              <w:t>环网光纤交换机</w:t>
            </w:r>
          </w:p>
        </w:tc>
      </w:tr>
    </w:tbl>
    <w:p w14:paraId="67B11F24">
      <w:pPr>
        <w:ind w:firstLine="480"/>
        <w:rPr>
          <w:rFonts w:ascii="宋体" w:hAnsi="宋体" w:eastAsia="宋体" w:cs="宋体"/>
        </w:rPr>
      </w:pPr>
      <w:r>
        <w:rPr>
          <w:rFonts w:hint="eastAsia" w:ascii="宋体" w:hAnsi="宋体" w:eastAsia="宋体" w:cs="宋体"/>
          <w:color w:val="auto"/>
          <w:kern w:val="0"/>
          <w:sz w:val="24"/>
          <w:szCs w:val="20"/>
          <w:lang w:val="en-US" w:eastAsia="zh-CN" w:bidi="ar-SA"/>
        </w:rPr>
        <w:t>根据国家能源局西北监管局文件《国家能源局西北监管局关于开展西北电网新能源场站快速频率响应功能推广应用工作的批复》（西北监能市场﹝2018﹞41号）以及《国家电网西北电力调控分中心关于征求〈西北电网新能源场站快速频率响应入网试验方案〉意见的通知》要求，</w:t>
      </w:r>
      <w:r>
        <w:rPr>
          <w:rFonts w:hint="eastAsia" w:ascii="宋体" w:hAnsi="宋体" w:eastAsia="宋体" w:cs="宋体"/>
          <w:lang w:eastAsia="zh-CN"/>
        </w:rPr>
        <w:t>嘉峪关二期光储电站储能系统</w:t>
      </w:r>
      <w:r>
        <w:rPr>
          <w:rFonts w:hint="eastAsia" w:ascii="宋体" w:hAnsi="宋体" w:eastAsia="宋体" w:cs="宋体"/>
        </w:rPr>
        <w:t>需开展快速频率响应</w:t>
      </w:r>
      <w:r>
        <w:rPr>
          <w:rFonts w:hint="eastAsia" w:ascii="宋体" w:hAnsi="宋体" w:eastAsia="宋体" w:cs="宋体"/>
          <w:lang w:val="en-US" w:eastAsia="zh-CN"/>
        </w:rPr>
        <w:t>功能</w:t>
      </w:r>
      <w:r>
        <w:rPr>
          <w:rFonts w:hint="eastAsia" w:ascii="宋体" w:hAnsi="宋体" w:eastAsia="宋体" w:cs="宋体"/>
        </w:rPr>
        <w:t>改造工作。</w:t>
      </w:r>
    </w:p>
    <w:p w14:paraId="11049A92">
      <w:pPr>
        <w:pStyle w:val="2"/>
        <w:keepNext w:val="0"/>
        <w:keepLines w:val="0"/>
        <w:pageBreakBefore w:val="0"/>
        <w:kinsoku/>
        <w:wordWrap/>
        <w:overflowPunct/>
        <w:autoSpaceDE/>
        <w:autoSpaceDN/>
        <w:bidi w:val="0"/>
        <w:spacing w:line="570" w:lineRule="exact"/>
      </w:pPr>
      <w:bookmarkStart w:id="15" w:name="_Toc29868"/>
      <w:bookmarkStart w:id="16" w:name="_Toc22298"/>
      <w:bookmarkStart w:id="17" w:name="_Toc30861"/>
      <w:bookmarkStart w:id="18" w:name="_Toc11938"/>
      <w:r>
        <w:rPr>
          <w:rFonts w:hint="eastAsia"/>
        </w:rPr>
        <w:t>三</w:t>
      </w:r>
      <w:r>
        <w:rPr>
          <w:rFonts w:hint="eastAsia"/>
          <w:lang w:eastAsia="zh-CN"/>
        </w:rPr>
        <w:t>、</w:t>
      </w:r>
      <w:r>
        <w:rPr>
          <w:rFonts w:hint="eastAsia"/>
        </w:rPr>
        <w:t>规范引用文件</w:t>
      </w:r>
      <w:bookmarkEnd w:id="15"/>
      <w:bookmarkEnd w:id="16"/>
      <w:bookmarkEnd w:id="17"/>
      <w:bookmarkEnd w:id="18"/>
    </w:p>
    <w:p w14:paraId="78AA9B7E">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下列文件对于本文件的应用是必不可少的。凡是注日期的引用文件，仅注日期的版本适用于本文件。凡是不注日期的引用文件，其最新版本适用于本文件。</w:t>
      </w:r>
    </w:p>
    <w:p w14:paraId="441C236A">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主要参考标准如下（包括但不限于）：</w:t>
      </w:r>
    </w:p>
    <w:p w14:paraId="1233D984">
      <w:pPr>
        <w:keepNext w:val="0"/>
        <w:keepLines w:val="0"/>
        <w:pageBreakBefore w:val="0"/>
        <w:numPr>
          <w:ilvl w:val="-1"/>
          <w:numId w:val="0"/>
        </w:numPr>
        <w:kinsoku/>
        <w:wordWrap/>
        <w:overflowPunct/>
        <w:autoSpaceDE/>
        <w:autoSpaceDN/>
        <w:bidi w:val="0"/>
        <w:spacing w:line="570" w:lineRule="exact"/>
        <w:ind w:leftChars="200" w:firstLine="0" w:firstLineChars="0"/>
        <w:rPr>
          <w:rFonts w:ascii="宋体" w:hAnsi="宋体" w:eastAsia="宋体" w:cs="宋体"/>
        </w:rPr>
      </w:pPr>
      <w:bookmarkStart w:id="19" w:name="_Toc16629"/>
      <w:bookmarkStart w:id="20" w:name="_Toc19031"/>
      <w:bookmarkStart w:id="21" w:name="_Toc8232"/>
      <w:r>
        <w:rPr>
          <w:rFonts w:hint="eastAsia" w:ascii="宋体" w:hAnsi="宋体" w:eastAsia="宋体" w:cs="宋体"/>
        </w:rPr>
        <w:t>GB/T 31366</w:t>
      </w:r>
      <w:r>
        <w:rPr>
          <w:rFonts w:hint="eastAsia" w:ascii="宋体" w:hAnsi="宋体" w:eastAsia="宋体" w:cs="宋体"/>
          <w:lang w:val="en-US" w:eastAsia="zh-CN"/>
        </w:rPr>
        <w:t xml:space="preserve">    </w:t>
      </w:r>
      <w:r>
        <w:rPr>
          <w:rFonts w:hint="eastAsia" w:ascii="宋体" w:hAnsi="宋体" w:eastAsia="宋体" w:cs="宋体"/>
        </w:rPr>
        <w:t>光伏发电站监控系统技术要求</w:t>
      </w:r>
    </w:p>
    <w:p w14:paraId="127E387C">
      <w:pPr>
        <w:keepNext w:val="0"/>
        <w:keepLines w:val="0"/>
        <w:pageBreakBefore w:val="0"/>
        <w:numPr>
          <w:ilvl w:val="-1"/>
          <w:numId w:val="0"/>
        </w:numPr>
        <w:kinsoku/>
        <w:wordWrap/>
        <w:overflowPunct/>
        <w:autoSpaceDE/>
        <w:autoSpaceDN/>
        <w:bidi w:val="0"/>
        <w:spacing w:line="570" w:lineRule="exact"/>
        <w:ind w:leftChars="200" w:firstLine="0" w:firstLineChars="0"/>
        <w:rPr>
          <w:rFonts w:ascii="宋体" w:hAnsi="宋体" w:eastAsia="宋体" w:cs="宋体"/>
        </w:rPr>
      </w:pPr>
      <w:r>
        <w:rPr>
          <w:rFonts w:hint="eastAsia" w:ascii="宋体" w:hAnsi="宋体" w:eastAsia="宋体" w:cs="宋体"/>
        </w:rPr>
        <w:t>GB/T 34932</w:t>
      </w:r>
      <w:r>
        <w:rPr>
          <w:rFonts w:hint="eastAsia" w:ascii="宋体" w:hAnsi="宋体" w:eastAsia="宋体" w:cs="宋体"/>
          <w:lang w:val="en-US" w:eastAsia="zh-CN"/>
        </w:rPr>
        <w:t xml:space="preserve">    </w:t>
      </w:r>
      <w:r>
        <w:rPr>
          <w:rFonts w:hint="eastAsia" w:ascii="宋体" w:hAnsi="宋体" w:eastAsia="宋体" w:cs="宋体"/>
        </w:rPr>
        <w:t>分布式光伏发电系统远程监控技术规范</w:t>
      </w:r>
    </w:p>
    <w:p w14:paraId="2EEE258C">
      <w:pPr>
        <w:keepNext w:val="0"/>
        <w:keepLines w:val="0"/>
        <w:pageBreakBefore w:val="0"/>
        <w:numPr>
          <w:ilvl w:val="-1"/>
          <w:numId w:val="0"/>
        </w:numPr>
        <w:kinsoku/>
        <w:wordWrap/>
        <w:overflowPunct/>
        <w:autoSpaceDE/>
        <w:autoSpaceDN/>
        <w:bidi w:val="0"/>
        <w:spacing w:line="570" w:lineRule="exact"/>
        <w:ind w:leftChars="200" w:firstLine="0" w:firstLineChars="0"/>
        <w:rPr>
          <w:rFonts w:ascii="宋体" w:hAnsi="宋体" w:eastAsia="宋体" w:cs="宋体"/>
        </w:rPr>
      </w:pPr>
      <w:r>
        <w:rPr>
          <w:rFonts w:hint="eastAsia" w:ascii="宋体" w:hAnsi="宋体" w:eastAsia="宋体" w:cs="宋体"/>
        </w:rPr>
        <w:t>GB/T 20513</w:t>
      </w:r>
      <w:r>
        <w:rPr>
          <w:rFonts w:hint="eastAsia" w:ascii="宋体" w:hAnsi="宋体" w:eastAsia="宋体" w:cs="宋体"/>
          <w:lang w:val="en-US" w:eastAsia="zh-CN"/>
        </w:rPr>
        <w:t xml:space="preserve">    </w:t>
      </w:r>
      <w:r>
        <w:rPr>
          <w:rFonts w:hint="eastAsia" w:ascii="宋体" w:hAnsi="宋体" w:eastAsia="宋体" w:cs="宋体"/>
        </w:rPr>
        <w:t>光伏系统性能监测 测量、数据交换和分析导则</w:t>
      </w:r>
    </w:p>
    <w:p w14:paraId="667412B5">
      <w:pPr>
        <w:keepNext w:val="0"/>
        <w:keepLines w:val="0"/>
        <w:pageBreakBefore w:val="0"/>
        <w:numPr>
          <w:ilvl w:val="-1"/>
          <w:numId w:val="0"/>
        </w:numPr>
        <w:kinsoku/>
        <w:wordWrap/>
        <w:overflowPunct/>
        <w:autoSpaceDE/>
        <w:autoSpaceDN/>
        <w:bidi w:val="0"/>
        <w:spacing w:line="570" w:lineRule="exact"/>
        <w:ind w:leftChars="200" w:firstLine="0" w:firstLineChars="0"/>
        <w:rPr>
          <w:rFonts w:ascii="宋体" w:hAnsi="宋体" w:eastAsia="宋体" w:cs="宋体"/>
        </w:rPr>
      </w:pPr>
      <w:r>
        <w:rPr>
          <w:rFonts w:hint="eastAsia" w:ascii="宋体" w:hAnsi="宋体" w:eastAsia="宋体" w:cs="宋体"/>
        </w:rPr>
        <w:t>GB/T 32900</w:t>
      </w:r>
      <w:r>
        <w:rPr>
          <w:rFonts w:hint="eastAsia" w:ascii="宋体" w:hAnsi="宋体" w:eastAsia="宋体" w:cs="宋体"/>
          <w:lang w:val="en-US" w:eastAsia="zh-CN"/>
        </w:rPr>
        <w:t xml:space="preserve">    </w:t>
      </w:r>
      <w:r>
        <w:rPr>
          <w:rFonts w:hint="eastAsia" w:ascii="宋体" w:hAnsi="宋体" w:eastAsia="宋体" w:cs="宋体"/>
        </w:rPr>
        <w:t>光伏发电站继电保护技术规范</w:t>
      </w:r>
    </w:p>
    <w:p w14:paraId="6290E2F0">
      <w:pPr>
        <w:keepNext w:val="0"/>
        <w:keepLines w:val="0"/>
        <w:pageBreakBefore w:val="0"/>
        <w:numPr>
          <w:ilvl w:val="-1"/>
          <w:numId w:val="0"/>
        </w:numPr>
        <w:kinsoku/>
        <w:wordWrap/>
        <w:overflowPunct/>
        <w:autoSpaceDE/>
        <w:autoSpaceDN/>
        <w:bidi w:val="0"/>
        <w:spacing w:line="570" w:lineRule="exact"/>
        <w:ind w:leftChars="200" w:firstLine="0" w:firstLineChars="0"/>
        <w:rPr>
          <w:rFonts w:ascii="宋体" w:hAnsi="宋体" w:eastAsia="宋体" w:cs="宋体"/>
        </w:rPr>
      </w:pPr>
      <w:r>
        <w:rPr>
          <w:rFonts w:hint="eastAsia" w:ascii="宋体" w:hAnsi="宋体" w:eastAsia="宋体" w:cs="宋体"/>
        </w:rPr>
        <w:t>GB/T 32892</w:t>
      </w:r>
      <w:r>
        <w:rPr>
          <w:rFonts w:hint="eastAsia" w:ascii="宋体" w:hAnsi="宋体" w:eastAsia="宋体" w:cs="宋体"/>
          <w:lang w:val="en-US" w:eastAsia="zh-CN"/>
        </w:rPr>
        <w:t xml:space="preserve">    </w:t>
      </w:r>
      <w:r>
        <w:rPr>
          <w:rFonts w:hint="eastAsia" w:ascii="宋体" w:hAnsi="宋体" w:eastAsia="宋体" w:cs="宋体"/>
        </w:rPr>
        <w:t>光伏发电系统模型及参数测试规程</w:t>
      </w:r>
    </w:p>
    <w:p w14:paraId="65E7245E">
      <w:pPr>
        <w:keepNext w:val="0"/>
        <w:keepLines w:val="0"/>
        <w:pageBreakBefore w:val="0"/>
        <w:numPr>
          <w:ilvl w:val="-1"/>
          <w:numId w:val="0"/>
        </w:numPr>
        <w:kinsoku/>
        <w:wordWrap/>
        <w:overflowPunct/>
        <w:autoSpaceDE/>
        <w:autoSpaceDN/>
        <w:bidi w:val="0"/>
        <w:spacing w:line="570" w:lineRule="exact"/>
        <w:ind w:leftChars="200" w:firstLine="0" w:firstLineChars="0"/>
        <w:rPr>
          <w:rFonts w:ascii="宋体" w:hAnsi="宋体" w:eastAsia="宋体" w:cs="宋体"/>
        </w:rPr>
      </w:pPr>
      <w:r>
        <w:rPr>
          <w:rFonts w:hint="eastAsia" w:ascii="宋体" w:hAnsi="宋体" w:eastAsia="宋体" w:cs="宋体"/>
        </w:rPr>
        <w:t>GB/T 30427</w:t>
      </w:r>
      <w:r>
        <w:rPr>
          <w:rFonts w:hint="eastAsia" w:ascii="宋体" w:hAnsi="宋体" w:eastAsia="宋体" w:cs="宋体"/>
          <w:lang w:val="en-US" w:eastAsia="zh-CN"/>
        </w:rPr>
        <w:t xml:space="preserve">    </w:t>
      </w:r>
      <w:r>
        <w:rPr>
          <w:rFonts w:hint="eastAsia" w:ascii="宋体" w:hAnsi="宋体" w:eastAsia="宋体" w:cs="宋体"/>
        </w:rPr>
        <w:t>并网光伏发电专用逆变器技术要求和试验方法</w:t>
      </w:r>
    </w:p>
    <w:p w14:paraId="441A0F55">
      <w:pPr>
        <w:keepNext w:val="0"/>
        <w:keepLines w:val="0"/>
        <w:pageBreakBefore w:val="0"/>
        <w:numPr>
          <w:ilvl w:val="-1"/>
          <w:numId w:val="0"/>
        </w:numPr>
        <w:kinsoku/>
        <w:wordWrap/>
        <w:overflowPunct/>
        <w:autoSpaceDE/>
        <w:autoSpaceDN/>
        <w:bidi w:val="0"/>
        <w:spacing w:line="570" w:lineRule="exact"/>
        <w:ind w:leftChars="200" w:firstLine="0" w:firstLineChars="0"/>
        <w:rPr>
          <w:rFonts w:ascii="宋体" w:hAnsi="宋体" w:eastAsia="宋体" w:cs="宋体"/>
        </w:rPr>
      </w:pPr>
      <w:r>
        <w:rPr>
          <w:rFonts w:hint="eastAsia" w:ascii="宋体" w:hAnsi="宋体" w:eastAsia="宋体" w:cs="宋体"/>
        </w:rPr>
        <w:t>GB/T 35694</w:t>
      </w:r>
      <w:r>
        <w:rPr>
          <w:rFonts w:hint="eastAsia" w:ascii="宋体" w:hAnsi="宋体" w:eastAsia="宋体" w:cs="宋体"/>
          <w:lang w:val="en-US" w:eastAsia="zh-CN"/>
        </w:rPr>
        <w:t xml:space="preserve">    </w:t>
      </w:r>
      <w:r>
        <w:rPr>
          <w:rFonts w:hint="eastAsia" w:ascii="宋体" w:hAnsi="宋体" w:eastAsia="宋体" w:cs="宋体"/>
        </w:rPr>
        <w:t>光伏发电站安全规程</w:t>
      </w:r>
    </w:p>
    <w:p w14:paraId="5EB8B170">
      <w:pPr>
        <w:keepNext w:val="0"/>
        <w:keepLines w:val="0"/>
        <w:pageBreakBefore w:val="0"/>
        <w:numPr>
          <w:ilvl w:val="-1"/>
          <w:numId w:val="0"/>
        </w:numPr>
        <w:kinsoku/>
        <w:wordWrap/>
        <w:overflowPunct/>
        <w:autoSpaceDE/>
        <w:autoSpaceDN/>
        <w:bidi w:val="0"/>
        <w:spacing w:line="570" w:lineRule="exact"/>
        <w:ind w:leftChars="200" w:firstLine="0" w:firstLineChars="0"/>
        <w:rPr>
          <w:rFonts w:ascii="宋体" w:hAnsi="宋体" w:eastAsia="宋体" w:cs="宋体"/>
        </w:rPr>
      </w:pPr>
      <w:r>
        <w:rPr>
          <w:rFonts w:hint="eastAsia" w:ascii="宋体" w:hAnsi="宋体" w:eastAsia="宋体" w:cs="宋体"/>
        </w:rPr>
        <w:t>GB/T 19964</w:t>
      </w:r>
      <w:r>
        <w:rPr>
          <w:rFonts w:hint="eastAsia" w:ascii="宋体" w:hAnsi="宋体" w:eastAsia="宋体" w:cs="宋体"/>
          <w:lang w:val="en-US" w:eastAsia="zh-CN"/>
        </w:rPr>
        <w:t xml:space="preserve">    </w:t>
      </w:r>
      <w:r>
        <w:rPr>
          <w:rFonts w:hint="eastAsia" w:ascii="宋体" w:hAnsi="宋体" w:eastAsia="宋体" w:cs="宋体"/>
        </w:rPr>
        <w:t>光伏发电站接入电力系统技术规定</w:t>
      </w:r>
    </w:p>
    <w:p w14:paraId="1846F655">
      <w:pPr>
        <w:keepNext w:val="0"/>
        <w:keepLines w:val="0"/>
        <w:pageBreakBefore w:val="0"/>
        <w:numPr>
          <w:ilvl w:val="-1"/>
          <w:numId w:val="0"/>
        </w:numPr>
        <w:kinsoku/>
        <w:wordWrap/>
        <w:overflowPunct/>
        <w:autoSpaceDE/>
        <w:autoSpaceDN/>
        <w:bidi w:val="0"/>
        <w:spacing w:line="570" w:lineRule="exact"/>
        <w:ind w:leftChars="200" w:firstLine="0" w:firstLineChars="0"/>
        <w:rPr>
          <w:rFonts w:ascii="宋体" w:hAnsi="宋体" w:eastAsia="宋体" w:cs="宋体"/>
        </w:rPr>
      </w:pPr>
      <w:r>
        <w:rPr>
          <w:rFonts w:hint="eastAsia" w:ascii="宋体" w:hAnsi="宋体" w:eastAsia="宋体" w:cs="宋体"/>
        </w:rPr>
        <w:t>Q/GDW 1617</w:t>
      </w:r>
      <w:r>
        <w:rPr>
          <w:rFonts w:hint="eastAsia" w:ascii="宋体" w:hAnsi="宋体" w:eastAsia="宋体" w:cs="宋体"/>
          <w:lang w:val="en-US" w:eastAsia="zh-CN"/>
        </w:rPr>
        <w:t xml:space="preserve">    </w:t>
      </w:r>
      <w:r>
        <w:rPr>
          <w:rFonts w:hint="eastAsia" w:ascii="宋体" w:hAnsi="宋体" w:eastAsia="宋体" w:cs="宋体"/>
        </w:rPr>
        <w:t>光伏发电站接入电网技术规定</w:t>
      </w:r>
    </w:p>
    <w:p w14:paraId="4B5BE288">
      <w:pPr>
        <w:keepNext w:val="0"/>
        <w:keepLines w:val="0"/>
        <w:pageBreakBefore w:val="0"/>
        <w:numPr>
          <w:ilvl w:val="-1"/>
          <w:numId w:val="0"/>
        </w:numPr>
        <w:kinsoku/>
        <w:wordWrap/>
        <w:overflowPunct/>
        <w:autoSpaceDE/>
        <w:autoSpaceDN/>
        <w:bidi w:val="0"/>
        <w:spacing w:line="570" w:lineRule="exact"/>
        <w:ind w:leftChars="200" w:firstLine="0" w:firstLineChars="0"/>
        <w:rPr>
          <w:rFonts w:hint="default" w:ascii="宋体" w:hAnsi="宋体" w:eastAsia="宋体" w:cs="宋体"/>
          <w:lang w:val="en-US" w:eastAsia="zh-CN"/>
        </w:rPr>
      </w:pPr>
      <w:r>
        <w:rPr>
          <w:rFonts w:hint="eastAsia" w:ascii="宋体" w:hAnsi="宋体" w:eastAsia="宋体" w:cs="宋体"/>
        </w:rPr>
        <w:t>DL/T 1870</w:t>
      </w:r>
      <w:r>
        <w:rPr>
          <w:rFonts w:hint="eastAsia" w:ascii="宋体" w:hAnsi="宋体" w:eastAsia="宋体" w:cs="宋体"/>
          <w:lang w:val="en-US" w:eastAsia="zh-CN"/>
        </w:rPr>
        <w:t xml:space="preserve">     </w:t>
      </w:r>
      <w:r>
        <w:rPr>
          <w:rFonts w:hint="eastAsia" w:ascii="宋体" w:hAnsi="宋体" w:eastAsia="宋体" w:cs="宋体"/>
        </w:rPr>
        <w:t>电力系统网源协调技术规范</w:t>
      </w:r>
    </w:p>
    <w:p w14:paraId="3BABBDEA">
      <w:pPr>
        <w:keepNext w:val="0"/>
        <w:keepLines w:val="0"/>
        <w:pageBreakBefore w:val="0"/>
        <w:numPr>
          <w:ilvl w:val="-1"/>
          <w:numId w:val="0"/>
        </w:numPr>
        <w:kinsoku/>
        <w:wordWrap/>
        <w:overflowPunct/>
        <w:autoSpaceDE/>
        <w:autoSpaceDN/>
        <w:bidi w:val="0"/>
        <w:spacing w:line="570" w:lineRule="exact"/>
        <w:ind w:leftChars="200" w:firstLine="0" w:firstLineChars="0"/>
        <w:rPr>
          <w:rFonts w:hint="eastAsia" w:ascii="宋体" w:hAnsi="宋体" w:eastAsia="宋体" w:cs="宋体"/>
          <w:lang w:eastAsia="zh-CN"/>
        </w:rPr>
      </w:pPr>
      <w:r>
        <w:rPr>
          <w:rFonts w:hint="eastAsia" w:ascii="宋体" w:hAnsi="宋体" w:eastAsia="宋体" w:cs="宋体"/>
        </w:rPr>
        <w:t>国家电网公司西北分部关于开展西北电网新能源场站快速频率响应推广应用工作的通知</w:t>
      </w:r>
      <w:r>
        <w:rPr>
          <w:rFonts w:hint="eastAsia" w:ascii="宋体" w:hAnsi="宋体" w:eastAsia="宋体" w:cs="宋体"/>
          <w:lang w:eastAsia="zh-CN"/>
        </w:rPr>
        <w:t>（</w:t>
      </w:r>
      <w:r>
        <w:rPr>
          <w:rFonts w:hint="eastAsia" w:ascii="宋体" w:hAnsi="宋体" w:eastAsia="宋体" w:cs="宋体"/>
        </w:rPr>
        <w:t>西北调控</w:t>
      </w:r>
      <w:r>
        <w:rPr>
          <w:rFonts w:hint="eastAsia" w:ascii="宋体" w:hAnsi="宋体" w:eastAsia="宋体" w:cs="宋体"/>
          <w:sz w:val="24"/>
          <w:szCs w:val="24"/>
          <w:lang w:val="en-US"/>
        </w:rPr>
        <w:t>〔20</w:t>
      </w:r>
      <w:r>
        <w:rPr>
          <w:rFonts w:hint="eastAsia" w:ascii="宋体" w:hAnsi="宋体" w:eastAsia="宋体" w:cs="宋体"/>
          <w:sz w:val="24"/>
          <w:szCs w:val="24"/>
          <w:lang w:val="en-US" w:eastAsia="zh-CN"/>
        </w:rPr>
        <w:t>18</w:t>
      </w:r>
      <w:r>
        <w:rPr>
          <w:rFonts w:hint="eastAsia" w:ascii="宋体" w:hAnsi="宋体" w:eastAsia="宋体" w:cs="宋体"/>
          <w:sz w:val="24"/>
          <w:szCs w:val="24"/>
          <w:lang w:val="en-US"/>
        </w:rPr>
        <w:t>〕</w:t>
      </w:r>
      <w:r>
        <w:rPr>
          <w:rFonts w:hint="eastAsia" w:ascii="宋体" w:hAnsi="宋体" w:eastAsia="宋体" w:cs="宋体"/>
        </w:rPr>
        <w:t xml:space="preserve">137号 </w:t>
      </w:r>
      <w:r>
        <w:rPr>
          <w:rFonts w:hint="eastAsia" w:ascii="宋体" w:hAnsi="宋体" w:eastAsia="宋体" w:cs="宋体"/>
          <w:lang w:eastAsia="zh-CN"/>
        </w:rPr>
        <w:t>）</w:t>
      </w:r>
    </w:p>
    <w:p w14:paraId="5EA7CDBD">
      <w:pPr>
        <w:keepNext w:val="0"/>
        <w:keepLines w:val="0"/>
        <w:pageBreakBefore w:val="0"/>
        <w:numPr>
          <w:ilvl w:val="-1"/>
          <w:numId w:val="0"/>
        </w:numPr>
        <w:kinsoku/>
        <w:wordWrap/>
        <w:overflowPunct/>
        <w:autoSpaceDE/>
        <w:autoSpaceDN/>
        <w:bidi w:val="0"/>
        <w:spacing w:line="570" w:lineRule="exact"/>
        <w:ind w:leftChars="200" w:firstLine="0" w:firstLineChars="0"/>
        <w:rPr>
          <w:rFonts w:ascii="宋体" w:hAnsi="宋体" w:eastAsia="宋体" w:cs="宋体"/>
        </w:rPr>
      </w:pPr>
      <w:r>
        <w:rPr>
          <w:rFonts w:hint="eastAsia" w:ascii="宋体" w:hAnsi="宋体" w:eastAsia="宋体" w:cs="宋体"/>
        </w:rPr>
        <w:t>西北区域发电厂并网运行管理实施细则</w:t>
      </w:r>
    </w:p>
    <w:p w14:paraId="7A1ED8AB">
      <w:pPr>
        <w:keepNext w:val="0"/>
        <w:keepLines w:val="0"/>
        <w:pageBreakBefore w:val="0"/>
        <w:numPr>
          <w:ilvl w:val="-1"/>
          <w:numId w:val="0"/>
        </w:numPr>
        <w:kinsoku/>
        <w:wordWrap/>
        <w:overflowPunct/>
        <w:autoSpaceDE/>
        <w:autoSpaceDN/>
        <w:bidi w:val="0"/>
        <w:spacing w:line="570" w:lineRule="exact"/>
        <w:ind w:leftChars="200" w:firstLine="0" w:firstLineChars="0"/>
        <w:rPr>
          <w:rFonts w:ascii="宋体" w:hAnsi="宋体" w:eastAsia="宋体" w:cs="宋体"/>
        </w:rPr>
      </w:pPr>
      <w:r>
        <w:rPr>
          <w:rFonts w:hint="eastAsia" w:ascii="宋体" w:hAnsi="宋体" w:eastAsia="宋体" w:cs="宋体"/>
        </w:rPr>
        <w:t>西北区域并网发电厂辅助服务管理实施细则</w:t>
      </w:r>
    </w:p>
    <w:p w14:paraId="3F424DDA">
      <w:pPr>
        <w:pStyle w:val="2"/>
        <w:keepNext w:val="0"/>
        <w:keepLines w:val="0"/>
        <w:pageBreakBefore w:val="0"/>
        <w:kinsoku/>
        <w:wordWrap/>
        <w:overflowPunct/>
        <w:autoSpaceDE/>
        <w:autoSpaceDN/>
        <w:bidi w:val="0"/>
        <w:spacing w:line="570" w:lineRule="exact"/>
      </w:pPr>
      <w:bookmarkStart w:id="22" w:name="_Toc32043"/>
      <w:r>
        <w:rPr>
          <w:rFonts w:hint="eastAsia"/>
        </w:rPr>
        <w:t>四</w:t>
      </w:r>
      <w:r>
        <w:rPr>
          <w:rFonts w:hint="eastAsia"/>
          <w:lang w:eastAsia="zh-CN"/>
        </w:rPr>
        <w:t>、</w:t>
      </w:r>
      <w:r>
        <w:rPr>
          <w:rFonts w:hint="eastAsia"/>
        </w:rPr>
        <w:t>技术要求</w:t>
      </w:r>
      <w:bookmarkEnd w:id="19"/>
      <w:bookmarkEnd w:id="20"/>
      <w:bookmarkEnd w:id="21"/>
      <w:bookmarkEnd w:id="22"/>
    </w:p>
    <w:p w14:paraId="6DB16BD3">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23" w:name="_Toc2684843"/>
      <w:bookmarkStart w:id="24" w:name="_Toc2677488"/>
      <w:bookmarkStart w:id="25" w:name="_Toc15209"/>
      <w:bookmarkStart w:id="26" w:name="_Toc32560"/>
      <w:bookmarkStart w:id="27" w:name="_Toc27117"/>
      <w:bookmarkStart w:id="28" w:name="_Toc15797"/>
      <w:r>
        <w:rPr>
          <w:rFonts w:hint="eastAsia" w:ascii="宋体" w:hAnsi="宋体" w:eastAsia="宋体" w:cs="宋体"/>
          <w:b/>
          <w:bCs w:val="0"/>
          <w:sz w:val="24"/>
          <w:szCs w:val="24"/>
        </w:rPr>
        <w:t>4.</w:t>
      </w:r>
      <w:bookmarkStart w:id="29" w:name="_Toc257408687"/>
      <w:bookmarkStart w:id="30" w:name="_Toc156016632"/>
      <w:bookmarkStart w:id="31" w:name="_Toc165125318"/>
      <w:bookmarkStart w:id="32" w:name="_Toc252017372"/>
      <w:r>
        <w:rPr>
          <w:rFonts w:hint="eastAsia" w:ascii="宋体" w:hAnsi="宋体" w:eastAsia="宋体" w:cs="宋体"/>
          <w:b/>
          <w:bCs w:val="0"/>
          <w:sz w:val="24"/>
          <w:szCs w:val="24"/>
        </w:rPr>
        <w:t>1</w:t>
      </w:r>
      <w:bookmarkEnd w:id="29"/>
      <w:bookmarkEnd w:id="30"/>
      <w:bookmarkEnd w:id="31"/>
      <w:bookmarkEnd w:id="32"/>
      <w:bookmarkStart w:id="33" w:name="_Toc250810491"/>
      <w:bookmarkStart w:id="34" w:name="_Toc155151895"/>
      <w:r>
        <w:rPr>
          <w:rFonts w:hint="eastAsia" w:ascii="宋体" w:hAnsi="宋体" w:eastAsia="宋体" w:cs="宋体"/>
          <w:b/>
          <w:bCs w:val="0"/>
          <w:sz w:val="24"/>
          <w:szCs w:val="24"/>
        </w:rPr>
        <w:t>技术</w:t>
      </w:r>
      <w:bookmarkEnd w:id="23"/>
      <w:bookmarkEnd w:id="24"/>
      <w:bookmarkEnd w:id="33"/>
      <w:bookmarkEnd w:id="34"/>
      <w:r>
        <w:rPr>
          <w:rFonts w:hint="eastAsia" w:ascii="宋体" w:hAnsi="宋体" w:eastAsia="宋体" w:cs="宋体"/>
          <w:b/>
          <w:bCs w:val="0"/>
          <w:sz w:val="24"/>
          <w:szCs w:val="24"/>
        </w:rPr>
        <w:t>方案</w:t>
      </w:r>
      <w:bookmarkEnd w:id="25"/>
      <w:bookmarkEnd w:id="26"/>
      <w:bookmarkEnd w:id="27"/>
      <w:bookmarkEnd w:id="28"/>
    </w:p>
    <w:p w14:paraId="296980DE">
      <w:pPr>
        <w:keepNext w:val="0"/>
        <w:keepLines w:val="0"/>
        <w:pageBreakBefore w:val="0"/>
        <w:numPr>
          <w:ilvl w:val="0"/>
          <w:numId w:val="0"/>
        </w:numPr>
        <w:kinsoku/>
        <w:wordWrap/>
        <w:overflowPunct/>
        <w:autoSpaceDE/>
        <w:autoSpaceDN/>
        <w:bidi w:val="0"/>
        <w:spacing w:line="570" w:lineRule="exact"/>
        <w:ind w:leftChars="200" w:firstLine="480" w:firstLineChars="200"/>
        <w:rPr>
          <w:rFonts w:hint="eastAsia" w:ascii="宋体" w:hAnsi="宋体" w:eastAsia="宋体" w:cs="宋体"/>
        </w:rPr>
      </w:pPr>
      <w:r>
        <w:rPr>
          <w:rFonts w:hint="eastAsia" w:ascii="宋体" w:hAnsi="宋体" w:eastAsia="宋体" w:cs="宋体"/>
          <w:lang w:val="en-US" w:eastAsia="zh-CN"/>
        </w:rPr>
        <w:t>4.1.1</w:t>
      </w:r>
      <w:r>
        <w:rPr>
          <w:rFonts w:hint="eastAsia" w:ascii="宋体" w:hAnsi="宋体" w:eastAsia="宋体" w:cs="宋体"/>
          <w:lang w:eastAsia="zh-CN"/>
        </w:rPr>
        <w:t>嘉峪关二期光储电站</w:t>
      </w:r>
      <w:r>
        <w:rPr>
          <w:rFonts w:hint="eastAsia" w:ascii="宋体" w:hAnsi="宋体" w:eastAsia="宋体" w:cs="宋体"/>
        </w:rPr>
        <w:t>配套储能由两个发电单元组成，每个发电单元由一台PCS变流控制器、两台BMS电池管理系统、一台LC本地控制器组成，经过继保室储能通讯柜通讯管理交换机传输到主控后台EMS能量管理系统。</w:t>
      </w:r>
    </w:p>
    <w:p w14:paraId="7E57DC84">
      <w:pPr>
        <w:keepNext w:val="0"/>
        <w:keepLines w:val="0"/>
        <w:pageBreakBefore w:val="0"/>
        <w:numPr>
          <w:ilvl w:val="0"/>
          <w:numId w:val="0"/>
        </w:numPr>
        <w:kinsoku/>
        <w:wordWrap/>
        <w:overflowPunct/>
        <w:autoSpaceDE/>
        <w:autoSpaceDN/>
        <w:bidi w:val="0"/>
        <w:spacing w:line="570" w:lineRule="exact"/>
        <w:ind w:leftChars="200" w:firstLine="480" w:firstLineChars="200"/>
        <w:rPr>
          <w:rFonts w:hint="eastAsia" w:ascii="宋体" w:hAnsi="宋体" w:eastAsia="宋体" w:cs="宋体"/>
        </w:rPr>
      </w:pPr>
      <w:r>
        <w:rPr>
          <w:rFonts w:hint="eastAsia" w:ascii="宋体" w:hAnsi="宋体" w:eastAsia="宋体" w:cs="宋体"/>
          <w:lang w:val="en-US" w:eastAsia="zh-CN"/>
        </w:rPr>
        <w:t>4.1.2</w:t>
      </w:r>
      <w:r>
        <w:rPr>
          <w:rFonts w:hint="eastAsia" w:ascii="宋体" w:hAnsi="宋体" w:eastAsia="宋体" w:cs="宋体"/>
        </w:rPr>
        <w:t>改造方案为新增一套专用的快速频率响应装置，在储能AGC有功控制系统中实现有功</w:t>
      </w:r>
      <w:r>
        <w:rPr>
          <w:rFonts w:hint="eastAsia" w:ascii="宋体" w:hAnsi="宋体" w:eastAsia="宋体" w:cs="宋体"/>
          <w:lang w:eastAsia="zh-CN"/>
        </w:rPr>
        <w:t>－</w:t>
      </w:r>
      <w:r>
        <w:rPr>
          <w:rFonts w:hint="eastAsia" w:ascii="宋体" w:hAnsi="宋体" w:eastAsia="宋体" w:cs="宋体"/>
        </w:rPr>
        <w:t>频率下垂特性控制，实现储能系统参与电网快速频率响应功能。考虑到技术可行性及现场可实施性，本方案通过配置快速调频控制，采集光并网点的电压、电流电气信号，并计算有功功率、无功功率及系统频率的参数，当检测到电网频率变化越过的快速调频死区时，快速启动并形成调频控制目标值指令，转发给厂区通信单元装置并下发逆变器执行，实现全站的有功功率调节响应，参与电力系统快速调频。</w:t>
      </w:r>
    </w:p>
    <w:p w14:paraId="712B18F5">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p>
    <w:p w14:paraId="1D6969BD">
      <w:pPr>
        <w:keepNext w:val="0"/>
        <w:keepLines w:val="0"/>
        <w:pageBreakBefore w:val="0"/>
        <w:kinsoku/>
        <w:wordWrap/>
        <w:overflowPunct/>
        <w:autoSpaceDE/>
        <w:autoSpaceDN/>
        <w:bidi w:val="0"/>
        <w:spacing w:line="570" w:lineRule="exact"/>
        <w:ind w:firstLine="480" w:firstLineChars="200"/>
      </w:pPr>
    </w:p>
    <w:p w14:paraId="700A4AE7">
      <w:pPr>
        <w:keepNext w:val="0"/>
        <w:keepLines w:val="0"/>
        <w:pageBreakBefore w:val="0"/>
        <w:kinsoku/>
        <w:wordWrap/>
        <w:overflowPunct/>
        <w:autoSpaceDE/>
        <w:autoSpaceDN/>
        <w:bidi w:val="0"/>
        <w:spacing w:line="570" w:lineRule="exact"/>
        <w:ind w:firstLine="640" w:firstLineChars="200"/>
        <w:rPr>
          <w:rFonts w:ascii="仿宋" w:hAnsi="仿宋" w:cs="宋体"/>
          <w:sz w:val="32"/>
          <w:szCs w:val="32"/>
        </w:rPr>
      </w:pPr>
      <w:bookmarkStart w:id="35" w:name="_Toc155151896"/>
    </w:p>
    <w:p w14:paraId="3A4AFAF6">
      <w:pPr>
        <w:keepNext w:val="0"/>
        <w:keepLines w:val="0"/>
        <w:pageBreakBefore w:val="0"/>
        <w:kinsoku/>
        <w:wordWrap/>
        <w:overflowPunct/>
        <w:autoSpaceDE/>
        <w:autoSpaceDN/>
        <w:bidi w:val="0"/>
        <w:spacing w:line="570" w:lineRule="exact"/>
        <w:ind w:firstLine="1200" w:firstLineChars="500"/>
        <w:rPr>
          <w:rFonts w:hint="eastAsia" w:ascii="宋体" w:hAnsi="宋体" w:eastAsia="宋体" w:cs="宋体"/>
          <w:sz w:val="21"/>
          <w:szCs w:val="21"/>
          <w:lang w:eastAsia="zh-CN"/>
        </w:rPr>
      </w:pPr>
      <w:r>
        <w:rPr>
          <w:rFonts w:hint="eastAsia"/>
        </w:rPr>
        <w:drawing>
          <wp:anchor distT="0" distB="0" distL="114300" distR="114300" simplePos="0" relativeHeight="251662336" behindDoc="0" locked="0" layoutInCell="1" allowOverlap="1">
            <wp:simplePos x="0" y="0"/>
            <wp:positionH relativeFrom="column">
              <wp:posOffset>9525</wp:posOffset>
            </wp:positionH>
            <wp:positionV relativeFrom="paragraph">
              <wp:posOffset>66675</wp:posOffset>
            </wp:positionV>
            <wp:extent cx="5367020" cy="3286125"/>
            <wp:effectExtent l="0" t="0" r="5080" b="9525"/>
            <wp:wrapNone/>
            <wp:docPr id="3" name="图片 3" descr="8d5b394a0db16e4ef09232abdc2d2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8d5b394a0db16e4ef09232abdc2d24b"/>
                    <pic:cNvPicPr>
                      <a:picLocks noChangeAspect="1"/>
                    </pic:cNvPicPr>
                  </pic:nvPicPr>
                  <pic:blipFill>
                    <a:blip r:embed="rId10"/>
                    <a:stretch>
                      <a:fillRect/>
                    </a:stretch>
                  </pic:blipFill>
                  <pic:spPr>
                    <a:xfrm>
                      <a:off x="0" y="0"/>
                      <a:ext cx="5367020" cy="3286125"/>
                    </a:xfrm>
                    <a:prstGeom prst="rect">
                      <a:avLst/>
                    </a:prstGeom>
                  </pic:spPr>
                </pic:pic>
              </a:graphicData>
            </a:graphic>
          </wp:anchor>
        </w:drawing>
      </w:r>
    </w:p>
    <w:p w14:paraId="1F9C1730">
      <w:pPr>
        <w:keepNext w:val="0"/>
        <w:keepLines w:val="0"/>
        <w:pageBreakBefore w:val="0"/>
        <w:kinsoku/>
        <w:wordWrap/>
        <w:overflowPunct/>
        <w:autoSpaceDE/>
        <w:autoSpaceDN/>
        <w:bidi w:val="0"/>
        <w:spacing w:line="570" w:lineRule="exact"/>
        <w:ind w:firstLine="1050" w:firstLineChars="500"/>
        <w:rPr>
          <w:rFonts w:hint="eastAsia" w:ascii="宋体" w:hAnsi="宋体" w:eastAsia="宋体" w:cs="宋体"/>
          <w:sz w:val="21"/>
          <w:szCs w:val="21"/>
          <w:lang w:eastAsia="zh-CN"/>
        </w:rPr>
      </w:pPr>
    </w:p>
    <w:p w14:paraId="53C5C7FE">
      <w:pPr>
        <w:keepNext w:val="0"/>
        <w:keepLines w:val="0"/>
        <w:pageBreakBefore w:val="0"/>
        <w:kinsoku/>
        <w:wordWrap/>
        <w:overflowPunct/>
        <w:autoSpaceDE/>
        <w:autoSpaceDN/>
        <w:bidi w:val="0"/>
        <w:spacing w:line="570" w:lineRule="exact"/>
        <w:ind w:firstLine="1050" w:firstLineChars="500"/>
        <w:rPr>
          <w:rFonts w:hint="eastAsia" w:ascii="宋体" w:hAnsi="宋体" w:eastAsia="宋体" w:cs="宋体"/>
          <w:sz w:val="21"/>
          <w:szCs w:val="21"/>
          <w:lang w:eastAsia="zh-CN"/>
        </w:rPr>
      </w:pPr>
    </w:p>
    <w:p w14:paraId="030094FB">
      <w:pPr>
        <w:keepNext w:val="0"/>
        <w:keepLines w:val="0"/>
        <w:pageBreakBefore w:val="0"/>
        <w:kinsoku/>
        <w:wordWrap/>
        <w:overflowPunct/>
        <w:autoSpaceDE/>
        <w:autoSpaceDN/>
        <w:bidi w:val="0"/>
        <w:spacing w:line="570" w:lineRule="exact"/>
        <w:ind w:firstLine="1050" w:firstLineChars="500"/>
        <w:rPr>
          <w:rFonts w:hint="eastAsia" w:ascii="宋体" w:hAnsi="宋体" w:eastAsia="宋体" w:cs="宋体"/>
          <w:sz w:val="21"/>
          <w:szCs w:val="21"/>
          <w:lang w:eastAsia="zh-CN"/>
        </w:rPr>
      </w:pPr>
    </w:p>
    <w:p w14:paraId="6219D56E">
      <w:pPr>
        <w:keepNext w:val="0"/>
        <w:keepLines w:val="0"/>
        <w:pageBreakBefore w:val="0"/>
        <w:kinsoku/>
        <w:wordWrap/>
        <w:overflowPunct/>
        <w:autoSpaceDE/>
        <w:autoSpaceDN/>
        <w:bidi w:val="0"/>
        <w:spacing w:line="570" w:lineRule="exact"/>
        <w:ind w:firstLine="1050" w:firstLineChars="500"/>
        <w:rPr>
          <w:rFonts w:hint="eastAsia" w:ascii="宋体" w:hAnsi="宋体" w:eastAsia="宋体" w:cs="宋体"/>
          <w:sz w:val="21"/>
          <w:szCs w:val="21"/>
          <w:lang w:eastAsia="zh-CN"/>
        </w:rPr>
      </w:pPr>
    </w:p>
    <w:p w14:paraId="5C591ECF">
      <w:pPr>
        <w:keepNext w:val="0"/>
        <w:keepLines w:val="0"/>
        <w:pageBreakBefore w:val="0"/>
        <w:kinsoku/>
        <w:wordWrap/>
        <w:overflowPunct/>
        <w:autoSpaceDE/>
        <w:autoSpaceDN/>
        <w:bidi w:val="0"/>
        <w:spacing w:line="570" w:lineRule="exact"/>
        <w:ind w:firstLine="1050" w:firstLineChars="500"/>
        <w:rPr>
          <w:rFonts w:hint="eastAsia" w:ascii="宋体" w:hAnsi="宋体" w:eastAsia="宋体" w:cs="宋体"/>
          <w:sz w:val="21"/>
          <w:szCs w:val="21"/>
          <w:lang w:eastAsia="zh-CN"/>
        </w:rPr>
      </w:pPr>
    </w:p>
    <w:p w14:paraId="48453C80">
      <w:pPr>
        <w:keepNext w:val="0"/>
        <w:keepLines w:val="0"/>
        <w:pageBreakBefore w:val="0"/>
        <w:kinsoku/>
        <w:wordWrap/>
        <w:overflowPunct/>
        <w:autoSpaceDE/>
        <w:autoSpaceDN/>
        <w:bidi w:val="0"/>
        <w:spacing w:line="570" w:lineRule="exact"/>
        <w:ind w:firstLine="1050" w:firstLineChars="500"/>
        <w:rPr>
          <w:rFonts w:hint="eastAsia" w:ascii="宋体" w:hAnsi="宋体" w:eastAsia="宋体" w:cs="宋体"/>
          <w:sz w:val="21"/>
          <w:szCs w:val="21"/>
          <w:lang w:eastAsia="zh-CN"/>
        </w:rPr>
      </w:pPr>
    </w:p>
    <w:p w14:paraId="42BB3FA1">
      <w:pPr>
        <w:keepNext w:val="0"/>
        <w:keepLines w:val="0"/>
        <w:pageBreakBefore w:val="0"/>
        <w:kinsoku/>
        <w:wordWrap/>
        <w:overflowPunct/>
        <w:autoSpaceDE/>
        <w:autoSpaceDN/>
        <w:bidi w:val="0"/>
        <w:spacing w:line="570" w:lineRule="exact"/>
        <w:ind w:firstLine="1050" w:firstLineChars="500"/>
        <w:rPr>
          <w:rFonts w:hint="eastAsia" w:ascii="宋体" w:hAnsi="宋体" w:eastAsia="宋体" w:cs="宋体"/>
          <w:sz w:val="21"/>
          <w:szCs w:val="21"/>
          <w:lang w:eastAsia="zh-CN"/>
        </w:rPr>
      </w:pPr>
    </w:p>
    <w:p w14:paraId="077C9431">
      <w:pPr>
        <w:keepNext w:val="0"/>
        <w:keepLines w:val="0"/>
        <w:pageBreakBefore w:val="0"/>
        <w:kinsoku/>
        <w:wordWrap/>
        <w:overflowPunct/>
        <w:autoSpaceDE/>
        <w:autoSpaceDN/>
        <w:bidi w:val="0"/>
        <w:spacing w:line="570" w:lineRule="exact"/>
        <w:ind w:firstLine="1050" w:firstLineChars="500"/>
        <w:rPr>
          <w:rFonts w:hint="eastAsia" w:ascii="宋体" w:hAnsi="宋体" w:eastAsia="宋体" w:cs="宋体"/>
          <w:sz w:val="21"/>
          <w:szCs w:val="21"/>
          <w:lang w:eastAsia="zh-CN"/>
        </w:rPr>
      </w:pPr>
    </w:p>
    <w:p w14:paraId="55E8788D">
      <w:pPr>
        <w:keepNext w:val="0"/>
        <w:keepLines w:val="0"/>
        <w:pageBreakBefore w:val="0"/>
        <w:kinsoku/>
        <w:wordWrap/>
        <w:overflowPunct/>
        <w:autoSpaceDE/>
        <w:autoSpaceDN/>
        <w:bidi w:val="0"/>
        <w:spacing w:line="570" w:lineRule="exact"/>
        <w:ind w:firstLine="1050" w:firstLineChars="500"/>
        <w:rPr>
          <w:rFonts w:hint="eastAsia" w:ascii="宋体" w:hAnsi="宋体" w:eastAsia="宋体" w:cs="宋体"/>
          <w:sz w:val="21"/>
          <w:szCs w:val="21"/>
        </w:rPr>
      </w:pPr>
      <w:r>
        <w:rPr>
          <w:rFonts w:hint="eastAsia" w:ascii="宋体" w:hAnsi="宋体" w:eastAsia="宋体" w:cs="宋体"/>
          <w:sz w:val="21"/>
          <w:szCs w:val="21"/>
          <w:lang w:eastAsia="zh-CN"/>
        </w:rPr>
        <w:t>嘉峪关二期光储电站储能系统</w:t>
      </w:r>
      <w:r>
        <w:rPr>
          <w:rFonts w:hint="eastAsia" w:ascii="宋体" w:hAnsi="宋体" w:eastAsia="宋体" w:cs="宋体"/>
          <w:sz w:val="21"/>
          <w:szCs w:val="21"/>
        </w:rPr>
        <w:t>快速频率控制系统功能改造施工框图</w:t>
      </w:r>
    </w:p>
    <w:p w14:paraId="3AE5CF93">
      <w:pPr>
        <w:spacing w:line="560" w:lineRule="exact"/>
        <w:ind w:firstLine="480"/>
        <w:rPr>
          <w:rFonts w:hint="eastAsia" w:ascii="宋体" w:hAnsi="宋体" w:eastAsia="宋体" w:cs="宋体"/>
        </w:rPr>
      </w:pPr>
      <w:bookmarkStart w:id="36" w:name="_Toc23365"/>
      <w:bookmarkStart w:id="37" w:name="_Toc5249"/>
      <w:bookmarkStart w:id="38" w:name="_Toc16950"/>
      <w:bookmarkStart w:id="39" w:name="_Toc21741"/>
      <w:bookmarkStart w:id="40" w:name="_Toc25434"/>
      <w:bookmarkStart w:id="41" w:name="_Toc28662"/>
      <w:bookmarkStart w:id="42" w:name="_Toc27868"/>
      <w:bookmarkStart w:id="43" w:name="_Toc28408"/>
      <w:bookmarkStart w:id="44" w:name="_Toc24126"/>
      <w:r>
        <w:rPr>
          <w:rFonts w:hint="eastAsia" w:ascii="宋体" w:hAnsi="宋体" w:eastAsia="宋体" w:cs="宋体"/>
        </w:rPr>
        <w:t>4.1.3该改造方案增加一套独立的屏柜，安装在</w:t>
      </w:r>
      <w:r>
        <w:rPr>
          <w:rFonts w:hint="eastAsia" w:ascii="宋体" w:hAnsi="宋体" w:eastAsia="宋体" w:cs="宋体"/>
          <w:lang w:val="en-US" w:eastAsia="zh-CN"/>
        </w:rPr>
        <w:t>上级汇集站</w:t>
      </w:r>
      <w:r>
        <w:rPr>
          <w:rFonts w:hint="eastAsia" w:ascii="宋体" w:hAnsi="宋体" w:eastAsia="宋体" w:cs="宋体"/>
        </w:rPr>
        <w:t>继保室内，该套装置包含快速频率响应装置、高精度测评装置、工业级以太网三层交换机、控制器等核心设备</w:t>
      </w:r>
      <w:r>
        <w:rPr>
          <w:rFonts w:hint="eastAsia" w:ascii="宋体" w:hAnsi="宋体" w:eastAsia="宋体" w:cs="宋体"/>
          <w:lang w:eastAsia="zh-CN"/>
        </w:rPr>
        <w:t>，</w:t>
      </w:r>
      <w:r>
        <w:rPr>
          <w:rFonts w:hint="eastAsia" w:ascii="宋体" w:hAnsi="宋体" w:eastAsia="宋体" w:cs="宋体"/>
          <w:lang w:val="en-US" w:eastAsia="zh-CN"/>
        </w:rPr>
        <w:t>完成所有设备安装调试</w:t>
      </w:r>
      <w:r>
        <w:rPr>
          <w:rFonts w:hint="eastAsia" w:ascii="宋体" w:hAnsi="宋体" w:eastAsia="宋体" w:cs="宋体"/>
        </w:rPr>
        <w:t>。快速频率响应</w:t>
      </w:r>
      <w:r>
        <w:rPr>
          <w:rFonts w:hint="eastAsia" w:ascii="宋体" w:hAnsi="宋体" w:eastAsia="宋体" w:cs="宋体"/>
          <w:lang w:val="en-US" w:eastAsia="zh-CN"/>
        </w:rPr>
        <w:t>工作站（服务器、</w:t>
      </w:r>
      <w:r>
        <w:rPr>
          <w:rFonts w:hint="eastAsia" w:ascii="宋体" w:hAnsi="宋体" w:eastAsia="宋体" w:cs="宋体"/>
        </w:rPr>
        <w:t>显示器</w:t>
      </w:r>
      <w:r>
        <w:rPr>
          <w:rFonts w:hint="eastAsia" w:ascii="宋体" w:hAnsi="宋体" w:eastAsia="宋体" w:cs="宋体"/>
          <w:lang w:val="en-US" w:eastAsia="zh-CN"/>
        </w:rPr>
        <w:t>等</w:t>
      </w:r>
      <w:r>
        <w:rPr>
          <w:rFonts w:hint="eastAsia" w:ascii="宋体" w:hAnsi="宋体" w:eastAsia="宋体" w:cs="宋体"/>
          <w:lang w:eastAsia="zh-CN"/>
        </w:rPr>
        <w:t>）</w:t>
      </w:r>
      <w:r>
        <w:rPr>
          <w:rFonts w:hint="eastAsia" w:ascii="宋体" w:hAnsi="宋体" w:eastAsia="宋体" w:cs="宋体"/>
          <w:lang w:val="en-US" w:eastAsia="zh-CN"/>
        </w:rPr>
        <w:t>安装在</w:t>
      </w:r>
      <w:r>
        <w:rPr>
          <w:rFonts w:hint="eastAsia" w:ascii="宋体" w:hAnsi="宋体" w:eastAsia="宋体" w:cs="宋体"/>
          <w:lang w:eastAsia="zh-CN"/>
        </w:rPr>
        <w:t>嘉峪关二期光储电站</w:t>
      </w:r>
      <w:r>
        <w:rPr>
          <w:rFonts w:hint="eastAsia" w:ascii="宋体" w:hAnsi="宋体" w:eastAsia="宋体" w:cs="宋体"/>
          <w:lang w:val="en-US" w:eastAsia="zh-CN"/>
        </w:rPr>
        <w:t>主控室。</w:t>
      </w:r>
    </w:p>
    <w:p w14:paraId="200A7F9B">
      <w:pPr>
        <w:spacing w:line="560" w:lineRule="exact"/>
        <w:ind w:firstLine="480"/>
        <w:rPr>
          <w:rFonts w:ascii="宋体" w:hAnsi="宋体" w:eastAsia="宋体" w:cs="宋体"/>
        </w:rPr>
      </w:pPr>
      <w:r>
        <w:rPr>
          <w:rFonts w:hint="eastAsia" w:ascii="宋体" w:hAnsi="宋体" w:eastAsia="宋体" w:cs="宋体"/>
        </w:rPr>
        <w:t>4.1.4确定快速频率响应装置二次接线部分，取并网点二次电压、电流模拟量信号。电压、电流电缆铺设从PMU同步向量屏柜至快速频率响应装置屏柜，电源电缆从UPS柜至快速频率响应装置屏柜。</w:t>
      </w:r>
    </w:p>
    <w:p w14:paraId="1744F7B1">
      <w:pPr>
        <w:spacing w:line="560" w:lineRule="exact"/>
        <w:ind w:firstLine="480"/>
        <w:rPr>
          <w:rFonts w:hint="eastAsia" w:ascii="宋体" w:hAnsi="宋体" w:eastAsia="宋体" w:cs="宋体"/>
        </w:rPr>
      </w:pPr>
      <w:r>
        <w:rPr>
          <w:rFonts w:hint="eastAsia" w:ascii="宋体" w:hAnsi="宋体" w:eastAsia="宋体" w:cs="宋体"/>
        </w:rPr>
        <w:t>4.1.5二次继保室铺设通讯</w:t>
      </w:r>
      <w:r>
        <w:rPr>
          <w:rFonts w:hint="eastAsia" w:ascii="宋体" w:hAnsi="宋体" w:eastAsia="宋体" w:cs="宋体"/>
          <w:lang w:val="en-US" w:eastAsia="zh-CN"/>
        </w:rPr>
        <w:t>线缆</w:t>
      </w:r>
      <w:r>
        <w:rPr>
          <w:rFonts w:hint="eastAsia" w:ascii="宋体" w:hAnsi="宋体" w:eastAsia="宋体" w:cs="宋体"/>
        </w:rPr>
        <w:t>，从远动柜至快速频率响应装置屏柜。</w:t>
      </w:r>
    </w:p>
    <w:p w14:paraId="0C7C00BF">
      <w:pPr>
        <w:spacing w:line="560" w:lineRule="exact"/>
        <w:ind w:firstLine="480"/>
        <w:rPr>
          <w:rFonts w:hint="eastAsia" w:ascii="宋体" w:hAnsi="宋体" w:eastAsia="宋体" w:cs="宋体"/>
        </w:rPr>
      </w:pPr>
      <w:r>
        <w:rPr>
          <w:rFonts w:hint="eastAsia" w:ascii="宋体" w:hAnsi="宋体" w:eastAsia="宋体" w:cs="宋体"/>
        </w:rPr>
        <w:t>4.1.6快速频率响应装置屏柜至</w:t>
      </w:r>
      <w:r>
        <w:rPr>
          <w:rFonts w:hint="eastAsia" w:ascii="宋体" w:hAnsi="宋体" w:eastAsia="宋体" w:cs="宋体"/>
          <w:lang w:eastAsia="zh-CN"/>
        </w:rPr>
        <w:t>嘉峪关二期光储电站</w:t>
      </w:r>
      <w:r>
        <w:rPr>
          <w:rFonts w:hint="eastAsia" w:ascii="宋体" w:hAnsi="宋体" w:eastAsia="宋体" w:cs="宋体"/>
          <w:lang w:val="en-US" w:eastAsia="zh-CN"/>
        </w:rPr>
        <w:t>继保室</w:t>
      </w:r>
      <w:r>
        <w:rPr>
          <w:rFonts w:hint="eastAsia" w:ascii="宋体" w:hAnsi="宋体" w:eastAsia="宋体" w:cs="宋体"/>
        </w:rPr>
        <w:t>AGC柜</w:t>
      </w:r>
      <w:r>
        <w:rPr>
          <w:rFonts w:hint="eastAsia" w:ascii="宋体" w:hAnsi="宋体" w:eastAsia="宋体" w:cs="宋体"/>
          <w:lang w:val="en-US" w:eastAsia="zh-CN"/>
        </w:rPr>
        <w:t>通讯光缆使用原通讯光缆</w:t>
      </w:r>
      <w:r>
        <w:rPr>
          <w:rFonts w:hint="eastAsia" w:ascii="宋体" w:hAnsi="宋体" w:eastAsia="宋体" w:cs="宋体"/>
          <w:lang w:eastAsia="zh-CN"/>
        </w:rPr>
        <w:t>。</w:t>
      </w:r>
    </w:p>
    <w:p w14:paraId="4BEB3F16">
      <w:pPr>
        <w:spacing w:line="560" w:lineRule="exact"/>
        <w:ind w:firstLine="480"/>
        <w:rPr>
          <w:rFonts w:hint="eastAsia" w:ascii="宋体" w:hAnsi="宋体" w:eastAsia="宋体" w:cs="宋体"/>
        </w:rPr>
      </w:pPr>
      <w:r>
        <w:rPr>
          <w:rFonts w:hint="eastAsia" w:ascii="宋体" w:hAnsi="宋体" w:eastAsia="宋体" w:cs="宋体"/>
        </w:rPr>
        <w:t>4.1.</w:t>
      </w:r>
      <w:r>
        <w:rPr>
          <w:rFonts w:hint="eastAsia" w:ascii="宋体" w:hAnsi="宋体" w:eastAsia="宋体" w:cs="宋体"/>
          <w:lang w:val="en-US" w:eastAsia="zh-CN"/>
        </w:rPr>
        <w:t>7</w:t>
      </w:r>
      <w:r>
        <w:rPr>
          <w:rFonts w:hint="eastAsia" w:ascii="宋体" w:hAnsi="宋体" w:eastAsia="宋体" w:cs="宋体"/>
        </w:rPr>
        <w:t>快速频率响应装置系统整体通讯联调。</w:t>
      </w:r>
    </w:p>
    <w:p w14:paraId="71700A3F">
      <w:pPr>
        <w:spacing w:line="560" w:lineRule="exact"/>
        <w:ind w:firstLine="480"/>
        <w:rPr>
          <w:rFonts w:hint="eastAsia" w:ascii="宋体" w:hAnsi="宋体" w:eastAsia="宋体" w:cs="宋体"/>
        </w:rPr>
      </w:pPr>
      <w:r>
        <w:rPr>
          <w:rFonts w:hint="eastAsia" w:ascii="宋体" w:hAnsi="宋体" w:eastAsia="宋体" w:cs="宋体"/>
        </w:rPr>
        <w:t>4.1.</w:t>
      </w:r>
      <w:r>
        <w:rPr>
          <w:rFonts w:hint="eastAsia" w:ascii="宋体" w:hAnsi="宋体" w:eastAsia="宋体" w:cs="宋体"/>
          <w:lang w:val="en-US" w:eastAsia="zh-CN"/>
        </w:rPr>
        <w:t>8</w:t>
      </w:r>
      <w:r>
        <w:rPr>
          <w:rFonts w:hint="eastAsia" w:ascii="宋体" w:hAnsi="宋体" w:eastAsia="宋体" w:cs="宋体"/>
        </w:rPr>
        <w:t>申请试验，开展快速频率响应性能试验。</w:t>
      </w:r>
    </w:p>
    <w:p w14:paraId="024B5897">
      <w:pPr>
        <w:spacing w:line="560" w:lineRule="exact"/>
        <w:ind w:firstLine="480"/>
        <w:rPr>
          <w:rFonts w:hint="eastAsia" w:ascii="宋体" w:hAnsi="宋体" w:eastAsia="宋体" w:cs="宋体"/>
          <w:lang w:eastAsia="zh-CN"/>
        </w:rPr>
      </w:pPr>
      <w:r>
        <w:rPr>
          <w:rFonts w:hint="eastAsia" w:ascii="宋体" w:hAnsi="宋体" w:eastAsia="宋体" w:cs="宋体"/>
        </w:rPr>
        <w:t>4.1.</w:t>
      </w:r>
      <w:r>
        <w:rPr>
          <w:rFonts w:hint="eastAsia" w:ascii="宋体" w:hAnsi="宋体" w:eastAsia="宋体" w:cs="宋体"/>
          <w:lang w:val="en-US" w:eastAsia="zh-CN"/>
        </w:rPr>
        <w:t>9</w:t>
      </w:r>
      <w:r>
        <w:rPr>
          <w:rFonts w:hint="eastAsia" w:ascii="宋体" w:hAnsi="宋体" w:eastAsia="宋体" w:cs="宋体"/>
        </w:rPr>
        <w:t>整套系统验收合格，清理现场卫生，对电站进行培训，工程结束</w:t>
      </w:r>
      <w:r>
        <w:rPr>
          <w:rFonts w:hint="eastAsia" w:ascii="宋体" w:hAnsi="宋体" w:eastAsia="宋体" w:cs="宋体"/>
          <w:lang w:eastAsia="zh-CN"/>
        </w:rPr>
        <w:t>。</w:t>
      </w:r>
    </w:p>
    <w:p w14:paraId="05068807">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45" w:name="_Toc3566"/>
      <w:r>
        <w:rPr>
          <w:rFonts w:hint="eastAsia" w:ascii="宋体" w:hAnsi="宋体" w:eastAsia="宋体" w:cs="宋体"/>
          <w:b/>
          <w:bCs w:val="0"/>
          <w:sz w:val="24"/>
          <w:szCs w:val="24"/>
        </w:rPr>
        <w:t>4.2</w:t>
      </w:r>
      <w:r>
        <w:rPr>
          <w:rFonts w:hint="eastAsia" w:ascii="宋体" w:hAnsi="宋体" w:eastAsia="宋体" w:cs="宋体"/>
          <w:b/>
          <w:bCs w:val="0"/>
          <w:sz w:val="24"/>
          <w:szCs w:val="24"/>
          <w:lang w:val="en-US" w:eastAsia="zh-CN"/>
        </w:rPr>
        <w:t>改造</w:t>
      </w:r>
      <w:r>
        <w:rPr>
          <w:rFonts w:hint="eastAsia" w:ascii="宋体" w:hAnsi="宋体" w:eastAsia="宋体" w:cs="宋体"/>
          <w:b/>
          <w:bCs w:val="0"/>
          <w:sz w:val="24"/>
          <w:szCs w:val="24"/>
        </w:rPr>
        <w:t>内容</w:t>
      </w:r>
      <w:bookmarkEnd w:id="36"/>
      <w:bookmarkEnd w:id="37"/>
      <w:bookmarkEnd w:id="38"/>
      <w:bookmarkEnd w:id="39"/>
      <w:bookmarkEnd w:id="40"/>
      <w:bookmarkEnd w:id="41"/>
      <w:bookmarkEnd w:id="42"/>
      <w:bookmarkEnd w:id="43"/>
      <w:bookmarkEnd w:id="44"/>
      <w:bookmarkEnd w:id="45"/>
    </w:p>
    <w:p w14:paraId="2AD950D0">
      <w:pPr>
        <w:ind w:firstLine="480"/>
        <w:rPr>
          <w:rFonts w:ascii="宋体" w:hAnsi="宋体" w:eastAsia="宋体" w:cs="宋体"/>
        </w:rPr>
      </w:pPr>
      <w:bookmarkStart w:id="46" w:name="_Toc18390"/>
      <w:bookmarkStart w:id="47" w:name="_Toc28501"/>
      <w:bookmarkStart w:id="48" w:name="_Toc25157"/>
      <w:bookmarkStart w:id="49" w:name="_Toc7285"/>
      <w:bookmarkStart w:id="50" w:name="_Toc15699"/>
      <w:bookmarkStart w:id="51" w:name="_Toc24762"/>
      <w:bookmarkStart w:id="52" w:name="_Toc6183"/>
      <w:bookmarkStart w:id="53" w:name="_Toc14674"/>
      <w:bookmarkStart w:id="54" w:name="_Toc11468"/>
      <w:r>
        <w:rPr>
          <w:rFonts w:hint="eastAsia" w:ascii="宋体" w:hAnsi="宋体" w:eastAsia="宋体" w:cs="宋体"/>
        </w:rPr>
        <w:t>4.2.1储能信息采集：储能信息采集通过规约转换进行对储能的快速通讯转发进行采集，进行速度测试，如采集和响应速率不满足要求，更换通讯管理机。</w:t>
      </w:r>
    </w:p>
    <w:p w14:paraId="5CC251A8">
      <w:pPr>
        <w:ind w:firstLine="480"/>
        <w:rPr>
          <w:rFonts w:ascii="宋体" w:hAnsi="宋体" w:eastAsia="宋体" w:cs="宋体"/>
        </w:rPr>
      </w:pPr>
      <w:r>
        <w:rPr>
          <w:rFonts w:hint="eastAsia" w:ascii="宋体" w:hAnsi="宋体" w:eastAsia="宋体" w:cs="宋体"/>
        </w:rPr>
        <w:t>4.2.2数据通讯：对现场通讯线路完好的部分，数据传输不进行改动，对通讯无法接通部分重新进行光纤施工。</w:t>
      </w:r>
    </w:p>
    <w:p w14:paraId="73C436D2">
      <w:pPr>
        <w:ind w:firstLine="480"/>
        <w:rPr>
          <w:rFonts w:ascii="宋体" w:hAnsi="宋体" w:eastAsia="宋体" w:cs="宋体"/>
        </w:rPr>
      </w:pPr>
      <w:r>
        <w:rPr>
          <w:rFonts w:hint="eastAsia" w:ascii="宋体" w:hAnsi="宋体" w:eastAsia="宋体" w:cs="宋体"/>
        </w:rPr>
        <w:t>4.2.3频率采集：测频装置通过控制电缆采集到并网点的电流及电压，获取系统频率。</w:t>
      </w:r>
    </w:p>
    <w:p w14:paraId="36CD55DB">
      <w:pPr>
        <w:ind w:firstLine="480"/>
        <w:rPr>
          <w:rFonts w:ascii="宋体" w:hAnsi="宋体" w:eastAsia="宋体" w:cs="宋体"/>
        </w:rPr>
      </w:pPr>
      <w:r>
        <w:rPr>
          <w:rFonts w:hint="eastAsia" w:ascii="宋体" w:hAnsi="宋体" w:eastAsia="宋体" w:cs="宋体"/>
        </w:rPr>
        <w:t>4.2.4位置摆放：新增的频率快速响应装置安装，根据设备实际情况，无备用屏柜位置，需将新增的频率快速响应装置安装至时间同步授时屏柜内，安装接线时需屏柜辅材（电压、电流端子排以及二次电缆）。</w:t>
      </w:r>
    </w:p>
    <w:p w14:paraId="09E903D6">
      <w:pPr>
        <w:ind w:firstLine="480"/>
        <w:rPr>
          <w:rFonts w:ascii="宋体" w:hAnsi="宋体" w:eastAsia="宋体" w:cs="宋体"/>
        </w:rPr>
      </w:pPr>
      <w:r>
        <w:rPr>
          <w:rFonts w:hint="eastAsia" w:ascii="宋体" w:hAnsi="宋体" w:eastAsia="宋体" w:cs="宋体"/>
        </w:rPr>
        <w:t>4.2.5按常规电站完成装置及服务器等新增设备对时的要求，另需将快频装置安装探针，资产接入网络安全监测装置。</w:t>
      </w:r>
    </w:p>
    <w:p w14:paraId="71523F7C">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4.2.6实现调度要求的快频相关点位通过PMU上传的要求。具体要求参照《甘肃电力调度控制中心关于开展相量测量装置功能普查的通知》</w:t>
      </w:r>
      <w:r>
        <w:rPr>
          <w:rFonts w:hint="eastAsia" w:ascii="宋体" w:hAnsi="宋体" w:eastAsia="宋体" w:cs="宋体"/>
          <w:lang w:eastAsia="zh-CN"/>
        </w:rPr>
        <w:t>（</w:t>
      </w:r>
      <w:r>
        <w:rPr>
          <w:rFonts w:hint="eastAsia" w:ascii="宋体" w:hAnsi="宋体" w:eastAsia="宋体" w:cs="宋体"/>
        </w:rPr>
        <w:t>调控〔2020〕22号</w:t>
      </w:r>
      <w:r>
        <w:rPr>
          <w:rFonts w:hint="eastAsia" w:ascii="宋体" w:hAnsi="宋体" w:eastAsia="宋体" w:cs="宋体"/>
          <w:lang w:eastAsia="zh-CN"/>
        </w:rPr>
        <w:t>）</w:t>
      </w:r>
      <w:r>
        <w:rPr>
          <w:rFonts w:hint="eastAsia" w:ascii="宋体" w:hAnsi="宋体" w:eastAsia="宋体" w:cs="宋体"/>
        </w:rPr>
        <w:t>的要求，快速频率响应投入／退出信号、快速频率响应动作信号、电压／无功控制模式，并通过调度验证通过。</w:t>
      </w:r>
    </w:p>
    <w:p w14:paraId="101ED1A6">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55" w:name="_Toc29005"/>
      <w:r>
        <w:rPr>
          <w:rFonts w:hint="eastAsia" w:ascii="宋体" w:hAnsi="宋体" w:eastAsia="宋体" w:cs="宋体"/>
          <w:b/>
          <w:bCs w:val="0"/>
          <w:sz w:val="24"/>
          <w:szCs w:val="24"/>
        </w:rPr>
        <w:t>4.3协调工作</w:t>
      </w:r>
      <w:bookmarkEnd w:id="46"/>
      <w:bookmarkEnd w:id="47"/>
      <w:bookmarkEnd w:id="48"/>
      <w:bookmarkEnd w:id="49"/>
      <w:bookmarkEnd w:id="50"/>
      <w:bookmarkEnd w:id="51"/>
      <w:bookmarkEnd w:id="52"/>
      <w:bookmarkEnd w:id="53"/>
      <w:bookmarkEnd w:id="54"/>
      <w:bookmarkEnd w:id="55"/>
    </w:p>
    <w:p w14:paraId="74F0469B">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bookmarkStart w:id="56" w:name="_Toc2909"/>
      <w:bookmarkStart w:id="57" w:name="_Toc17723"/>
      <w:bookmarkStart w:id="58" w:name="_Toc28630"/>
      <w:bookmarkStart w:id="59" w:name="_Toc9504"/>
      <w:bookmarkStart w:id="60" w:name="_Toc21648"/>
      <w:bookmarkStart w:id="61" w:name="_Toc21382"/>
      <w:bookmarkStart w:id="62" w:name="_Toc32638"/>
      <w:bookmarkStart w:id="63" w:name="_Toc15067"/>
      <w:bookmarkStart w:id="64" w:name="_Toc24725"/>
      <w:r>
        <w:rPr>
          <w:rFonts w:hint="eastAsia" w:ascii="宋体" w:hAnsi="宋体" w:eastAsia="宋体" w:cs="宋体"/>
        </w:rPr>
        <w:t>4.3.1负责编制</w:t>
      </w:r>
      <w:r>
        <w:rPr>
          <w:rFonts w:hint="eastAsia" w:ascii="宋体" w:hAnsi="宋体" w:eastAsia="宋体" w:cs="宋体"/>
          <w:lang w:val="zh-CN"/>
        </w:rPr>
        <w:t>技术改造</w:t>
      </w:r>
      <w:r>
        <w:rPr>
          <w:rFonts w:hint="eastAsia" w:ascii="宋体" w:hAnsi="宋体" w:eastAsia="宋体" w:cs="宋体"/>
          <w:lang w:val="en-US" w:eastAsia="zh-CN"/>
        </w:rPr>
        <w:t>实施</w:t>
      </w:r>
      <w:r>
        <w:rPr>
          <w:rFonts w:hint="eastAsia" w:ascii="宋体" w:hAnsi="宋体" w:eastAsia="宋体" w:cs="宋体"/>
          <w:lang w:val="zh-CN"/>
        </w:rPr>
        <w:t>方案、</w:t>
      </w:r>
      <w:r>
        <w:rPr>
          <w:rFonts w:hint="eastAsia" w:ascii="宋体" w:hAnsi="宋体" w:eastAsia="宋体" w:cs="宋体"/>
        </w:rPr>
        <w:t>相关设备台账、技术资料，并于合同签订后30日内报送至所属调控机构审查备案。</w:t>
      </w:r>
    </w:p>
    <w:p w14:paraId="6FCF8C88">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4.3.2负责协调完成逆变器、通讯管理机、交换机、AGC等设备技术升级，达到快速频率响应要求，组织联调，并承担相关费用。</w:t>
      </w:r>
    </w:p>
    <w:p w14:paraId="6CD4B513">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4.3.3快速频率响应装置完成后进行内部测试。</w:t>
      </w:r>
    </w:p>
    <w:p w14:paraId="4B7DA6A8">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4.3.4负责协调当地电网公司认可的第三方单位完成性能试验（通过测试为止），并出具合格试验报告。</w:t>
      </w:r>
    </w:p>
    <w:p w14:paraId="43A73DAA">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4.3.5完成所属调控机构及西北电力调控分中心备案工作。</w:t>
      </w:r>
    </w:p>
    <w:p w14:paraId="7E3AE281">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65" w:name="_Toc28250"/>
      <w:r>
        <w:rPr>
          <w:rFonts w:hint="eastAsia" w:ascii="宋体" w:hAnsi="宋体" w:eastAsia="宋体" w:cs="宋体"/>
          <w:b/>
          <w:bCs w:val="0"/>
          <w:sz w:val="24"/>
          <w:szCs w:val="24"/>
        </w:rPr>
        <w:t>4.4快频装置功能</w:t>
      </w:r>
      <w:bookmarkEnd w:id="56"/>
      <w:bookmarkEnd w:id="57"/>
      <w:bookmarkEnd w:id="58"/>
      <w:bookmarkEnd w:id="59"/>
      <w:bookmarkEnd w:id="60"/>
      <w:bookmarkEnd w:id="61"/>
      <w:bookmarkEnd w:id="62"/>
      <w:bookmarkEnd w:id="63"/>
      <w:bookmarkEnd w:id="64"/>
      <w:bookmarkEnd w:id="65"/>
    </w:p>
    <w:p w14:paraId="34105CDC">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4.4.1对外提供至少2个RS232、2个RS485接口及4个以太网口，可实现装置间的级联功能；</w:t>
      </w:r>
    </w:p>
    <w:p w14:paraId="72C73045">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 xml:space="preserve">4.4.2可响应后台下发的遥测命令，上传测量电流、电压、有功功率、无功功率、功率因数、频率等模拟量数据； </w:t>
      </w:r>
    </w:p>
    <w:p w14:paraId="5E93CACA">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4.4.3可响应后台下发的遥信命令，上传断路器状态、储能、隔离刀闸、远方/就地等开关量数据；</w:t>
      </w:r>
    </w:p>
    <w:p w14:paraId="66D78DCF">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4.4.4可响应后台下发的召唤命令，上传配置及</w:t>
      </w:r>
      <w:r>
        <w:rPr>
          <w:rFonts w:hint="eastAsia" w:ascii="宋体" w:hAnsi="宋体" w:eastAsia="宋体" w:cs="宋体"/>
          <w:lang w:eastAsia="zh-CN"/>
        </w:rPr>
        <w:t>参数</w:t>
      </w:r>
      <w:r>
        <w:rPr>
          <w:rFonts w:hint="eastAsia" w:ascii="宋体" w:hAnsi="宋体" w:eastAsia="宋体" w:cs="宋体"/>
        </w:rPr>
        <w:t>、事件记录、告警记录、动作记录等；</w:t>
      </w:r>
    </w:p>
    <w:p w14:paraId="766823A6">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4.4.5可响应后台下发的控制命令，包括：遥控、遥调、系统对时等。</w:t>
      </w:r>
    </w:p>
    <w:p w14:paraId="142C9543">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4.4.6满足调度对设备的相关要求。</w:t>
      </w:r>
    </w:p>
    <w:p w14:paraId="0D66EBDB">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eastAsia="zh-CN"/>
        </w:rPr>
      </w:pPr>
      <w:r>
        <w:rPr>
          <w:rFonts w:hint="eastAsia" w:ascii="宋体" w:hAnsi="宋体" w:eastAsia="宋体" w:cs="宋体"/>
        </w:rPr>
        <w:t>4.4.7完善的自检功能</w:t>
      </w:r>
      <w:r>
        <w:rPr>
          <w:rFonts w:hint="eastAsia" w:ascii="宋体" w:hAnsi="宋体" w:eastAsia="宋体" w:cs="宋体"/>
          <w:lang w:eastAsia="zh-CN"/>
        </w:rPr>
        <w:t>。</w:t>
      </w:r>
    </w:p>
    <w:p w14:paraId="4072F318">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 xml:space="preserve">4.4.8具备完善的自检功能，可完成 RAM、ROM、EEPROM、A/D自检、电源异常自检、配置参数自检、定值自检、开出回路自检等，发现异常能及时预警； </w:t>
      </w:r>
    </w:p>
    <w:p w14:paraId="14E4C4F3">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4.4.9设备具备超强抗干扰能力，从结构设计、硬件设计、驱动设计等多方面着手进行系统级电磁兼容设计，确保能通过国家权威检测机构组织的电磁兼容测试。</w:t>
      </w:r>
    </w:p>
    <w:p w14:paraId="276460F7">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4.4.10技术性能指标说明</w:t>
      </w:r>
    </w:p>
    <w:p w14:paraId="58471B3C">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根据</w:t>
      </w:r>
      <w:r>
        <w:rPr>
          <w:rFonts w:hint="eastAsia" w:ascii="宋体" w:hAnsi="宋体" w:eastAsia="宋体" w:cs="宋体"/>
          <w:lang w:eastAsia="zh-CN"/>
        </w:rPr>
        <w:t>《</w:t>
      </w:r>
      <w:r>
        <w:rPr>
          <w:rFonts w:hint="eastAsia" w:ascii="宋体" w:hAnsi="宋体" w:eastAsia="宋体" w:cs="宋体"/>
        </w:rPr>
        <w:t>国家电网公司西北分部关于开展西北电网新能源场站快速频率响应推广应用工作的通知</w:t>
      </w:r>
      <w:r>
        <w:rPr>
          <w:rFonts w:hint="eastAsia" w:ascii="宋体" w:hAnsi="宋体" w:eastAsia="宋体" w:cs="宋体"/>
          <w:lang w:eastAsia="zh-CN"/>
        </w:rPr>
        <w:t>》（</w:t>
      </w:r>
      <w:r>
        <w:rPr>
          <w:rFonts w:hint="eastAsia" w:ascii="宋体" w:hAnsi="宋体" w:eastAsia="宋体" w:cs="宋体"/>
        </w:rPr>
        <w:t>西北调控</w:t>
      </w:r>
      <w:r>
        <w:rPr>
          <w:rFonts w:hint="eastAsia" w:ascii="宋体" w:hAnsi="宋体" w:eastAsia="宋体" w:cs="宋体"/>
          <w:sz w:val="24"/>
          <w:szCs w:val="24"/>
          <w:lang w:val="en-US"/>
        </w:rPr>
        <w:t>〔20</w:t>
      </w:r>
      <w:r>
        <w:rPr>
          <w:rFonts w:hint="eastAsia" w:ascii="宋体" w:hAnsi="宋体" w:eastAsia="宋体" w:cs="宋体"/>
          <w:sz w:val="24"/>
          <w:szCs w:val="24"/>
          <w:lang w:val="en-US" w:eastAsia="zh-CN"/>
        </w:rPr>
        <w:t>18</w:t>
      </w:r>
      <w:r>
        <w:rPr>
          <w:rFonts w:hint="eastAsia" w:ascii="宋体" w:hAnsi="宋体" w:eastAsia="宋体" w:cs="宋体"/>
          <w:sz w:val="24"/>
          <w:szCs w:val="24"/>
          <w:lang w:val="en-US"/>
        </w:rPr>
        <w:t>〕</w:t>
      </w:r>
      <w:r>
        <w:rPr>
          <w:rFonts w:hint="eastAsia" w:ascii="宋体" w:hAnsi="宋体" w:eastAsia="宋体" w:cs="宋体"/>
        </w:rPr>
        <w:t>137号</w:t>
      </w:r>
      <w:r>
        <w:rPr>
          <w:rFonts w:hint="eastAsia" w:ascii="宋体" w:hAnsi="宋体" w:eastAsia="宋体" w:cs="宋体"/>
          <w:lang w:eastAsia="zh-CN"/>
        </w:rPr>
        <w:t>）</w:t>
      </w:r>
      <w:r>
        <w:rPr>
          <w:rFonts w:hint="eastAsia" w:ascii="宋体" w:hAnsi="宋体" w:eastAsia="宋体" w:cs="宋体"/>
        </w:rPr>
        <w:t>附件1中</w:t>
      </w:r>
      <w:r>
        <w:rPr>
          <w:rFonts w:hint="eastAsia" w:ascii="宋体" w:hAnsi="宋体" w:eastAsia="宋体" w:cs="宋体"/>
          <w:lang w:val="en-US" w:eastAsia="zh-CN"/>
        </w:rPr>
        <w:t>关于</w:t>
      </w:r>
      <w:r>
        <w:rPr>
          <w:rFonts w:hint="eastAsia" w:ascii="宋体" w:hAnsi="宋体" w:eastAsia="宋体" w:cs="宋体"/>
        </w:rPr>
        <w:t>新能源场站快速频率响应性能要求，新能源（风电场、光伏发电站）场站应利用相应的有功控制系统、单机或加装独立控制装置完成有功</w:t>
      </w:r>
      <w:r>
        <w:rPr>
          <w:rFonts w:hint="eastAsia" w:ascii="宋体" w:hAnsi="宋体" w:eastAsia="宋体" w:cs="宋体"/>
          <w:lang w:eastAsia="zh-CN"/>
        </w:rPr>
        <w:t>-</w:t>
      </w:r>
      <w:r>
        <w:rPr>
          <w:rFonts w:hint="eastAsia" w:ascii="宋体" w:hAnsi="宋体" w:eastAsia="宋体" w:cs="宋体"/>
        </w:rPr>
        <w:t>频率下垂特性控制，使其在并网点具备参与电网频率快速调整能力。快速频率响应有功</w:t>
      </w:r>
      <w:r>
        <w:rPr>
          <w:rFonts w:hint="eastAsia" w:ascii="宋体" w:hAnsi="宋体" w:eastAsia="宋体" w:cs="宋体"/>
          <w:lang w:eastAsia="zh-CN"/>
        </w:rPr>
        <w:t>-</w:t>
      </w:r>
      <w:r>
        <w:rPr>
          <w:rFonts w:hint="eastAsia" w:ascii="宋体" w:hAnsi="宋体" w:eastAsia="宋体" w:cs="宋体"/>
        </w:rPr>
        <w:t>频率下垂特性通过设定频率与有功功率折线函数实现，即：</w:t>
      </w:r>
    </w:p>
    <w:p w14:paraId="09C93238">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光伏发电站利用相应的有功控制系统、单机或加装独立控制装置完成有功</w:t>
      </w:r>
      <w:r>
        <w:rPr>
          <w:rFonts w:hint="eastAsia" w:ascii="宋体" w:hAnsi="宋体" w:eastAsia="宋体" w:cs="宋体"/>
          <w:lang w:eastAsia="zh-CN"/>
        </w:rPr>
        <w:t>－</w:t>
      </w:r>
      <w:r>
        <w:rPr>
          <w:rFonts w:hint="eastAsia" w:ascii="宋体" w:hAnsi="宋体" w:eastAsia="宋体" w:cs="宋体"/>
        </w:rPr>
        <w:t>频率下垂特性控制，使其在并网点具备参与电网频率快速调整能力。快速频率响应有功</w:t>
      </w:r>
      <w:r>
        <w:rPr>
          <w:rFonts w:hint="eastAsia" w:ascii="宋体" w:hAnsi="宋体" w:eastAsia="宋体" w:cs="宋体"/>
          <w:lang w:eastAsia="zh-CN"/>
        </w:rPr>
        <w:t>－</w:t>
      </w:r>
      <w:r>
        <w:rPr>
          <w:rFonts w:hint="eastAsia" w:ascii="宋体" w:hAnsi="宋体" w:eastAsia="宋体" w:cs="宋体"/>
        </w:rPr>
        <w:t>频率下垂特性通过设定频率与有功功率折线函数实现</w:t>
      </w:r>
    </w:p>
    <w:p w14:paraId="4B1D80E2">
      <w:pPr>
        <w:pStyle w:val="34"/>
        <w:numPr>
          <w:ilvl w:val="0"/>
          <w:numId w:val="0"/>
        </w:numPr>
        <w:tabs>
          <w:tab w:val="left" w:pos="2790"/>
          <w:tab w:val="clear" w:pos="576"/>
          <w:tab w:val="clear" w:pos="1320"/>
        </w:tabs>
        <w:spacing w:line="360" w:lineRule="auto"/>
        <w:ind w:firstLine="2168" w:firstLineChars="900"/>
        <w:rPr>
          <w:rFonts w:ascii="宋体" w:hAnsi="宋体" w:eastAsia="宋体" w:cs="宋体"/>
          <w:sz w:val="24"/>
        </w:rPr>
      </w:pPr>
      <w:r>
        <w:rPr>
          <w:rFonts w:hint="eastAsia" w:ascii="宋体" w:hAnsi="宋体" w:eastAsia="宋体" w:cs="宋体"/>
          <w:sz w:val="24"/>
        </w:rPr>
        <w:t>P = P</w:t>
      </w:r>
      <w:r>
        <w:rPr>
          <w:rFonts w:hint="eastAsia" w:ascii="宋体" w:hAnsi="宋体" w:eastAsia="宋体" w:cs="宋体"/>
          <w:sz w:val="24"/>
          <w:vertAlign w:val="subscript"/>
        </w:rPr>
        <w:t xml:space="preserve">0 </w:t>
      </w:r>
      <w:r>
        <w:rPr>
          <w:rFonts w:hint="eastAsia" w:ascii="宋体" w:hAnsi="宋体" w:eastAsia="宋体" w:cs="宋体"/>
          <w:sz w:val="24"/>
        </w:rPr>
        <w:t>- P</w:t>
      </w:r>
      <w:r>
        <w:rPr>
          <w:rFonts w:hint="eastAsia" w:ascii="宋体" w:hAnsi="宋体" w:eastAsia="宋体" w:cs="宋体"/>
          <w:sz w:val="24"/>
          <w:vertAlign w:val="subscript"/>
        </w:rPr>
        <w:t xml:space="preserve">N </w:t>
      </w:r>
      <w:r>
        <w:rPr>
          <w:rFonts w:hint="eastAsia" w:ascii="宋体" w:hAnsi="宋体" w:eastAsia="宋体" w:cs="宋体"/>
          <w:sz w:val="24"/>
        </w:rPr>
        <w:t xml:space="preserve">* </w:t>
      </w:r>
      <w:r>
        <w:rPr>
          <w:rFonts w:hint="eastAsia" w:ascii="宋体" w:hAnsi="宋体" w:eastAsia="宋体" w:cs="宋体"/>
          <w:position w:val="-24"/>
          <w:sz w:val="24"/>
        </w:rPr>
        <w:object>
          <v:shape id="_x0000_i1025" o:spt="75" type="#_x0000_t75" style="height:30.75pt;width:39.75pt;" o:ole="t" filled="f" o:preferrelative="t" stroked="f" coordsize="21600,21600">
            <v:path/>
            <v:fill on="f" focussize="0,0"/>
            <v:stroke on="f" joinstyle="miter"/>
            <v:imagedata r:id="rId12" o:title=""/>
            <o:lock v:ext="edit" aspectratio="t"/>
            <w10:wrap type="none"/>
            <w10:anchorlock/>
          </v:shape>
          <o:OLEObject Type="Embed" ProgID="Equation.KSEE3" ShapeID="_x0000_i1025" DrawAspect="Content" ObjectID="_1468075725" r:id="rId11">
            <o:LockedField>false</o:LockedField>
          </o:OLEObject>
        </w:object>
      </w:r>
      <w:r>
        <w:rPr>
          <w:rFonts w:hint="eastAsia" w:ascii="宋体" w:hAnsi="宋体" w:eastAsia="宋体" w:cs="宋体"/>
          <w:sz w:val="24"/>
        </w:rPr>
        <w:t xml:space="preserve"> * </w:t>
      </w:r>
      <w:r>
        <w:rPr>
          <w:rFonts w:hint="eastAsia" w:ascii="宋体" w:hAnsi="宋体" w:eastAsia="宋体" w:cs="宋体"/>
          <w:position w:val="-24"/>
          <w:sz w:val="24"/>
        </w:rPr>
        <w:object>
          <v:shape id="_x0000_i1026" o:spt="75" type="#_x0000_t75" style="height:30.75pt;width:21pt;" o:ole="t" filled="f" o:preferrelative="t" stroked="f" coordsize="21600,21600">
            <v:path/>
            <v:fill on="f" focussize="0,0"/>
            <v:stroke on="f" joinstyle="miter"/>
            <v:imagedata r:id="rId14" o:title=""/>
            <o:lock v:ext="edit" aspectratio="t"/>
            <w10:wrap type="none"/>
            <w10:anchorlock/>
          </v:shape>
          <o:OLEObject Type="Embed" ProgID="Equation.3" ShapeID="_x0000_i1026" DrawAspect="Content" ObjectID="_1468075726" r:id="rId13">
            <o:LockedField>false</o:LockedField>
          </o:OLEObject>
        </w:object>
      </w:r>
    </w:p>
    <w:p w14:paraId="184A7C2C">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式中</w:t>
      </w:r>
      <w:r>
        <w:rPr>
          <w:rFonts w:hint="eastAsia" w:ascii="宋体" w:hAnsi="宋体" w:eastAsia="宋体" w:cs="宋体"/>
          <w:lang w:eastAsia="zh-CN"/>
        </w:rPr>
        <w:t>：</w:t>
      </w:r>
      <w:r>
        <w:rPr>
          <w:rFonts w:hint="eastAsia" w:ascii="宋体" w:hAnsi="宋体" w:eastAsia="宋体" w:cs="宋体"/>
        </w:rPr>
        <w:t>fd为快速频率响应死区，单位Hz；fN为系统额定频率，单位Hz；</w:t>
      </w:r>
    </w:p>
    <w:p w14:paraId="7C8A6EAF">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PN为额定功率，单位MW；δ%为新能源快速频率响应调差率</w:t>
      </w:r>
      <w:r>
        <w:rPr>
          <w:rFonts w:hint="eastAsia" w:ascii="宋体" w:hAnsi="宋体" w:eastAsia="宋体" w:cs="宋体"/>
          <w:lang w:eastAsia="zh-CN"/>
        </w:rPr>
        <w:t>；</w:t>
      </w:r>
    </w:p>
    <w:p w14:paraId="65C53372">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P0为有功功率初值，单位MW</w:t>
      </w:r>
    </w:p>
    <w:p w14:paraId="595390A0">
      <w:pPr>
        <w:keepNext w:val="0"/>
        <w:keepLines w:val="0"/>
        <w:pageBreakBefore w:val="0"/>
        <w:kinsoku/>
        <w:wordWrap/>
        <w:overflowPunct/>
        <w:autoSpaceDE/>
        <w:autoSpaceDN/>
        <w:bidi w:val="0"/>
        <w:spacing w:line="570" w:lineRule="exact"/>
        <w:ind w:firstLine="480" w:firstLineChars="200"/>
        <w:jc w:val="center"/>
        <w:rPr>
          <w:rFonts w:ascii="宋体" w:hAnsi="宋体"/>
        </w:rPr>
      </w:pPr>
      <w:r>
        <w:rPr>
          <w:rFonts w:ascii="宋体" w:hAnsi="宋体"/>
        </w:rPr>
        <w:pict>
          <v:shape id="_x0000_s1026" o:spid="_x0000_s1026" o:spt="75" type="#_x0000_t75" style="position:absolute;left:0pt;margin-left:78.2pt;margin-top:-9.45pt;height:191.25pt;width:292.5pt;z-index:251660288;mso-width-relative:page;mso-height-relative:page;" o:ole="t" filled="f" o:preferrelative="t" stroked="f" coordsize="21600,21600">
            <v:path/>
            <v:fill on="f" focussize="0,0"/>
            <v:stroke on="f"/>
            <v:imagedata r:id="rId16" cropleft="11370f" croptop="13846f" cropright="15658f" cropbottom="12496f" o:title=""/>
            <o:lock v:ext="edit" aspectratio="t"/>
          </v:shape>
          <o:OLEObject Type="Embed" ProgID="AutoCAD.Drawing.19" ShapeID="_x0000_s1026" DrawAspect="Content" ObjectID="_1468075727" r:id="rId15">
            <o:LockedField>false</o:LockedField>
          </o:OLEObject>
        </w:pict>
      </w:r>
    </w:p>
    <w:p w14:paraId="627CCBD1">
      <w:pPr>
        <w:keepNext w:val="0"/>
        <w:keepLines w:val="0"/>
        <w:pageBreakBefore w:val="0"/>
        <w:kinsoku/>
        <w:wordWrap/>
        <w:overflowPunct/>
        <w:autoSpaceDE/>
        <w:autoSpaceDN/>
        <w:bidi w:val="0"/>
        <w:spacing w:line="570" w:lineRule="exact"/>
        <w:ind w:firstLine="420" w:firstLineChars="200"/>
        <w:jc w:val="center"/>
        <w:rPr>
          <w:rFonts w:hint="eastAsia" w:ascii="宋体" w:hAnsi="宋体" w:eastAsia="宋体" w:cs="宋体"/>
          <w:sz w:val="21"/>
          <w:szCs w:val="21"/>
        </w:rPr>
      </w:pPr>
    </w:p>
    <w:p w14:paraId="415BCD4F">
      <w:pPr>
        <w:keepNext w:val="0"/>
        <w:keepLines w:val="0"/>
        <w:pageBreakBefore w:val="0"/>
        <w:kinsoku/>
        <w:wordWrap/>
        <w:overflowPunct/>
        <w:autoSpaceDE/>
        <w:autoSpaceDN/>
        <w:bidi w:val="0"/>
        <w:spacing w:line="570" w:lineRule="exact"/>
        <w:ind w:firstLine="420" w:firstLineChars="200"/>
        <w:jc w:val="center"/>
        <w:rPr>
          <w:rFonts w:hint="eastAsia" w:ascii="宋体" w:hAnsi="宋体" w:eastAsia="宋体" w:cs="宋体"/>
          <w:sz w:val="21"/>
          <w:szCs w:val="21"/>
        </w:rPr>
      </w:pPr>
    </w:p>
    <w:p w14:paraId="70CA53EB">
      <w:pPr>
        <w:keepNext w:val="0"/>
        <w:keepLines w:val="0"/>
        <w:pageBreakBefore w:val="0"/>
        <w:kinsoku/>
        <w:wordWrap/>
        <w:overflowPunct/>
        <w:autoSpaceDE/>
        <w:autoSpaceDN/>
        <w:bidi w:val="0"/>
        <w:spacing w:line="570" w:lineRule="exact"/>
        <w:ind w:firstLine="420" w:firstLineChars="200"/>
        <w:jc w:val="center"/>
        <w:rPr>
          <w:rFonts w:hint="eastAsia" w:ascii="宋体" w:hAnsi="宋体" w:eastAsia="宋体" w:cs="宋体"/>
          <w:sz w:val="21"/>
          <w:szCs w:val="21"/>
        </w:rPr>
      </w:pPr>
    </w:p>
    <w:p w14:paraId="6638D922">
      <w:pPr>
        <w:keepNext w:val="0"/>
        <w:keepLines w:val="0"/>
        <w:pageBreakBefore w:val="0"/>
        <w:kinsoku/>
        <w:wordWrap/>
        <w:overflowPunct/>
        <w:autoSpaceDE/>
        <w:autoSpaceDN/>
        <w:bidi w:val="0"/>
        <w:spacing w:line="570" w:lineRule="exact"/>
        <w:ind w:firstLine="420" w:firstLineChars="200"/>
        <w:jc w:val="center"/>
        <w:rPr>
          <w:rFonts w:hint="eastAsia" w:ascii="宋体" w:hAnsi="宋体" w:eastAsia="宋体" w:cs="宋体"/>
          <w:sz w:val="21"/>
          <w:szCs w:val="21"/>
        </w:rPr>
      </w:pPr>
    </w:p>
    <w:p w14:paraId="0C5BEDB6">
      <w:pPr>
        <w:keepNext w:val="0"/>
        <w:keepLines w:val="0"/>
        <w:pageBreakBefore w:val="0"/>
        <w:kinsoku/>
        <w:wordWrap/>
        <w:overflowPunct/>
        <w:autoSpaceDE/>
        <w:autoSpaceDN/>
        <w:bidi w:val="0"/>
        <w:spacing w:line="570" w:lineRule="exact"/>
        <w:ind w:firstLine="420" w:firstLineChars="200"/>
        <w:jc w:val="center"/>
        <w:rPr>
          <w:rFonts w:hint="eastAsia" w:ascii="宋体" w:hAnsi="宋体" w:eastAsia="宋体" w:cs="宋体"/>
          <w:sz w:val="21"/>
          <w:szCs w:val="21"/>
        </w:rPr>
      </w:pPr>
    </w:p>
    <w:p w14:paraId="75E03FC2">
      <w:pPr>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光伏电站快速频率响应有功</w:t>
      </w:r>
      <w:r>
        <w:rPr>
          <w:rFonts w:hint="eastAsia" w:ascii="宋体" w:hAnsi="宋体" w:eastAsia="宋体" w:cs="宋体"/>
          <w:sz w:val="21"/>
          <w:szCs w:val="21"/>
          <w:lang w:eastAsia="zh-CN"/>
        </w:rPr>
        <w:t>－</w:t>
      </w:r>
      <w:r>
        <w:rPr>
          <w:rFonts w:hint="eastAsia" w:ascii="宋体" w:hAnsi="宋体" w:eastAsia="宋体" w:cs="宋体"/>
          <w:sz w:val="21"/>
          <w:szCs w:val="21"/>
        </w:rPr>
        <w:t>功率下垂特性示意图</w:t>
      </w:r>
    </w:p>
    <w:bookmarkEnd w:id="35"/>
    <w:p w14:paraId="09A80D7A">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66" w:name="_Toc32181"/>
      <w:bookmarkStart w:id="67" w:name="_Toc31848"/>
      <w:bookmarkStart w:id="68" w:name="_Toc29490"/>
      <w:bookmarkStart w:id="69" w:name="_Toc26659"/>
      <w:bookmarkStart w:id="70" w:name="_Toc10305"/>
      <w:bookmarkStart w:id="71" w:name="_Toc6632"/>
      <w:bookmarkStart w:id="72" w:name="_Toc17681"/>
      <w:bookmarkStart w:id="73" w:name="_Toc348"/>
      <w:bookmarkStart w:id="74" w:name="_Toc4440"/>
      <w:bookmarkStart w:id="75" w:name="_Toc27062"/>
      <w:bookmarkStart w:id="76" w:name="_Toc23199"/>
      <w:r>
        <w:rPr>
          <w:rFonts w:hint="eastAsia" w:ascii="宋体" w:hAnsi="宋体" w:eastAsia="宋体" w:cs="宋体"/>
          <w:b/>
          <w:bCs w:val="0"/>
          <w:sz w:val="24"/>
          <w:szCs w:val="24"/>
        </w:rPr>
        <w:t>4.5技术指标</w:t>
      </w:r>
      <w:bookmarkEnd w:id="66"/>
      <w:bookmarkEnd w:id="67"/>
      <w:bookmarkEnd w:id="68"/>
      <w:bookmarkEnd w:id="69"/>
      <w:bookmarkEnd w:id="70"/>
      <w:bookmarkEnd w:id="71"/>
      <w:bookmarkEnd w:id="72"/>
      <w:bookmarkEnd w:id="73"/>
      <w:bookmarkEnd w:id="74"/>
      <w:bookmarkEnd w:id="75"/>
      <w:bookmarkEnd w:id="76"/>
    </w:p>
    <w:p w14:paraId="36893968">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4.5.1新能源场站快速频率响应的主要响应性能指标总结归纳如下：</w:t>
      </w:r>
    </w:p>
    <w:p w14:paraId="13597C18">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（1）光伏快速调频死区设置fd为±0.05Hz。</w:t>
      </w:r>
    </w:p>
    <w:p w14:paraId="47C1DAA0">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eastAsia="zh-CN"/>
        </w:rPr>
      </w:pPr>
      <w:r>
        <w:rPr>
          <w:rFonts w:hint="eastAsia" w:ascii="宋体" w:hAnsi="宋体" w:eastAsia="宋体" w:cs="宋体"/>
        </w:rPr>
        <w:t>（2）光伏快速调频调差率为δ％为2%，新能源场站电网高频扰动情况下，</w:t>
      </w:r>
      <w:r>
        <w:rPr>
          <w:rFonts w:hint="eastAsia" w:ascii="宋体" w:hAnsi="宋体" w:eastAsia="宋体" w:cs="宋体"/>
          <w:lang w:eastAsia="zh-CN"/>
        </w:rPr>
        <w:t>快速频率</w:t>
      </w:r>
      <w:r>
        <w:rPr>
          <w:rFonts w:hint="eastAsia" w:ascii="宋体" w:hAnsi="宋体" w:eastAsia="宋体" w:cs="宋体"/>
        </w:rPr>
        <w:t>功率下调范围应不低于10%Pn（Pn为新能源场站额定功率，下同），转差率暂取2%（参数可调），场站功率下调至10%Pn后可不再向下调节；新能源场站</w:t>
      </w:r>
      <w:r>
        <w:rPr>
          <w:rFonts w:hint="eastAsia" w:ascii="宋体" w:hAnsi="宋体" w:eastAsia="宋体" w:cs="宋体"/>
          <w:lang w:eastAsia="zh-CN"/>
        </w:rPr>
        <w:t>快速频率</w:t>
      </w:r>
      <w:r>
        <w:rPr>
          <w:rFonts w:hint="eastAsia" w:ascii="宋体" w:hAnsi="宋体" w:eastAsia="宋体" w:cs="宋体"/>
        </w:rPr>
        <w:t>功率上调调节能力应不低于10%Pn，转差率暂取2%（参数可调），且不得因快速频率响应导致脱网或停机</w:t>
      </w:r>
      <w:r>
        <w:rPr>
          <w:rFonts w:hint="eastAsia" w:ascii="宋体" w:hAnsi="宋体" w:eastAsia="宋体" w:cs="宋体"/>
          <w:lang w:eastAsia="zh-CN"/>
        </w:rPr>
        <w:t>。</w:t>
      </w:r>
    </w:p>
    <w:p w14:paraId="3AFE69C3">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eastAsia="zh-CN"/>
        </w:rPr>
      </w:pPr>
      <w:r>
        <w:rPr>
          <w:rFonts w:hint="eastAsia" w:ascii="宋体" w:hAnsi="宋体" w:eastAsia="宋体" w:cs="宋体"/>
        </w:rPr>
        <w:t>（3）电网低频扰动情况下，新能源场站根据实时运行工况参与电网频率快速响应，不提前预留有功备用。快速频率响应与AGC协调控制，快速频率响应功能应与AGC控制相协调</w:t>
      </w:r>
      <w:r>
        <w:rPr>
          <w:rFonts w:hint="eastAsia" w:ascii="宋体" w:hAnsi="宋体" w:eastAsia="宋体" w:cs="宋体"/>
          <w:lang w:eastAsia="zh-CN"/>
        </w:rPr>
        <w:t>。</w:t>
      </w:r>
    </w:p>
    <w:p w14:paraId="4DA16456">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（4）新能源电站有功功率的控制目标应为AGC指令值与</w:t>
      </w:r>
      <w:r>
        <w:rPr>
          <w:rFonts w:hint="eastAsia" w:ascii="宋体" w:hAnsi="宋体" w:eastAsia="宋体" w:cs="宋体"/>
          <w:lang w:eastAsia="zh-CN"/>
        </w:rPr>
        <w:t>快速频率</w:t>
      </w:r>
      <w:r>
        <w:rPr>
          <w:rFonts w:hint="eastAsia" w:ascii="宋体" w:hAnsi="宋体" w:eastAsia="宋体" w:cs="宋体"/>
        </w:rPr>
        <w:t>响 应调节量代数和，其中，当新能源场站在非限负荷工况下时，AGC指令按频率超出死区时刻的实发功率计算；当电网频率超出50±0.08Hz时，新能源</w:t>
      </w:r>
      <w:r>
        <w:rPr>
          <w:rFonts w:hint="eastAsia" w:ascii="宋体" w:hAnsi="宋体" w:eastAsia="宋体" w:cs="宋体"/>
          <w:lang w:eastAsia="zh-CN"/>
        </w:rPr>
        <w:t>快速频率</w:t>
      </w:r>
      <w:r>
        <w:rPr>
          <w:rFonts w:hint="eastAsia" w:ascii="宋体" w:hAnsi="宋体" w:eastAsia="宋体" w:cs="宋体"/>
        </w:rPr>
        <w:t>优先级应高于AGC。</w:t>
      </w:r>
    </w:p>
    <w:p w14:paraId="75ECA61D">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（5）</w:t>
      </w:r>
      <w:r>
        <w:rPr>
          <w:rFonts w:hint="eastAsia" w:ascii="宋体" w:hAnsi="宋体" w:eastAsia="宋体" w:cs="宋体"/>
          <w:lang w:eastAsia="zh-CN"/>
        </w:rPr>
        <w:t>快速频率</w:t>
      </w:r>
      <w:r>
        <w:rPr>
          <w:rFonts w:hint="eastAsia" w:ascii="宋体" w:hAnsi="宋体" w:eastAsia="宋体" w:cs="宋体"/>
        </w:rPr>
        <w:t>控制系统控制参数应根据实际情况能够修改和优化。</w:t>
      </w:r>
    </w:p>
    <w:p w14:paraId="48D25D72">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bookmarkStart w:id="77" w:name="OLE_LINK2"/>
      <w:r>
        <w:rPr>
          <w:rFonts w:hint="eastAsia" w:ascii="宋体" w:hAnsi="宋体" w:eastAsia="宋体" w:cs="宋体"/>
        </w:rPr>
        <w:t>2.</w:t>
      </w:r>
      <w:r>
        <w:rPr>
          <w:rFonts w:hint="eastAsia" w:ascii="宋体" w:hAnsi="宋体" w:eastAsia="宋体" w:cs="宋体"/>
          <w:lang w:eastAsia="zh-CN"/>
        </w:rPr>
        <w:t>快速频率</w:t>
      </w:r>
      <w:r>
        <w:rPr>
          <w:rFonts w:hint="eastAsia" w:ascii="宋体" w:hAnsi="宋体" w:eastAsia="宋体" w:cs="宋体"/>
        </w:rPr>
        <w:t>响应技术指标参数</w:t>
      </w:r>
    </w:p>
    <w:bookmarkEnd w:id="77"/>
    <w:p w14:paraId="6297446B">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对于调节目标变化量不低于额定出力10%的频率阶跃扰动，响应过程应满足以下要求（各指标定义详见下图）：</w:t>
      </w:r>
    </w:p>
    <w:p w14:paraId="2030A37C">
      <w:pPr>
        <w:spacing w:line="360" w:lineRule="auto"/>
        <w:contextualSpacing/>
        <w:jc w:val="left"/>
        <w:rPr>
          <w:rFonts w:ascii="宋体" w:hAnsi="宋体" w:cs="宋体"/>
          <w:sz w:val="24"/>
          <w:highlight w:val="yellow"/>
        </w:rPr>
      </w:pPr>
      <w:r>
        <w:rPr>
          <w:rFonts w:ascii="宋体" w:hAnsi="宋体"/>
        </w:rPr>
        <w:pict>
          <v:shape id="_x0000_s1028" o:spid="_x0000_s1028" o:spt="75" type="#_x0000_t75" style="position:absolute;left:0pt;margin-left:63.75pt;margin-top:15.5pt;height:183pt;width:318.75pt;z-index:251663360;mso-width-relative:page;mso-height-relative:page;" o:ole="t" filled="f" o:preferrelative="t" stroked="f" coordsize="21600,21600">
            <v:path/>
            <v:fill on="f" focussize="0,0"/>
            <v:stroke on="f"/>
            <v:imagedata r:id="rId18" cropleft="1287f" croptop="8666f" cropright="9436f" cropbottom="8005f" o:title=""/>
            <o:lock v:ext="edit" aspectratio="t"/>
          </v:shape>
          <o:OLEObject Type="Embed" ProgID="AutoCAD.Drawing.19" ShapeID="_x0000_s1028" DrawAspect="Content" ObjectID="_1468075728" r:id="rId17">
            <o:LockedField>false</o:LockedField>
          </o:OLEObject>
        </w:pict>
      </w:r>
    </w:p>
    <w:p w14:paraId="78B9A7BD">
      <w:pPr>
        <w:pStyle w:val="16"/>
        <w:rPr>
          <w:rFonts w:ascii="宋体" w:hAnsi="宋体" w:cs="宋体"/>
          <w:sz w:val="24"/>
          <w:highlight w:val="yellow"/>
        </w:rPr>
      </w:pPr>
    </w:p>
    <w:p w14:paraId="27941FB4">
      <w:pPr>
        <w:pStyle w:val="16"/>
        <w:rPr>
          <w:rFonts w:ascii="宋体" w:hAnsi="宋体" w:cs="宋体"/>
          <w:sz w:val="24"/>
          <w:highlight w:val="yellow"/>
        </w:rPr>
      </w:pPr>
    </w:p>
    <w:p w14:paraId="7290BB75">
      <w:pPr>
        <w:pStyle w:val="16"/>
        <w:rPr>
          <w:rFonts w:ascii="宋体" w:hAnsi="宋体" w:cs="宋体"/>
          <w:sz w:val="24"/>
          <w:highlight w:val="yellow"/>
        </w:rPr>
      </w:pPr>
    </w:p>
    <w:p w14:paraId="497BC634">
      <w:pPr>
        <w:pStyle w:val="16"/>
        <w:rPr>
          <w:rFonts w:ascii="宋体" w:hAnsi="宋体" w:cs="宋体"/>
          <w:sz w:val="24"/>
          <w:highlight w:val="yellow"/>
        </w:rPr>
      </w:pPr>
    </w:p>
    <w:p w14:paraId="2F4D3E4C">
      <w:pPr>
        <w:pStyle w:val="16"/>
        <w:rPr>
          <w:rFonts w:ascii="宋体" w:hAnsi="宋体" w:cs="宋体"/>
          <w:sz w:val="24"/>
          <w:highlight w:val="yellow"/>
        </w:rPr>
      </w:pPr>
    </w:p>
    <w:p w14:paraId="4E082997">
      <w:pPr>
        <w:pStyle w:val="16"/>
        <w:rPr>
          <w:rFonts w:ascii="宋体" w:hAnsi="宋体" w:cs="宋体"/>
          <w:sz w:val="24"/>
          <w:highlight w:val="yellow"/>
        </w:rPr>
      </w:pPr>
    </w:p>
    <w:p w14:paraId="50AB02DD">
      <w:pPr>
        <w:keepNext w:val="0"/>
        <w:keepLines w:val="0"/>
        <w:pageBreakBefore w:val="0"/>
        <w:kinsoku/>
        <w:wordWrap/>
        <w:overflowPunct/>
        <w:autoSpaceDE/>
        <w:autoSpaceDN/>
        <w:bidi w:val="0"/>
        <w:spacing w:line="570" w:lineRule="exact"/>
        <w:ind w:firstLine="420" w:firstLineChars="200"/>
        <w:jc w:val="center"/>
        <w:rPr>
          <w:rFonts w:ascii="宋体" w:hAnsi="宋体" w:cs="宋体"/>
          <w:sz w:val="24"/>
          <w:highlight w:val="yellow"/>
        </w:rPr>
      </w:pPr>
      <w:r>
        <w:rPr>
          <w:rFonts w:hint="eastAsia" w:ascii="宋体" w:hAnsi="宋体" w:eastAsia="宋体" w:cs="宋体"/>
          <w:sz w:val="21"/>
          <w:szCs w:val="21"/>
        </w:rPr>
        <w:t>新能源快速频率响应频率阶跃扰动过程调节示意图</w:t>
      </w:r>
    </w:p>
    <w:p w14:paraId="0F660028">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（1）响应性能指标</w:t>
      </w:r>
    </w:p>
    <w:p w14:paraId="1E965B9C">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eastAsia="zh-CN"/>
        </w:rPr>
      </w:pPr>
      <w:bookmarkStart w:id="78" w:name="_Toc23260"/>
      <w:bookmarkStart w:id="79" w:name="_Toc14235"/>
      <w:bookmarkStart w:id="80" w:name="_Toc30501"/>
      <w:bookmarkStart w:id="81" w:name="_Toc25036"/>
      <w:bookmarkStart w:id="82" w:name="_Toc18613"/>
      <w:bookmarkStart w:id="83" w:name="_Toc31698"/>
      <w:bookmarkStart w:id="84" w:name="_Toc29298"/>
      <w:bookmarkStart w:id="85" w:name="_Toc5177"/>
      <w:bookmarkStart w:id="86" w:name="_Toc11263"/>
      <w:bookmarkStart w:id="87" w:name="_Toc14534"/>
      <w:r>
        <w:rPr>
          <w:rFonts w:hint="eastAsia" w:ascii="宋体" w:hAnsi="宋体" w:eastAsia="宋体" w:cs="宋体"/>
        </w:rPr>
        <w:t>a.响应滞后时间t</w:t>
      </w:r>
      <w:r>
        <w:rPr>
          <w:rFonts w:hint="eastAsia" w:ascii="宋体" w:hAnsi="宋体" w:eastAsia="宋体" w:cs="宋体"/>
          <w:vertAlign w:val="subscript"/>
        </w:rPr>
        <w:t>hx</w:t>
      </w:r>
      <w:r>
        <w:rPr>
          <w:rFonts w:hint="eastAsia" w:ascii="宋体" w:hAnsi="宋体" w:eastAsia="宋体" w:cs="宋体"/>
        </w:rPr>
        <w:t>：自频率越过新能源场站调频死区开始到发电出力可靠</w:t>
      </w:r>
      <w:r>
        <w:rPr>
          <w:rFonts w:hint="eastAsia" w:ascii="宋体" w:hAnsi="宋体" w:eastAsia="宋体" w:cs="宋体"/>
          <w:lang w:eastAsia="zh-CN"/>
        </w:rPr>
        <w:t>地向</w:t>
      </w:r>
      <w:r>
        <w:rPr>
          <w:rFonts w:hint="eastAsia" w:ascii="宋体" w:hAnsi="宋体" w:eastAsia="宋体" w:cs="宋体"/>
        </w:rPr>
        <w:t>调频方向开始变化所需的时间</w:t>
      </w:r>
      <w:r>
        <w:rPr>
          <w:rFonts w:hint="eastAsia" w:ascii="宋体" w:hAnsi="宋体" w:eastAsia="宋体" w:cs="宋体"/>
          <w:highlight w:val="none"/>
        </w:rPr>
        <w:t>。光伏不超过</w:t>
      </w:r>
      <w:r>
        <w:rPr>
          <w:rFonts w:hint="eastAsia" w:ascii="宋体" w:hAnsi="宋体" w:eastAsia="宋体" w:cs="宋体"/>
          <w:highlight w:val="none"/>
          <w:lang w:eastAsia="zh-CN"/>
        </w:rPr>
        <w:t>2</w:t>
      </w:r>
      <w:r>
        <w:rPr>
          <w:rFonts w:hint="eastAsia" w:ascii="宋体" w:hAnsi="宋体" w:eastAsia="宋体" w:cs="宋体"/>
          <w:highlight w:val="none"/>
        </w:rPr>
        <w:t>秒</w:t>
      </w:r>
      <w:r>
        <w:rPr>
          <w:rFonts w:hint="eastAsia" w:ascii="宋体" w:hAnsi="宋体" w:eastAsia="宋体" w:cs="宋体"/>
          <w:lang w:eastAsia="zh-CN"/>
        </w:rPr>
        <w:t>。</w:t>
      </w:r>
    </w:p>
    <w:p w14:paraId="1430B95B">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highlight w:val="none"/>
          <w:lang w:eastAsia="zh-CN"/>
        </w:rPr>
      </w:pPr>
      <w:r>
        <w:rPr>
          <w:rFonts w:hint="eastAsia" w:ascii="宋体" w:hAnsi="宋体" w:eastAsia="宋体" w:cs="宋体"/>
        </w:rPr>
        <w:t>b.响应时间t</w:t>
      </w:r>
      <w:r>
        <w:rPr>
          <w:rFonts w:hint="eastAsia" w:ascii="宋体" w:hAnsi="宋体" w:eastAsia="宋体" w:cs="宋体"/>
          <w:vertAlign w:val="subscript"/>
        </w:rPr>
        <w:t>0.9</w:t>
      </w:r>
      <w:r>
        <w:rPr>
          <w:rFonts w:hint="eastAsia" w:ascii="宋体" w:hAnsi="宋体" w:eastAsia="宋体" w:cs="宋体"/>
        </w:rPr>
        <w:t>：自频率超出调频死区开始，至有功功率调节量达到调频目标值与初始功率之差的90%所需时间。</w:t>
      </w:r>
      <w:r>
        <w:rPr>
          <w:rFonts w:hint="eastAsia" w:ascii="宋体" w:hAnsi="宋体" w:eastAsia="宋体" w:cs="宋体"/>
          <w:highlight w:val="none"/>
        </w:rPr>
        <w:t>光伏不超过</w:t>
      </w:r>
      <w:r>
        <w:rPr>
          <w:rFonts w:hint="eastAsia" w:ascii="宋体" w:hAnsi="宋体" w:eastAsia="宋体" w:cs="宋体"/>
          <w:highlight w:val="none"/>
          <w:lang w:eastAsia="zh-CN"/>
        </w:rPr>
        <w:t>5</w:t>
      </w:r>
      <w:r>
        <w:rPr>
          <w:rFonts w:hint="eastAsia" w:ascii="宋体" w:hAnsi="宋体" w:eastAsia="宋体" w:cs="宋体"/>
          <w:highlight w:val="none"/>
        </w:rPr>
        <w:t>秒</w:t>
      </w:r>
      <w:r>
        <w:rPr>
          <w:rFonts w:hint="eastAsia" w:ascii="宋体" w:hAnsi="宋体" w:eastAsia="宋体" w:cs="宋体"/>
          <w:highlight w:val="none"/>
          <w:lang w:eastAsia="zh-CN"/>
        </w:rPr>
        <w:t>。</w:t>
      </w:r>
    </w:p>
    <w:p w14:paraId="492CB9D4">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highlight w:val="none"/>
        </w:rPr>
      </w:pPr>
      <w:r>
        <w:rPr>
          <w:rFonts w:hint="eastAsia" w:ascii="宋体" w:hAnsi="宋体" w:eastAsia="宋体" w:cs="宋体"/>
          <w:highlight w:val="none"/>
        </w:rPr>
        <w:t>c.调节时间ts：自频率超出调频死区开始，至有功功率达到稳定（功率波动不超过额定出力±1%）的最短时间。光伏不超过15秒。</w:t>
      </w:r>
    </w:p>
    <w:p w14:paraId="1ABFCE11">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（2）调频控制偏差指标：调频控制偏差应控制在额定出力的±1%以内。</w:t>
      </w:r>
    </w:p>
    <w:p w14:paraId="1C64DC40">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（3）测频精度指标：频率测量分辨率不大于0.003Hz。</w:t>
      </w:r>
    </w:p>
    <w:p w14:paraId="6164CBF8">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（4）频率采样周期：频率采样周期不大于100ms。</w:t>
      </w:r>
    </w:p>
    <w:p w14:paraId="001445C5">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（5）有功控制周期：新能源场站快速频率响应有功控制周期应不大于1秒。</w:t>
      </w:r>
    </w:p>
    <w:p w14:paraId="5D05E761">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（6）快速频率响应功能应能躲过</w:t>
      </w:r>
      <w:r>
        <w:rPr>
          <w:rFonts w:hint="eastAsia" w:ascii="宋体" w:hAnsi="宋体" w:eastAsia="宋体" w:cs="宋体"/>
          <w:lang w:eastAsia="zh-CN"/>
        </w:rPr>
        <w:t>单相短路</w:t>
      </w:r>
      <w:r>
        <w:rPr>
          <w:rFonts w:hint="eastAsia" w:ascii="宋体" w:hAnsi="宋体" w:eastAsia="宋体" w:cs="宋体"/>
        </w:rPr>
        <w:t>故障引起的瞬时频率突变。</w:t>
      </w:r>
    </w:p>
    <w:p w14:paraId="54493C2A">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eastAsia="zh-CN"/>
        </w:rPr>
      </w:pPr>
      <w:r>
        <w:rPr>
          <w:rFonts w:hint="eastAsia" w:ascii="宋体" w:hAnsi="宋体" w:eastAsia="宋体" w:cs="宋体"/>
          <w:lang w:eastAsia="zh-CN"/>
        </w:rPr>
        <w:t>（</w:t>
      </w:r>
      <w:r>
        <w:rPr>
          <w:rFonts w:hint="eastAsia" w:ascii="宋体" w:hAnsi="宋体" w:eastAsia="宋体" w:cs="宋体"/>
          <w:lang w:val="en-US" w:eastAsia="zh-CN"/>
        </w:rPr>
        <w:t>7）</w:t>
      </w:r>
      <w:r>
        <w:rPr>
          <w:rFonts w:hint="eastAsia" w:ascii="宋体" w:hAnsi="宋体" w:eastAsia="宋体" w:cs="宋体"/>
        </w:rPr>
        <w:t>光伏电站频率阶跃扰动试验中，一次调频动态性能应满足下列规定</w:t>
      </w:r>
      <w:r>
        <w:rPr>
          <w:rFonts w:hint="eastAsia" w:ascii="宋体" w:hAnsi="宋体" w:eastAsia="宋体" w:cs="宋体"/>
          <w:lang w:eastAsia="zh-CN"/>
        </w:rPr>
        <w:t>：</w:t>
      </w:r>
    </w:p>
    <w:p w14:paraId="202F6810">
      <w:pPr>
        <w:keepNext w:val="0"/>
        <w:keepLines w:val="0"/>
        <w:pageBreakBefore w:val="0"/>
        <w:kinsoku/>
        <w:wordWrap/>
        <w:overflowPunct/>
        <w:autoSpaceDE/>
        <w:autoSpaceDN/>
        <w:bidi w:val="0"/>
        <w:spacing w:line="570" w:lineRule="exact"/>
        <w:ind w:firstLine="720" w:firstLineChars="300"/>
        <w:rPr>
          <w:rFonts w:hint="eastAsia" w:ascii="宋体" w:hAnsi="宋体" w:eastAsia="宋体" w:cs="宋体"/>
          <w:lang w:eastAsia="zh-CN"/>
        </w:rPr>
      </w:pPr>
      <w:r>
        <w:rPr>
          <w:rFonts w:hint="eastAsia" w:ascii="宋体" w:hAnsi="宋体" w:eastAsia="宋体" w:cs="宋体"/>
          <w:lang w:val="en-US" w:eastAsia="zh-CN"/>
        </w:rPr>
        <w:t>1）</w:t>
      </w:r>
      <w:r>
        <w:rPr>
          <w:rFonts w:hint="eastAsia" w:ascii="宋体" w:hAnsi="宋体" w:eastAsia="宋体" w:cs="宋体"/>
        </w:rPr>
        <w:t>一次调频有功功率的滞后时间应不大于1s</w:t>
      </w:r>
      <w:r>
        <w:rPr>
          <w:rFonts w:hint="eastAsia" w:ascii="宋体" w:hAnsi="宋体" w:eastAsia="宋体" w:cs="宋体"/>
          <w:lang w:eastAsia="zh-CN"/>
        </w:rPr>
        <w:t>。</w:t>
      </w:r>
    </w:p>
    <w:p w14:paraId="6301DF87">
      <w:pPr>
        <w:keepNext w:val="0"/>
        <w:keepLines w:val="0"/>
        <w:pageBreakBefore w:val="0"/>
        <w:kinsoku/>
        <w:wordWrap/>
        <w:overflowPunct/>
        <w:autoSpaceDE/>
        <w:autoSpaceDN/>
        <w:bidi w:val="0"/>
        <w:spacing w:line="570" w:lineRule="exact"/>
        <w:ind w:firstLine="720" w:firstLineChars="300"/>
        <w:rPr>
          <w:rFonts w:hint="eastAsia" w:ascii="宋体" w:hAnsi="宋体" w:eastAsia="宋体" w:cs="宋体"/>
          <w:lang w:eastAsia="zh-CN"/>
        </w:rPr>
      </w:pPr>
      <w:r>
        <w:rPr>
          <w:rFonts w:hint="eastAsia" w:ascii="宋体" w:hAnsi="宋体" w:eastAsia="宋体" w:cs="宋体"/>
          <w:lang w:val="en-US" w:eastAsia="zh-CN"/>
        </w:rPr>
        <w:t>2）</w:t>
      </w:r>
      <w:r>
        <w:rPr>
          <w:rFonts w:hint="eastAsia" w:ascii="宋体" w:hAnsi="宋体" w:eastAsia="宋体" w:cs="宋体"/>
        </w:rPr>
        <w:t>一次调频有功功率上升时间应不大于5s</w:t>
      </w:r>
      <w:r>
        <w:rPr>
          <w:rFonts w:hint="eastAsia" w:ascii="宋体" w:hAnsi="宋体" w:eastAsia="宋体" w:cs="宋体"/>
          <w:lang w:eastAsia="zh-CN"/>
        </w:rPr>
        <w:t>。</w:t>
      </w:r>
    </w:p>
    <w:p w14:paraId="52F7978E">
      <w:pPr>
        <w:keepNext w:val="0"/>
        <w:keepLines w:val="0"/>
        <w:pageBreakBefore w:val="0"/>
        <w:kinsoku/>
        <w:wordWrap/>
        <w:overflowPunct/>
        <w:autoSpaceDE/>
        <w:autoSpaceDN/>
        <w:bidi w:val="0"/>
        <w:spacing w:line="570" w:lineRule="exact"/>
        <w:ind w:firstLine="720" w:firstLineChars="300"/>
        <w:rPr>
          <w:rFonts w:hint="eastAsia" w:ascii="宋体" w:hAnsi="宋体" w:eastAsia="宋体" w:cs="宋体"/>
          <w:lang w:eastAsia="zh-CN"/>
        </w:rPr>
      </w:pPr>
      <w:r>
        <w:rPr>
          <w:rFonts w:hint="eastAsia" w:ascii="宋体" w:hAnsi="宋体" w:eastAsia="宋体" w:cs="宋体"/>
          <w:lang w:val="en-US" w:eastAsia="zh-CN"/>
        </w:rPr>
        <w:t>3）</w:t>
      </w:r>
      <w:r>
        <w:rPr>
          <w:rFonts w:hint="eastAsia" w:ascii="宋体" w:hAnsi="宋体" w:eastAsia="宋体" w:cs="宋体"/>
        </w:rPr>
        <w:t>一次调频有功功率调节时间应不大于15s</w:t>
      </w:r>
      <w:r>
        <w:rPr>
          <w:rFonts w:hint="eastAsia" w:ascii="宋体" w:hAnsi="宋体" w:eastAsia="宋体" w:cs="宋体"/>
          <w:lang w:eastAsia="zh-CN"/>
        </w:rPr>
        <w:t>。</w:t>
      </w:r>
    </w:p>
    <w:p w14:paraId="0998BD25">
      <w:pPr>
        <w:keepNext w:val="0"/>
        <w:keepLines w:val="0"/>
        <w:pageBreakBefore w:val="0"/>
        <w:kinsoku/>
        <w:wordWrap/>
        <w:overflowPunct/>
        <w:autoSpaceDE/>
        <w:autoSpaceDN/>
        <w:bidi w:val="0"/>
        <w:spacing w:line="570" w:lineRule="exact"/>
        <w:ind w:firstLine="720" w:firstLineChars="300"/>
        <w:rPr>
          <w:rFonts w:hint="eastAsia" w:ascii="宋体" w:hAnsi="宋体" w:eastAsia="宋体" w:cs="宋体"/>
          <w:lang w:eastAsia="zh-CN"/>
        </w:rPr>
      </w:pPr>
      <w:r>
        <w:rPr>
          <w:rFonts w:hint="eastAsia" w:ascii="宋体" w:hAnsi="宋体" w:eastAsia="宋体" w:cs="宋体"/>
          <w:lang w:val="en-US" w:eastAsia="zh-CN"/>
        </w:rPr>
        <w:t>4）</w:t>
      </w:r>
      <w:r>
        <w:rPr>
          <w:rFonts w:hint="eastAsia" w:ascii="宋体" w:hAnsi="宋体" w:eastAsia="宋体" w:cs="宋体"/>
        </w:rPr>
        <w:t>一次调频达到稳定时的有功功率调节偏差不超过士1%额定有功功率</w:t>
      </w:r>
      <w:r>
        <w:rPr>
          <w:rFonts w:hint="eastAsia" w:ascii="宋体" w:hAnsi="宋体" w:eastAsia="宋体" w:cs="宋体"/>
          <w:lang w:eastAsia="zh-CN"/>
        </w:rPr>
        <w:t>。</w:t>
      </w:r>
    </w:p>
    <w:p w14:paraId="50F72C4C">
      <w:pPr>
        <w:pStyle w:val="3"/>
        <w:keepNext w:val="0"/>
        <w:keepLines w:val="0"/>
        <w:pageBreakBefore w:val="0"/>
        <w:kinsoku/>
        <w:wordWrap/>
        <w:overflowPunct/>
        <w:autoSpaceDE/>
        <w:autoSpaceDN/>
        <w:bidi w:val="0"/>
        <w:spacing w:line="570" w:lineRule="exact"/>
        <w:ind w:firstLine="482" w:firstLineChars="200"/>
        <w:rPr>
          <w:rFonts w:hint="eastAsia" w:ascii="宋体" w:hAnsi="宋体" w:eastAsia="宋体" w:cs="宋体"/>
          <w:b/>
          <w:bCs w:val="0"/>
          <w:sz w:val="24"/>
          <w:szCs w:val="24"/>
          <w:lang w:val="en-US" w:eastAsia="zh-CN"/>
        </w:rPr>
      </w:pPr>
      <w:bookmarkStart w:id="88" w:name="_Toc9865"/>
      <w:r>
        <w:rPr>
          <w:rFonts w:hint="eastAsia" w:ascii="宋体" w:hAnsi="宋体" w:eastAsia="宋体" w:cs="宋体"/>
          <w:b/>
          <w:bCs w:val="0"/>
          <w:sz w:val="24"/>
          <w:szCs w:val="24"/>
          <w:lang w:val="en-US" w:eastAsia="zh-CN"/>
        </w:rPr>
        <w:t>4.6其他要求</w:t>
      </w:r>
      <w:bookmarkEnd w:id="88"/>
    </w:p>
    <w:p w14:paraId="552C3B3C">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val="en-US" w:eastAsia="zh-CN"/>
        </w:rPr>
      </w:pPr>
      <w:r>
        <w:rPr>
          <w:rFonts w:hint="eastAsia" w:ascii="宋体" w:hAnsi="宋体" w:eastAsia="宋体" w:cs="宋体"/>
          <w:lang w:val="en-US" w:eastAsia="zh-CN"/>
        </w:rPr>
        <w:t>4.6.1通信功能</w:t>
      </w:r>
    </w:p>
    <w:p w14:paraId="24E033B0">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lang w:val="en-US" w:eastAsia="zh-CN"/>
        </w:rPr>
        <w:t>（1）</w:t>
      </w:r>
      <w:r>
        <w:rPr>
          <w:rFonts w:hint="eastAsia" w:ascii="宋体" w:hAnsi="宋体" w:eastAsia="宋体" w:cs="宋体"/>
        </w:rPr>
        <w:t>与站内监控系统通讯</w:t>
      </w:r>
    </w:p>
    <w:p w14:paraId="046A95BC">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eastAsia="zh-CN"/>
        </w:rPr>
      </w:pPr>
      <w:r>
        <w:rPr>
          <w:rFonts w:hint="eastAsia" w:ascii="宋体" w:hAnsi="宋体" w:eastAsia="宋体" w:cs="宋体"/>
        </w:rPr>
        <w:t>支持MODBUSRTU、MODBUSTCP、IEC60870-5-103、IEC60870-5-104和IEC61850等多种规约与光伏监控系统或AGC、AVC进行通信与数据交互，可将快速功率控制装置本身的运行信息上传给监控系统</w:t>
      </w:r>
      <w:r>
        <w:rPr>
          <w:rFonts w:hint="eastAsia" w:ascii="宋体" w:hAnsi="宋体" w:eastAsia="宋体" w:cs="宋体"/>
          <w:lang w:eastAsia="zh-CN"/>
        </w:rPr>
        <w:t>。</w:t>
      </w:r>
    </w:p>
    <w:p w14:paraId="32D77126">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lang w:val="en-US" w:eastAsia="zh-CN"/>
        </w:rPr>
        <w:t>（2）</w:t>
      </w:r>
      <w:r>
        <w:rPr>
          <w:rFonts w:hint="eastAsia" w:ascii="宋体" w:hAnsi="宋体" w:eastAsia="宋体" w:cs="宋体"/>
        </w:rPr>
        <w:t>与调度系统通信</w:t>
      </w:r>
    </w:p>
    <w:p w14:paraId="69008E35">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eastAsia="zh-CN"/>
        </w:rPr>
      </w:pPr>
      <w:r>
        <w:rPr>
          <w:rFonts w:hint="eastAsia" w:ascii="宋体" w:hAnsi="宋体" w:eastAsia="宋体" w:cs="宋体"/>
        </w:rPr>
        <w:t>可接入远动，支持MODBUSRTU、MODBUSTCP、IEC60870-5-103、IEC60870-5-104和IEC61850等多种规约与调度系统进行通信与数据交互，接收有功、无功或 电压指令，实现有功、无功控制相关遥信、遥测等信息的上送</w:t>
      </w:r>
      <w:r>
        <w:rPr>
          <w:rFonts w:hint="eastAsia" w:ascii="宋体" w:hAnsi="宋体" w:eastAsia="宋体" w:cs="宋体"/>
          <w:lang w:eastAsia="zh-CN"/>
        </w:rPr>
        <w:t>。</w:t>
      </w:r>
    </w:p>
    <w:p w14:paraId="3E8BD024">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lang w:val="en-US" w:eastAsia="zh-CN"/>
        </w:rPr>
        <w:t>（3）</w:t>
      </w:r>
      <w:r>
        <w:rPr>
          <w:rFonts w:hint="eastAsia" w:ascii="宋体" w:hAnsi="宋体" w:eastAsia="宋体" w:cs="宋体"/>
        </w:rPr>
        <w:t>与逆变器或变流器通信</w:t>
      </w:r>
    </w:p>
    <w:p w14:paraId="501A92BD">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eastAsia="zh-CN"/>
        </w:rPr>
      </w:pPr>
      <w:r>
        <w:rPr>
          <w:rFonts w:hint="eastAsia" w:ascii="宋体" w:hAnsi="宋体" w:eastAsia="宋体" w:cs="宋体"/>
        </w:rPr>
        <w:t>支持MODBUSRTU、MODBUSTCP、IEC60870-5-103、IEC60870-5-104和IEC61850规约的GOOSE、SV等通讯协议，可下发有功、无功控制指令给电力电子设备， 采集电力电子设备的运行信息</w:t>
      </w:r>
      <w:r>
        <w:rPr>
          <w:rFonts w:hint="eastAsia" w:ascii="宋体" w:hAnsi="宋体" w:eastAsia="宋体" w:cs="宋体"/>
          <w:lang w:eastAsia="zh-CN"/>
        </w:rPr>
        <w:t>。</w:t>
      </w:r>
    </w:p>
    <w:p w14:paraId="4CECBADA">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lang w:val="en-US" w:eastAsia="zh-CN"/>
        </w:rPr>
        <w:t>（4）</w:t>
      </w:r>
      <w:r>
        <w:rPr>
          <w:rFonts w:hint="eastAsia" w:ascii="宋体" w:hAnsi="宋体" w:eastAsia="宋体" w:cs="宋体"/>
        </w:rPr>
        <w:t>与SVG设备通信</w:t>
      </w:r>
    </w:p>
    <w:p w14:paraId="3AE64C6A">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支持MODBUSRTU、MODBUSTCP、IEC60870-5-103、IEC60870-5-104等多种规约与SVG设备通信，可下发无功控制指令给SVG设备，采集SVG设备的运行信息。</w:t>
      </w:r>
    </w:p>
    <w:p w14:paraId="5CEF3AE8">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val="en-US" w:eastAsia="zh-CN"/>
        </w:rPr>
      </w:pPr>
      <w:r>
        <w:rPr>
          <w:rFonts w:hint="eastAsia" w:ascii="宋体" w:hAnsi="宋体" w:eastAsia="宋体" w:cs="宋体"/>
          <w:lang w:val="en-US" w:eastAsia="zh-CN"/>
        </w:rPr>
        <w:t>4.6.2供电电源</w:t>
      </w:r>
    </w:p>
    <w:p w14:paraId="4AF422C3">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eastAsia="zh-CN"/>
        </w:rPr>
      </w:pPr>
      <w:r>
        <w:rPr>
          <w:rFonts w:hint="eastAsia" w:ascii="宋体" w:hAnsi="宋体" w:eastAsia="宋体" w:cs="宋体"/>
          <w:lang w:eastAsia="uk-UA"/>
        </w:rPr>
        <w:t>供电电源需保证装置工作可靠性。</w:t>
      </w:r>
      <w:r>
        <w:rPr>
          <w:rFonts w:hint="eastAsia" w:ascii="宋体" w:hAnsi="宋体" w:eastAsia="宋体" w:cs="宋体"/>
          <w:lang w:eastAsia="zh-CN"/>
        </w:rPr>
        <w:t>并网主体各类自动化设备应采用冗余配置的不间断电源或厂（场）站内直流电源供电。</w:t>
      </w:r>
    </w:p>
    <w:p w14:paraId="2E60DE46">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val="en-US" w:eastAsia="zh-CN"/>
        </w:rPr>
      </w:pPr>
      <w:r>
        <w:rPr>
          <w:rFonts w:hint="eastAsia" w:ascii="宋体" w:hAnsi="宋体" w:eastAsia="宋体" w:cs="宋体"/>
          <w:lang w:val="en-US" w:eastAsia="zh-CN"/>
        </w:rPr>
        <w:t>工作电源</w:t>
      </w:r>
    </w:p>
    <w:p w14:paraId="44BF91D3">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val="en-US" w:eastAsia="zh-CN"/>
        </w:rPr>
      </w:pPr>
      <w:r>
        <w:rPr>
          <w:rFonts w:hint="eastAsia" w:ascii="宋体" w:hAnsi="宋体" w:eastAsia="宋体" w:cs="宋体"/>
        </w:rPr>
        <w:t>额定电压</w:t>
      </w:r>
      <w:r>
        <w:rPr>
          <w:rFonts w:hint="eastAsia" w:ascii="宋体" w:hAnsi="宋体" w:eastAsia="宋体" w:cs="宋体"/>
          <w:lang w:eastAsia="zh-CN"/>
        </w:rPr>
        <w:t>：</w:t>
      </w:r>
      <w:r>
        <w:rPr>
          <w:rFonts w:hint="eastAsia" w:ascii="宋体" w:hAnsi="宋体" w:eastAsia="宋体" w:cs="宋体"/>
        </w:rPr>
        <w:t>AC/DC220V</w:t>
      </w:r>
      <w:r>
        <w:rPr>
          <w:rFonts w:hint="eastAsia" w:ascii="宋体" w:hAnsi="宋体" w:eastAsia="宋体" w:cs="宋体"/>
          <w:lang w:eastAsia="zh-CN"/>
        </w:rPr>
        <w:t>，</w:t>
      </w:r>
      <w:r>
        <w:rPr>
          <w:rFonts w:hint="eastAsia" w:ascii="宋体" w:hAnsi="宋体" w:eastAsia="宋体" w:cs="宋体"/>
        </w:rPr>
        <w:t>允许偏差</w:t>
      </w:r>
      <w:r>
        <w:rPr>
          <w:rFonts w:hint="eastAsia" w:ascii="宋体" w:hAnsi="宋体" w:eastAsia="宋体" w:cs="宋体"/>
          <w:lang w:eastAsia="zh-CN"/>
        </w:rPr>
        <w:t>：</w:t>
      </w:r>
      <w:r>
        <w:rPr>
          <w:rFonts w:hint="eastAsia" w:ascii="宋体" w:hAnsi="宋体" w:eastAsia="宋体" w:cs="宋体"/>
        </w:rPr>
        <w:t>-20%～+15%</w:t>
      </w:r>
      <w:r>
        <w:rPr>
          <w:rFonts w:hint="eastAsia" w:ascii="宋体" w:hAnsi="宋体" w:eastAsia="宋体" w:cs="宋体"/>
          <w:lang w:eastAsia="zh-CN"/>
        </w:rPr>
        <w:t>，</w:t>
      </w:r>
      <w:r>
        <w:rPr>
          <w:rFonts w:hint="eastAsia" w:ascii="宋体" w:hAnsi="宋体" w:eastAsia="宋体" w:cs="宋体"/>
        </w:rPr>
        <w:t>纹波系数</w:t>
      </w:r>
      <w:r>
        <w:rPr>
          <w:rFonts w:hint="eastAsia" w:ascii="宋体" w:hAnsi="宋体" w:eastAsia="宋体" w:cs="宋体"/>
          <w:lang w:eastAsia="zh-CN"/>
        </w:rPr>
        <w:t>：</w:t>
      </w:r>
      <w:r>
        <w:rPr>
          <w:rFonts w:hint="eastAsia" w:ascii="宋体" w:hAnsi="宋体" w:eastAsia="宋体" w:cs="宋体"/>
        </w:rPr>
        <w:t>≤5%</w:t>
      </w:r>
      <w:r>
        <w:rPr>
          <w:rFonts w:hint="eastAsia" w:ascii="宋体" w:hAnsi="宋体" w:eastAsia="宋体" w:cs="宋体"/>
          <w:lang w:eastAsia="zh-CN"/>
        </w:rPr>
        <w:t>。</w:t>
      </w:r>
    </w:p>
    <w:p w14:paraId="3544D67B">
      <w:pPr>
        <w:keepNext w:val="0"/>
        <w:keepLines w:val="0"/>
        <w:pageBreakBefore w:val="0"/>
        <w:kinsoku/>
        <w:wordWrap/>
        <w:overflowPunct/>
        <w:autoSpaceDE/>
        <w:autoSpaceDN/>
        <w:bidi w:val="0"/>
        <w:spacing w:line="570" w:lineRule="exact"/>
        <w:ind w:firstLine="480" w:firstLineChars="200"/>
        <w:rPr>
          <w:rFonts w:hint="default" w:ascii="宋体" w:hAnsi="宋体" w:eastAsia="宋体" w:cs="宋体"/>
          <w:lang w:val="en-US" w:eastAsia="zh-CN"/>
        </w:rPr>
      </w:pPr>
      <w:r>
        <w:rPr>
          <w:rFonts w:hint="eastAsia" w:ascii="宋体" w:hAnsi="宋体" w:eastAsia="宋体" w:cs="宋体"/>
          <w:lang w:val="en-US" w:eastAsia="zh-CN"/>
        </w:rPr>
        <w:t>额定交流电压、电流</w:t>
      </w:r>
    </w:p>
    <w:p w14:paraId="240C1174">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val="en-US" w:eastAsia="zh-CN"/>
        </w:rPr>
      </w:pPr>
      <w:r>
        <w:rPr>
          <w:rFonts w:hint="eastAsia" w:ascii="宋体" w:hAnsi="宋体" w:eastAsia="宋体" w:cs="宋体"/>
        </w:rPr>
        <w:t>交流电压</w:t>
      </w:r>
      <w:r>
        <w:rPr>
          <w:rFonts w:hint="eastAsia" w:ascii="宋体" w:hAnsi="宋体" w:eastAsia="宋体" w:cs="宋体"/>
          <w:lang w:eastAsia="zh-CN"/>
        </w:rPr>
        <w:t>：</w:t>
      </w:r>
      <w:r>
        <w:rPr>
          <w:rFonts w:hint="eastAsia" w:ascii="宋体" w:hAnsi="宋体" w:eastAsia="宋体" w:cs="宋体"/>
        </w:rPr>
        <w:t>57.74V或100</w:t>
      </w:r>
      <w:r>
        <w:rPr>
          <w:rFonts w:hint="eastAsia" w:ascii="宋体" w:hAnsi="宋体" w:eastAsia="宋体" w:cs="宋体"/>
          <w:lang w:val="en-US" w:eastAsia="zh-CN"/>
        </w:rPr>
        <w:t>V，</w:t>
      </w:r>
      <w:r>
        <w:rPr>
          <w:rFonts w:hint="eastAsia" w:ascii="宋体" w:hAnsi="宋体" w:eastAsia="宋体" w:cs="宋体"/>
        </w:rPr>
        <w:t>交流电流</w:t>
      </w:r>
      <w:r>
        <w:rPr>
          <w:rFonts w:hint="eastAsia" w:ascii="宋体" w:hAnsi="宋体" w:eastAsia="宋体" w:cs="宋体"/>
          <w:lang w:eastAsia="zh-CN"/>
        </w:rPr>
        <w:t>：</w:t>
      </w:r>
      <w:r>
        <w:rPr>
          <w:rFonts w:hint="eastAsia" w:ascii="宋体" w:hAnsi="宋体" w:eastAsia="宋体" w:cs="宋体"/>
        </w:rPr>
        <w:t>5A或1</w:t>
      </w:r>
      <w:r>
        <w:rPr>
          <w:rFonts w:hint="eastAsia" w:ascii="宋体" w:hAnsi="宋体" w:eastAsia="宋体" w:cs="宋体"/>
          <w:lang w:val="en-US" w:eastAsia="zh-CN"/>
        </w:rPr>
        <w:t>A。</w:t>
      </w:r>
    </w:p>
    <w:p w14:paraId="1998A136">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val="en-US" w:eastAsia="zh-CN"/>
        </w:rPr>
      </w:pPr>
      <w:r>
        <w:rPr>
          <w:rFonts w:hint="eastAsia" w:ascii="宋体" w:hAnsi="宋体" w:eastAsia="宋体" w:cs="宋体"/>
          <w:lang w:val="en-US" w:eastAsia="zh-CN"/>
        </w:rPr>
        <w:t>4.6.3测量精度</w:t>
      </w:r>
    </w:p>
    <w:p w14:paraId="6446BBD5">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val="en-US" w:eastAsia="zh-CN"/>
        </w:rPr>
      </w:pPr>
      <w:r>
        <w:rPr>
          <w:rFonts w:hint="eastAsia" w:ascii="宋体" w:hAnsi="宋体" w:eastAsia="宋体" w:cs="宋体"/>
          <w:lang w:val="en-US" w:eastAsia="zh-CN"/>
        </w:rPr>
        <w:t>遥测量</w:t>
      </w:r>
    </w:p>
    <w:p w14:paraId="0CF04413">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val="en-US" w:eastAsia="zh-CN"/>
        </w:rPr>
      </w:pPr>
      <w:r>
        <w:rPr>
          <w:rFonts w:hint="eastAsia" w:ascii="宋体" w:hAnsi="宋体" w:eastAsia="宋体" w:cs="宋体"/>
        </w:rPr>
        <w:t>电流、电压≤0.2%</w:t>
      </w:r>
      <w:r>
        <w:rPr>
          <w:rFonts w:hint="eastAsia" w:ascii="宋体" w:hAnsi="宋体" w:eastAsia="宋体" w:cs="宋体"/>
          <w:lang w:eastAsia="zh-CN"/>
        </w:rPr>
        <w:t>，</w:t>
      </w:r>
      <w:r>
        <w:rPr>
          <w:rFonts w:hint="eastAsia" w:ascii="宋体" w:hAnsi="宋体" w:eastAsia="宋体" w:cs="宋体"/>
        </w:rPr>
        <w:t>有功功率、无功功率≤0.5%</w:t>
      </w:r>
      <w:r>
        <w:rPr>
          <w:rFonts w:hint="eastAsia" w:ascii="宋体" w:hAnsi="宋体" w:eastAsia="宋体" w:cs="宋体"/>
          <w:lang w:eastAsia="zh-CN"/>
        </w:rPr>
        <w:t>，</w:t>
      </w:r>
      <w:r>
        <w:rPr>
          <w:rFonts w:hint="eastAsia" w:ascii="宋体" w:hAnsi="宋体" w:eastAsia="宋体" w:cs="宋体"/>
        </w:rPr>
        <w:t>功率因数≤0.5%</w:t>
      </w:r>
      <w:r>
        <w:rPr>
          <w:rFonts w:hint="eastAsia" w:ascii="宋体" w:hAnsi="宋体" w:eastAsia="宋体" w:cs="宋体"/>
          <w:lang w:eastAsia="zh-CN"/>
        </w:rPr>
        <w:t>，</w:t>
      </w:r>
      <w:r>
        <w:rPr>
          <w:rFonts w:hint="eastAsia" w:ascii="宋体" w:hAnsi="宋体" w:eastAsia="宋体" w:cs="宋体"/>
        </w:rPr>
        <w:t>频率≤0.003Hz</w:t>
      </w:r>
      <w:r>
        <w:rPr>
          <w:rFonts w:hint="eastAsia" w:ascii="宋体" w:hAnsi="宋体" w:eastAsia="宋体" w:cs="宋体"/>
          <w:lang w:eastAsia="zh-CN"/>
        </w:rPr>
        <w:t>，</w:t>
      </w:r>
      <w:r>
        <w:rPr>
          <w:rFonts w:hint="eastAsia" w:ascii="宋体" w:hAnsi="宋体" w:eastAsia="宋体" w:cs="宋体"/>
        </w:rPr>
        <w:t>频率变化率≤0.02Hz/s</w:t>
      </w:r>
      <w:r>
        <w:rPr>
          <w:rFonts w:hint="eastAsia" w:ascii="宋体" w:hAnsi="宋体" w:eastAsia="宋体" w:cs="宋体"/>
          <w:lang w:eastAsia="zh-CN"/>
        </w:rPr>
        <w:t>。</w:t>
      </w:r>
    </w:p>
    <w:p w14:paraId="11C6FA63">
      <w:pPr>
        <w:keepNext w:val="0"/>
        <w:keepLines w:val="0"/>
        <w:pageBreakBefore w:val="0"/>
        <w:kinsoku/>
        <w:wordWrap/>
        <w:overflowPunct/>
        <w:autoSpaceDE/>
        <w:autoSpaceDN/>
        <w:bidi w:val="0"/>
        <w:spacing w:line="570" w:lineRule="exact"/>
        <w:ind w:firstLine="480" w:firstLineChars="200"/>
        <w:rPr>
          <w:rFonts w:hint="default" w:ascii="宋体" w:hAnsi="宋体" w:eastAsia="宋体" w:cs="宋体"/>
          <w:lang w:val="en-US" w:eastAsia="zh-CN"/>
        </w:rPr>
      </w:pPr>
      <w:r>
        <w:rPr>
          <w:rFonts w:hint="eastAsia" w:ascii="宋体" w:hAnsi="宋体" w:eastAsia="宋体" w:cs="宋体"/>
          <w:lang w:val="en-US" w:eastAsia="zh-CN"/>
        </w:rPr>
        <w:t>遥信量</w:t>
      </w:r>
    </w:p>
    <w:p w14:paraId="237AF7E9">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eastAsia="zh-CN"/>
        </w:rPr>
      </w:pPr>
      <w:r>
        <w:rPr>
          <w:rFonts w:hint="eastAsia" w:ascii="宋体" w:hAnsi="宋体" w:eastAsia="宋体" w:cs="宋体"/>
        </w:rPr>
        <w:t>遥信分辨率≤2ms</w:t>
      </w:r>
      <w:r>
        <w:rPr>
          <w:rFonts w:hint="eastAsia" w:ascii="宋体" w:hAnsi="宋体" w:eastAsia="宋体" w:cs="宋体"/>
          <w:lang w:eastAsia="zh-CN"/>
        </w:rPr>
        <w:t>。</w:t>
      </w:r>
    </w:p>
    <w:p w14:paraId="2F108015">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lang w:val="en-US" w:eastAsia="zh-CN"/>
        </w:rPr>
        <w:t>4.6.4</w:t>
      </w:r>
      <w:r>
        <w:rPr>
          <w:rFonts w:hint="eastAsia" w:ascii="宋体" w:hAnsi="宋体" w:eastAsia="宋体" w:cs="宋体"/>
        </w:rPr>
        <w:t>工频耐压及耐冲击能力</w:t>
      </w:r>
    </w:p>
    <w:p w14:paraId="15509EC7">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val="en-US" w:eastAsia="zh-CN"/>
        </w:rPr>
      </w:pPr>
      <w:r>
        <w:rPr>
          <w:rFonts w:hint="eastAsia" w:ascii="宋体" w:hAnsi="宋体" w:eastAsia="宋体" w:cs="宋体"/>
        </w:rPr>
        <w:t>耐压能力</w:t>
      </w:r>
      <w:r>
        <w:rPr>
          <w:rFonts w:hint="eastAsia" w:ascii="宋体" w:hAnsi="宋体" w:eastAsia="宋体" w:cs="宋体"/>
          <w:lang w:eastAsia="zh-CN"/>
        </w:rPr>
        <w:t>：</w:t>
      </w:r>
      <w:r>
        <w:rPr>
          <w:rFonts w:hint="eastAsia" w:ascii="宋体" w:hAnsi="宋体" w:eastAsia="宋体" w:cs="宋体"/>
        </w:rPr>
        <w:t>AC2500V，1min</w:t>
      </w:r>
      <w:r>
        <w:rPr>
          <w:rFonts w:hint="eastAsia" w:ascii="宋体" w:hAnsi="宋体" w:eastAsia="宋体" w:cs="宋体"/>
          <w:lang w:eastAsia="zh-CN"/>
        </w:rPr>
        <w:t>，</w:t>
      </w:r>
      <w:r>
        <w:rPr>
          <w:rFonts w:hint="eastAsia" w:ascii="宋体" w:hAnsi="宋体" w:eastAsia="宋体" w:cs="宋体"/>
        </w:rPr>
        <w:t>浪涌冲击</w:t>
      </w:r>
      <w:r>
        <w:rPr>
          <w:rFonts w:hint="eastAsia" w:ascii="宋体" w:hAnsi="宋体" w:eastAsia="宋体" w:cs="宋体"/>
          <w:lang w:eastAsia="zh-CN"/>
        </w:rPr>
        <w:t>：</w:t>
      </w:r>
      <w:r>
        <w:rPr>
          <w:rFonts w:hint="eastAsia" w:ascii="宋体" w:hAnsi="宋体" w:eastAsia="宋体" w:cs="宋体"/>
        </w:rPr>
        <w:t>5kV雷击浪涌冲击</w:t>
      </w:r>
      <w:r>
        <w:rPr>
          <w:rFonts w:hint="eastAsia" w:ascii="宋体" w:hAnsi="宋体" w:eastAsia="宋体" w:cs="宋体"/>
          <w:lang w:eastAsia="zh-CN"/>
        </w:rPr>
        <w:t>。</w:t>
      </w:r>
    </w:p>
    <w:p w14:paraId="6AC29AAD">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lang w:val="en-US" w:eastAsia="zh-CN"/>
        </w:rPr>
        <w:t>4.6.5</w:t>
      </w:r>
      <w:r>
        <w:rPr>
          <w:rFonts w:hint="eastAsia" w:ascii="宋体" w:hAnsi="宋体" w:eastAsia="宋体" w:cs="宋体"/>
        </w:rPr>
        <w:t>电磁兼容性</w:t>
      </w:r>
    </w:p>
    <w:tbl>
      <w:tblPr>
        <w:tblStyle w:val="18"/>
        <w:tblW w:w="482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928"/>
        <w:gridCol w:w="863"/>
        <w:gridCol w:w="4428"/>
      </w:tblGrid>
      <w:tr w14:paraId="12B624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jc w:val="center"/>
        </w:trPr>
        <w:tc>
          <w:tcPr>
            <w:tcW w:w="1781" w:type="pct"/>
            <w:vAlign w:val="center"/>
          </w:tcPr>
          <w:p w14:paraId="70F20310">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b/>
                <w:bCs/>
                <w:sz w:val="21"/>
                <w:szCs w:val="21"/>
                <w:lang w:val="en-US" w:eastAsia="zh-CN"/>
              </w:rPr>
            </w:pPr>
            <w:r>
              <w:rPr>
                <w:rFonts w:hint="eastAsia" w:ascii="宋体" w:hAnsi="宋体" w:eastAsia="宋体" w:cs="宋体"/>
                <w:b/>
                <w:bCs/>
                <w:sz w:val="21"/>
                <w:szCs w:val="21"/>
                <w:lang w:val="en-US" w:eastAsia="zh-CN"/>
              </w:rPr>
              <w:t>试验</w:t>
            </w:r>
          </w:p>
        </w:tc>
        <w:tc>
          <w:tcPr>
            <w:tcW w:w="525" w:type="pct"/>
            <w:vAlign w:val="center"/>
          </w:tcPr>
          <w:p w14:paraId="3B919BAB">
            <w:pPr>
              <w:keepNext w:val="0"/>
              <w:keepLines w:val="0"/>
              <w:pageBreakBefore w:val="0"/>
              <w:kinsoku/>
              <w:wordWrap/>
              <w:overflowPunct/>
              <w:autoSpaceDE/>
              <w:autoSpaceDN/>
              <w:bidi w:val="0"/>
              <w:spacing w:line="360" w:lineRule="auto"/>
              <w:ind w:left="0" w:leftChars="0" w:firstLine="0" w:firstLineChars="0"/>
              <w:jc w:val="center"/>
              <w:rPr>
                <w:rFonts w:hint="default" w:ascii="宋体" w:hAnsi="宋体" w:eastAsia="宋体" w:cs="宋体"/>
                <w:b/>
                <w:bCs/>
                <w:sz w:val="21"/>
                <w:szCs w:val="21"/>
                <w:lang w:val="en-US" w:eastAsia="zh-CN"/>
              </w:rPr>
            </w:pPr>
            <w:r>
              <w:rPr>
                <w:rFonts w:hint="eastAsia" w:ascii="宋体" w:hAnsi="宋体" w:eastAsia="宋体" w:cs="宋体"/>
                <w:b/>
                <w:bCs/>
                <w:sz w:val="21"/>
                <w:szCs w:val="21"/>
                <w:lang w:val="en-US" w:eastAsia="zh-CN"/>
              </w:rPr>
              <w:t>指标</w:t>
            </w:r>
          </w:p>
        </w:tc>
        <w:tc>
          <w:tcPr>
            <w:tcW w:w="2693" w:type="pct"/>
            <w:vAlign w:val="center"/>
          </w:tcPr>
          <w:p w14:paraId="6796E83A">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b/>
                <w:bCs/>
                <w:sz w:val="21"/>
                <w:szCs w:val="21"/>
                <w:lang w:val="en-US" w:eastAsia="zh-CN"/>
              </w:rPr>
            </w:pPr>
            <w:r>
              <w:rPr>
                <w:rFonts w:hint="eastAsia" w:ascii="宋体" w:hAnsi="宋体" w:eastAsia="宋体" w:cs="宋体"/>
                <w:b/>
                <w:bCs/>
                <w:sz w:val="21"/>
                <w:szCs w:val="21"/>
                <w:lang w:val="en-US" w:eastAsia="zh-CN"/>
              </w:rPr>
              <w:t>参考标准</w:t>
            </w:r>
          </w:p>
        </w:tc>
      </w:tr>
      <w:tr w14:paraId="7ADB19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1781" w:type="pct"/>
            <w:vAlign w:val="center"/>
          </w:tcPr>
          <w:p w14:paraId="4E4DF6EB">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辐射电磁场骚扰</w:t>
            </w:r>
          </w:p>
        </w:tc>
        <w:tc>
          <w:tcPr>
            <w:tcW w:w="525" w:type="pct"/>
            <w:vAlign w:val="center"/>
          </w:tcPr>
          <w:p w14:paraId="7F88E359">
            <w:pPr>
              <w:keepNext w:val="0"/>
              <w:keepLines w:val="0"/>
              <w:pageBreakBefore w:val="0"/>
              <w:kinsoku/>
              <w:wordWrap/>
              <w:overflowPunct/>
              <w:autoSpaceDE/>
              <w:autoSpaceDN/>
              <w:bidi w:val="0"/>
              <w:spacing w:line="360" w:lineRule="auto"/>
              <w:ind w:left="0" w:leftChars="0"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Ⅲ级</w:t>
            </w:r>
          </w:p>
        </w:tc>
        <w:tc>
          <w:tcPr>
            <w:tcW w:w="2693" w:type="pct"/>
            <w:vAlign w:val="center"/>
          </w:tcPr>
          <w:p w14:paraId="696BCF1F">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GB/T14598.9</w:t>
            </w:r>
            <w:r>
              <w:rPr>
                <w:rFonts w:hint="eastAsia" w:ascii="宋体" w:hAnsi="宋体" w:eastAsia="宋体" w:cs="宋体"/>
                <w:sz w:val="21"/>
                <w:szCs w:val="21"/>
                <w:lang w:eastAsia="zh-CN"/>
              </w:rPr>
              <w:t>(</w:t>
            </w:r>
            <w:r>
              <w:rPr>
                <w:rFonts w:hint="eastAsia" w:ascii="宋体" w:hAnsi="宋体" w:eastAsia="宋体" w:cs="宋体"/>
                <w:sz w:val="21"/>
                <w:szCs w:val="21"/>
              </w:rPr>
              <w:t>IEC60255-22-3</w:t>
            </w:r>
            <w:r>
              <w:rPr>
                <w:rFonts w:hint="eastAsia" w:ascii="宋体" w:hAnsi="宋体" w:eastAsia="宋体" w:cs="宋体"/>
                <w:sz w:val="21"/>
                <w:szCs w:val="21"/>
                <w:lang w:eastAsia="zh-CN"/>
              </w:rPr>
              <w:t>)</w:t>
            </w:r>
          </w:p>
        </w:tc>
      </w:tr>
      <w:tr w14:paraId="669D7D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1781" w:type="pct"/>
            <w:vAlign w:val="center"/>
          </w:tcPr>
          <w:p w14:paraId="7B143C49">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快速瞬变干抗</w:t>
            </w:r>
          </w:p>
        </w:tc>
        <w:tc>
          <w:tcPr>
            <w:tcW w:w="525" w:type="pct"/>
            <w:vAlign w:val="center"/>
          </w:tcPr>
          <w:p w14:paraId="4DA12785">
            <w:pPr>
              <w:keepNext w:val="0"/>
              <w:keepLines w:val="0"/>
              <w:pageBreakBefore w:val="0"/>
              <w:kinsoku/>
              <w:wordWrap/>
              <w:overflowPunct/>
              <w:autoSpaceDE/>
              <w:autoSpaceDN/>
              <w:bidi w:val="0"/>
              <w:spacing w:line="360" w:lineRule="auto"/>
              <w:ind w:left="0" w:leftChars="0"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Ⅳ级</w:t>
            </w:r>
          </w:p>
        </w:tc>
        <w:tc>
          <w:tcPr>
            <w:tcW w:w="2693" w:type="pct"/>
            <w:vAlign w:val="center"/>
          </w:tcPr>
          <w:p w14:paraId="10603D48">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GB/T14598.10</w:t>
            </w:r>
            <w:r>
              <w:rPr>
                <w:rFonts w:hint="eastAsia" w:ascii="宋体" w:hAnsi="宋体" w:eastAsia="宋体" w:cs="宋体"/>
                <w:sz w:val="21"/>
                <w:szCs w:val="21"/>
                <w:lang w:eastAsia="zh-CN"/>
              </w:rPr>
              <w:t>(</w:t>
            </w:r>
            <w:r>
              <w:rPr>
                <w:rFonts w:hint="eastAsia" w:ascii="宋体" w:hAnsi="宋体" w:eastAsia="宋体" w:cs="宋体"/>
                <w:sz w:val="21"/>
                <w:szCs w:val="21"/>
              </w:rPr>
              <w:t>IEC60255-22-4</w:t>
            </w:r>
            <w:r>
              <w:rPr>
                <w:rFonts w:hint="eastAsia" w:ascii="宋体" w:hAnsi="宋体" w:eastAsia="宋体" w:cs="宋体"/>
                <w:sz w:val="21"/>
                <w:szCs w:val="21"/>
                <w:lang w:eastAsia="zh-CN"/>
              </w:rPr>
              <w:t>)</w:t>
            </w:r>
          </w:p>
        </w:tc>
      </w:tr>
      <w:tr w14:paraId="17C89C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1781" w:type="pct"/>
            <w:vAlign w:val="center"/>
          </w:tcPr>
          <w:p w14:paraId="5F3957B3">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1MHz脉冲群干扰</w:t>
            </w:r>
          </w:p>
        </w:tc>
        <w:tc>
          <w:tcPr>
            <w:tcW w:w="525" w:type="pct"/>
            <w:vAlign w:val="center"/>
          </w:tcPr>
          <w:p w14:paraId="323559EB">
            <w:pPr>
              <w:keepNext w:val="0"/>
              <w:keepLines w:val="0"/>
              <w:pageBreakBefore w:val="0"/>
              <w:kinsoku/>
              <w:wordWrap/>
              <w:overflowPunct/>
              <w:autoSpaceDE/>
              <w:autoSpaceDN/>
              <w:bidi w:val="0"/>
              <w:spacing w:line="360" w:lineRule="auto"/>
              <w:ind w:left="0" w:leftChars="0"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Ⅲ级</w:t>
            </w:r>
          </w:p>
        </w:tc>
        <w:tc>
          <w:tcPr>
            <w:tcW w:w="2693" w:type="pct"/>
            <w:vAlign w:val="center"/>
          </w:tcPr>
          <w:p w14:paraId="08633229">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GB/T14598.13</w:t>
            </w:r>
            <w:r>
              <w:rPr>
                <w:rFonts w:hint="eastAsia" w:ascii="宋体" w:hAnsi="宋体" w:eastAsia="宋体" w:cs="宋体"/>
                <w:sz w:val="21"/>
                <w:szCs w:val="21"/>
                <w:lang w:eastAsia="zh-CN"/>
              </w:rPr>
              <w:t>(</w:t>
            </w:r>
            <w:r>
              <w:rPr>
                <w:rFonts w:hint="eastAsia" w:ascii="宋体" w:hAnsi="宋体" w:eastAsia="宋体" w:cs="宋体"/>
                <w:sz w:val="21"/>
                <w:szCs w:val="21"/>
              </w:rPr>
              <w:t>IEC60255-22-1</w:t>
            </w:r>
            <w:r>
              <w:rPr>
                <w:rFonts w:hint="eastAsia" w:ascii="宋体" w:hAnsi="宋体" w:eastAsia="宋体" w:cs="宋体"/>
                <w:sz w:val="21"/>
                <w:szCs w:val="21"/>
                <w:lang w:eastAsia="zh-CN"/>
              </w:rPr>
              <w:t>)</w:t>
            </w:r>
          </w:p>
        </w:tc>
      </w:tr>
      <w:tr w14:paraId="7A8EE6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1781" w:type="pct"/>
            <w:vAlign w:val="center"/>
          </w:tcPr>
          <w:p w14:paraId="590F508D">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静电放电</w:t>
            </w:r>
          </w:p>
        </w:tc>
        <w:tc>
          <w:tcPr>
            <w:tcW w:w="525" w:type="pct"/>
            <w:vAlign w:val="center"/>
          </w:tcPr>
          <w:p w14:paraId="06EEE95F">
            <w:pPr>
              <w:keepNext w:val="0"/>
              <w:keepLines w:val="0"/>
              <w:pageBreakBefore w:val="0"/>
              <w:kinsoku/>
              <w:wordWrap/>
              <w:overflowPunct/>
              <w:autoSpaceDE/>
              <w:autoSpaceDN/>
              <w:bidi w:val="0"/>
              <w:spacing w:line="360" w:lineRule="auto"/>
              <w:ind w:left="0" w:leftChars="0"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4级</w:t>
            </w:r>
          </w:p>
        </w:tc>
        <w:tc>
          <w:tcPr>
            <w:tcW w:w="2693" w:type="pct"/>
            <w:vAlign w:val="center"/>
          </w:tcPr>
          <w:p w14:paraId="4928A9FF">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GB/T14598.14</w:t>
            </w:r>
            <w:r>
              <w:rPr>
                <w:rFonts w:hint="eastAsia" w:ascii="宋体" w:hAnsi="宋体" w:eastAsia="宋体" w:cs="宋体"/>
                <w:sz w:val="21"/>
                <w:szCs w:val="21"/>
                <w:lang w:eastAsia="zh-CN"/>
              </w:rPr>
              <w:t>(</w:t>
            </w:r>
            <w:r>
              <w:rPr>
                <w:rFonts w:hint="eastAsia" w:ascii="宋体" w:hAnsi="宋体" w:eastAsia="宋体" w:cs="宋体"/>
                <w:sz w:val="21"/>
                <w:szCs w:val="21"/>
              </w:rPr>
              <w:t>IEC60255-22-2</w:t>
            </w:r>
            <w:r>
              <w:rPr>
                <w:rFonts w:hint="eastAsia" w:ascii="宋体" w:hAnsi="宋体" w:eastAsia="宋体" w:cs="宋体"/>
                <w:sz w:val="21"/>
                <w:szCs w:val="21"/>
                <w:lang w:eastAsia="zh-CN"/>
              </w:rPr>
              <w:t>)</w:t>
            </w:r>
          </w:p>
        </w:tc>
      </w:tr>
      <w:tr w14:paraId="34AFB1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1781" w:type="pct"/>
            <w:vAlign w:val="center"/>
          </w:tcPr>
          <w:p w14:paraId="7808CA75">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电磁发射</w:t>
            </w:r>
          </w:p>
        </w:tc>
        <w:tc>
          <w:tcPr>
            <w:tcW w:w="525" w:type="pct"/>
            <w:vAlign w:val="center"/>
          </w:tcPr>
          <w:p w14:paraId="3CC38F26">
            <w:pPr>
              <w:keepNext w:val="0"/>
              <w:keepLines w:val="0"/>
              <w:pageBreakBefore w:val="0"/>
              <w:kinsoku/>
              <w:wordWrap/>
              <w:overflowPunct/>
              <w:autoSpaceDE/>
              <w:autoSpaceDN/>
              <w:bidi w:val="0"/>
              <w:spacing w:line="360" w:lineRule="auto"/>
              <w:ind w:left="0" w:leftChars="0"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A类</w:t>
            </w:r>
          </w:p>
        </w:tc>
        <w:tc>
          <w:tcPr>
            <w:tcW w:w="2693" w:type="pct"/>
            <w:vAlign w:val="center"/>
          </w:tcPr>
          <w:p w14:paraId="6755FF61">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GB/T14598.16</w:t>
            </w:r>
            <w:r>
              <w:rPr>
                <w:rFonts w:hint="eastAsia" w:ascii="宋体" w:hAnsi="宋体" w:eastAsia="宋体" w:cs="宋体"/>
                <w:sz w:val="21"/>
                <w:szCs w:val="21"/>
                <w:lang w:eastAsia="zh-CN"/>
              </w:rPr>
              <w:t>(</w:t>
            </w:r>
            <w:r>
              <w:rPr>
                <w:rFonts w:hint="eastAsia" w:ascii="宋体" w:hAnsi="宋体" w:eastAsia="宋体" w:cs="宋体"/>
                <w:sz w:val="21"/>
                <w:szCs w:val="21"/>
              </w:rPr>
              <w:t>IEC60255-25</w:t>
            </w:r>
            <w:r>
              <w:rPr>
                <w:rFonts w:hint="eastAsia" w:ascii="宋体" w:hAnsi="宋体" w:eastAsia="宋体" w:cs="宋体"/>
                <w:sz w:val="21"/>
                <w:szCs w:val="21"/>
                <w:lang w:eastAsia="zh-CN"/>
              </w:rPr>
              <w:t>)</w:t>
            </w:r>
          </w:p>
        </w:tc>
      </w:tr>
      <w:tr w14:paraId="23CDD6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1781" w:type="pct"/>
            <w:vAlign w:val="center"/>
          </w:tcPr>
          <w:p w14:paraId="4A33B214">
            <w:pPr>
              <w:keepNext w:val="0"/>
              <w:keepLines w:val="0"/>
              <w:pageBreakBefore w:val="0"/>
              <w:kinsoku/>
              <w:wordWrap/>
              <w:overflowPunct/>
              <w:autoSpaceDE/>
              <w:autoSpaceDN/>
              <w:bidi w:val="0"/>
              <w:spacing w:line="360" w:lineRule="auto"/>
              <w:ind w:firstLine="0" w:firstLineChars="0"/>
              <w:jc w:val="center"/>
              <w:rPr>
                <w:rFonts w:hint="eastAsia" w:ascii="宋体" w:hAnsi="宋体" w:eastAsia="宋体" w:cs="宋体"/>
                <w:sz w:val="21"/>
                <w:szCs w:val="21"/>
              </w:rPr>
            </w:pPr>
            <w:r>
              <w:rPr>
                <w:rFonts w:hint="eastAsia" w:ascii="宋体" w:hAnsi="宋体" w:eastAsia="宋体" w:cs="宋体"/>
                <w:sz w:val="21"/>
                <w:szCs w:val="21"/>
              </w:rPr>
              <w:t>浪涌（冲击）抗扰度</w:t>
            </w:r>
          </w:p>
        </w:tc>
        <w:tc>
          <w:tcPr>
            <w:tcW w:w="525" w:type="pct"/>
            <w:vAlign w:val="center"/>
          </w:tcPr>
          <w:p w14:paraId="11AE15DA">
            <w:pPr>
              <w:keepNext w:val="0"/>
              <w:keepLines w:val="0"/>
              <w:pageBreakBefore w:val="0"/>
              <w:kinsoku/>
              <w:wordWrap/>
              <w:overflowPunct/>
              <w:autoSpaceDE/>
              <w:autoSpaceDN/>
              <w:bidi w:val="0"/>
              <w:spacing w:line="360" w:lineRule="auto"/>
              <w:ind w:left="0" w:leftChars="0"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4级</w:t>
            </w:r>
          </w:p>
        </w:tc>
        <w:tc>
          <w:tcPr>
            <w:tcW w:w="2693" w:type="pct"/>
            <w:vAlign w:val="center"/>
          </w:tcPr>
          <w:p w14:paraId="4A2EE5C9">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GB/T17626.5</w:t>
            </w:r>
            <w:r>
              <w:rPr>
                <w:rFonts w:hint="eastAsia" w:ascii="宋体" w:hAnsi="宋体" w:eastAsia="宋体" w:cs="宋体"/>
                <w:sz w:val="21"/>
                <w:szCs w:val="21"/>
                <w:lang w:eastAsia="zh-CN"/>
              </w:rPr>
              <w:t>(</w:t>
            </w:r>
            <w:r>
              <w:rPr>
                <w:rFonts w:hint="eastAsia" w:ascii="宋体" w:hAnsi="宋体" w:eastAsia="宋体" w:cs="宋体"/>
                <w:sz w:val="21"/>
                <w:szCs w:val="21"/>
              </w:rPr>
              <w:t>IEC61000-4-5</w:t>
            </w:r>
            <w:r>
              <w:rPr>
                <w:rFonts w:hint="eastAsia" w:ascii="宋体" w:hAnsi="宋体" w:eastAsia="宋体" w:cs="宋体"/>
                <w:sz w:val="21"/>
                <w:szCs w:val="21"/>
                <w:lang w:eastAsia="zh-CN"/>
              </w:rPr>
              <w:t>)</w:t>
            </w:r>
          </w:p>
        </w:tc>
      </w:tr>
      <w:tr w14:paraId="275BCD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1781" w:type="pct"/>
            <w:vAlign w:val="center"/>
          </w:tcPr>
          <w:p w14:paraId="13CF2301">
            <w:pPr>
              <w:keepNext w:val="0"/>
              <w:keepLines w:val="0"/>
              <w:pageBreakBefore w:val="0"/>
              <w:kinsoku/>
              <w:wordWrap/>
              <w:overflowPunct/>
              <w:autoSpaceDE/>
              <w:autoSpaceDN/>
              <w:bidi w:val="0"/>
              <w:spacing w:line="360" w:lineRule="auto"/>
              <w:ind w:firstLine="0" w:firstLineChars="0"/>
              <w:jc w:val="center"/>
              <w:rPr>
                <w:rFonts w:hint="eastAsia" w:ascii="宋体" w:hAnsi="宋体" w:eastAsia="宋体" w:cs="宋体"/>
                <w:sz w:val="21"/>
                <w:szCs w:val="21"/>
              </w:rPr>
            </w:pPr>
            <w:r>
              <w:rPr>
                <w:rFonts w:hint="eastAsia" w:ascii="宋体" w:hAnsi="宋体" w:eastAsia="宋体" w:cs="宋体"/>
                <w:sz w:val="21"/>
                <w:szCs w:val="21"/>
              </w:rPr>
              <w:t>射频场感应的传导骚扰度</w:t>
            </w:r>
          </w:p>
        </w:tc>
        <w:tc>
          <w:tcPr>
            <w:tcW w:w="525" w:type="pct"/>
            <w:vAlign w:val="center"/>
          </w:tcPr>
          <w:p w14:paraId="1A00E40F">
            <w:pPr>
              <w:keepNext w:val="0"/>
              <w:keepLines w:val="0"/>
              <w:pageBreakBefore w:val="0"/>
              <w:kinsoku/>
              <w:wordWrap/>
              <w:overflowPunct/>
              <w:autoSpaceDE/>
              <w:autoSpaceDN/>
              <w:bidi w:val="0"/>
              <w:spacing w:line="360" w:lineRule="auto"/>
              <w:ind w:left="0" w:leftChars="0"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3级</w:t>
            </w:r>
          </w:p>
        </w:tc>
        <w:tc>
          <w:tcPr>
            <w:tcW w:w="2693" w:type="pct"/>
            <w:vAlign w:val="center"/>
          </w:tcPr>
          <w:p w14:paraId="2FBE7B7D">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GB/T17626.6</w:t>
            </w:r>
            <w:r>
              <w:rPr>
                <w:rFonts w:hint="eastAsia" w:ascii="宋体" w:hAnsi="宋体" w:eastAsia="宋体" w:cs="宋体"/>
                <w:sz w:val="21"/>
                <w:szCs w:val="21"/>
                <w:lang w:eastAsia="zh-CN"/>
              </w:rPr>
              <w:t>(</w:t>
            </w:r>
            <w:r>
              <w:rPr>
                <w:rFonts w:hint="eastAsia" w:ascii="宋体" w:hAnsi="宋体" w:eastAsia="宋体" w:cs="宋体"/>
                <w:sz w:val="21"/>
                <w:szCs w:val="21"/>
              </w:rPr>
              <w:t>IEC61000-4-6</w:t>
            </w:r>
            <w:r>
              <w:rPr>
                <w:rFonts w:hint="eastAsia" w:ascii="宋体" w:hAnsi="宋体" w:eastAsia="宋体" w:cs="宋体"/>
                <w:sz w:val="21"/>
                <w:szCs w:val="21"/>
                <w:lang w:eastAsia="zh-CN"/>
              </w:rPr>
              <w:t>)</w:t>
            </w:r>
          </w:p>
        </w:tc>
      </w:tr>
      <w:tr w14:paraId="02FB44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jc w:val="center"/>
        </w:trPr>
        <w:tc>
          <w:tcPr>
            <w:tcW w:w="1781" w:type="pct"/>
            <w:vAlign w:val="center"/>
          </w:tcPr>
          <w:p w14:paraId="0A95D8CE">
            <w:pPr>
              <w:keepNext w:val="0"/>
              <w:keepLines w:val="0"/>
              <w:pageBreakBefore w:val="0"/>
              <w:kinsoku/>
              <w:wordWrap/>
              <w:overflowPunct/>
              <w:autoSpaceDE/>
              <w:autoSpaceDN/>
              <w:bidi w:val="0"/>
              <w:spacing w:line="360" w:lineRule="auto"/>
              <w:ind w:firstLine="0" w:firstLineChars="0"/>
              <w:jc w:val="center"/>
              <w:rPr>
                <w:rFonts w:hint="eastAsia" w:ascii="宋体" w:hAnsi="宋体" w:eastAsia="宋体" w:cs="宋体"/>
                <w:sz w:val="21"/>
                <w:szCs w:val="21"/>
              </w:rPr>
            </w:pPr>
            <w:r>
              <w:rPr>
                <w:rFonts w:hint="eastAsia" w:ascii="宋体" w:hAnsi="宋体" w:eastAsia="宋体" w:cs="宋体"/>
                <w:sz w:val="21"/>
                <w:szCs w:val="21"/>
              </w:rPr>
              <w:t>工频磁场抗扰度</w:t>
            </w:r>
          </w:p>
        </w:tc>
        <w:tc>
          <w:tcPr>
            <w:tcW w:w="525" w:type="pct"/>
            <w:vAlign w:val="center"/>
          </w:tcPr>
          <w:p w14:paraId="18F5CD25">
            <w:pPr>
              <w:keepNext w:val="0"/>
              <w:keepLines w:val="0"/>
              <w:pageBreakBefore w:val="0"/>
              <w:kinsoku/>
              <w:wordWrap/>
              <w:overflowPunct/>
              <w:autoSpaceDE/>
              <w:autoSpaceDN/>
              <w:bidi w:val="0"/>
              <w:spacing w:line="360" w:lineRule="auto"/>
              <w:ind w:left="0" w:leftChars="0"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4级</w:t>
            </w:r>
          </w:p>
        </w:tc>
        <w:tc>
          <w:tcPr>
            <w:tcW w:w="2693" w:type="pct"/>
            <w:vAlign w:val="center"/>
          </w:tcPr>
          <w:p w14:paraId="78AEC6A0">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GB/T17626.8</w:t>
            </w:r>
            <w:r>
              <w:rPr>
                <w:rFonts w:hint="eastAsia" w:ascii="宋体" w:hAnsi="宋体" w:eastAsia="宋体" w:cs="宋体"/>
                <w:sz w:val="21"/>
                <w:szCs w:val="21"/>
                <w:lang w:eastAsia="zh-CN"/>
              </w:rPr>
              <w:t>(</w:t>
            </w:r>
            <w:r>
              <w:rPr>
                <w:rFonts w:hint="eastAsia" w:ascii="宋体" w:hAnsi="宋体" w:eastAsia="宋体" w:cs="宋体"/>
                <w:sz w:val="21"/>
                <w:szCs w:val="21"/>
              </w:rPr>
              <w:t>IEC61000-4-8</w:t>
            </w:r>
            <w:r>
              <w:rPr>
                <w:rFonts w:hint="eastAsia" w:ascii="宋体" w:hAnsi="宋体" w:eastAsia="宋体" w:cs="宋体"/>
                <w:sz w:val="21"/>
                <w:szCs w:val="21"/>
                <w:lang w:eastAsia="zh-CN"/>
              </w:rPr>
              <w:t>)</w:t>
            </w:r>
          </w:p>
        </w:tc>
      </w:tr>
      <w:tr w14:paraId="2BAB28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2" w:hRule="atLeast"/>
          <w:jc w:val="center"/>
        </w:trPr>
        <w:tc>
          <w:tcPr>
            <w:tcW w:w="1781" w:type="pct"/>
            <w:vAlign w:val="center"/>
          </w:tcPr>
          <w:p w14:paraId="4C7C9275">
            <w:pPr>
              <w:keepNext w:val="0"/>
              <w:keepLines w:val="0"/>
              <w:pageBreakBefore w:val="0"/>
              <w:kinsoku/>
              <w:wordWrap/>
              <w:overflowPunct/>
              <w:autoSpaceDE/>
              <w:autoSpaceDN/>
              <w:bidi w:val="0"/>
              <w:spacing w:line="360" w:lineRule="auto"/>
              <w:ind w:firstLine="0" w:firstLineChars="0"/>
              <w:jc w:val="center"/>
              <w:rPr>
                <w:rFonts w:hint="eastAsia" w:ascii="宋体" w:hAnsi="宋体" w:eastAsia="宋体" w:cs="宋体"/>
                <w:sz w:val="21"/>
                <w:szCs w:val="21"/>
              </w:rPr>
            </w:pPr>
            <w:r>
              <w:rPr>
                <w:rFonts w:hint="eastAsia" w:ascii="宋体" w:hAnsi="宋体" w:eastAsia="宋体" w:cs="宋体"/>
                <w:sz w:val="21"/>
                <w:szCs w:val="21"/>
              </w:rPr>
              <w:t>脉冲磁场抗扰度</w:t>
            </w:r>
          </w:p>
        </w:tc>
        <w:tc>
          <w:tcPr>
            <w:tcW w:w="525" w:type="pct"/>
            <w:vAlign w:val="center"/>
          </w:tcPr>
          <w:p w14:paraId="44CC502B">
            <w:pPr>
              <w:keepNext w:val="0"/>
              <w:keepLines w:val="0"/>
              <w:pageBreakBefore w:val="0"/>
              <w:kinsoku/>
              <w:wordWrap/>
              <w:overflowPunct/>
              <w:autoSpaceDE/>
              <w:autoSpaceDN/>
              <w:bidi w:val="0"/>
              <w:spacing w:line="360" w:lineRule="auto"/>
              <w:ind w:left="0" w:leftChars="0"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4级</w:t>
            </w:r>
          </w:p>
        </w:tc>
        <w:tc>
          <w:tcPr>
            <w:tcW w:w="2693" w:type="pct"/>
            <w:vAlign w:val="center"/>
          </w:tcPr>
          <w:p w14:paraId="5FFBD542">
            <w:pPr>
              <w:keepNext w:val="0"/>
              <w:keepLines w:val="0"/>
              <w:pageBreakBefore w:val="0"/>
              <w:kinsoku/>
              <w:wordWrap/>
              <w:overflowPunct/>
              <w:autoSpaceDE/>
              <w:autoSpaceDN/>
              <w:bidi w:val="0"/>
              <w:spacing w:line="360" w:lineRule="auto"/>
              <w:ind w:firstLine="0" w:firstLineChars="0"/>
              <w:jc w:val="center"/>
              <w:rPr>
                <w:rFonts w:hint="default" w:ascii="宋体" w:hAnsi="宋体" w:eastAsia="宋体" w:cs="宋体"/>
                <w:sz w:val="21"/>
                <w:szCs w:val="21"/>
                <w:lang w:val="en-US" w:eastAsia="zh-CN"/>
              </w:rPr>
            </w:pPr>
            <w:r>
              <w:rPr>
                <w:rFonts w:hint="eastAsia" w:ascii="宋体" w:hAnsi="宋体" w:eastAsia="宋体" w:cs="宋体"/>
                <w:sz w:val="21"/>
                <w:szCs w:val="21"/>
              </w:rPr>
              <w:t>GB/T17626.9</w:t>
            </w:r>
            <w:r>
              <w:rPr>
                <w:rFonts w:hint="eastAsia" w:ascii="宋体" w:hAnsi="宋体" w:eastAsia="宋体" w:cs="宋体"/>
                <w:sz w:val="21"/>
                <w:szCs w:val="21"/>
                <w:lang w:eastAsia="zh-CN"/>
              </w:rPr>
              <w:t>(</w:t>
            </w:r>
            <w:r>
              <w:rPr>
                <w:rFonts w:hint="eastAsia" w:ascii="宋体" w:hAnsi="宋体" w:eastAsia="宋体" w:cs="宋体"/>
                <w:sz w:val="21"/>
                <w:szCs w:val="21"/>
              </w:rPr>
              <w:t>IEC61000-4-9</w:t>
            </w:r>
            <w:r>
              <w:rPr>
                <w:rFonts w:hint="eastAsia" w:ascii="宋体" w:hAnsi="宋体" w:eastAsia="宋体" w:cs="宋体"/>
                <w:sz w:val="21"/>
                <w:szCs w:val="21"/>
                <w:lang w:eastAsia="zh-CN"/>
              </w:rPr>
              <w:t>)</w:t>
            </w:r>
          </w:p>
        </w:tc>
      </w:tr>
    </w:tbl>
    <w:p w14:paraId="698627B4">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val="en-US" w:eastAsia="zh-CN"/>
        </w:rPr>
      </w:pPr>
      <w:r>
        <w:rPr>
          <w:rFonts w:hint="eastAsia" w:ascii="宋体" w:hAnsi="宋体" w:eastAsia="宋体" w:cs="宋体"/>
          <w:lang w:val="en-US" w:eastAsia="zh-CN"/>
        </w:rPr>
        <w:t>4.6.6机械性能</w:t>
      </w:r>
    </w:p>
    <w:p w14:paraId="0C19E13B">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eastAsia="uk-UA"/>
        </w:rPr>
      </w:pPr>
      <w:r>
        <w:rPr>
          <w:rFonts w:hint="eastAsia" w:ascii="宋体" w:hAnsi="宋体" w:eastAsia="宋体" w:cs="宋体"/>
          <w:lang w:eastAsia="uk-UA"/>
        </w:rPr>
        <w:t>（1）振动能承受GB/T11287规定的1级振动响应和振动耐久试验。</w:t>
      </w:r>
    </w:p>
    <w:p w14:paraId="0F03A62B">
      <w:pPr>
        <w:keepNext w:val="0"/>
        <w:keepLines w:val="0"/>
        <w:pageBreakBefore w:val="0"/>
        <w:kinsoku/>
        <w:wordWrap/>
        <w:overflowPunct/>
        <w:autoSpaceDE/>
        <w:autoSpaceDN/>
        <w:bidi w:val="0"/>
        <w:spacing w:line="570" w:lineRule="exact"/>
        <w:ind w:firstLine="480" w:firstLineChars="200"/>
        <w:rPr>
          <w:rFonts w:hint="default" w:ascii="宋体" w:hAnsi="宋体" w:eastAsia="宋体" w:cs="宋体"/>
          <w:lang w:val="en-US" w:eastAsia="zh-CN"/>
        </w:rPr>
      </w:pPr>
      <w:r>
        <w:rPr>
          <w:rFonts w:hint="eastAsia" w:ascii="宋体" w:hAnsi="宋体" w:eastAsia="宋体" w:cs="宋体"/>
          <w:lang w:eastAsia="uk-UA"/>
        </w:rPr>
        <w:t>（2）冲击和碰撞能承受GB/T14537规定的1</w:t>
      </w:r>
      <w:r>
        <w:rPr>
          <w:rFonts w:hint="eastAsia" w:ascii="宋体" w:hAnsi="宋体" w:eastAsia="宋体" w:cs="宋体"/>
          <w:lang w:val="en-US" w:eastAsia="zh-CN"/>
        </w:rPr>
        <w:t>级</w:t>
      </w:r>
      <w:r>
        <w:rPr>
          <w:rFonts w:hint="eastAsia" w:ascii="宋体" w:hAnsi="宋体" w:eastAsia="宋体" w:cs="宋体"/>
          <w:lang w:eastAsia="uk-UA"/>
        </w:rPr>
        <w:t>冲击响应和冲击耐受试验，以及1</w:t>
      </w:r>
      <w:r>
        <w:rPr>
          <w:rFonts w:hint="eastAsia" w:ascii="宋体" w:hAnsi="宋体" w:eastAsia="宋体" w:cs="宋体"/>
          <w:lang w:val="en-US" w:eastAsia="zh-CN"/>
        </w:rPr>
        <w:t>级的</w:t>
      </w:r>
      <w:r>
        <w:rPr>
          <w:rFonts w:hint="eastAsia" w:ascii="宋体" w:hAnsi="宋体" w:eastAsia="宋体" w:cs="宋体"/>
          <w:lang w:eastAsia="uk-UA"/>
        </w:rPr>
        <w:t>碰撞试验。</w:t>
      </w:r>
    </w:p>
    <w:p w14:paraId="0699DAF0">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89" w:name="_Toc11384"/>
      <w:r>
        <w:rPr>
          <w:rFonts w:hint="eastAsia" w:ascii="宋体" w:hAnsi="宋体" w:eastAsia="宋体" w:cs="宋体"/>
          <w:b/>
          <w:bCs w:val="0"/>
          <w:sz w:val="24"/>
          <w:szCs w:val="24"/>
        </w:rPr>
        <w:t>4.</w:t>
      </w:r>
      <w:bookmarkEnd w:id="78"/>
      <w:bookmarkEnd w:id="79"/>
      <w:bookmarkEnd w:id="80"/>
      <w:bookmarkEnd w:id="81"/>
      <w:bookmarkEnd w:id="82"/>
      <w:r>
        <w:rPr>
          <w:rFonts w:hint="eastAsia" w:ascii="宋体" w:hAnsi="宋体" w:eastAsia="宋体" w:cs="宋体"/>
          <w:b/>
          <w:bCs w:val="0"/>
          <w:sz w:val="24"/>
          <w:szCs w:val="24"/>
          <w:lang w:val="en-US" w:eastAsia="zh-CN"/>
        </w:rPr>
        <w:t>7</w:t>
      </w:r>
      <w:r>
        <w:rPr>
          <w:rFonts w:hint="eastAsia" w:ascii="宋体" w:hAnsi="宋体" w:eastAsia="宋体" w:cs="宋体"/>
          <w:b/>
          <w:bCs w:val="0"/>
          <w:sz w:val="24"/>
          <w:szCs w:val="24"/>
          <w:lang w:eastAsia="zh-CN"/>
        </w:rPr>
        <w:t>其他</w:t>
      </w:r>
      <w:r>
        <w:rPr>
          <w:rFonts w:hint="eastAsia" w:ascii="宋体" w:hAnsi="宋体" w:eastAsia="宋体" w:cs="宋体"/>
          <w:b/>
          <w:bCs w:val="0"/>
          <w:sz w:val="24"/>
          <w:szCs w:val="24"/>
        </w:rPr>
        <w:t>注意事项</w:t>
      </w:r>
      <w:bookmarkEnd w:id="83"/>
      <w:bookmarkEnd w:id="84"/>
      <w:bookmarkEnd w:id="85"/>
      <w:bookmarkEnd w:id="86"/>
      <w:bookmarkEnd w:id="87"/>
      <w:bookmarkEnd w:id="89"/>
    </w:p>
    <w:p w14:paraId="46A0AA07">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w:t>
      </w:r>
      <w:r>
        <w:rPr>
          <w:rFonts w:hint="eastAsia" w:ascii="宋体" w:hAnsi="宋体" w:eastAsia="宋体" w:cs="宋体"/>
          <w:lang w:val="en-US" w:eastAsia="zh-CN"/>
        </w:rPr>
        <w:t>7</w:t>
      </w:r>
      <w:r>
        <w:rPr>
          <w:rFonts w:hint="eastAsia" w:ascii="宋体" w:hAnsi="宋体" w:eastAsia="宋体" w:cs="宋体"/>
        </w:rPr>
        <w:t>.1电网频率正常时，AGC系统通过快速频率响应装置（直通）向通信单元下发调度端指令。</w:t>
      </w:r>
    </w:p>
    <w:p w14:paraId="2479DB2B">
      <w:pPr>
        <w:keepNext w:val="0"/>
        <w:keepLines w:val="0"/>
        <w:pageBreakBefore w:val="0"/>
        <w:numPr>
          <w:ilvl w:val="255"/>
          <w:numId w:val="0"/>
        </w:numPr>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w:t>
      </w:r>
      <w:r>
        <w:rPr>
          <w:rFonts w:hint="eastAsia" w:ascii="宋体" w:hAnsi="宋体" w:eastAsia="宋体" w:cs="宋体"/>
          <w:lang w:val="en-US" w:eastAsia="zh-CN"/>
        </w:rPr>
        <w:t>7</w:t>
      </w:r>
      <w:r>
        <w:rPr>
          <w:rFonts w:hint="eastAsia" w:ascii="宋体" w:hAnsi="宋体" w:eastAsia="宋体" w:cs="宋体"/>
        </w:rPr>
        <w:t>.2调频指令与AGC指令应有完善的闭锁保护和协调逻辑，保证都能同时满足调度要求。电网频率异常时，快速频率响应装置启动频率响应模式，向通信单元下发指令。如果并网点频率越限，快速频率响应系统动作触发对AGC系统下发闭锁信号，AGC可快速停止对厂区设备的遥调、遥控指令下发，快频过程结束后，快频系统闭锁信号解除，AGC系统恢复快频触发前控制状态。</w:t>
      </w:r>
    </w:p>
    <w:p w14:paraId="24F7A173">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w:t>
      </w:r>
      <w:r>
        <w:rPr>
          <w:rFonts w:hint="eastAsia" w:ascii="宋体" w:hAnsi="宋体" w:eastAsia="宋体" w:cs="宋体"/>
          <w:lang w:val="en-US" w:eastAsia="zh-CN"/>
        </w:rPr>
        <w:t>7</w:t>
      </w:r>
      <w:r>
        <w:rPr>
          <w:rFonts w:hint="eastAsia" w:ascii="宋体" w:hAnsi="宋体" w:eastAsia="宋体" w:cs="宋体"/>
        </w:rPr>
        <w:t>.3该方案的调节时间很大程度依赖于现有系统通讯方式和通讯策略：</w:t>
      </w:r>
      <w:r>
        <w:rPr>
          <w:rFonts w:hint="eastAsia" w:ascii="宋体" w:hAnsi="宋体" w:eastAsia="宋体" w:cs="宋体"/>
          <w:lang w:eastAsia="zh-CN"/>
        </w:rPr>
        <w:t>嘉峪关二期光储电站</w:t>
      </w:r>
      <w:r>
        <w:rPr>
          <w:rFonts w:hint="eastAsia" w:ascii="宋体" w:hAnsi="宋体" w:eastAsia="宋体" w:cs="宋体"/>
        </w:rPr>
        <w:t>通讯单元与逆变器采用串行通讯方式，响应时间较长，满足快速调频要求需结合光伏电站实际情况进行通讯网络优化，并完成与快频设备厂家控制策略协调，保证AGC系统和快速频率系统通讯通道畅通稳定。</w:t>
      </w:r>
    </w:p>
    <w:p w14:paraId="7C332BFE">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4.</w:t>
      </w:r>
      <w:r>
        <w:rPr>
          <w:rFonts w:hint="eastAsia" w:ascii="宋体" w:hAnsi="宋体" w:eastAsia="宋体" w:cs="宋体"/>
          <w:lang w:val="en-US" w:eastAsia="zh-CN"/>
        </w:rPr>
        <w:t>7</w:t>
      </w:r>
      <w:r>
        <w:rPr>
          <w:rFonts w:hint="eastAsia" w:ascii="宋体" w:hAnsi="宋体" w:eastAsia="宋体" w:cs="宋体"/>
        </w:rPr>
        <w:t>.4直接与现有通信单元连接，频率异常时可在一定程度上缩减系统的通讯时间，提高响应速率。</w:t>
      </w:r>
    </w:p>
    <w:p w14:paraId="4F6063A8">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rPr>
      </w:pPr>
      <w:r>
        <w:rPr>
          <w:rFonts w:hint="eastAsia" w:ascii="宋体" w:hAnsi="宋体" w:eastAsia="宋体" w:cs="宋体"/>
        </w:rPr>
        <w:t>4.</w:t>
      </w:r>
      <w:r>
        <w:rPr>
          <w:rFonts w:hint="eastAsia" w:ascii="宋体" w:hAnsi="宋体" w:eastAsia="宋体" w:cs="宋体"/>
          <w:lang w:val="en-US" w:eastAsia="zh-CN"/>
        </w:rPr>
        <w:t>7</w:t>
      </w:r>
      <w:r>
        <w:rPr>
          <w:rFonts w:hint="eastAsia" w:ascii="宋体" w:hAnsi="宋体" w:eastAsia="宋体" w:cs="宋体"/>
        </w:rPr>
        <w:t>.5人机界面实时数据显示、实时趋势显示、历史趋势显示、参数设置和显示、通信状态显示、快速频率响应录波曲线显示、动作记录、历史数据存储，后台机可以进行快速调频功能投退。</w:t>
      </w:r>
    </w:p>
    <w:p w14:paraId="408E295F">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val="en-US" w:eastAsia="zh-CN"/>
        </w:rPr>
      </w:pPr>
      <w:r>
        <w:rPr>
          <w:rFonts w:hint="eastAsia" w:ascii="宋体" w:hAnsi="宋体" w:eastAsia="宋体" w:cs="宋体"/>
          <w:lang w:val="en-US" w:eastAsia="zh-CN"/>
        </w:rPr>
        <w:t>4.7.6快速频率响应改造完成后，应设计一次调频逻辑，整定一次调频运行参数，实测一次调频性能，且相关性能应满足《并网电源一次调频技术规定及试验导则》(GB/T40595)有关规定。一次调频功能应自动投入，在核定的出力范围内响应系统频率变化，应与AGC协调配合，且优先级高于AGC；应设置运行最大功率限幅功能，防止一次调频动作后超过允许的最大功率运行。</w:t>
      </w:r>
    </w:p>
    <w:p w14:paraId="35815985">
      <w:pPr>
        <w:pStyle w:val="2"/>
        <w:keepNext w:val="0"/>
        <w:keepLines w:val="0"/>
        <w:pageBreakBefore w:val="0"/>
        <w:kinsoku/>
        <w:wordWrap/>
        <w:overflowPunct/>
        <w:autoSpaceDE/>
        <w:autoSpaceDN/>
        <w:bidi w:val="0"/>
        <w:spacing w:line="570" w:lineRule="exact"/>
      </w:pPr>
      <w:bookmarkStart w:id="90" w:name="_Toc26801"/>
      <w:bookmarkStart w:id="91" w:name="_Toc29104"/>
      <w:bookmarkStart w:id="92" w:name="_Toc206"/>
      <w:bookmarkStart w:id="93" w:name="_Toc18987"/>
      <w:bookmarkStart w:id="94" w:name="_Toc26164"/>
      <w:bookmarkStart w:id="95" w:name="_Toc6946"/>
      <w:bookmarkStart w:id="96" w:name="_Toc8895"/>
      <w:bookmarkStart w:id="97" w:name="_Toc29649"/>
      <w:r>
        <w:rPr>
          <w:rFonts w:hint="eastAsia"/>
        </w:rPr>
        <w:t>五、工作范围和进度要求</w:t>
      </w:r>
      <w:bookmarkEnd w:id="90"/>
      <w:bookmarkEnd w:id="91"/>
      <w:bookmarkEnd w:id="92"/>
      <w:bookmarkEnd w:id="93"/>
      <w:bookmarkEnd w:id="94"/>
      <w:bookmarkEnd w:id="95"/>
      <w:bookmarkEnd w:id="96"/>
      <w:bookmarkEnd w:id="97"/>
    </w:p>
    <w:p w14:paraId="73657838">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98" w:name="_Toc26445"/>
      <w:bookmarkStart w:id="99" w:name="_Toc10348"/>
      <w:bookmarkStart w:id="100" w:name="_Toc12525"/>
      <w:bookmarkStart w:id="101" w:name="_Toc28879"/>
      <w:bookmarkStart w:id="102" w:name="_Toc22911"/>
      <w:bookmarkStart w:id="103" w:name="_Toc13315"/>
      <w:bookmarkStart w:id="104" w:name="_Toc5448"/>
      <w:bookmarkStart w:id="105" w:name="_Toc22398"/>
      <w:bookmarkStart w:id="106" w:name="_Toc6391"/>
      <w:bookmarkStart w:id="107" w:name="_Toc26138"/>
      <w:bookmarkStart w:id="108" w:name="_Toc2497"/>
      <w:r>
        <w:rPr>
          <w:rFonts w:hint="eastAsia" w:ascii="宋体" w:hAnsi="宋体" w:eastAsia="宋体" w:cs="宋体"/>
          <w:b/>
          <w:bCs w:val="0"/>
          <w:sz w:val="24"/>
          <w:szCs w:val="24"/>
        </w:rPr>
        <w:t>5.1工作范围</w:t>
      </w:r>
      <w:bookmarkEnd w:id="98"/>
      <w:bookmarkEnd w:id="99"/>
      <w:bookmarkEnd w:id="100"/>
      <w:bookmarkEnd w:id="101"/>
      <w:bookmarkEnd w:id="102"/>
      <w:bookmarkEnd w:id="103"/>
      <w:bookmarkEnd w:id="104"/>
      <w:bookmarkEnd w:id="105"/>
      <w:bookmarkEnd w:id="106"/>
      <w:bookmarkEnd w:id="107"/>
      <w:bookmarkEnd w:id="108"/>
      <w:bookmarkStart w:id="109" w:name="_Toc2684849"/>
      <w:bookmarkStart w:id="110" w:name="_Toc2677494"/>
      <w:bookmarkStart w:id="111" w:name="_Toc252017377"/>
      <w:bookmarkStart w:id="112" w:name="_Toc156016637"/>
      <w:bookmarkStart w:id="113" w:name="_Toc257408696"/>
      <w:bookmarkStart w:id="114" w:name="_Toc165125323"/>
      <w:bookmarkStart w:id="115" w:name="_Toc9471"/>
    </w:p>
    <w:p w14:paraId="5B204229">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5.1.1</w:t>
      </w:r>
      <w:r>
        <w:rPr>
          <w:rFonts w:hint="eastAsia" w:ascii="宋体" w:hAnsi="宋体" w:eastAsia="宋体" w:cs="宋体"/>
          <w:lang w:val="zh-CN"/>
        </w:rPr>
        <w:t>本技术</w:t>
      </w:r>
      <w:r>
        <w:rPr>
          <w:rFonts w:hint="eastAsia" w:ascii="宋体" w:hAnsi="宋体" w:eastAsia="宋体" w:cs="宋体"/>
        </w:rPr>
        <w:t>方案</w:t>
      </w:r>
      <w:r>
        <w:rPr>
          <w:rFonts w:hint="eastAsia" w:ascii="宋体" w:hAnsi="宋体" w:eastAsia="宋体" w:cs="宋体"/>
          <w:lang w:val="zh-CN"/>
        </w:rPr>
        <w:t>的适用范围仅限于</w:t>
      </w:r>
      <w:r>
        <w:rPr>
          <w:rFonts w:hint="eastAsia" w:ascii="宋体" w:hAnsi="宋体" w:eastAsia="宋体" w:cs="宋体"/>
          <w:lang w:val="zh-CN" w:eastAsia="zh-CN"/>
        </w:rPr>
        <w:t>嘉峪关二期光储电站</w:t>
      </w:r>
      <w:r>
        <w:rPr>
          <w:rFonts w:hint="eastAsia" w:ascii="宋体" w:hAnsi="宋体" w:eastAsia="宋体" w:cs="宋体"/>
          <w:lang w:val="en-US" w:eastAsia="zh-CN"/>
        </w:rPr>
        <w:t>储能系统</w:t>
      </w:r>
      <w:r>
        <w:rPr>
          <w:rFonts w:hint="eastAsia" w:ascii="宋体" w:hAnsi="宋体" w:eastAsia="宋体" w:cs="宋体"/>
          <w:lang w:val="zh-CN"/>
        </w:rPr>
        <w:t>快速频率响应</w:t>
      </w:r>
      <w:r>
        <w:rPr>
          <w:rFonts w:hint="eastAsia" w:ascii="宋体" w:hAnsi="宋体" w:eastAsia="宋体" w:cs="宋体"/>
          <w:lang w:val="en-US" w:eastAsia="zh-CN"/>
        </w:rPr>
        <w:t>功能</w:t>
      </w:r>
      <w:r>
        <w:rPr>
          <w:rFonts w:hint="eastAsia" w:ascii="宋体" w:hAnsi="宋体" w:eastAsia="宋体" w:cs="宋体"/>
          <w:lang w:val="zh-CN"/>
        </w:rPr>
        <w:t>改造的项目招标，内容包括编制改造技术方案、相关设备台账、技术资料，并提前10个工作日报送至所属调控机构审查备案；编制试验方</w:t>
      </w:r>
      <w:r>
        <w:rPr>
          <w:rFonts w:hint="eastAsia" w:ascii="宋体" w:hAnsi="宋体" w:eastAsia="宋体" w:cs="宋体"/>
        </w:rPr>
        <w:t>案及试验申请，并提前7个工作日上报所属调控机构批复；由所属调控机构认可的具有相应资质的试验单位开展快速频率响应功能性能试验</w:t>
      </w:r>
      <w:r>
        <w:rPr>
          <w:rFonts w:hint="eastAsia" w:ascii="宋体" w:hAnsi="宋体" w:eastAsia="宋体" w:cs="宋体"/>
          <w:lang w:eastAsia="zh-CN"/>
        </w:rPr>
        <w:t>，</w:t>
      </w:r>
      <w:r>
        <w:rPr>
          <w:rFonts w:hint="eastAsia" w:ascii="宋体" w:hAnsi="宋体" w:eastAsia="宋体" w:cs="宋体"/>
        </w:rPr>
        <w:t>性能试验后30个</w:t>
      </w:r>
      <w:r>
        <w:rPr>
          <w:rFonts w:hint="eastAsia" w:ascii="宋体" w:hAnsi="宋体" w:eastAsia="宋体" w:cs="宋体"/>
          <w:lang w:val="en-US" w:eastAsia="zh-CN"/>
        </w:rPr>
        <w:t>自然</w:t>
      </w:r>
      <w:r>
        <w:rPr>
          <w:rFonts w:hint="eastAsia" w:ascii="宋体" w:hAnsi="宋体" w:eastAsia="宋体" w:cs="宋体"/>
        </w:rPr>
        <w:t>日内将审核认证的报告正式版报送至所属调控机构审查备案；协调所属调控机构完成快速频率响应功能认定。</w:t>
      </w:r>
      <w:r>
        <w:rPr>
          <w:rFonts w:hint="eastAsia" w:ascii="宋体" w:hAnsi="宋体" w:eastAsia="宋体" w:cs="宋体"/>
          <w:lang w:val="zh-CN"/>
        </w:rPr>
        <w:t>中标人提供交钥匙式技术服务，确保所承接改造的光伏电站通过</w:t>
      </w:r>
      <w:r>
        <w:rPr>
          <w:rFonts w:hint="eastAsia" w:ascii="宋体" w:hAnsi="宋体" w:eastAsia="宋体" w:cs="宋体"/>
        </w:rPr>
        <w:t>西北电力调控中心备案</w:t>
      </w:r>
      <w:r>
        <w:rPr>
          <w:rFonts w:hint="eastAsia" w:ascii="宋体" w:hAnsi="宋体" w:eastAsia="宋体" w:cs="宋体"/>
          <w:lang w:val="zh-CN"/>
        </w:rPr>
        <w:t>。</w:t>
      </w:r>
    </w:p>
    <w:p w14:paraId="4ADD23B5">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val="zh-CN"/>
        </w:rPr>
      </w:pPr>
      <w:r>
        <w:rPr>
          <w:rFonts w:hint="eastAsia" w:ascii="宋体" w:hAnsi="宋体" w:eastAsia="宋体" w:cs="宋体"/>
        </w:rPr>
        <w:t>5.</w:t>
      </w:r>
      <w:r>
        <w:rPr>
          <w:rFonts w:hint="eastAsia" w:ascii="宋体" w:hAnsi="宋体" w:eastAsia="宋体" w:cs="宋体"/>
          <w:lang w:val="en-US" w:eastAsia="zh-CN"/>
        </w:rPr>
        <w:t>1.</w:t>
      </w:r>
      <w:r>
        <w:rPr>
          <w:rFonts w:hint="eastAsia" w:ascii="宋体" w:hAnsi="宋体" w:eastAsia="宋体" w:cs="宋体"/>
        </w:rPr>
        <w:t>2</w:t>
      </w:r>
      <w:r>
        <w:rPr>
          <w:rFonts w:hint="eastAsia" w:ascii="宋体" w:hAnsi="宋体" w:eastAsia="宋体" w:cs="宋体"/>
          <w:lang w:val="zh-CN"/>
        </w:rPr>
        <w:t>进度要求：</w:t>
      </w:r>
    </w:p>
    <w:p w14:paraId="592C9152">
      <w:pPr>
        <w:spacing w:line="570" w:lineRule="exact"/>
        <w:ind w:firstLine="480"/>
        <w:rPr>
          <w:rFonts w:hint="eastAsia" w:ascii="宋体" w:hAnsi="宋体" w:eastAsia="宋体" w:cs="宋体"/>
          <w:sz w:val="24"/>
          <w:szCs w:val="24"/>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1</w:t>
      </w:r>
      <w:r>
        <w:rPr>
          <w:rFonts w:hint="eastAsia" w:ascii="宋体" w:hAnsi="宋体" w:eastAsia="宋体" w:cs="宋体"/>
          <w:sz w:val="24"/>
          <w:szCs w:val="24"/>
          <w:lang w:eastAsia="zh-CN"/>
        </w:rPr>
        <w:t>）</w:t>
      </w:r>
      <w:r>
        <w:rPr>
          <w:rFonts w:hint="eastAsia" w:ascii="宋体" w:hAnsi="宋体" w:eastAsia="宋体" w:cs="宋体"/>
          <w:sz w:val="24"/>
          <w:szCs w:val="24"/>
        </w:rPr>
        <w:t>自合同签订之日起45天内完成</w:t>
      </w:r>
      <w:r>
        <w:rPr>
          <w:rFonts w:hint="eastAsia" w:ascii="宋体" w:hAnsi="宋体" w:eastAsia="宋体" w:cs="宋体"/>
          <w:sz w:val="24"/>
        </w:rPr>
        <w:t>快速频率响应功能改造</w:t>
      </w:r>
      <w:r>
        <w:rPr>
          <w:rFonts w:hint="eastAsia" w:ascii="宋体" w:hAnsi="宋体" w:eastAsia="宋体" w:cs="宋体"/>
          <w:sz w:val="24"/>
          <w:szCs w:val="24"/>
        </w:rPr>
        <w:t>。</w:t>
      </w:r>
    </w:p>
    <w:p w14:paraId="6A4F76C0">
      <w:pPr>
        <w:spacing w:line="570" w:lineRule="exact"/>
        <w:ind w:firstLine="480"/>
        <w:rPr>
          <w:rFonts w:hint="eastAsia" w:ascii="宋体" w:hAnsi="宋体" w:eastAsia="宋体" w:cs="宋体"/>
        </w:rPr>
      </w:pP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2</w:t>
      </w:r>
      <w:r>
        <w:rPr>
          <w:rFonts w:hint="eastAsia" w:ascii="宋体" w:hAnsi="宋体" w:eastAsia="宋体" w:cs="宋体"/>
          <w:sz w:val="24"/>
          <w:szCs w:val="24"/>
          <w:lang w:eastAsia="zh-CN"/>
        </w:rPr>
        <w:t>）</w:t>
      </w:r>
      <w:r>
        <w:rPr>
          <w:rFonts w:hint="eastAsia" w:ascii="宋体" w:hAnsi="宋体" w:eastAsia="宋体" w:cs="宋体"/>
          <w:sz w:val="24"/>
          <w:szCs w:val="24"/>
        </w:rPr>
        <w:t>改造完成后6个月内通过</w:t>
      </w:r>
      <w:r>
        <w:rPr>
          <w:rFonts w:hint="eastAsia" w:ascii="宋体" w:hAnsi="宋体" w:eastAsia="宋体" w:cs="宋体"/>
          <w:sz w:val="24"/>
        </w:rPr>
        <w:t>国家电网甘肃省调度中</w:t>
      </w:r>
      <w:r>
        <w:rPr>
          <w:rFonts w:hint="eastAsia" w:ascii="宋体" w:hAnsi="宋体" w:eastAsia="宋体" w:cs="宋体"/>
          <w:sz w:val="24"/>
          <w:lang w:val="en-US" w:eastAsia="zh-CN"/>
        </w:rPr>
        <w:t>心</w:t>
      </w:r>
      <w:r>
        <w:rPr>
          <w:rFonts w:hint="eastAsia" w:ascii="宋体" w:hAnsi="宋体" w:eastAsia="宋体" w:cs="宋体"/>
          <w:sz w:val="24"/>
        </w:rPr>
        <w:t>检测合格。</w:t>
      </w:r>
    </w:p>
    <w:p w14:paraId="39C825C4">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5.</w:t>
      </w:r>
      <w:r>
        <w:rPr>
          <w:rFonts w:hint="eastAsia" w:ascii="宋体" w:hAnsi="宋体" w:eastAsia="宋体" w:cs="宋体"/>
          <w:lang w:val="en-US" w:eastAsia="zh-CN"/>
        </w:rPr>
        <w:t>1.</w:t>
      </w:r>
      <w:r>
        <w:rPr>
          <w:rFonts w:hint="eastAsia" w:ascii="宋体" w:hAnsi="宋体" w:eastAsia="宋体" w:cs="宋体"/>
        </w:rPr>
        <w:t>3</w:t>
      </w:r>
      <w:r>
        <w:rPr>
          <w:rFonts w:hint="eastAsia" w:ascii="宋体" w:hAnsi="宋体" w:eastAsia="宋体" w:cs="宋体"/>
          <w:lang w:val="zh-CN"/>
        </w:rPr>
        <w:t>投标文件内的改造方案不得直接用于项目改造，需经过现场调查、网络测试后编制的正式版改造</w:t>
      </w:r>
      <w:r>
        <w:rPr>
          <w:rFonts w:hint="eastAsia" w:ascii="宋体" w:hAnsi="宋体" w:eastAsia="宋体" w:cs="宋体"/>
        </w:rPr>
        <w:t>技术</w:t>
      </w:r>
      <w:r>
        <w:rPr>
          <w:rFonts w:hint="eastAsia" w:ascii="宋体" w:hAnsi="宋体" w:eastAsia="宋体" w:cs="宋体"/>
          <w:lang w:val="zh-CN"/>
        </w:rPr>
        <w:t>方案。中标人应于改造前10个工作日将改造技术方案、相关设备台账及技术资料等报送光伏电站所属调控机构备案，并报招标方备案。</w:t>
      </w:r>
    </w:p>
    <w:p w14:paraId="07BE2924">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rPr>
        <w:t>5.</w:t>
      </w:r>
      <w:r>
        <w:rPr>
          <w:rFonts w:hint="eastAsia" w:ascii="宋体" w:hAnsi="宋体" w:eastAsia="宋体" w:cs="宋体"/>
          <w:lang w:val="en-US" w:eastAsia="zh-CN"/>
        </w:rPr>
        <w:t>1.</w:t>
      </w:r>
      <w:r>
        <w:rPr>
          <w:rFonts w:hint="eastAsia" w:ascii="宋体" w:hAnsi="宋体" w:eastAsia="宋体" w:cs="宋体"/>
        </w:rPr>
        <w:t>4</w:t>
      </w:r>
      <w:r>
        <w:rPr>
          <w:rFonts w:hint="eastAsia" w:ascii="宋体" w:hAnsi="宋体" w:eastAsia="宋体" w:cs="宋体"/>
          <w:lang w:val="zh-CN"/>
        </w:rPr>
        <w:t>中标人应编制改造计划进度表，以确定每部分工作及其进度。</w:t>
      </w:r>
    </w:p>
    <w:p w14:paraId="3677C2CC">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rPr>
        <w:t>5.</w:t>
      </w:r>
      <w:r>
        <w:rPr>
          <w:rFonts w:hint="eastAsia" w:ascii="宋体" w:hAnsi="宋体" w:eastAsia="宋体" w:cs="宋体"/>
          <w:lang w:val="en-US" w:eastAsia="zh-CN"/>
        </w:rPr>
        <w:t>1.</w:t>
      </w:r>
      <w:r>
        <w:rPr>
          <w:rFonts w:hint="eastAsia" w:ascii="宋体" w:hAnsi="宋体" w:eastAsia="宋体" w:cs="宋体"/>
        </w:rPr>
        <w:t>5</w:t>
      </w:r>
      <w:r>
        <w:rPr>
          <w:rFonts w:hint="eastAsia" w:ascii="宋体" w:hAnsi="宋体" w:eastAsia="宋体" w:cs="宋体"/>
          <w:lang w:val="zh-CN"/>
        </w:rPr>
        <w:t>在调试和性能优化的同时，中标人应依据《国家电网公司西北调控分中心</w:t>
      </w:r>
      <w:r>
        <w:rPr>
          <w:rFonts w:hint="eastAsia" w:ascii="宋体" w:hAnsi="宋体" w:eastAsia="宋体" w:cs="宋体"/>
        </w:rPr>
        <w:t>关于</w:t>
      </w:r>
      <w:r>
        <w:rPr>
          <w:rFonts w:hint="eastAsia" w:ascii="宋体" w:hAnsi="宋体" w:eastAsia="宋体" w:cs="宋体"/>
          <w:lang w:val="zh-CN"/>
        </w:rPr>
        <w:t>征求〈西北电网新能源场站快速频率响应入网试验方案〉意见的通知》（西电调字〔2018〕）编制试验方案。试验方案包括试验内容、试验步骤、试验进度安排、现场安全措施。在请第三方单位测试前7个工作日，向光伏电站所属调控机构提交试验方案和试验申请。</w:t>
      </w:r>
    </w:p>
    <w:p w14:paraId="45FBB4C8">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116" w:name="_Toc17038"/>
      <w:bookmarkStart w:id="117" w:name="_Toc30118"/>
      <w:bookmarkStart w:id="118" w:name="_Toc6380"/>
      <w:bookmarkStart w:id="119" w:name="_Toc5205"/>
      <w:bookmarkStart w:id="120" w:name="_Toc3708"/>
      <w:bookmarkStart w:id="121" w:name="_Toc17592"/>
      <w:bookmarkStart w:id="122" w:name="_Toc27981"/>
      <w:bookmarkStart w:id="123" w:name="_Toc19296"/>
      <w:bookmarkStart w:id="124" w:name="_Toc15141"/>
      <w:bookmarkStart w:id="125" w:name="_Toc30767"/>
      <w:bookmarkStart w:id="126" w:name="_Toc5900"/>
      <w:r>
        <w:rPr>
          <w:rFonts w:hint="eastAsia" w:ascii="宋体" w:hAnsi="宋体" w:eastAsia="宋体" w:cs="宋体"/>
          <w:b/>
          <w:bCs w:val="0"/>
          <w:sz w:val="24"/>
          <w:szCs w:val="24"/>
        </w:rPr>
        <w:t>5.2投标方必须提交的技术</w:t>
      </w:r>
      <w:bookmarkEnd w:id="109"/>
      <w:bookmarkEnd w:id="110"/>
      <w:bookmarkEnd w:id="111"/>
      <w:bookmarkEnd w:id="112"/>
      <w:bookmarkEnd w:id="113"/>
      <w:bookmarkEnd w:id="114"/>
      <w:r>
        <w:rPr>
          <w:rFonts w:hint="eastAsia" w:ascii="宋体" w:hAnsi="宋体" w:eastAsia="宋体" w:cs="宋体"/>
          <w:b/>
          <w:bCs w:val="0"/>
          <w:sz w:val="24"/>
          <w:szCs w:val="24"/>
        </w:rPr>
        <w:t>方案资料</w:t>
      </w:r>
      <w:bookmarkEnd w:id="115"/>
      <w:bookmarkEnd w:id="116"/>
      <w:bookmarkEnd w:id="117"/>
      <w:bookmarkEnd w:id="118"/>
      <w:bookmarkEnd w:id="119"/>
      <w:bookmarkEnd w:id="120"/>
      <w:bookmarkEnd w:id="121"/>
      <w:bookmarkEnd w:id="122"/>
      <w:bookmarkEnd w:id="123"/>
      <w:bookmarkEnd w:id="124"/>
      <w:bookmarkEnd w:id="125"/>
      <w:bookmarkEnd w:id="126"/>
    </w:p>
    <w:p w14:paraId="4DF793A1">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rPr>
        <w:t>5.2.1</w:t>
      </w:r>
      <w:r>
        <w:rPr>
          <w:rFonts w:hint="eastAsia" w:ascii="宋体" w:hAnsi="宋体" w:eastAsia="宋体" w:cs="宋体"/>
          <w:lang w:val="zh-CN"/>
        </w:rPr>
        <w:t>改造技术方案，系统功能及技术参数特性表。</w:t>
      </w:r>
    </w:p>
    <w:p w14:paraId="34A76EA8">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rPr>
        <w:t>5.2.2</w:t>
      </w:r>
      <w:r>
        <w:rPr>
          <w:rFonts w:hint="eastAsia" w:ascii="宋体" w:hAnsi="宋体" w:eastAsia="宋体" w:cs="宋体"/>
          <w:lang w:eastAsia="zh-CN"/>
        </w:rPr>
        <w:t>主要</w:t>
      </w:r>
      <w:r>
        <w:rPr>
          <w:rFonts w:hint="eastAsia" w:ascii="宋体" w:hAnsi="宋体" w:eastAsia="宋体" w:cs="宋体"/>
          <w:lang w:val="zh-CN"/>
        </w:rPr>
        <w:t>设备及软件相关技术资料。</w:t>
      </w:r>
    </w:p>
    <w:p w14:paraId="380DA814">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rPr>
        <w:t>5.2.3</w:t>
      </w:r>
      <w:r>
        <w:rPr>
          <w:rFonts w:hint="eastAsia" w:ascii="宋体" w:hAnsi="宋体" w:eastAsia="宋体" w:cs="宋体"/>
          <w:lang w:eastAsia="zh-CN"/>
        </w:rPr>
        <w:t>主要</w:t>
      </w:r>
      <w:r>
        <w:rPr>
          <w:rFonts w:hint="eastAsia" w:ascii="宋体" w:hAnsi="宋体" w:eastAsia="宋体" w:cs="宋体"/>
          <w:lang w:val="zh-CN"/>
        </w:rPr>
        <w:t>设备清单。</w:t>
      </w:r>
    </w:p>
    <w:p w14:paraId="326DC436">
      <w:pPr>
        <w:keepNext w:val="0"/>
        <w:keepLines w:val="0"/>
        <w:pageBreakBefore w:val="0"/>
        <w:kinsoku/>
        <w:wordWrap/>
        <w:overflowPunct/>
        <w:autoSpaceDE/>
        <w:autoSpaceDN/>
        <w:bidi w:val="0"/>
        <w:spacing w:line="570" w:lineRule="exact"/>
        <w:ind w:firstLine="480" w:firstLineChars="200"/>
        <w:rPr>
          <w:rFonts w:hint="eastAsia" w:ascii="宋体" w:hAnsi="宋体" w:eastAsia="宋体" w:cs="宋体"/>
          <w:lang w:val="zh-CN"/>
        </w:rPr>
      </w:pPr>
      <w:r>
        <w:rPr>
          <w:rFonts w:hint="eastAsia" w:ascii="宋体" w:hAnsi="宋体" w:eastAsia="宋体" w:cs="宋体"/>
        </w:rPr>
        <w:t>5.2.4</w:t>
      </w:r>
      <w:r>
        <w:rPr>
          <w:rFonts w:hint="eastAsia" w:ascii="宋体" w:hAnsi="宋体" w:eastAsia="宋体" w:cs="宋体"/>
          <w:lang w:val="zh-CN"/>
        </w:rPr>
        <w:t>改造</w:t>
      </w:r>
      <w:r>
        <w:rPr>
          <w:rFonts w:hint="eastAsia" w:ascii="宋体" w:hAnsi="宋体" w:eastAsia="宋体" w:cs="宋体"/>
        </w:rPr>
        <w:t>技术</w:t>
      </w:r>
      <w:r>
        <w:rPr>
          <w:rFonts w:hint="eastAsia" w:ascii="宋体" w:hAnsi="宋体" w:eastAsia="宋体" w:cs="宋体"/>
          <w:lang w:val="zh-CN"/>
        </w:rPr>
        <w:t>方案进度计划。</w:t>
      </w:r>
    </w:p>
    <w:p w14:paraId="0260E378">
      <w:pPr>
        <w:pStyle w:val="3"/>
        <w:keepNext w:val="0"/>
        <w:keepLines w:val="0"/>
        <w:pageBreakBefore w:val="0"/>
        <w:kinsoku/>
        <w:wordWrap/>
        <w:overflowPunct/>
        <w:autoSpaceDE/>
        <w:autoSpaceDN/>
        <w:bidi w:val="0"/>
        <w:spacing w:line="570" w:lineRule="exact"/>
        <w:ind w:firstLine="482" w:firstLineChars="200"/>
        <w:rPr>
          <w:rFonts w:hint="eastAsia" w:ascii="宋体" w:hAnsi="宋体" w:eastAsia="宋体" w:cs="宋体"/>
          <w:b/>
          <w:bCs w:val="0"/>
          <w:sz w:val="24"/>
          <w:szCs w:val="24"/>
        </w:rPr>
      </w:pPr>
      <w:bookmarkStart w:id="127" w:name="_Toc24908"/>
      <w:bookmarkStart w:id="128" w:name="_Toc26130"/>
      <w:bookmarkStart w:id="129" w:name="_Toc9598"/>
      <w:bookmarkStart w:id="130" w:name="_Toc13746"/>
      <w:bookmarkStart w:id="131" w:name="_Toc12066"/>
      <w:bookmarkStart w:id="132" w:name="_Toc15391"/>
      <w:bookmarkStart w:id="133" w:name="_Toc737"/>
      <w:bookmarkStart w:id="134" w:name="_Toc18487"/>
      <w:bookmarkStart w:id="135" w:name="_Toc9347"/>
      <w:bookmarkStart w:id="136" w:name="_Toc4820"/>
      <w:bookmarkStart w:id="137" w:name="_Toc14611"/>
      <w:bookmarkStart w:id="138" w:name="_Toc19847"/>
      <w:r>
        <w:rPr>
          <w:rFonts w:hint="eastAsia" w:ascii="宋体" w:hAnsi="宋体" w:eastAsia="宋体" w:cs="宋体"/>
          <w:b/>
          <w:bCs w:val="0"/>
          <w:sz w:val="24"/>
          <w:szCs w:val="24"/>
          <w:lang w:val="en-US" w:eastAsia="zh-CN"/>
        </w:rPr>
        <w:t>5.3中标人</w:t>
      </w:r>
      <w:r>
        <w:rPr>
          <w:rFonts w:hint="eastAsia" w:ascii="宋体" w:hAnsi="宋体" w:eastAsia="宋体" w:cs="宋体"/>
          <w:b/>
          <w:bCs w:val="0"/>
          <w:sz w:val="24"/>
          <w:szCs w:val="24"/>
        </w:rPr>
        <w:t>必须提交的技术方案资料</w:t>
      </w:r>
      <w:bookmarkEnd w:id="127"/>
      <w:bookmarkEnd w:id="128"/>
    </w:p>
    <w:p w14:paraId="3266EDEB">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bidi="ar-SA"/>
        </w:rPr>
      </w:pPr>
      <w:r>
        <w:rPr>
          <w:rFonts w:hint="eastAsia" w:ascii="宋体" w:hAnsi="宋体" w:eastAsia="宋体" w:cs="宋体"/>
          <w:color w:val="000000"/>
          <w:kern w:val="0"/>
          <w:sz w:val="24"/>
          <w:szCs w:val="24"/>
          <w:lang w:val="en-US" w:eastAsia="zh-CN" w:bidi="ar-SA"/>
        </w:rPr>
        <w:t>5.3.1</w:t>
      </w:r>
      <w:r>
        <w:rPr>
          <w:rFonts w:hint="eastAsia" w:ascii="宋体" w:hAnsi="宋体" w:eastAsia="宋体" w:cs="宋体"/>
          <w:color w:val="000000"/>
          <w:kern w:val="0"/>
          <w:sz w:val="24"/>
          <w:szCs w:val="24"/>
          <w:lang w:bidi="ar-SA"/>
        </w:rPr>
        <w:t>投标人须提供中国电科院、国网电科院或国家继电保护及自动化设备质量检验检测中心出具的快速频率响应装置（快速频率响应控制系统）检验报告。</w:t>
      </w:r>
    </w:p>
    <w:p w14:paraId="04FD8E61">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5.3.2投标人自2022年1月1日（以合同签订时间为准）至投标截止日起，至少具有2个光伏或风电项目场站快速频率改造业绩（业绩证明材料要求提供合同复制件，合同复制件至少包含首页、签字盖章页和能体现供货范围的页面，证明材料所能承载的证明内容应符合业绩要求的具体表述）。</w:t>
      </w:r>
    </w:p>
    <w:p w14:paraId="3DD9EC76">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eastAsia="zh-CN" w:bidi="ar-SA"/>
        </w:rPr>
      </w:pPr>
      <w:bookmarkStart w:id="272" w:name="_GoBack"/>
      <w:bookmarkEnd w:id="272"/>
      <w:r>
        <w:rPr>
          <w:rFonts w:hint="eastAsia" w:ascii="宋体" w:hAnsi="宋体" w:eastAsia="宋体" w:cs="宋体"/>
          <w:color w:val="000000"/>
          <w:kern w:val="0"/>
          <w:sz w:val="24"/>
          <w:szCs w:val="24"/>
          <w:lang w:val="en-US" w:eastAsia="zh-CN" w:bidi="ar-SA"/>
        </w:rPr>
        <w:t>5.3.3</w:t>
      </w:r>
      <w:r>
        <w:rPr>
          <w:rFonts w:hint="eastAsia" w:ascii="宋体" w:hAnsi="宋体" w:eastAsia="宋体" w:cs="宋体"/>
          <w:color w:val="000000"/>
          <w:kern w:val="0"/>
          <w:sz w:val="24"/>
          <w:szCs w:val="24"/>
          <w:lang w:bidi="ar-SA"/>
        </w:rPr>
        <w:t>开工前：安全责任书、投标人的检修、预试四措两案、安全及文明生产指标承诺表、检修</w:t>
      </w:r>
      <w:r>
        <w:rPr>
          <w:rFonts w:hint="eastAsia" w:ascii="宋体" w:hAnsi="宋体" w:eastAsia="宋体" w:cs="宋体"/>
          <w:color w:val="000000"/>
          <w:kern w:val="0"/>
          <w:sz w:val="24"/>
          <w:szCs w:val="24"/>
          <w:lang w:val="en-US" w:eastAsia="zh-CN" w:bidi="ar-SA"/>
        </w:rPr>
        <w:t>改造</w:t>
      </w:r>
      <w:r>
        <w:rPr>
          <w:rFonts w:hint="eastAsia" w:ascii="宋体" w:hAnsi="宋体" w:eastAsia="宋体" w:cs="宋体"/>
          <w:color w:val="000000"/>
          <w:kern w:val="0"/>
          <w:sz w:val="24"/>
          <w:szCs w:val="24"/>
          <w:lang w:bidi="ar-SA"/>
        </w:rPr>
        <w:t>工作必备的资质、投入使用的设备仪器的合格证、检验证明、参与检修</w:t>
      </w:r>
      <w:r>
        <w:rPr>
          <w:rFonts w:hint="eastAsia" w:ascii="宋体" w:hAnsi="宋体" w:eastAsia="宋体" w:cs="宋体"/>
          <w:color w:val="000000"/>
          <w:kern w:val="0"/>
          <w:sz w:val="24"/>
          <w:szCs w:val="24"/>
          <w:lang w:val="en-US" w:eastAsia="zh-CN" w:bidi="ar-SA"/>
        </w:rPr>
        <w:t>改造</w:t>
      </w:r>
      <w:r>
        <w:rPr>
          <w:rFonts w:hint="eastAsia" w:ascii="宋体" w:hAnsi="宋体" w:eastAsia="宋体" w:cs="宋体"/>
          <w:color w:val="000000"/>
          <w:kern w:val="0"/>
          <w:sz w:val="24"/>
          <w:szCs w:val="24"/>
          <w:lang w:bidi="ar-SA"/>
        </w:rPr>
        <w:t>人员的证件、社保证明等、其他开工前应具备的资料</w:t>
      </w:r>
      <w:r>
        <w:rPr>
          <w:rFonts w:hint="eastAsia" w:ascii="宋体" w:hAnsi="宋体" w:eastAsia="宋体" w:cs="宋体"/>
          <w:color w:val="000000"/>
          <w:kern w:val="0"/>
          <w:sz w:val="24"/>
          <w:szCs w:val="24"/>
          <w:lang w:eastAsia="zh-CN" w:bidi="ar-SA"/>
        </w:rPr>
        <w:t>。</w:t>
      </w:r>
    </w:p>
    <w:p w14:paraId="0B2D3FE3">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lang w:eastAsia="zh-CN"/>
        </w:rPr>
      </w:pPr>
      <w:r>
        <w:rPr>
          <w:rFonts w:hint="eastAsia" w:ascii="宋体" w:hAnsi="宋体" w:eastAsia="宋体" w:cs="宋体"/>
          <w:color w:val="000000"/>
          <w:kern w:val="0"/>
          <w:sz w:val="24"/>
          <w:szCs w:val="24"/>
          <w:lang w:val="en-US" w:eastAsia="zh-CN" w:bidi="ar-SA"/>
        </w:rPr>
        <w:t>5.3.4完工后：改造</w:t>
      </w:r>
      <w:r>
        <w:rPr>
          <w:rFonts w:hint="eastAsia" w:ascii="宋体" w:hAnsi="宋体" w:eastAsia="宋体" w:cs="宋体"/>
          <w:color w:val="000000"/>
          <w:kern w:val="0"/>
          <w:sz w:val="24"/>
          <w:szCs w:val="24"/>
          <w:lang w:bidi="ar-SA"/>
        </w:rPr>
        <w:t>记录：正本3份</w:t>
      </w:r>
      <w:r>
        <w:rPr>
          <w:rFonts w:hint="eastAsia" w:ascii="宋体" w:hAnsi="宋体" w:eastAsia="宋体" w:cs="宋体"/>
          <w:color w:val="000000"/>
          <w:kern w:val="0"/>
          <w:sz w:val="24"/>
          <w:szCs w:val="24"/>
          <w:lang w:eastAsia="zh-CN" w:bidi="ar-SA"/>
        </w:rPr>
        <w:t>，</w:t>
      </w:r>
      <w:r>
        <w:rPr>
          <w:rFonts w:hint="eastAsia" w:ascii="宋体" w:hAnsi="宋体" w:eastAsia="宋体" w:cs="宋体"/>
          <w:color w:val="000000"/>
          <w:kern w:val="0"/>
          <w:sz w:val="24"/>
          <w:szCs w:val="24"/>
          <w:lang w:val="en-US" w:eastAsia="zh-CN" w:bidi="ar-SA"/>
        </w:rPr>
        <w:t>装订成册</w:t>
      </w:r>
      <w:r>
        <w:rPr>
          <w:rFonts w:hint="eastAsia" w:ascii="宋体" w:hAnsi="宋体" w:eastAsia="宋体" w:cs="宋体"/>
          <w:color w:val="000000"/>
          <w:kern w:val="0"/>
          <w:sz w:val="24"/>
          <w:szCs w:val="24"/>
          <w:lang w:bidi="ar-SA"/>
        </w:rPr>
        <w:t>。</w:t>
      </w:r>
    </w:p>
    <w:p w14:paraId="4E25DDD7">
      <w:pPr>
        <w:pStyle w:val="8"/>
        <w:keepNext w:val="0"/>
        <w:keepLines w:val="0"/>
        <w:pageBreakBefore w:val="0"/>
        <w:tabs>
          <w:tab w:val="left" w:pos="3960"/>
        </w:tabs>
        <w:kinsoku/>
        <w:wordWrap/>
        <w:overflowPunct/>
        <w:topLinePunct w:val="0"/>
        <w:autoSpaceDE/>
        <w:autoSpaceDN/>
        <w:bidi w:val="0"/>
        <w:spacing w:before="0" w:after="0" w:line="570" w:lineRule="exact"/>
        <w:ind w:firstLine="480" w:firstLineChars="200"/>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上述所提交资料，应盖投标人公章，试验报告应盖投标人有</w:t>
      </w:r>
      <w:r>
        <w:rPr>
          <w:rFonts w:hint="eastAsia" w:hAnsi="宋体" w:eastAsia="宋体" w:cs="宋体"/>
          <w:color w:val="000000"/>
          <w:kern w:val="0"/>
          <w:sz w:val="24"/>
          <w:szCs w:val="24"/>
          <w:lang w:val="en-US" w:eastAsia="zh-CN" w:bidi="ar-SA"/>
        </w:rPr>
        <w:t>法律效应</w:t>
      </w:r>
      <w:r>
        <w:rPr>
          <w:rFonts w:hint="eastAsia" w:ascii="宋体" w:hAnsi="宋体" w:eastAsia="宋体" w:cs="宋体"/>
          <w:color w:val="000000"/>
          <w:kern w:val="0"/>
          <w:sz w:val="24"/>
          <w:szCs w:val="24"/>
          <w:lang w:val="en-US" w:eastAsia="zh-CN" w:bidi="ar-SA"/>
        </w:rPr>
        <w:t>的试验专用章。</w:t>
      </w:r>
    </w:p>
    <w:p w14:paraId="5AD3E2B6">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default" w:hAnsi="宋体" w:eastAsia="等线" w:cs="宋体"/>
          <w:bCs/>
          <w:kern w:val="2"/>
          <w:sz w:val="24"/>
          <w:szCs w:val="24"/>
          <w:lang w:val="en-US" w:eastAsia="zh-CN"/>
        </w:rPr>
      </w:pPr>
      <w:r>
        <w:rPr>
          <w:rFonts w:hint="eastAsia" w:ascii="宋体" w:hAnsi="宋体" w:eastAsia="宋体" w:cs="宋体"/>
          <w:color w:val="000000"/>
          <w:kern w:val="0"/>
          <w:sz w:val="24"/>
          <w:szCs w:val="24"/>
          <w:lang w:val="en-US" w:eastAsia="zh-CN" w:bidi="ar-SA"/>
        </w:rPr>
        <w:t>5.3.5提供所有合同设备的技术文件、参考资料、图纸和手册。提供所有合同设备的技术文件、参考资料、操</w:t>
      </w:r>
      <w:r>
        <w:rPr>
          <w:rFonts w:hint="eastAsia" w:ascii="宋体" w:hAnsi="宋体" w:eastAsia="宋体" w:cs="宋体"/>
          <w:color w:val="000000"/>
          <w:kern w:val="0"/>
          <w:sz w:val="24"/>
          <w:szCs w:val="24"/>
          <w:lang w:bidi="ar-SA"/>
        </w:rPr>
        <w:t>作手册、供货设备清单、原理结构图、组屏端子图，各设备（装置）正本3份，装订成册</w:t>
      </w:r>
      <w:r>
        <w:rPr>
          <w:rFonts w:hint="eastAsia" w:ascii="宋体" w:hAnsi="宋体" w:eastAsia="宋体" w:cs="宋体"/>
          <w:color w:val="000000"/>
          <w:kern w:val="0"/>
          <w:sz w:val="24"/>
          <w:szCs w:val="24"/>
          <w:lang w:eastAsia="zh-CN" w:bidi="ar-SA"/>
        </w:rPr>
        <w:t>；</w:t>
      </w:r>
    </w:p>
    <w:p w14:paraId="6CBC7358">
      <w:pPr>
        <w:pStyle w:val="3"/>
        <w:keepNext w:val="0"/>
        <w:keepLines w:val="0"/>
        <w:pageBreakBefore w:val="0"/>
        <w:kinsoku/>
        <w:wordWrap/>
        <w:overflowPunct/>
        <w:autoSpaceDE/>
        <w:autoSpaceDN/>
        <w:bidi w:val="0"/>
        <w:spacing w:line="570" w:lineRule="exact"/>
        <w:rPr>
          <w:rFonts w:ascii="宋体" w:hAnsi="宋体" w:eastAsia="宋体" w:cs="宋体"/>
          <w:b/>
          <w:bCs w:val="0"/>
          <w:sz w:val="24"/>
          <w:szCs w:val="24"/>
        </w:rPr>
      </w:pPr>
      <w:bookmarkStart w:id="139" w:name="_Toc9501"/>
      <w:bookmarkStart w:id="140" w:name="_Toc5698"/>
      <w:bookmarkStart w:id="141" w:name="_Toc5438"/>
      <w:bookmarkStart w:id="142" w:name="_Toc2759"/>
      <w:bookmarkStart w:id="143" w:name="_Toc16967"/>
      <w:bookmarkStart w:id="144" w:name="_Toc17500"/>
      <w:bookmarkStart w:id="145" w:name="_Toc32105"/>
      <w:bookmarkStart w:id="146" w:name="_Toc3041"/>
      <w:bookmarkStart w:id="147" w:name="_Toc29980"/>
      <w:bookmarkStart w:id="148" w:name="_Toc9064"/>
      <w:bookmarkStart w:id="149" w:name="_Toc6281"/>
      <w:r>
        <w:rPr>
          <w:rFonts w:hint="eastAsia" w:ascii="宋体" w:hAnsi="宋体" w:eastAsia="宋体" w:cs="宋体"/>
          <w:b/>
          <w:bCs w:val="0"/>
          <w:sz w:val="24"/>
          <w:szCs w:val="24"/>
        </w:rPr>
        <w:t>5.</w:t>
      </w:r>
      <w:r>
        <w:rPr>
          <w:rFonts w:hint="eastAsia" w:ascii="宋体" w:hAnsi="宋体" w:eastAsia="宋体" w:cs="宋体"/>
          <w:b/>
          <w:bCs w:val="0"/>
          <w:sz w:val="24"/>
          <w:szCs w:val="24"/>
          <w:lang w:val="en-US" w:eastAsia="zh-CN"/>
        </w:rPr>
        <w:t>4检验、</w:t>
      </w:r>
      <w:r>
        <w:rPr>
          <w:rFonts w:hint="eastAsia" w:ascii="宋体" w:hAnsi="宋体" w:eastAsia="宋体" w:cs="宋体"/>
          <w:b/>
          <w:bCs w:val="0"/>
          <w:sz w:val="24"/>
          <w:szCs w:val="24"/>
        </w:rPr>
        <w:t>安装、调试、性能试验</w:t>
      </w:r>
      <w:bookmarkEnd w:id="139"/>
      <w:bookmarkEnd w:id="140"/>
      <w:bookmarkEnd w:id="141"/>
      <w:bookmarkEnd w:id="142"/>
      <w:bookmarkEnd w:id="143"/>
      <w:bookmarkEnd w:id="144"/>
      <w:bookmarkEnd w:id="145"/>
      <w:bookmarkEnd w:id="146"/>
      <w:bookmarkEnd w:id="147"/>
      <w:bookmarkEnd w:id="148"/>
      <w:bookmarkEnd w:id="149"/>
    </w:p>
    <w:p w14:paraId="19774586">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5.4.1开箱检验</w:t>
      </w:r>
    </w:p>
    <w:p w14:paraId="6B439898">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（1）合同设备交付时应进行开箱检验，即合同设备数量及外观检验。</w:t>
      </w:r>
    </w:p>
    <w:p w14:paraId="7487D8F2">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（2）开箱检验由买卖双方共同进行，中标人应自负费用派遣代表到场参加开箱检验。</w:t>
      </w:r>
    </w:p>
    <w:p w14:paraId="1107454A">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（3）在开箱检验中，招标方和中标人应共同签署数量、外观检验报告，报告应列明检验结果，包括检验合格或发现的任何短缺、损坏或其他与合同约定不符的情形。</w:t>
      </w:r>
    </w:p>
    <w:p w14:paraId="5B632FC0">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4）如果中标人代表未能依约或按招标方通知到场参加开箱检验，招标方有权在中标人代表未在场的情况下进行开箱检验，并签署数量、外观检验报告，对于该检验报告和检验结果，视为中标人已接受，但中标人确有合理理由且事先与招标方协商推迟开箱检验时间的除外。</w:t>
      </w:r>
    </w:p>
    <w:p w14:paraId="30B97969">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5）如开箱检验不在合同设备交付时进行，则合同设备交付以后到开箱检验之前，应由招标方负责按交货时外包装原样对合同设备进行妥善保管。除具体项目合同条款另有约定外，在开箱检验时如果合同设备外包装与交货时一致，则开箱检验中发现的合同设备的短缺、损坏或其他与合同约定不符的情形，由中标人负责，中标人应补齐、更换及采取其他补救措施。如果在开箱检验时合同设备外包装不是交货时的包装或虽是交货时的包装但与交货时不一致且出现很可能导致合同设备短缺或损坏的包装破损，则开箱检验中发现合同设备短缺、损坏或其他与合同约定不符的情形的风险，由招标方承担，但招标方能够证明是由于中标人原因或合同设备交付前非招标方原因导致的除外。</w:t>
      </w:r>
    </w:p>
    <w:p w14:paraId="18FA798C">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6）开箱检验的检验结果不能对抗在合同设备的安装、调试、考核、验收中及质量保证期内发现的合同设备质量问题，也不能免除或影响中标人依照合同约定对招标方负有的包括合同设备质量在内的任何义务或责任。</w:t>
      </w:r>
    </w:p>
    <w:p w14:paraId="5A72218E">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5.4.2安装、调试</w:t>
      </w:r>
    </w:p>
    <w:p w14:paraId="4E575C06">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（1）开箱检验完成后，双方应对合同设备进行安装、调试，以使其具备考核的状态。中标人按照合同约定完成合同设备的安装、调试工作。</w:t>
      </w:r>
    </w:p>
    <w:p w14:paraId="63F16C0F">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（2）安装、调试中合同设备运行需要的用水、用电、其他动力和原材料（如需要）等均由招标方承担。</w:t>
      </w:r>
    </w:p>
    <w:p w14:paraId="6D33DEF8">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（3）双方应对合同设备的安装、调试情况共同及时进行记录。</w:t>
      </w:r>
    </w:p>
    <w:p w14:paraId="1F3F2A23">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zh-CN" w:eastAsia="zh-CN" w:bidi="ar-SA"/>
        </w:rPr>
      </w:pPr>
      <w:r>
        <w:rPr>
          <w:rFonts w:hint="eastAsia" w:ascii="宋体" w:hAnsi="宋体" w:eastAsia="宋体" w:cs="宋体"/>
          <w:color w:val="000000"/>
          <w:kern w:val="0"/>
          <w:sz w:val="24"/>
          <w:szCs w:val="24"/>
          <w:lang w:val="en-US" w:eastAsia="zh-CN" w:bidi="ar-SA"/>
        </w:rPr>
        <w:t>（4）</w:t>
      </w:r>
      <w:r>
        <w:rPr>
          <w:rFonts w:hint="eastAsia" w:ascii="宋体" w:hAnsi="宋体" w:eastAsia="宋体" w:cs="宋体"/>
          <w:color w:val="000000"/>
          <w:kern w:val="0"/>
          <w:sz w:val="24"/>
          <w:szCs w:val="24"/>
          <w:lang w:val="zh-CN" w:eastAsia="zh-CN" w:bidi="ar-SA"/>
        </w:rPr>
        <w:t>合同设备的安装、调试将由中标人完成，并提供技术文件。</w:t>
      </w:r>
    </w:p>
    <w:p w14:paraId="71A50178">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zh-CN" w:eastAsia="zh-CN" w:bidi="ar-SA"/>
        </w:rPr>
      </w:pPr>
      <w:r>
        <w:rPr>
          <w:rFonts w:hint="eastAsia" w:ascii="宋体" w:hAnsi="宋体" w:eastAsia="宋体" w:cs="宋体"/>
          <w:color w:val="000000"/>
          <w:kern w:val="0"/>
          <w:sz w:val="24"/>
          <w:szCs w:val="24"/>
          <w:lang w:val="en-US" w:eastAsia="zh-CN" w:bidi="ar-SA"/>
        </w:rPr>
        <w:t>（5）负责储能快速频率设备升级改造及联调工作</w:t>
      </w:r>
      <w:r>
        <w:rPr>
          <w:rFonts w:hint="eastAsia" w:ascii="宋体" w:hAnsi="宋体" w:eastAsia="宋体" w:cs="宋体"/>
          <w:color w:val="000000"/>
          <w:kern w:val="0"/>
          <w:sz w:val="24"/>
          <w:szCs w:val="24"/>
          <w:lang w:val="zh-CN" w:eastAsia="zh-CN" w:bidi="ar-SA"/>
        </w:rPr>
        <w:t>。</w:t>
      </w:r>
    </w:p>
    <w:p w14:paraId="405D4DDC">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zh-CN" w:eastAsia="zh-CN" w:bidi="ar-SA"/>
        </w:rPr>
      </w:pPr>
      <w:r>
        <w:rPr>
          <w:rFonts w:hint="eastAsia" w:ascii="宋体" w:hAnsi="宋体" w:eastAsia="宋体" w:cs="宋体"/>
          <w:color w:val="000000"/>
          <w:kern w:val="0"/>
          <w:sz w:val="24"/>
          <w:szCs w:val="24"/>
          <w:lang w:val="en-US" w:eastAsia="zh-CN" w:bidi="ar-SA"/>
        </w:rPr>
        <w:t>（6）</w:t>
      </w:r>
      <w:r>
        <w:rPr>
          <w:rFonts w:hint="eastAsia" w:ascii="宋体" w:hAnsi="宋体" w:eastAsia="宋体" w:cs="宋体"/>
          <w:color w:val="000000"/>
          <w:kern w:val="0"/>
          <w:sz w:val="24"/>
          <w:szCs w:val="24"/>
          <w:lang w:val="zh-CN" w:eastAsia="zh-CN" w:bidi="ar-SA"/>
        </w:rPr>
        <w:t>性能试验单位需要有资质的单位到站进行测试，性能试验需经过内部组织的试验合格后方可向光伏电站所属调控机构提交申请。中标人应保障光伏电站所属调控机构组织试验合格并给出经审核盖章的试验报告。</w:t>
      </w:r>
    </w:p>
    <w:p w14:paraId="0945E7DC">
      <w:pPr>
        <w:pStyle w:val="3"/>
        <w:keepNext w:val="0"/>
        <w:keepLines w:val="0"/>
        <w:pageBreakBefore w:val="0"/>
        <w:kinsoku/>
        <w:wordWrap/>
        <w:overflowPunct/>
        <w:autoSpaceDE/>
        <w:autoSpaceDN/>
        <w:bidi w:val="0"/>
        <w:spacing w:line="570" w:lineRule="exact"/>
        <w:ind w:firstLine="482" w:firstLineChars="200"/>
        <w:rPr>
          <w:rFonts w:hint="eastAsia" w:ascii="宋体" w:hAnsi="宋体" w:eastAsia="宋体" w:cs="宋体"/>
          <w:b/>
          <w:bCs w:val="0"/>
          <w:sz w:val="24"/>
          <w:szCs w:val="24"/>
        </w:rPr>
      </w:pPr>
      <w:bookmarkStart w:id="150" w:name="_Toc28702"/>
      <w:r>
        <w:rPr>
          <w:rFonts w:hint="eastAsia" w:ascii="宋体" w:hAnsi="宋体" w:eastAsia="宋体" w:cs="宋体"/>
          <w:b/>
          <w:bCs w:val="0"/>
          <w:sz w:val="24"/>
          <w:szCs w:val="24"/>
          <w:lang w:val="en-US" w:eastAsia="zh-CN"/>
        </w:rPr>
        <w:t>5.5</w:t>
      </w:r>
      <w:r>
        <w:rPr>
          <w:rFonts w:hint="eastAsia" w:ascii="宋体" w:hAnsi="宋体" w:eastAsia="宋体" w:cs="宋体"/>
          <w:b/>
          <w:bCs w:val="0"/>
          <w:sz w:val="24"/>
          <w:szCs w:val="24"/>
        </w:rPr>
        <w:t>考核</w:t>
      </w:r>
      <w:bookmarkEnd w:id="150"/>
    </w:p>
    <w:p w14:paraId="6BFFE8EA">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（1）安装、调试完成后，双方应对合同设备进行考核，以确定合同设备是否达到合同约定的技术性能考核指标。</w:t>
      </w:r>
    </w:p>
    <w:p w14:paraId="4B8298F2">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（2）如由于中标人原因合同设备在考核中未能达到合同约定的技术性能考核指标，则中标人应采取措施消除合同设备中存在的缺陷，直到完成缺陷消除。</w:t>
      </w:r>
    </w:p>
    <w:p w14:paraId="0AA8EB6D">
      <w:pPr>
        <w:pStyle w:val="5"/>
        <w:keepNext w:val="0"/>
        <w:keepLines w:val="0"/>
        <w:pageBreakBefore w:val="0"/>
        <w:widowControl w:val="0"/>
        <w:tabs>
          <w:tab w:val="left" w:pos="180"/>
        </w:tabs>
        <w:kinsoku/>
        <w:wordWrap/>
        <w:overflowPunct/>
        <w:topLinePunct w:val="0"/>
        <w:autoSpaceDE/>
        <w:autoSpaceDN/>
        <w:bidi w:val="0"/>
        <w:adjustRightInd w:val="0"/>
        <w:spacing w:line="570" w:lineRule="exact"/>
        <w:jc w:val="left"/>
        <w:textAlignment w:val="baseline"/>
        <w:rPr>
          <w:rFonts w:hint="eastAsia" w:ascii="宋体" w:hAnsi="宋体" w:eastAsia="宋体" w:cs="宋体"/>
          <w:color w:val="000000"/>
          <w:kern w:val="0"/>
          <w:sz w:val="24"/>
          <w:szCs w:val="24"/>
          <w:lang w:val="en-US" w:eastAsia="zh-CN" w:bidi="ar-SA"/>
        </w:rPr>
      </w:pPr>
      <w:r>
        <w:rPr>
          <w:rFonts w:hint="eastAsia" w:ascii="宋体" w:hAnsi="宋体" w:eastAsia="宋体" w:cs="宋体"/>
          <w:color w:val="000000"/>
          <w:kern w:val="0"/>
          <w:sz w:val="24"/>
          <w:szCs w:val="24"/>
          <w:lang w:val="en-US" w:eastAsia="zh-CN" w:bidi="ar-SA"/>
        </w:rPr>
        <w:t>（3）由于中标人的责任，如设备质量问题或交货时间滞后，使新能源项目未能及时通过质量监督局、当地电网公司的验收，导致项目无法并网造成工期延误，工期每延期一天扣除合同金额的3</w:t>
      </w:r>
      <w:r>
        <w:rPr>
          <w:rFonts w:hint="default" w:ascii="Times New Roman" w:hAnsi="宋体" w:eastAsia="宋体" w:cs="Times New Roman"/>
          <w:sz w:val="24"/>
        </w:rPr>
        <w:t>‰</w:t>
      </w:r>
      <w:r>
        <w:rPr>
          <w:rFonts w:hint="eastAsia" w:ascii="宋体" w:hAnsi="宋体" w:eastAsia="宋体" w:cs="宋体"/>
          <w:color w:val="000000"/>
          <w:kern w:val="0"/>
          <w:sz w:val="24"/>
          <w:szCs w:val="24"/>
          <w:lang w:val="en-US" w:eastAsia="zh-CN" w:bidi="ar-SA"/>
        </w:rPr>
        <w:t>作为延期考核，</w:t>
      </w:r>
      <w:r>
        <w:rPr>
          <w:rFonts w:hint="eastAsia" w:ascii="Times New Roman" w:hAnsi="宋体" w:eastAsia="宋体" w:cs="Times New Roman"/>
          <w:sz w:val="24"/>
        </w:rPr>
        <w:t>考核金额最多不超过合同款的50%</w:t>
      </w:r>
      <w:r>
        <w:rPr>
          <w:rFonts w:hint="eastAsia" w:ascii="宋体" w:hAnsi="宋体" w:eastAsia="宋体" w:cs="宋体"/>
          <w:color w:val="000000"/>
          <w:kern w:val="0"/>
          <w:sz w:val="24"/>
          <w:szCs w:val="24"/>
          <w:lang w:val="en-US" w:eastAsia="zh-CN" w:bidi="ar-SA"/>
        </w:rPr>
        <w:t>。</w:t>
      </w:r>
    </w:p>
    <w:p w14:paraId="7493B163">
      <w:pPr>
        <w:pStyle w:val="2"/>
        <w:keepNext w:val="0"/>
        <w:keepLines w:val="0"/>
        <w:pageBreakBefore w:val="0"/>
        <w:kinsoku/>
        <w:wordWrap/>
        <w:overflowPunct/>
        <w:autoSpaceDE/>
        <w:autoSpaceDN/>
        <w:bidi w:val="0"/>
        <w:spacing w:line="570" w:lineRule="exact"/>
      </w:pPr>
      <w:bookmarkStart w:id="151" w:name="_Toc13249"/>
      <w:r>
        <w:rPr>
          <w:rFonts w:hint="eastAsia"/>
        </w:rPr>
        <w:t>六、验收及质量保证</w:t>
      </w:r>
      <w:bookmarkEnd w:id="129"/>
      <w:bookmarkEnd w:id="130"/>
      <w:bookmarkEnd w:id="131"/>
      <w:bookmarkEnd w:id="132"/>
      <w:bookmarkEnd w:id="133"/>
      <w:bookmarkEnd w:id="134"/>
      <w:bookmarkEnd w:id="135"/>
      <w:bookmarkEnd w:id="136"/>
      <w:bookmarkEnd w:id="137"/>
      <w:bookmarkEnd w:id="138"/>
      <w:bookmarkEnd w:id="151"/>
    </w:p>
    <w:p w14:paraId="26C58D83">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152" w:name="_Toc8264"/>
      <w:bookmarkStart w:id="153" w:name="_Toc9824"/>
      <w:bookmarkStart w:id="154" w:name="_Toc963"/>
      <w:bookmarkStart w:id="155" w:name="_Toc3591"/>
      <w:bookmarkStart w:id="156" w:name="_Toc17703"/>
      <w:bookmarkStart w:id="157" w:name="_Toc15861"/>
      <w:bookmarkStart w:id="158" w:name="_Toc16639"/>
      <w:bookmarkStart w:id="159" w:name="_Toc14243"/>
      <w:bookmarkStart w:id="160" w:name="_Toc3541"/>
      <w:bookmarkStart w:id="161" w:name="_Toc19681"/>
      <w:r>
        <w:rPr>
          <w:rFonts w:hint="eastAsia" w:ascii="宋体" w:hAnsi="宋体" w:eastAsia="宋体" w:cs="宋体"/>
          <w:b/>
          <w:bCs w:val="0"/>
          <w:sz w:val="24"/>
          <w:szCs w:val="24"/>
        </w:rPr>
        <w:t>6.1验收</w:t>
      </w:r>
      <w:bookmarkEnd w:id="152"/>
      <w:bookmarkEnd w:id="153"/>
      <w:bookmarkEnd w:id="154"/>
    </w:p>
    <w:p w14:paraId="4DC79F26">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lang w:val="zh-CN"/>
        </w:rPr>
        <w:t>通过国家电网西北电力调控分中心审核备案后，招标方对改造工作内容进行确认并验收。</w:t>
      </w:r>
    </w:p>
    <w:p w14:paraId="4B9F9AD5">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162" w:name="_Toc7214"/>
      <w:bookmarkStart w:id="163" w:name="_Toc15343"/>
      <w:bookmarkStart w:id="164" w:name="_Toc30755"/>
      <w:bookmarkStart w:id="165" w:name="_Toc12883"/>
      <w:r>
        <w:rPr>
          <w:rFonts w:hint="eastAsia" w:ascii="宋体" w:hAnsi="宋体" w:eastAsia="宋体" w:cs="宋体"/>
          <w:b/>
          <w:bCs w:val="0"/>
          <w:sz w:val="24"/>
          <w:szCs w:val="24"/>
        </w:rPr>
        <w:t>6.2质保期</w:t>
      </w:r>
      <w:bookmarkEnd w:id="155"/>
      <w:bookmarkEnd w:id="156"/>
      <w:bookmarkEnd w:id="157"/>
      <w:bookmarkEnd w:id="158"/>
      <w:bookmarkEnd w:id="159"/>
      <w:bookmarkEnd w:id="160"/>
      <w:bookmarkEnd w:id="161"/>
      <w:bookmarkEnd w:id="162"/>
      <w:bookmarkEnd w:id="163"/>
      <w:bookmarkEnd w:id="164"/>
      <w:bookmarkEnd w:id="165"/>
    </w:p>
    <w:p w14:paraId="79D51C77">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bookmarkStart w:id="166" w:name="_Toc27830"/>
      <w:bookmarkStart w:id="167" w:name="_Toc4015"/>
      <w:bookmarkStart w:id="168" w:name="_Toc6753"/>
      <w:bookmarkStart w:id="169" w:name="_Toc27989"/>
      <w:bookmarkStart w:id="170" w:name="_Toc27242"/>
      <w:bookmarkStart w:id="171" w:name="_Toc11066"/>
      <w:bookmarkStart w:id="172" w:name="_Toc20186"/>
      <w:bookmarkStart w:id="173" w:name="_Toc29991"/>
      <w:bookmarkStart w:id="174" w:name="_Toc10530"/>
      <w:r>
        <w:rPr>
          <w:rFonts w:hint="eastAsia" w:ascii="宋体" w:hAnsi="宋体" w:eastAsia="宋体" w:cs="宋体"/>
          <w:lang w:val="zh-CN"/>
        </w:rPr>
        <w:t>（</w:t>
      </w:r>
      <w:r>
        <w:rPr>
          <w:rFonts w:hint="eastAsia" w:ascii="宋体" w:hAnsi="宋体" w:eastAsia="宋体" w:cs="宋体"/>
          <w:lang w:val="en-US" w:eastAsia="zh-CN"/>
        </w:rPr>
        <w:t>1</w:t>
      </w:r>
      <w:r>
        <w:rPr>
          <w:rFonts w:hint="eastAsia" w:ascii="宋体" w:hAnsi="宋体" w:eastAsia="宋体" w:cs="宋体"/>
          <w:lang w:val="zh-CN"/>
        </w:rPr>
        <w:t>）通过国家电网西北电力调控分中心审核备案</w:t>
      </w:r>
      <w:r>
        <w:rPr>
          <w:rFonts w:hint="eastAsia" w:ascii="宋体" w:hAnsi="宋体" w:eastAsia="宋体" w:cs="宋体"/>
        </w:rPr>
        <w:t>之日起24个月为质保期。</w:t>
      </w:r>
    </w:p>
    <w:p w14:paraId="7FB1F9F0">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lang w:eastAsia="zh-CN"/>
        </w:rPr>
        <w:t>（</w:t>
      </w:r>
      <w:r>
        <w:rPr>
          <w:rFonts w:hint="eastAsia" w:ascii="宋体" w:hAnsi="宋体" w:eastAsia="宋体" w:cs="宋体"/>
          <w:lang w:val="en-US" w:eastAsia="zh-CN"/>
        </w:rPr>
        <w:t>2</w:t>
      </w:r>
      <w:r>
        <w:rPr>
          <w:rFonts w:hint="eastAsia" w:ascii="宋体" w:hAnsi="宋体" w:eastAsia="宋体" w:cs="宋体"/>
          <w:lang w:eastAsia="zh-CN"/>
        </w:rPr>
        <w:t>）</w:t>
      </w:r>
      <w:r>
        <w:rPr>
          <w:rFonts w:hint="eastAsia" w:ascii="宋体" w:hAnsi="宋体" w:eastAsia="宋体" w:cs="宋体"/>
        </w:rPr>
        <w:t>质保期内，若快速频率响应</w:t>
      </w:r>
      <w:r>
        <w:rPr>
          <w:rFonts w:hint="eastAsia" w:ascii="宋体" w:hAnsi="宋体" w:eastAsia="宋体" w:cs="宋体"/>
          <w:lang w:val="en-US" w:eastAsia="zh-CN"/>
        </w:rPr>
        <w:t>功能</w:t>
      </w:r>
      <w:r>
        <w:rPr>
          <w:rFonts w:hint="eastAsia" w:ascii="宋体" w:hAnsi="宋体" w:eastAsia="宋体" w:cs="宋体"/>
        </w:rPr>
        <w:t>未达到电网要求，应在15日内提出消缺方案，1个月内解决。</w:t>
      </w:r>
    </w:p>
    <w:p w14:paraId="69CE5E00">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lang w:eastAsia="zh-CN"/>
        </w:rPr>
        <w:t>（</w:t>
      </w:r>
      <w:r>
        <w:rPr>
          <w:rFonts w:hint="eastAsia" w:ascii="宋体" w:hAnsi="宋体" w:eastAsia="宋体" w:cs="宋体"/>
          <w:lang w:val="en-US" w:eastAsia="zh-CN"/>
        </w:rPr>
        <w:t>3</w:t>
      </w:r>
      <w:r>
        <w:rPr>
          <w:rFonts w:hint="eastAsia" w:ascii="宋体" w:hAnsi="宋体" w:eastAsia="宋体" w:cs="宋体"/>
          <w:lang w:eastAsia="zh-CN"/>
        </w:rPr>
        <w:t>）</w:t>
      </w:r>
      <w:r>
        <w:rPr>
          <w:rFonts w:hint="eastAsia" w:ascii="宋体" w:hAnsi="宋体" w:eastAsia="宋体" w:cs="宋体"/>
        </w:rPr>
        <w:t>质保期内，</w:t>
      </w:r>
      <w:r>
        <w:rPr>
          <w:rFonts w:hint="eastAsia" w:ascii="宋体" w:hAnsi="宋体" w:eastAsia="宋体" w:cs="宋体"/>
          <w:lang w:val="en-US" w:eastAsia="zh-CN"/>
        </w:rPr>
        <w:t>场站产生的一切关于快速频率装置造成的相关考核均由中标人承担，</w:t>
      </w:r>
      <w:r>
        <w:rPr>
          <w:rFonts w:hint="eastAsia" w:ascii="宋体" w:hAnsi="宋体" w:eastAsia="宋体" w:cs="宋体"/>
        </w:rPr>
        <w:t>由于</w:t>
      </w:r>
      <w:r>
        <w:rPr>
          <w:rFonts w:hint="eastAsia" w:ascii="宋体" w:hAnsi="宋体" w:eastAsia="宋体" w:cs="宋体"/>
          <w:lang w:val="en-US" w:eastAsia="zh-CN"/>
        </w:rPr>
        <w:t>中标人</w:t>
      </w:r>
      <w:r>
        <w:rPr>
          <w:rFonts w:hint="eastAsia" w:ascii="宋体" w:hAnsi="宋体" w:eastAsia="宋体" w:cs="宋体"/>
        </w:rPr>
        <w:t>改造技术问题而造成</w:t>
      </w:r>
      <w:r>
        <w:rPr>
          <w:rFonts w:hint="eastAsia" w:ascii="宋体" w:hAnsi="宋体" w:eastAsia="宋体" w:cs="宋体"/>
          <w:lang w:val="en-US" w:eastAsia="zh-CN"/>
        </w:rPr>
        <w:t>损失</w:t>
      </w:r>
      <w:r>
        <w:rPr>
          <w:rFonts w:hint="eastAsia" w:ascii="宋体" w:hAnsi="宋体" w:eastAsia="宋体" w:cs="宋体"/>
        </w:rPr>
        <w:t>，</w:t>
      </w:r>
      <w:r>
        <w:rPr>
          <w:rFonts w:hint="eastAsia" w:ascii="宋体" w:hAnsi="宋体" w:eastAsia="宋体" w:cs="宋体"/>
          <w:lang w:val="en-US" w:eastAsia="zh-CN"/>
        </w:rPr>
        <w:t>中标人</w:t>
      </w:r>
      <w:r>
        <w:rPr>
          <w:rFonts w:hint="eastAsia" w:ascii="宋体" w:hAnsi="宋体" w:eastAsia="宋体" w:cs="宋体"/>
        </w:rPr>
        <w:t>应负责赔偿相应损失。</w:t>
      </w:r>
    </w:p>
    <w:p w14:paraId="70EEC321">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175" w:name="_Toc28672"/>
      <w:r>
        <w:rPr>
          <w:rFonts w:hint="eastAsia" w:ascii="宋体" w:hAnsi="宋体" w:eastAsia="宋体" w:cs="宋体"/>
          <w:b/>
          <w:bCs w:val="0"/>
          <w:sz w:val="24"/>
          <w:szCs w:val="24"/>
        </w:rPr>
        <w:t>6.3质量保证</w:t>
      </w:r>
      <w:bookmarkEnd w:id="166"/>
      <w:bookmarkEnd w:id="167"/>
      <w:bookmarkEnd w:id="168"/>
      <w:bookmarkEnd w:id="169"/>
      <w:bookmarkEnd w:id="170"/>
      <w:bookmarkEnd w:id="171"/>
      <w:bookmarkEnd w:id="172"/>
      <w:bookmarkEnd w:id="173"/>
      <w:bookmarkEnd w:id="174"/>
      <w:bookmarkEnd w:id="175"/>
    </w:p>
    <w:p w14:paraId="00D9B563">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bookmarkStart w:id="176" w:name="_Toc96853530"/>
      <w:r>
        <w:rPr>
          <w:rFonts w:hint="eastAsia" w:ascii="宋体" w:hAnsi="宋体" w:eastAsia="宋体" w:cs="宋体"/>
          <w:lang w:eastAsia="zh-CN"/>
        </w:rPr>
        <w:t>（</w:t>
      </w:r>
      <w:r>
        <w:rPr>
          <w:rFonts w:hint="eastAsia" w:ascii="宋体" w:hAnsi="宋体" w:eastAsia="宋体" w:cs="宋体"/>
          <w:lang w:val="en-US" w:eastAsia="zh-CN"/>
        </w:rPr>
        <w:t>1</w:t>
      </w:r>
      <w:r>
        <w:rPr>
          <w:rFonts w:hint="eastAsia" w:ascii="宋体" w:hAnsi="宋体" w:eastAsia="宋体" w:cs="宋体"/>
          <w:lang w:eastAsia="zh-CN"/>
        </w:rPr>
        <w:t>）</w:t>
      </w:r>
      <w:r>
        <w:rPr>
          <w:rFonts w:hint="eastAsia" w:ascii="宋体" w:hAnsi="宋体" w:eastAsia="宋体" w:cs="宋体"/>
        </w:rPr>
        <w:t>投标人保证合同设备完全是新的、技术领先的、质量优良的，在设计、材料和工艺上没有任何缺陷的，适合本技术方案的用途和目的，并满足“技术要求”规定。</w:t>
      </w:r>
    </w:p>
    <w:p w14:paraId="0C276CB4">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lang w:eastAsia="zh-CN"/>
        </w:rPr>
        <w:t>（</w:t>
      </w:r>
      <w:r>
        <w:rPr>
          <w:rFonts w:hint="eastAsia" w:ascii="宋体" w:hAnsi="宋体" w:eastAsia="宋体" w:cs="宋体"/>
          <w:lang w:val="en-US" w:eastAsia="zh-CN"/>
        </w:rPr>
        <w:t>2</w:t>
      </w:r>
      <w:r>
        <w:rPr>
          <w:rFonts w:hint="eastAsia" w:ascii="宋体" w:hAnsi="宋体" w:eastAsia="宋体" w:cs="宋体"/>
          <w:lang w:eastAsia="zh-CN"/>
        </w:rPr>
        <w:t>）</w:t>
      </w:r>
      <w:r>
        <w:rPr>
          <w:rFonts w:hint="eastAsia" w:ascii="宋体" w:hAnsi="宋体" w:eastAsia="宋体" w:cs="宋体"/>
        </w:rPr>
        <w:t>投标人保证技术文件完整、清楚并正确，满足设备的安装、运行和维护的要求。</w:t>
      </w:r>
    </w:p>
    <w:p w14:paraId="543E7BEC">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lang w:eastAsia="zh-CN"/>
        </w:rPr>
        <w:t>（</w:t>
      </w:r>
      <w:r>
        <w:rPr>
          <w:rFonts w:hint="eastAsia" w:ascii="宋体" w:hAnsi="宋体" w:eastAsia="宋体" w:cs="宋体"/>
          <w:lang w:val="en-US" w:eastAsia="zh-CN"/>
        </w:rPr>
        <w:t>3</w:t>
      </w:r>
      <w:r>
        <w:rPr>
          <w:rFonts w:hint="eastAsia" w:ascii="宋体" w:hAnsi="宋体" w:eastAsia="宋体" w:cs="宋体"/>
          <w:lang w:eastAsia="zh-CN"/>
        </w:rPr>
        <w:t>）</w:t>
      </w:r>
      <w:r>
        <w:rPr>
          <w:rFonts w:hint="eastAsia" w:ascii="宋体" w:hAnsi="宋体" w:eastAsia="宋体" w:cs="宋体"/>
        </w:rPr>
        <w:t>投标人保证及时派遣合格的健康的技术人员，为合同设备的安装、调试、性能试验、验收、运行和维护提供正确的、充分的技术服务和必要的技术培训。</w:t>
      </w:r>
      <w:bookmarkEnd w:id="176"/>
    </w:p>
    <w:p w14:paraId="3699DDCD">
      <w:pPr>
        <w:pStyle w:val="2"/>
        <w:keepNext w:val="0"/>
        <w:keepLines w:val="0"/>
        <w:pageBreakBefore w:val="0"/>
        <w:kinsoku/>
        <w:wordWrap/>
        <w:overflowPunct/>
        <w:autoSpaceDE/>
        <w:autoSpaceDN/>
        <w:bidi w:val="0"/>
        <w:spacing w:line="570" w:lineRule="exact"/>
      </w:pPr>
      <w:bookmarkStart w:id="177" w:name="_Toc19123"/>
      <w:bookmarkStart w:id="178" w:name="_Toc23096"/>
      <w:bookmarkStart w:id="179" w:name="_Toc8447"/>
      <w:bookmarkStart w:id="180" w:name="_Toc27504"/>
      <w:bookmarkStart w:id="181" w:name="_Toc7106"/>
      <w:bookmarkStart w:id="182" w:name="_Toc31608"/>
      <w:bookmarkStart w:id="183" w:name="_Toc8727"/>
      <w:bookmarkStart w:id="184" w:name="_Toc29392"/>
      <w:bookmarkStart w:id="185" w:name="_Toc30548"/>
      <w:bookmarkStart w:id="186" w:name="_Toc4863"/>
      <w:bookmarkStart w:id="187" w:name="_Toc32381"/>
      <w:bookmarkStart w:id="188" w:name="_Toc3740"/>
      <w:bookmarkStart w:id="189" w:name="_Toc17626"/>
      <w:bookmarkStart w:id="190" w:name="_Toc25901"/>
      <w:r>
        <w:rPr>
          <w:rFonts w:hint="eastAsia"/>
        </w:rPr>
        <w:t>七、投标要求</w:t>
      </w:r>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p>
    <w:p w14:paraId="766BA8F1">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191" w:name="_Toc12027"/>
      <w:bookmarkStart w:id="192" w:name="_Toc3125"/>
      <w:bookmarkStart w:id="193" w:name="_Toc18475"/>
      <w:bookmarkStart w:id="194" w:name="_Toc12949"/>
      <w:bookmarkStart w:id="195" w:name="_Toc12176"/>
      <w:bookmarkStart w:id="196" w:name="_Toc6396"/>
      <w:bookmarkStart w:id="197" w:name="_Toc25721"/>
      <w:bookmarkStart w:id="198" w:name="_Toc30086"/>
      <w:bookmarkStart w:id="199" w:name="_Toc20904"/>
      <w:bookmarkStart w:id="200" w:name="_Toc20467"/>
      <w:bookmarkStart w:id="201" w:name="_Toc17023"/>
      <w:bookmarkStart w:id="202" w:name="_Toc32569"/>
      <w:bookmarkStart w:id="203" w:name="_Toc25269"/>
      <w:bookmarkStart w:id="204" w:name="_Toc26804"/>
      <w:r>
        <w:rPr>
          <w:rFonts w:hint="eastAsia" w:ascii="宋体" w:hAnsi="宋体" w:eastAsia="宋体" w:cs="宋体"/>
          <w:b/>
          <w:bCs w:val="0"/>
          <w:sz w:val="24"/>
          <w:szCs w:val="24"/>
        </w:rPr>
        <w:t>7.1改造技术方案</w:t>
      </w:r>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p>
    <w:p w14:paraId="2A200613">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rPr>
        <w:t>7.1.1</w:t>
      </w:r>
      <w:r>
        <w:rPr>
          <w:rFonts w:hint="eastAsia" w:ascii="宋体" w:hAnsi="宋体" w:eastAsia="宋体" w:cs="宋体"/>
          <w:lang w:val="zh-CN"/>
        </w:rPr>
        <w:t>投标方根据招标方提供的</w:t>
      </w:r>
      <w:r>
        <w:rPr>
          <w:rFonts w:hint="eastAsia" w:ascii="宋体" w:hAnsi="宋体" w:eastAsia="宋体" w:cs="宋体"/>
        </w:rPr>
        <w:t>技术资料、国家或行业有关规范及现场踏勘成果</w:t>
      </w:r>
      <w:r>
        <w:rPr>
          <w:rFonts w:hint="eastAsia" w:ascii="宋体" w:hAnsi="宋体" w:eastAsia="宋体" w:cs="宋体"/>
          <w:lang w:val="zh-CN"/>
        </w:rPr>
        <w:t>编制投标用改造技术方案。</w:t>
      </w:r>
    </w:p>
    <w:p w14:paraId="517E2284">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rPr>
        <w:t>7.1.2</w:t>
      </w:r>
      <w:r>
        <w:rPr>
          <w:rFonts w:hint="eastAsia" w:ascii="宋体" w:hAnsi="宋体" w:eastAsia="宋体" w:cs="宋体"/>
          <w:lang w:val="zh-CN"/>
        </w:rPr>
        <w:t>须有改造</w:t>
      </w:r>
      <w:r>
        <w:rPr>
          <w:rFonts w:hint="eastAsia" w:ascii="宋体" w:hAnsi="宋体" w:eastAsia="宋体" w:cs="宋体"/>
        </w:rPr>
        <w:t>技术</w:t>
      </w:r>
      <w:r>
        <w:rPr>
          <w:rFonts w:hint="eastAsia" w:ascii="宋体" w:hAnsi="宋体" w:eastAsia="宋体" w:cs="宋体"/>
          <w:lang w:val="zh-CN"/>
        </w:rPr>
        <w:t>方案说明：对AGC进行升级或新增快速频率响应调节装置，改造内容、网络结构、控制策略、系统功能及主要参数特性表。</w:t>
      </w:r>
    </w:p>
    <w:p w14:paraId="45BC3B08">
      <w:pPr>
        <w:keepNext w:val="0"/>
        <w:keepLines w:val="0"/>
        <w:pageBreakBefore w:val="0"/>
        <w:kinsoku/>
        <w:wordWrap/>
        <w:overflowPunct/>
        <w:autoSpaceDE/>
        <w:autoSpaceDN/>
        <w:bidi w:val="0"/>
        <w:spacing w:line="570" w:lineRule="exact"/>
        <w:ind w:firstLine="480" w:firstLineChars="200"/>
        <w:rPr>
          <w:rFonts w:ascii="宋体" w:hAnsi="宋体" w:eastAsia="宋体" w:cs="宋体"/>
          <w:kern w:val="21"/>
        </w:rPr>
      </w:pPr>
      <w:r>
        <w:rPr>
          <w:rFonts w:hint="eastAsia" w:ascii="宋体" w:hAnsi="宋体" w:eastAsia="宋体" w:cs="宋体"/>
          <w:lang w:val="zh-CN"/>
        </w:rPr>
        <w:t>技术参数特性表是招标方对快速频率响应系统的性能参数要求，在招投标过程中，投标人应该依据招标文件，对技术参数特性表中标准参数值进行响应。</w:t>
      </w:r>
    </w:p>
    <w:p w14:paraId="528DFC61">
      <w:pPr>
        <w:pStyle w:val="30"/>
        <w:keepNext w:val="0"/>
        <w:keepLines w:val="0"/>
        <w:pageBreakBefore w:val="0"/>
        <w:kinsoku/>
        <w:wordWrap/>
        <w:overflowPunct/>
        <w:autoSpaceDE/>
        <w:autoSpaceDN/>
        <w:bidi w:val="0"/>
        <w:spacing w:line="570" w:lineRule="exact"/>
        <w:ind w:firstLine="480" w:firstLineChars="200"/>
        <w:jc w:val="center"/>
        <w:rPr>
          <w:rFonts w:ascii="宋体" w:hAnsi="宋体" w:eastAsia="宋体" w:cs="宋体"/>
          <w:sz w:val="24"/>
          <w:szCs w:val="24"/>
        </w:rPr>
      </w:pPr>
      <w:r>
        <w:rPr>
          <w:rFonts w:hint="eastAsia" w:ascii="宋体" w:hAnsi="宋体" w:eastAsia="宋体" w:cs="宋体"/>
          <w:sz w:val="24"/>
          <w:szCs w:val="24"/>
        </w:rPr>
        <w:t>技术参数特性表</w:t>
      </w:r>
    </w:p>
    <w:tbl>
      <w:tblPr>
        <w:tblStyle w:val="18"/>
        <w:tblW w:w="82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2"/>
        <w:gridCol w:w="3232"/>
        <w:gridCol w:w="4362"/>
      </w:tblGrid>
      <w:tr w14:paraId="60D47C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2198BB1D">
            <w:pPr>
              <w:pStyle w:val="26"/>
              <w:keepNext w:val="0"/>
              <w:keepLines w:val="0"/>
              <w:pageBreakBefore w:val="0"/>
              <w:kinsoku/>
              <w:wordWrap/>
              <w:overflowPunct/>
              <w:autoSpaceDE/>
              <w:autoSpaceDN/>
              <w:bidi w:val="0"/>
              <w:spacing w:line="570" w:lineRule="exact"/>
              <w:jc w:val="center"/>
              <w:rPr>
                <w:rFonts w:ascii="宋体" w:hAnsi="宋体" w:eastAsia="宋体" w:cs="宋体"/>
                <w:b/>
                <w:bCs/>
                <w:kern w:val="0"/>
                <w:szCs w:val="21"/>
              </w:rPr>
            </w:pPr>
            <w:r>
              <w:rPr>
                <w:rFonts w:hint="eastAsia" w:ascii="宋体" w:hAnsi="宋体" w:eastAsia="宋体" w:cs="宋体"/>
                <w:b/>
                <w:bCs/>
                <w:kern w:val="0"/>
                <w:szCs w:val="21"/>
              </w:rPr>
              <w:t>序号</w:t>
            </w:r>
          </w:p>
        </w:tc>
        <w:tc>
          <w:tcPr>
            <w:tcW w:w="3232" w:type="dxa"/>
            <w:vAlign w:val="center"/>
          </w:tcPr>
          <w:p w14:paraId="083E767A">
            <w:pPr>
              <w:pStyle w:val="26"/>
              <w:keepNext w:val="0"/>
              <w:keepLines w:val="0"/>
              <w:pageBreakBefore w:val="0"/>
              <w:kinsoku/>
              <w:wordWrap/>
              <w:overflowPunct/>
              <w:autoSpaceDE/>
              <w:autoSpaceDN/>
              <w:bidi w:val="0"/>
              <w:spacing w:line="570" w:lineRule="exact"/>
              <w:ind w:firstLine="422" w:firstLineChars="200"/>
              <w:jc w:val="center"/>
              <w:rPr>
                <w:rFonts w:ascii="宋体" w:hAnsi="宋体" w:eastAsia="宋体" w:cs="宋体"/>
                <w:b/>
                <w:bCs/>
                <w:kern w:val="0"/>
                <w:szCs w:val="21"/>
              </w:rPr>
            </w:pPr>
            <w:r>
              <w:rPr>
                <w:rFonts w:hint="eastAsia" w:ascii="宋体" w:hAnsi="宋体" w:eastAsia="宋体" w:cs="宋体"/>
                <w:b/>
                <w:bCs/>
                <w:kern w:val="0"/>
                <w:szCs w:val="21"/>
              </w:rPr>
              <w:t>性能</w:t>
            </w:r>
          </w:p>
        </w:tc>
        <w:tc>
          <w:tcPr>
            <w:tcW w:w="4362" w:type="dxa"/>
            <w:vAlign w:val="center"/>
          </w:tcPr>
          <w:p w14:paraId="79AF9446">
            <w:pPr>
              <w:pStyle w:val="26"/>
              <w:keepNext w:val="0"/>
              <w:keepLines w:val="0"/>
              <w:pageBreakBefore w:val="0"/>
              <w:kinsoku/>
              <w:wordWrap/>
              <w:overflowPunct/>
              <w:autoSpaceDE/>
              <w:autoSpaceDN/>
              <w:bidi w:val="0"/>
              <w:spacing w:line="570" w:lineRule="exact"/>
              <w:ind w:firstLine="422" w:firstLineChars="200"/>
              <w:jc w:val="center"/>
              <w:rPr>
                <w:rFonts w:ascii="宋体" w:hAnsi="宋体" w:eastAsia="宋体" w:cs="宋体"/>
                <w:b/>
                <w:bCs/>
                <w:kern w:val="0"/>
                <w:szCs w:val="21"/>
              </w:rPr>
            </w:pPr>
            <w:r>
              <w:rPr>
                <w:rFonts w:hint="eastAsia" w:ascii="宋体" w:hAnsi="宋体" w:eastAsia="宋体" w:cs="宋体"/>
                <w:b/>
                <w:bCs/>
                <w:kern w:val="0"/>
                <w:szCs w:val="21"/>
              </w:rPr>
              <w:t>响应参数</w:t>
            </w:r>
          </w:p>
        </w:tc>
      </w:tr>
      <w:tr w14:paraId="10077B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5B4E7603">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一</w:t>
            </w:r>
          </w:p>
        </w:tc>
        <w:tc>
          <w:tcPr>
            <w:tcW w:w="7594" w:type="dxa"/>
            <w:gridSpan w:val="2"/>
            <w:vAlign w:val="center"/>
          </w:tcPr>
          <w:p w14:paraId="362F895C">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使用环境条件</w:t>
            </w:r>
          </w:p>
        </w:tc>
      </w:tr>
      <w:tr w14:paraId="63364C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23A9FC1A">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1</w:t>
            </w:r>
          </w:p>
        </w:tc>
        <w:tc>
          <w:tcPr>
            <w:tcW w:w="3232" w:type="dxa"/>
            <w:vAlign w:val="center"/>
          </w:tcPr>
          <w:p w14:paraId="5D0899D4">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环境温度</w:t>
            </w:r>
          </w:p>
        </w:tc>
        <w:tc>
          <w:tcPr>
            <w:tcW w:w="4362" w:type="dxa"/>
            <w:vAlign w:val="center"/>
          </w:tcPr>
          <w:p w14:paraId="2C4D95DC">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32DEE8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3F8E341E">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2</w:t>
            </w:r>
          </w:p>
        </w:tc>
        <w:tc>
          <w:tcPr>
            <w:tcW w:w="3232" w:type="dxa"/>
            <w:vAlign w:val="center"/>
          </w:tcPr>
          <w:p w14:paraId="42B66C48">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相对湿度</w:t>
            </w:r>
          </w:p>
        </w:tc>
        <w:tc>
          <w:tcPr>
            <w:tcW w:w="4362" w:type="dxa"/>
            <w:vAlign w:val="center"/>
          </w:tcPr>
          <w:p w14:paraId="2F0ECF6D">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41BB9D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069ECB4F">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3</w:t>
            </w:r>
          </w:p>
        </w:tc>
        <w:tc>
          <w:tcPr>
            <w:tcW w:w="3232" w:type="dxa"/>
            <w:vAlign w:val="center"/>
          </w:tcPr>
          <w:p w14:paraId="56EE1034">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大气压力</w:t>
            </w:r>
          </w:p>
        </w:tc>
        <w:tc>
          <w:tcPr>
            <w:tcW w:w="4362" w:type="dxa"/>
            <w:vAlign w:val="center"/>
          </w:tcPr>
          <w:p w14:paraId="296C9E61">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079240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6A8B8453">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二</w:t>
            </w:r>
          </w:p>
        </w:tc>
        <w:tc>
          <w:tcPr>
            <w:tcW w:w="7594" w:type="dxa"/>
            <w:gridSpan w:val="2"/>
            <w:vAlign w:val="center"/>
          </w:tcPr>
          <w:p w14:paraId="5DF57BA5">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额定参数</w:t>
            </w:r>
          </w:p>
        </w:tc>
      </w:tr>
      <w:tr w14:paraId="79C720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23630D4B">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1</w:t>
            </w:r>
          </w:p>
        </w:tc>
        <w:tc>
          <w:tcPr>
            <w:tcW w:w="3232" w:type="dxa"/>
            <w:vAlign w:val="center"/>
          </w:tcPr>
          <w:p w14:paraId="3C8D2ACA">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直流电源</w:t>
            </w:r>
          </w:p>
        </w:tc>
        <w:tc>
          <w:tcPr>
            <w:tcW w:w="4362" w:type="dxa"/>
            <w:vAlign w:val="center"/>
          </w:tcPr>
          <w:p w14:paraId="3F9407DB">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797A78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72CEE4B5">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2</w:t>
            </w:r>
          </w:p>
        </w:tc>
        <w:tc>
          <w:tcPr>
            <w:tcW w:w="3232" w:type="dxa"/>
            <w:vAlign w:val="center"/>
          </w:tcPr>
          <w:p w14:paraId="2A031CDD">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交流电源</w:t>
            </w:r>
          </w:p>
        </w:tc>
        <w:tc>
          <w:tcPr>
            <w:tcW w:w="4362" w:type="dxa"/>
            <w:vAlign w:val="center"/>
          </w:tcPr>
          <w:p w14:paraId="79F7E881">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12DAF0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59147D82">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3</w:t>
            </w:r>
          </w:p>
        </w:tc>
        <w:tc>
          <w:tcPr>
            <w:tcW w:w="3232" w:type="dxa"/>
            <w:vAlign w:val="center"/>
          </w:tcPr>
          <w:p w14:paraId="3014B68D">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交流电流</w:t>
            </w:r>
          </w:p>
        </w:tc>
        <w:tc>
          <w:tcPr>
            <w:tcW w:w="4362" w:type="dxa"/>
            <w:vAlign w:val="center"/>
          </w:tcPr>
          <w:p w14:paraId="6F2035E7">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1DAFFA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1DD4D140">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4</w:t>
            </w:r>
          </w:p>
        </w:tc>
        <w:tc>
          <w:tcPr>
            <w:tcW w:w="3232" w:type="dxa"/>
            <w:vAlign w:val="center"/>
          </w:tcPr>
          <w:p w14:paraId="07FAF5DE">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交流电压</w:t>
            </w:r>
          </w:p>
        </w:tc>
        <w:tc>
          <w:tcPr>
            <w:tcW w:w="4362" w:type="dxa"/>
            <w:vAlign w:val="center"/>
          </w:tcPr>
          <w:p w14:paraId="1386DC90">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185DAD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245967F0">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三</w:t>
            </w:r>
          </w:p>
        </w:tc>
        <w:tc>
          <w:tcPr>
            <w:tcW w:w="7594" w:type="dxa"/>
            <w:gridSpan w:val="2"/>
            <w:vAlign w:val="center"/>
          </w:tcPr>
          <w:p w14:paraId="7A0A49BE">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测量精度</w:t>
            </w:r>
          </w:p>
        </w:tc>
      </w:tr>
      <w:tr w14:paraId="03DE7A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1663174E">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1</w:t>
            </w:r>
          </w:p>
        </w:tc>
        <w:tc>
          <w:tcPr>
            <w:tcW w:w="3232" w:type="dxa"/>
            <w:vAlign w:val="center"/>
          </w:tcPr>
          <w:p w14:paraId="70B14F7B">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交流电流、电压</w:t>
            </w:r>
          </w:p>
        </w:tc>
        <w:tc>
          <w:tcPr>
            <w:tcW w:w="4362" w:type="dxa"/>
            <w:vAlign w:val="center"/>
          </w:tcPr>
          <w:p w14:paraId="6862C302">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69FE7B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4009544B">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2</w:t>
            </w:r>
          </w:p>
        </w:tc>
        <w:tc>
          <w:tcPr>
            <w:tcW w:w="3232" w:type="dxa"/>
            <w:vAlign w:val="center"/>
          </w:tcPr>
          <w:p w14:paraId="5FDA3D54">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功率</w:t>
            </w:r>
          </w:p>
        </w:tc>
        <w:tc>
          <w:tcPr>
            <w:tcW w:w="4362" w:type="dxa"/>
            <w:vAlign w:val="center"/>
          </w:tcPr>
          <w:p w14:paraId="6A2D9686">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5B1A28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5A8ACE77">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3</w:t>
            </w:r>
          </w:p>
        </w:tc>
        <w:tc>
          <w:tcPr>
            <w:tcW w:w="3232" w:type="dxa"/>
            <w:vAlign w:val="center"/>
          </w:tcPr>
          <w:p w14:paraId="0268BB36">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功率因素</w:t>
            </w:r>
          </w:p>
        </w:tc>
        <w:tc>
          <w:tcPr>
            <w:tcW w:w="4362" w:type="dxa"/>
            <w:vAlign w:val="center"/>
          </w:tcPr>
          <w:p w14:paraId="6D9C8A14">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26548D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2924C353">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4</w:t>
            </w:r>
          </w:p>
        </w:tc>
        <w:tc>
          <w:tcPr>
            <w:tcW w:w="3232" w:type="dxa"/>
            <w:vAlign w:val="center"/>
          </w:tcPr>
          <w:p w14:paraId="6AAF7F3A">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频率</w:t>
            </w:r>
          </w:p>
        </w:tc>
        <w:tc>
          <w:tcPr>
            <w:tcW w:w="4362" w:type="dxa"/>
            <w:vAlign w:val="center"/>
          </w:tcPr>
          <w:p w14:paraId="48E0D772">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78FF7D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6D84AE07">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四</w:t>
            </w:r>
          </w:p>
        </w:tc>
        <w:tc>
          <w:tcPr>
            <w:tcW w:w="7594" w:type="dxa"/>
            <w:gridSpan w:val="2"/>
            <w:vAlign w:val="center"/>
          </w:tcPr>
          <w:p w14:paraId="74EA76DE">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技术参数</w:t>
            </w:r>
          </w:p>
        </w:tc>
      </w:tr>
      <w:tr w14:paraId="6AD8A5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6783F670">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1</w:t>
            </w:r>
          </w:p>
        </w:tc>
        <w:tc>
          <w:tcPr>
            <w:tcW w:w="3232" w:type="dxa"/>
            <w:vAlign w:val="center"/>
          </w:tcPr>
          <w:p w14:paraId="7021F984">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快速频率响应控制逻辑周期</w:t>
            </w:r>
          </w:p>
        </w:tc>
        <w:tc>
          <w:tcPr>
            <w:tcW w:w="4362" w:type="dxa"/>
            <w:vAlign w:val="center"/>
          </w:tcPr>
          <w:p w14:paraId="2E994CB4">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27C1E3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0AB59179">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2</w:t>
            </w:r>
          </w:p>
        </w:tc>
        <w:tc>
          <w:tcPr>
            <w:tcW w:w="3232" w:type="dxa"/>
            <w:vAlign w:val="center"/>
          </w:tcPr>
          <w:p w14:paraId="7EBA563E">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频率计算周期</w:t>
            </w:r>
          </w:p>
        </w:tc>
        <w:tc>
          <w:tcPr>
            <w:tcW w:w="4362" w:type="dxa"/>
            <w:vAlign w:val="center"/>
          </w:tcPr>
          <w:p w14:paraId="20C9B730">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370269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006EC4F9">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3</w:t>
            </w:r>
          </w:p>
        </w:tc>
        <w:tc>
          <w:tcPr>
            <w:tcW w:w="3232" w:type="dxa"/>
            <w:vAlign w:val="center"/>
          </w:tcPr>
          <w:p w14:paraId="4D40DEB5">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与外部通信最小周期</w:t>
            </w:r>
          </w:p>
        </w:tc>
        <w:tc>
          <w:tcPr>
            <w:tcW w:w="4362" w:type="dxa"/>
            <w:vAlign w:val="center"/>
          </w:tcPr>
          <w:p w14:paraId="51A82D4B">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438E90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54A50BB1">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五</w:t>
            </w:r>
          </w:p>
        </w:tc>
        <w:tc>
          <w:tcPr>
            <w:tcW w:w="7594" w:type="dxa"/>
            <w:gridSpan w:val="2"/>
            <w:vAlign w:val="center"/>
          </w:tcPr>
          <w:p w14:paraId="421ACDF5">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响应性能指标</w:t>
            </w:r>
          </w:p>
        </w:tc>
      </w:tr>
      <w:tr w14:paraId="5A2F3D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29E229CF">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1</w:t>
            </w:r>
          </w:p>
        </w:tc>
        <w:tc>
          <w:tcPr>
            <w:tcW w:w="3232" w:type="dxa"/>
            <w:vAlign w:val="center"/>
          </w:tcPr>
          <w:p w14:paraId="73665CED">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快速调频响应死区</w:t>
            </w:r>
          </w:p>
        </w:tc>
        <w:tc>
          <w:tcPr>
            <w:tcW w:w="4362" w:type="dxa"/>
            <w:vAlign w:val="center"/>
          </w:tcPr>
          <w:p w14:paraId="25BA11F2">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4062D2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27144466">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2</w:t>
            </w:r>
          </w:p>
        </w:tc>
        <w:tc>
          <w:tcPr>
            <w:tcW w:w="3232" w:type="dxa"/>
            <w:vAlign w:val="center"/>
          </w:tcPr>
          <w:p w14:paraId="2F09F4FB">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快速频率响应限幅</w:t>
            </w:r>
          </w:p>
        </w:tc>
        <w:tc>
          <w:tcPr>
            <w:tcW w:w="4362" w:type="dxa"/>
            <w:vAlign w:val="center"/>
          </w:tcPr>
          <w:p w14:paraId="5CE1782E">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56EE63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0110789B">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3</w:t>
            </w:r>
          </w:p>
        </w:tc>
        <w:tc>
          <w:tcPr>
            <w:tcW w:w="3232" w:type="dxa"/>
            <w:vAlign w:val="center"/>
          </w:tcPr>
          <w:p w14:paraId="0B5E078D">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调差率</w:t>
            </w:r>
          </w:p>
        </w:tc>
        <w:tc>
          <w:tcPr>
            <w:tcW w:w="4362" w:type="dxa"/>
            <w:vAlign w:val="center"/>
          </w:tcPr>
          <w:p w14:paraId="12161701">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3BCB14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51001DF6">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4</w:t>
            </w:r>
          </w:p>
        </w:tc>
        <w:tc>
          <w:tcPr>
            <w:tcW w:w="3232" w:type="dxa"/>
            <w:vAlign w:val="center"/>
          </w:tcPr>
          <w:p w14:paraId="3E518B29">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响应滞后时间</w:t>
            </w:r>
          </w:p>
        </w:tc>
        <w:tc>
          <w:tcPr>
            <w:tcW w:w="4362" w:type="dxa"/>
            <w:vAlign w:val="center"/>
          </w:tcPr>
          <w:p w14:paraId="19894805">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5D217D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3E8C098B">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5</w:t>
            </w:r>
          </w:p>
        </w:tc>
        <w:tc>
          <w:tcPr>
            <w:tcW w:w="3232" w:type="dxa"/>
            <w:vAlign w:val="center"/>
          </w:tcPr>
          <w:p w14:paraId="0F6F9DD1">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响应时间</w:t>
            </w:r>
          </w:p>
        </w:tc>
        <w:tc>
          <w:tcPr>
            <w:tcW w:w="4362" w:type="dxa"/>
            <w:vAlign w:val="center"/>
          </w:tcPr>
          <w:p w14:paraId="49D9F83B">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772E5F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68F5360F">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6</w:t>
            </w:r>
          </w:p>
        </w:tc>
        <w:tc>
          <w:tcPr>
            <w:tcW w:w="3232" w:type="dxa"/>
            <w:vAlign w:val="center"/>
          </w:tcPr>
          <w:p w14:paraId="1E00EA04">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调节时间</w:t>
            </w:r>
          </w:p>
        </w:tc>
        <w:tc>
          <w:tcPr>
            <w:tcW w:w="4362" w:type="dxa"/>
            <w:vAlign w:val="center"/>
          </w:tcPr>
          <w:p w14:paraId="402EF6A2">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4C35AE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3D10957A">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7</w:t>
            </w:r>
          </w:p>
        </w:tc>
        <w:tc>
          <w:tcPr>
            <w:tcW w:w="3232" w:type="dxa"/>
            <w:vAlign w:val="center"/>
          </w:tcPr>
          <w:p w14:paraId="7218FFE8">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频率控制偏差</w:t>
            </w:r>
          </w:p>
        </w:tc>
        <w:tc>
          <w:tcPr>
            <w:tcW w:w="4362" w:type="dxa"/>
            <w:vAlign w:val="center"/>
          </w:tcPr>
          <w:p w14:paraId="7690F337">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752360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52F5B237">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8</w:t>
            </w:r>
          </w:p>
        </w:tc>
        <w:tc>
          <w:tcPr>
            <w:tcW w:w="3232" w:type="dxa"/>
            <w:vAlign w:val="center"/>
          </w:tcPr>
          <w:p w14:paraId="64A7C032">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测频精度</w:t>
            </w:r>
          </w:p>
        </w:tc>
        <w:tc>
          <w:tcPr>
            <w:tcW w:w="4362" w:type="dxa"/>
            <w:vAlign w:val="center"/>
          </w:tcPr>
          <w:p w14:paraId="513790C9">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43ED34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72E8D349">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9</w:t>
            </w:r>
          </w:p>
        </w:tc>
        <w:tc>
          <w:tcPr>
            <w:tcW w:w="3232" w:type="dxa"/>
            <w:vAlign w:val="center"/>
          </w:tcPr>
          <w:p w14:paraId="370210DF">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频率采样周期</w:t>
            </w:r>
          </w:p>
        </w:tc>
        <w:tc>
          <w:tcPr>
            <w:tcW w:w="4362" w:type="dxa"/>
            <w:vAlign w:val="center"/>
          </w:tcPr>
          <w:p w14:paraId="3B03BAD4">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794D39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02" w:type="dxa"/>
            <w:vAlign w:val="center"/>
          </w:tcPr>
          <w:p w14:paraId="6C86D5B0">
            <w:pPr>
              <w:pStyle w:val="26"/>
              <w:keepNext w:val="0"/>
              <w:keepLines w:val="0"/>
              <w:pageBreakBefore w:val="0"/>
              <w:widowControl w:val="0"/>
              <w:kinsoku/>
              <w:wordWrap/>
              <w:overflowPunct/>
              <w:topLinePunct w:val="0"/>
              <w:autoSpaceDE/>
              <w:autoSpaceDN/>
              <w:bidi w:val="0"/>
              <w:adjustRightInd/>
              <w:snapToGrid/>
              <w:spacing w:line="570" w:lineRule="exact"/>
              <w:ind w:firstLine="0" w:firstLineChars="0"/>
              <w:jc w:val="center"/>
              <w:textAlignment w:val="auto"/>
              <w:rPr>
                <w:rFonts w:ascii="宋体" w:hAnsi="宋体" w:eastAsia="宋体" w:cs="宋体"/>
                <w:kern w:val="0"/>
                <w:szCs w:val="21"/>
              </w:rPr>
            </w:pPr>
            <w:r>
              <w:rPr>
                <w:rFonts w:hint="eastAsia" w:ascii="宋体" w:hAnsi="宋体" w:eastAsia="宋体" w:cs="宋体"/>
                <w:kern w:val="0"/>
                <w:szCs w:val="21"/>
              </w:rPr>
              <w:t>10</w:t>
            </w:r>
          </w:p>
        </w:tc>
        <w:tc>
          <w:tcPr>
            <w:tcW w:w="3232" w:type="dxa"/>
            <w:vAlign w:val="center"/>
          </w:tcPr>
          <w:p w14:paraId="09CB251C">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快速频率响应控制周期</w:t>
            </w:r>
          </w:p>
        </w:tc>
        <w:tc>
          <w:tcPr>
            <w:tcW w:w="4362" w:type="dxa"/>
            <w:vAlign w:val="center"/>
          </w:tcPr>
          <w:p w14:paraId="1C72E065">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bl>
    <w:p w14:paraId="7935CCCC">
      <w:pPr>
        <w:keepNext w:val="0"/>
        <w:keepLines w:val="0"/>
        <w:pageBreakBefore w:val="0"/>
        <w:kinsoku/>
        <w:wordWrap/>
        <w:overflowPunct/>
        <w:autoSpaceDE/>
        <w:autoSpaceDN/>
        <w:bidi w:val="0"/>
        <w:spacing w:line="570" w:lineRule="exact"/>
        <w:ind w:firstLine="480" w:firstLineChars="200"/>
        <w:rPr>
          <w:rFonts w:ascii="宋体" w:hAnsi="宋体" w:eastAsia="宋体" w:cs="宋体"/>
          <w:kern w:val="21"/>
        </w:rPr>
      </w:pPr>
      <w:r>
        <w:rPr>
          <w:rFonts w:hint="eastAsia" w:ascii="宋体" w:hAnsi="宋体" w:eastAsia="宋体" w:cs="宋体"/>
        </w:rPr>
        <w:t>7.1.3</w:t>
      </w:r>
      <w:r>
        <w:rPr>
          <w:rFonts w:hint="eastAsia" w:ascii="宋体" w:hAnsi="宋体" w:eastAsia="宋体" w:cs="宋体"/>
          <w:lang w:val="zh-CN"/>
        </w:rPr>
        <w:t>需有主要硬件设备构成及参数性能介绍，应用软件的功能介绍。如：高精度快速测频装置、快速频率响应服务器及工作站、应用软件等。</w:t>
      </w:r>
    </w:p>
    <w:p w14:paraId="0E1EFC61">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205" w:name="_Toc29626"/>
      <w:bookmarkStart w:id="206" w:name="_Toc8245"/>
      <w:bookmarkStart w:id="207" w:name="_Toc28812"/>
      <w:bookmarkStart w:id="208" w:name="_Toc12169"/>
      <w:bookmarkStart w:id="209" w:name="_Toc21611"/>
      <w:bookmarkStart w:id="210" w:name="_Toc1477"/>
      <w:bookmarkStart w:id="211" w:name="_Toc24264"/>
      <w:bookmarkStart w:id="212" w:name="_Toc15685"/>
      <w:bookmarkStart w:id="213" w:name="_Toc22109"/>
      <w:bookmarkStart w:id="214" w:name="_Toc18242"/>
      <w:bookmarkStart w:id="215" w:name="_Toc1820"/>
      <w:bookmarkStart w:id="216" w:name="_Toc26810"/>
      <w:bookmarkStart w:id="217" w:name="_Toc30838"/>
      <w:bookmarkStart w:id="218" w:name="_Toc16057"/>
      <w:r>
        <w:rPr>
          <w:rFonts w:hint="eastAsia" w:ascii="宋体" w:hAnsi="宋体" w:eastAsia="宋体" w:cs="宋体"/>
          <w:b/>
          <w:bCs w:val="0"/>
          <w:sz w:val="24"/>
          <w:szCs w:val="24"/>
        </w:rPr>
        <w:t>7.2主要设备清单</w:t>
      </w:r>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p>
    <w:p w14:paraId="0B92C463">
      <w:pPr>
        <w:keepNext w:val="0"/>
        <w:keepLines w:val="0"/>
        <w:pageBreakBefore w:val="0"/>
        <w:kinsoku/>
        <w:wordWrap/>
        <w:overflowPunct/>
        <w:topLinePunct/>
        <w:autoSpaceDE/>
        <w:autoSpaceDN/>
        <w:bidi w:val="0"/>
        <w:spacing w:line="570" w:lineRule="exact"/>
        <w:ind w:firstLine="480" w:firstLineChars="200"/>
        <w:jc w:val="center"/>
        <w:rPr>
          <w:rFonts w:ascii="宋体" w:hAnsi="宋体" w:eastAsia="宋体" w:cs="宋体"/>
          <w:kern w:val="21"/>
        </w:rPr>
      </w:pPr>
      <w:r>
        <w:rPr>
          <w:rFonts w:hint="eastAsia" w:ascii="宋体" w:hAnsi="宋体" w:eastAsia="宋体" w:cs="宋体"/>
          <w:kern w:val="21"/>
        </w:rPr>
        <w:t>主要设备清单</w:t>
      </w:r>
    </w:p>
    <w:tbl>
      <w:tblPr>
        <w:tblStyle w:val="18"/>
        <w:tblW w:w="82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4"/>
        <w:gridCol w:w="1823"/>
        <w:gridCol w:w="1727"/>
        <w:gridCol w:w="783"/>
        <w:gridCol w:w="962"/>
        <w:gridCol w:w="2187"/>
      </w:tblGrid>
      <w:tr w14:paraId="4A00BC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14" w:type="dxa"/>
            <w:vAlign w:val="center"/>
          </w:tcPr>
          <w:p w14:paraId="26FF5ADA">
            <w:pPr>
              <w:pStyle w:val="26"/>
              <w:keepNext w:val="0"/>
              <w:keepLines w:val="0"/>
              <w:pageBreakBefore w:val="0"/>
              <w:kinsoku/>
              <w:wordWrap/>
              <w:overflowPunct/>
              <w:autoSpaceDE/>
              <w:autoSpaceDN/>
              <w:bidi w:val="0"/>
              <w:spacing w:line="570" w:lineRule="exact"/>
              <w:jc w:val="center"/>
              <w:rPr>
                <w:rFonts w:ascii="宋体" w:hAnsi="宋体" w:eastAsia="宋体" w:cs="宋体"/>
                <w:b/>
                <w:bCs/>
                <w:kern w:val="0"/>
                <w:szCs w:val="21"/>
              </w:rPr>
            </w:pPr>
            <w:r>
              <w:rPr>
                <w:rFonts w:hint="eastAsia" w:ascii="宋体" w:hAnsi="宋体" w:eastAsia="宋体" w:cs="宋体"/>
                <w:b/>
                <w:bCs/>
                <w:kern w:val="0"/>
                <w:szCs w:val="21"/>
              </w:rPr>
              <w:t>序号</w:t>
            </w:r>
          </w:p>
        </w:tc>
        <w:tc>
          <w:tcPr>
            <w:tcW w:w="1823" w:type="dxa"/>
            <w:vAlign w:val="center"/>
          </w:tcPr>
          <w:p w14:paraId="5848C9FF">
            <w:pPr>
              <w:pStyle w:val="26"/>
              <w:keepNext w:val="0"/>
              <w:keepLines w:val="0"/>
              <w:pageBreakBefore w:val="0"/>
              <w:kinsoku/>
              <w:wordWrap/>
              <w:overflowPunct/>
              <w:autoSpaceDE/>
              <w:autoSpaceDN/>
              <w:bidi w:val="0"/>
              <w:spacing w:line="570" w:lineRule="exact"/>
              <w:jc w:val="center"/>
              <w:rPr>
                <w:rFonts w:ascii="宋体" w:hAnsi="宋体" w:eastAsia="宋体" w:cs="宋体"/>
                <w:b/>
                <w:bCs/>
                <w:kern w:val="0"/>
                <w:szCs w:val="21"/>
              </w:rPr>
            </w:pPr>
            <w:r>
              <w:rPr>
                <w:rFonts w:hint="eastAsia" w:ascii="宋体" w:hAnsi="宋体" w:eastAsia="宋体" w:cs="宋体"/>
                <w:b/>
                <w:bCs/>
                <w:kern w:val="0"/>
                <w:szCs w:val="21"/>
              </w:rPr>
              <w:t>设备名称</w:t>
            </w:r>
          </w:p>
        </w:tc>
        <w:tc>
          <w:tcPr>
            <w:tcW w:w="1727" w:type="dxa"/>
            <w:vAlign w:val="center"/>
          </w:tcPr>
          <w:p w14:paraId="64911FC1">
            <w:pPr>
              <w:pStyle w:val="26"/>
              <w:keepNext w:val="0"/>
              <w:keepLines w:val="0"/>
              <w:pageBreakBefore w:val="0"/>
              <w:kinsoku/>
              <w:wordWrap/>
              <w:overflowPunct/>
              <w:autoSpaceDE/>
              <w:autoSpaceDN/>
              <w:bidi w:val="0"/>
              <w:spacing w:line="570" w:lineRule="exact"/>
              <w:jc w:val="center"/>
              <w:rPr>
                <w:rFonts w:ascii="宋体" w:hAnsi="宋体" w:eastAsia="宋体" w:cs="宋体"/>
                <w:b/>
                <w:bCs/>
                <w:kern w:val="0"/>
                <w:szCs w:val="21"/>
              </w:rPr>
            </w:pPr>
            <w:r>
              <w:rPr>
                <w:rFonts w:hint="eastAsia" w:ascii="宋体" w:hAnsi="宋体" w:eastAsia="宋体" w:cs="宋体"/>
                <w:b/>
                <w:bCs/>
                <w:kern w:val="0"/>
                <w:szCs w:val="21"/>
              </w:rPr>
              <w:t>规格型号</w:t>
            </w:r>
          </w:p>
        </w:tc>
        <w:tc>
          <w:tcPr>
            <w:tcW w:w="783" w:type="dxa"/>
            <w:vAlign w:val="center"/>
          </w:tcPr>
          <w:p w14:paraId="17A0A8F0">
            <w:pPr>
              <w:pStyle w:val="26"/>
              <w:keepNext w:val="0"/>
              <w:keepLines w:val="0"/>
              <w:pageBreakBefore w:val="0"/>
              <w:kinsoku/>
              <w:wordWrap/>
              <w:overflowPunct/>
              <w:autoSpaceDE/>
              <w:autoSpaceDN/>
              <w:bidi w:val="0"/>
              <w:spacing w:line="570" w:lineRule="exact"/>
              <w:jc w:val="center"/>
              <w:rPr>
                <w:rFonts w:ascii="宋体" w:hAnsi="宋体" w:eastAsia="宋体" w:cs="宋体"/>
                <w:b/>
                <w:bCs/>
                <w:kern w:val="0"/>
                <w:szCs w:val="21"/>
              </w:rPr>
            </w:pPr>
            <w:r>
              <w:rPr>
                <w:rFonts w:hint="eastAsia" w:ascii="宋体" w:hAnsi="宋体" w:eastAsia="宋体" w:cs="宋体"/>
                <w:b/>
                <w:bCs/>
                <w:kern w:val="0"/>
                <w:szCs w:val="21"/>
              </w:rPr>
              <w:t>单位</w:t>
            </w:r>
          </w:p>
        </w:tc>
        <w:tc>
          <w:tcPr>
            <w:tcW w:w="962" w:type="dxa"/>
            <w:vAlign w:val="center"/>
          </w:tcPr>
          <w:p w14:paraId="1C1EBDD3">
            <w:pPr>
              <w:pStyle w:val="26"/>
              <w:keepNext w:val="0"/>
              <w:keepLines w:val="0"/>
              <w:pageBreakBefore w:val="0"/>
              <w:kinsoku/>
              <w:wordWrap/>
              <w:overflowPunct/>
              <w:autoSpaceDE/>
              <w:autoSpaceDN/>
              <w:bidi w:val="0"/>
              <w:spacing w:line="570" w:lineRule="exact"/>
              <w:jc w:val="center"/>
              <w:rPr>
                <w:rFonts w:ascii="宋体" w:hAnsi="宋体" w:eastAsia="宋体" w:cs="宋体"/>
                <w:b/>
                <w:bCs/>
                <w:kern w:val="0"/>
                <w:szCs w:val="21"/>
              </w:rPr>
            </w:pPr>
            <w:r>
              <w:rPr>
                <w:rFonts w:hint="eastAsia" w:ascii="宋体" w:hAnsi="宋体" w:eastAsia="宋体" w:cs="宋体"/>
                <w:b/>
                <w:bCs/>
                <w:kern w:val="0"/>
                <w:szCs w:val="21"/>
              </w:rPr>
              <w:t>数量</w:t>
            </w:r>
          </w:p>
        </w:tc>
        <w:tc>
          <w:tcPr>
            <w:tcW w:w="2187" w:type="dxa"/>
            <w:vAlign w:val="center"/>
          </w:tcPr>
          <w:p w14:paraId="4D79F731">
            <w:pPr>
              <w:pStyle w:val="26"/>
              <w:keepNext w:val="0"/>
              <w:keepLines w:val="0"/>
              <w:pageBreakBefore w:val="0"/>
              <w:kinsoku/>
              <w:wordWrap/>
              <w:overflowPunct/>
              <w:autoSpaceDE/>
              <w:autoSpaceDN/>
              <w:bidi w:val="0"/>
              <w:spacing w:line="570" w:lineRule="exact"/>
              <w:ind w:firstLine="422" w:firstLineChars="200"/>
              <w:jc w:val="center"/>
              <w:rPr>
                <w:rFonts w:ascii="宋体" w:hAnsi="宋体" w:eastAsia="宋体" w:cs="宋体"/>
                <w:b/>
                <w:bCs/>
                <w:kern w:val="0"/>
                <w:szCs w:val="21"/>
              </w:rPr>
            </w:pPr>
            <w:r>
              <w:rPr>
                <w:rFonts w:hint="eastAsia" w:ascii="宋体" w:hAnsi="宋体" w:eastAsia="宋体" w:cs="宋体"/>
                <w:b/>
                <w:bCs/>
                <w:kern w:val="0"/>
                <w:szCs w:val="21"/>
              </w:rPr>
              <w:t>功能及关键参数</w:t>
            </w:r>
          </w:p>
        </w:tc>
      </w:tr>
      <w:tr w14:paraId="450F94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14" w:type="dxa"/>
            <w:vAlign w:val="center"/>
          </w:tcPr>
          <w:p w14:paraId="1EC59142">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一</w:t>
            </w:r>
          </w:p>
        </w:tc>
        <w:tc>
          <w:tcPr>
            <w:tcW w:w="7482" w:type="dxa"/>
            <w:gridSpan w:val="5"/>
            <w:vAlign w:val="center"/>
          </w:tcPr>
          <w:p w14:paraId="66A9E947">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硬件部分</w:t>
            </w:r>
          </w:p>
        </w:tc>
      </w:tr>
      <w:tr w14:paraId="1381E5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14" w:type="dxa"/>
            <w:vAlign w:val="center"/>
          </w:tcPr>
          <w:p w14:paraId="6EE43281">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1</w:t>
            </w:r>
          </w:p>
        </w:tc>
        <w:tc>
          <w:tcPr>
            <w:tcW w:w="1823" w:type="dxa"/>
            <w:vAlign w:val="center"/>
          </w:tcPr>
          <w:p w14:paraId="0FA3127C">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1727" w:type="dxa"/>
            <w:vAlign w:val="center"/>
          </w:tcPr>
          <w:p w14:paraId="492E0DF3">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783" w:type="dxa"/>
            <w:vAlign w:val="center"/>
          </w:tcPr>
          <w:p w14:paraId="61F2E33C">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962" w:type="dxa"/>
            <w:vAlign w:val="center"/>
          </w:tcPr>
          <w:p w14:paraId="73784BAE">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2187" w:type="dxa"/>
            <w:vAlign w:val="center"/>
          </w:tcPr>
          <w:p w14:paraId="6599D752">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1C0EFF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14" w:type="dxa"/>
            <w:vAlign w:val="center"/>
          </w:tcPr>
          <w:p w14:paraId="483C471C">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2</w:t>
            </w:r>
          </w:p>
        </w:tc>
        <w:tc>
          <w:tcPr>
            <w:tcW w:w="1823" w:type="dxa"/>
            <w:vAlign w:val="center"/>
          </w:tcPr>
          <w:p w14:paraId="1950251F">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1727" w:type="dxa"/>
            <w:vAlign w:val="center"/>
          </w:tcPr>
          <w:p w14:paraId="420FE8B6">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783" w:type="dxa"/>
            <w:vAlign w:val="center"/>
          </w:tcPr>
          <w:p w14:paraId="673ED4CB">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962" w:type="dxa"/>
            <w:vAlign w:val="center"/>
          </w:tcPr>
          <w:p w14:paraId="0A37857A">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2187" w:type="dxa"/>
            <w:vAlign w:val="center"/>
          </w:tcPr>
          <w:p w14:paraId="1352CDC2">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7D9646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14" w:type="dxa"/>
            <w:vAlign w:val="center"/>
          </w:tcPr>
          <w:p w14:paraId="208E1A9D">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3</w:t>
            </w:r>
          </w:p>
        </w:tc>
        <w:tc>
          <w:tcPr>
            <w:tcW w:w="1823" w:type="dxa"/>
            <w:vAlign w:val="center"/>
          </w:tcPr>
          <w:p w14:paraId="5CEE2443">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1727" w:type="dxa"/>
            <w:vAlign w:val="center"/>
          </w:tcPr>
          <w:p w14:paraId="55602029">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783" w:type="dxa"/>
            <w:vAlign w:val="center"/>
          </w:tcPr>
          <w:p w14:paraId="72593FD4">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962" w:type="dxa"/>
            <w:vAlign w:val="center"/>
          </w:tcPr>
          <w:p w14:paraId="4C52E0F0">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2187" w:type="dxa"/>
            <w:vAlign w:val="center"/>
          </w:tcPr>
          <w:p w14:paraId="6F603B9D">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012E4F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14" w:type="dxa"/>
            <w:vAlign w:val="center"/>
          </w:tcPr>
          <w:p w14:paraId="6E0238A5">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二</w:t>
            </w:r>
          </w:p>
        </w:tc>
        <w:tc>
          <w:tcPr>
            <w:tcW w:w="7482" w:type="dxa"/>
            <w:gridSpan w:val="5"/>
            <w:vAlign w:val="center"/>
          </w:tcPr>
          <w:p w14:paraId="33853610">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软件部分</w:t>
            </w:r>
          </w:p>
        </w:tc>
      </w:tr>
      <w:tr w14:paraId="5D19EB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14" w:type="dxa"/>
            <w:vAlign w:val="center"/>
          </w:tcPr>
          <w:p w14:paraId="20813AD3">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1</w:t>
            </w:r>
          </w:p>
        </w:tc>
        <w:tc>
          <w:tcPr>
            <w:tcW w:w="1823" w:type="dxa"/>
            <w:vAlign w:val="center"/>
          </w:tcPr>
          <w:p w14:paraId="1E75D1D4">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1727" w:type="dxa"/>
            <w:vAlign w:val="center"/>
          </w:tcPr>
          <w:p w14:paraId="48604BB3">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783" w:type="dxa"/>
            <w:vAlign w:val="center"/>
          </w:tcPr>
          <w:p w14:paraId="26BAE7AA">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962" w:type="dxa"/>
            <w:vAlign w:val="center"/>
          </w:tcPr>
          <w:p w14:paraId="52E46E19">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2187" w:type="dxa"/>
            <w:vAlign w:val="center"/>
          </w:tcPr>
          <w:p w14:paraId="1E8FA9DA">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50DBC7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14" w:type="dxa"/>
            <w:vAlign w:val="center"/>
          </w:tcPr>
          <w:p w14:paraId="6B0E1F48">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2</w:t>
            </w:r>
          </w:p>
        </w:tc>
        <w:tc>
          <w:tcPr>
            <w:tcW w:w="1823" w:type="dxa"/>
            <w:vAlign w:val="center"/>
          </w:tcPr>
          <w:p w14:paraId="16439BD7">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1727" w:type="dxa"/>
            <w:vAlign w:val="center"/>
          </w:tcPr>
          <w:p w14:paraId="68EC4B60">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783" w:type="dxa"/>
            <w:vAlign w:val="center"/>
          </w:tcPr>
          <w:p w14:paraId="543D2BF0">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962" w:type="dxa"/>
            <w:vAlign w:val="center"/>
          </w:tcPr>
          <w:p w14:paraId="55E3C285">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2187" w:type="dxa"/>
            <w:vAlign w:val="center"/>
          </w:tcPr>
          <w:p w14:paraId="063CFB19">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05A698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14" w:type="dxa"/>
            <w:vAlign w:val="center"/>
          </w:tcPr>
          <w:p w14:paraId="18670F40">
            <w:pPr>
              <w:pStyle w:val="26"/>
              <w:keepNext w:val="0"/>
              <w:keepLines w:val="0"/>
              <w:pageBreakBefore w:val="0"/>
              <w:kinsoku/>
              <w:wordWrap/>
              <w:overflowPunct/>
              <w:autoSpaceDE/>
              <w:autoSpaceDN/>
              <w:bidi w:val="0"/>
              <w:spacing w:line="570" w:lineRule="exact"/>
              <w:jc w:val="center"/>
              <w:rPr>
                <w:rFonts w:hint="default" w:ascii="宋体" w:hAnsi="宋体" w:eastAsia="宋体" w:cs="宋体"/>
                <w:kern w:val="0"/>
                <w:szCs w:val="21"/>
                <w:lang w:val="en-US" w:eastAsia="zh-CN"/>
              </w:rPr>
            </w:pPr>
            <w:r>
              <w:rPr>
                <w:rFonts w:hint="eastAsia" w:ascii="宋体" w:hAnsi="宋体" w:eastAsia="宋体" w:cs="宋体"/>
                <w:kern w:val="0"/>
                <w:szCs w:val="21"/>
                <w:lang w:val="en-US" w:eastAsia="zh-CN"/>
              </w:rPr>
              <w:t>3</w:t>
            </w:r>
          </w:p>
        </w:tc>
        <w:tc>
          <w:tcPr>
            <w:tcW w:w="1823" w:type="dxa"/>
            <w:vAlign w:val="center"/>
          </w:tcPr>
          <w:p w14:paraId="663D01B6">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1727" w:type="dxa"/>
            <w:vAlign w:val="center"/>
          </w:tcPr>
          <w:p w14:paraId="37E83F7E">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783" w:type="dxa"/>
            <w:vAlign w:val="center"/>
          </w:tcPr>
          <w:p w14:paraId="732B8F50">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962" w:type="dxa"/>
            <w:vAlign w:val="center"/>
          </w:tcPr>
          <w:p w14:paraId="32EF357A">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2187" w:type="dxa"/>
            <w:vAlign w:val="center"/>
          </w:tcPr>
          <w:p w14:paraId="1C84B13F">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04159E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14" w:type="dxa"/>
            <w:vAlign w:val="center"/>
          </w:tcPr>
          <w:p w14:paraId="3A0BF15B">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三</w:t>
            </w:r>
          </w:p>
        </w:tc>
        <w:tc>
          <w:tcPr>
            <w:tcW w:w="7482" w:type="dxa"/>
            <w:gridSpan w:val="5"/>
            <w:vAlign w:val="center"/>
          </w:tcPr>
          <w:p w14:paraId="0EA522DB">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r>
              <w:rPr>
                <w:rFonts w:hint="eastAsia" w:ascii="宋体" w:hAnsi="宋体" w:eastAsia="宋体" w:cs="宋体"/>
                <w:kern w:val="0"/>
                <w:szCs w:val="21"/>
              </w:rPr>
              <w:t>技术服务</w:t>
            </w:r>
          </w:p>
        </w:tc>
      </w:tr>
      <w:tr w14:paraId="7949E9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14" w:type="dxa"/>
            <w:vAlign w:val="center"/>
          </w:tcPr>
          <w:p w14:paraId="70D96775">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1</w:t>
            </w:r>
          </w:p>
        </w:tc>
        <w:tc>
          <w:tcPr>
            <w:tcW w:w="1823" w:type="dxa"/>
            <w:vAlign w:val="center"/>
          </w:tcPr>
          <w:p w14:paraId="1B6BFE57">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c>
          <w:tcPr>
            <w:tcW w:w="1727" w:type="dxa"/>
            <w:vAlign w:val="center"/>
          </w:tcPr>
          <w:p w14:paraId="36D290D6">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c>
          <w:tcPr>
            <w:tcW w:w="783" w:type="dxa"/>
            <w:vAlign w:val="center"/>
          </w:tcPr>
          <w:p w14:paraId="73228708">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c>
          <w:tcPr>
            <w:tcW w:w="962" w:type="dxa"/>
            <w:vAlign w:val="center"/>
          </w:tcPr>
          <w:p w14:paraId="3C248B6C">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c>
          <w:tcPr>
            <w:tcW w:w="2187" w:type="dxa"/>
            <w:vAlign w:val="center"/>
          </w:tcPr>
          <w:p w14:paraId="108D6E53">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r>
      <w:tr w14:paraId="784C82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14" w:type="dxa"/>
            <w:vAlign w:val="center"/>
          </w:tcPr>
          <w:p w14:paraId="0CB759ED">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2</w:t>
            </w:r>
          </w:p>
        </w:tc>
        <w:tc>
          <w:tcPr>
            <w:tcW w:w="1823" w:type="dxa"/>
            <w:vAlign w:val="center"/>
          </w:tcPr>
          <w:p w14:paraId="0AB9B904">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c>
          <w:tcPr>
            <w:tcW w:w="1727" w:type="dxa"/>
            <w:vAlign w:val="center"/>
          </w:tcPr>
          <w:p w14:paraId="56B851A1">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c>
          <w:tcPr>
            <w:tcW w:w="783" w:type="dxa"/>
            <w:vAlign w:val="center"/>
          </w:tcPr>
          <w:p w14:paraId="3E013FC8">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c>
          <w:tcPr>
            <w:tcW w:w="962" w:type="dxa"/>
            <w:vAlign w:val="center"/>
          </w:tcPr>
          <w:p w14:paraId="1E6F19C6">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c>
          <w:tcPr>
            <w:tcW w:w="2187" w:type="dxa"/>
            <w:vAlign w:val="center"/>
          </w:tcPr>
          <w:p w14:paraId="0349DDC9">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r>
      <w:tr w14:paraId="3D4B9D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14" w:type="dxa"/>
            <w:vAlign w:val="center"/>
          </w:tcPr>
          <w:p w14:paraId="08C02A9F">
            <w:pPr>
              <w:pStyle w:val="26"/>
              <w:keepNext w:val="0"/>
              <w:keepLines w:val="0"/>
              <w:pageBreakBefore w:val="0"/>
              <w:kinsoku/>
              <w:wordWrap/>
              <w:overflowPunct/>
              <w:autoSpaceDE/>
              <w:autoSpaceDN/>
              <w:bidi w:val="0"/>
              <w:spacing w:line="570" w:lineRule="exact"/>
              <w:jc w:val="center"/>
              <w:rPr>
                <w:rFonts w:hint="eastAsia" w:ascii="宋体" w:hAnsi="宋体" w:eastAsia="宋体" w:cs="宋体"/>
                <w:kern w:val="0"/>
                <w:szCs w:val="21"/>
                <w:lang w:val="en-US" w:eastAsia="zh-CN"/>
              </w:rPr>
            </w:pPr>
            <w:r>
              <w:rPr>
                <w:rFonts w:hint="eastAsia" w:ascii="宋体" w:hAnsi="宋体" w:eastAsia="宋体" w:cs="宋体"/>
                <w:kern w:val="0"/>
                <w:szCs w:val="21"/>
                <w:lang w:val="en-US" w:eastAsia="zh-CN"/>
              </w:rPr>
              <w:t>3</w:t>
            </w:r>
          </w:p>
        </w:tc>
        <w:tc>
          <w:tcPr>
            <w:tcW w:w="1823" w:type="dxa"/>
            <w:vAlign w:val="center"/>
          </w:tcPr>
          <w:p w14:paraId="30FC8BD3">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c>
          <w:tcPr>
            <w:tcW w:w="1727" w:type="dxa"/>
            <w:vAlign w:val="center"/>
          </w:tcPr>
          <w:p w14:paraId="4312BA1C">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c>
          <w:tcPr>
            <w:tcW w:w="783" w:type="dxa"/>
            <w:vAlign w:val="center"/>
          </w:tcPr>
          <w:p w14:paraId="4D67A5C3">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c>
          <w:tcPr>
            <w:tcW w:w="962" w:type="dxa"/>
            <w:vAlign w:val="center"/>
          </w:tcPr>
          <w:p w14:paraId="247BDE53">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c>
          <w:tcPr>
            <w:tcW w:w="2187" w:type="dxa"/>
            <w:vAlign w:val="center"/>
          </w:tcPr>
          <w:p w14:paraId="2D348314">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r>
      <w:tr w14:paraId="5207D9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14" w:type="dxa"/>
            <w:vAlign w:val="center"/>
          </w:tcPr>
          <w:p w14:paraId="212ACCF6">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备注</w:t>
            </w:r>
          </w:p>
        </w:tc>
        <w:tc>
          <w:tcPr>
            <w:tcW w:w="7482" w:type="dxa"/>
            <w:gridSpan w:val="5"/>
            <w:vAlign w:val="center"/>
          </w:tcPr>
          <w:p w14:paraId="01DF5A1B">
            <w:pPr>
              <w:pStyle w:val="26"/>
              <w:keepNext w:val="0"/>
              <w:keepLines w:val="0"/>
              <w:pageBreakBefore w:val="0"/>
              <w:kinsoku/>
              <w:wordWrap/>
              <w:overflowPunct/>
              <w:autoSpaceDE/>
              <w:autoSpaceDN/>
              <w:bidi w:val="0"/>
              <w:spacing w:line="570" w:lineRule="exact"/>
              <w:ind w:firstLine="420" w:firstLineChars="200"/>
              <w:rPr>
                <w:rFonts w:ascii="宋体" w:hAnsi="宋体" w:eastAsia="宋体" w:cs="宋体"/>
                <w:kern w:val="0"/>
                <w:szCs w:val="21"/>
              </w:rPr>
            </w:pPr>
          </w:p>
        </w:tc>
      </w:tr>
    </w:tbl>
    <w:p w14:paraId="4FDCEF06">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rPr>
        <w:t>7.2.1</w:t>
      </w:r>
      <w:r>
        <w:rPr>
          <w:rFonts w:hint="eastAsia" w:ascii="宋体" w:hAnsi="宋体" w:eastAsia="宋体" w:cs="宋体"/>
          <w:lang w:val="zh-CN"/>
        </w:rPr>
        <w:t>技术服务需说明工作内容：逆变器、箱变、AGC厂家技术协调、调试、申报当地电网公司试验、</w:t>
      </w:r>
      <w:r>
        <w:rPr>
          <w:rFonts w:hint="eastAsia" w:ascii="宋体" w:hAnsi="宋体" w:eastAsia="宋体" w:cs="宋体"/>
        </w:rPr>
        <w:t>备案、</w:t>
      </w:r>
      <w:r>
        <w:rPr>
          <w:rFonts w:hint="eastAsia" w:ascii="宋体" w:hAnsi="宋体" w:eastAsia="宋体" w:cs="宋体"/>
          <w:lang w:val="zh-CN"/>
        </w:rPr>
        <w:t>技术培训及资料移交等。</w:t>
      </w:r>
    </w:p>
    <w:p w14:paraId="00CCC3FC">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219" w:name="_Toc22610"/>
      <w:bookmarkStart w:id="220" w:name="_Toc31298"/>
      <w:bookmarkStart w:id="221" w:name="_Toc29715"/>
      <w:bookmarkStart w:id="222" w:name="_Toc12257"/>
      <w:bookmarkStart w:id="223" w:name="_Toc14304"/>
      <w:bookmarkStart w:id="224" w:name="_Toc2304"/>
      <w:bookmarkStart w:id="225" w:name="_Toc6866"/>
      <w:bookmarkStart w:id="226" w:name="_Toc9200"/>
      <w:bookmarkStart w:id="227" w:name="_Toc20623"/>
      <w:bookmarkStart w:id="228" w:name="_Toc30945"/>
      <w:bookmarkStart w:id="229" w:name="_Toc10261"/>
      <w:bookmarkStart w:id="230" w:name="_Toc1973"/>
      <w:bookmarkStart w:id="231" w:name="_Toc31496"/>
      <w:bookmarkStart w:id="232" w:name="_Toc14228"/>
      <w:r>
        <w:rPr>
          <w:rFonts w:hint="eastAsia" w:ascii="宋体" w:hAnsi="宋体" w:eastAsia="宋体" w:cs="宋体"/>
          <w:b/>
          <w:bCs w:val="0"/>
          <w:sz w:val="24"/>
          <w:szCs w:val="24"/>
        </w:rPr>
        <w:t>7.3改造实施方案</w:t>
      </w:r>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p>
    <w:p w14:paraId="7F337E7D">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rPr>
        <w:t>7.3.1</w:t>
      </w:r>
      <w:r>
        <w:rPr>
          <w:rFonts w:hint="eastAsia" w:ascii="宋体" w:hAnsi="宋体" w:eastAsia="宋体" w:cs="宋体"/>
          <w:lang w:val="zh-CN"/>
        </w:rPr>
        <w:t>前期</w:t>
      </w:r>
      <w:r>
        <w:rPr>
          <w:rFonts w:hint="eastAsia" w:ascii="宋体" w:hAnsi="宋体" w:eastAsia="宋体" w:cs="宋体"/>
        </w:rPr>
        <w:t>现场踏勘</w:t>
      </w:r>
    </w:p>
    <w:p w14:paraId="142C4E7B">
      <w:pPr>
        <w:keepNext w:val="0"/>
        <w:keepLines w:val="0"/>
        <w:pageBreakBefore w:val="0"/>
        <w:kinsoku/>
        <w:wordWrap/>
        <w:overflowPunct/>
        <w:autoSpaceDE/>
        <w:autoSpaceDN/>
        <w:bidi w:val="0"/>
        <w:spacing w:line="570" w:lineRule="exact"/>
        <w:ind w:firstLine="480" w:firstLineChars="200"/>
      </w:pPr>
      <w:r>
        <w:rPr>
          <w:rFonts w:hint="eastAsia" w:ascii="宋体" w:hAnsi="宋体" w:eastAsia="宋体" w:cs="宋体"/>
        </w:rPr>
        <w:t>招标方不组织，如投标方有需求招标方有义务配合。</w:t>
      </w:r>
    </w:p>
    <w:p w14:paraId="0D2A2D91">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rPr>
        <w:t>7.3.2</w:t>
      </w:r>
      <w:r>
        <w:rPr>
          <w:rFonts w:hint="eastAsia" w:ascii="宋体" w:hAnsi="宋体" w:eastAsia="宋体" w:cs="宋体"/>
          <w:lang w:val="zh-CN"/>
        </w:rPr>
        <w:t>编制改造计划进度表</w:t>
      </w:r>
    </w:p>
    <w:p w14:paraId="0BDA99F8">
      <w:pPr>
        <w:keepNext w:val="0"/>
        <w:keepLines w:val="0"/>
        <w:pageBreakBefore w:val="0"/>
        <w:kinsoku/>
        <w:wordWrap/>
        <w:overflowPunct/>
        <w:autoSpaceDE/>
        <w:autoSpaceDN/>
        <w:bidi w:val="0"/>
        <w:spacing w:line="570" w:lineRule="exact"/>
        <w:ind w:firstLine="480" w:firstLineChars="200"/>
        <w:jc w:val="center"/>
        <w:rPr>
          <w:rFonts w:ascii="宋体" w:hAnsi="宋体" w:eastAsia="宋体" w:cs="宋体"/>
        </w:rPr>
      </w:pPr>
      <w:r>
        <w:rPr>
          <w:rFonts w:hint="eastAsia" w:ascii="宋体" w:hAnsi="宋体" w:eastAsia="宋体" w:cs="宋体"/>
        </w:rPr>
        <w:t xml:space="preserve"> 改造计划表</w:t>
      </w:r>
    </w:p>
    <w:tbl>
      <w:tblPr>
        <w:tblStyle w:val="18"/>
        <w:tblW w:w="845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5"/>
        <w:gridCol w:w="3488"/>
        <w:gridCol w:w="1850"/>
        <w:gridCol w:w="2212"/>
      </w:tblGrid>
      <w:tr w14:paraId="6046BD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0" w:hRule="atLeast"/>
          <w:jc w:val="center"/>
        </w:trPr>
        <w:tc>
          <w:tcPr>
            <w:tcW w:w="905" w:type="dxa"/>
            <w:vAlign w:val="center"/>
          </w:tcPr>
          <w:p w14:paraId="009262CF">
            <w:pPr>
              <w:pStyle w:val="26"/>
              <w:keepNext w:val="0"/>
              <w:keepLines w:val="0"/>
              <w:pageBreakBefore w:val="0"/>
              <w:kinsoku/>
              <w:wordWrap/>
              <w:overflowPunct/>
              <w:autoSpaceDE/>
              <w:autoSpaceDN/>
              <w:bidi w:val="0"/>
              <w:spacing w:line="570" w:lineRule="exact"/>
              <w:jc w:val="center"/>
              <w:rPr>
                <w:rFonts w:ascii="宋体" w:hAnsi="宋体" w:eastAsia="宋体" w:cs="宋体"/>
                <w:b/>
                <w:bCs/>
                <w:kern w:val="0"/>
                <w:szCs w:val="21"/>
              </w:rPr>
            </w:pPr>
            <w:r>
              <w:rPr>
                <w:rFonts w:hint="eastAsia" w:ascii="宋体" w:hAnsi="宋体" w:eastAsia="宋体" w:cs="宋体"/>
                <w:b/>
                <w:bCs/>
                <w:kern w:val="0"/>
                <w:szCs w:val="21"/>
              </w:rPr>
              <w:t>序号</w:t>
            </w:r>
          </w:p>
        </w:tc>
        <w:tc>
          <w:tcPr>
            <w:tcW w:w="3488" w:type="dxa"/>
            <w:vAlign w:val="center"/>
          </w:tcPr>
          <w:p w14:paraId="365A45E2">
            <w:pPr>
              <w:pStyle w:val="26"/>
              <w:keepNext w:val="0"/>
              <w:keepLines w:val="0"/>
              <w:pageBreakBefore w:val="0"/>
              <w:kinsoku/>
              <w:wordWrap/>
              <w:overflowPunct/>
              <w:autoSpaceDE/>
              <w:autoSpaceDN/>
              <w:bidi w:val="0"/>
              <w:spacing w:line="570" w:lineRule="exact"/>
              <w:jc w:val="center"/>
              <w:rPr>
                <w:rFonts w:ascii="宋体" w:hAnsi="宋体" w:eastAsia="宋体" w:cs="宋体"/>
                <w:b/>
                <w:bCs/>
                <w:kern w:val="0"/>
                <w:szCs w:val="21"/>
              </w:rPr>
            </w:pPr>
            <w:r>
              <w:rPr>
                <w:rFonts w:hint="eastAsia" w:ascii="宋体" w:hAnsi="宋体" w:eastAsia="宋体" w:cs="宋体"/>
                <w:b/>
                <w:bCs/>
                <w:kern w:val="0"/>
                <w:szCs w:val="21"/>
              </w:rPr>
              <w:t>计划安排</w:t>
            </w:r>
          </w:p>
        </w:tc>
        <w:tc>
          <w:tcPr>
            <w:tcW w:w="1850" w:type="dxa"/>
            <w:vAlign w:val="center"/>
          </w:tcPr>
          <w:p w14:paraId="38C66F46">
            <w:pPr>
              <w:pStyle w:val="26"/>
              <w:keepNext w:val="0"/>
              <w:keepLines w:val="0"/>
              <w:pageBreakBefore w:val="0"/>
              <w:kinsoku/>
              <w:wordWrap/>
              <w:overflowPunct/>
              <w:autoSpaceDE/>
              <w:autoSpaceDN/>
              <w:bidi w:val="0"/>
              <w:spacing w:line="570" w:lineRule="exact"/>
              <w:jc w:val="center"/>
              <w:rPr>
                <w:rFonts w:ascii="宋体" w:hAnsi="宋体" w:eastAsia="宋体" w:cs="宋体"/>
                <w:b/>
                <w:bCs/>
                <w:kern w:val="0"/>
                <w:szCs w:val="21"/>
              </w:rPr>
            </w:pPr>
            <w:r>
              <w:rPr>
                <w:rFonts w:hint="eastAsia" w:ascii="宋体" w:hAnsi="宋体" w:eastAsia="宋体" w:cs="宋体"/>
                <w:b/>
                <w:bCs/>
                <w:kern w:val="0"/>
                <w:szCs w:val="21"/>
              </w:rPr>
              <w:t>计划所需时间</w:t>
            </w:r>
          </w:p>
        </w:tc>
        <w:tc>
          <w:tcPr>
            <w:tcW w:w="2212" w:type="dxa"/>
            <w:vAlign w:val="center"/>
          </w:tcPr>
          <w:p w14:paraId="55DB32AE">
            <w:pPr>
              <w:pStyle w:val="26"/>
              <w:keepNext w:val="0"/>
              <w:keepLines w:val="0"/>
              <w:pageBreakBefore w:val="0"/>
              <w:kinsoku/>
              <w:wordWrap/>
              <w:overflowPunct/>
              <w:autoSpaceDE/>
              <w:autoSpaceDN/>
              <w:bidi w:val="0"/>
              <w:spacing w:line="570" w:lineRule="exact"/>
              <w:jc w:val="center"/>
              <w:rPr>
                <w:rFonts w:ascii="宋体" w:hAnsi="宋体" w:eastAsia="宋体" w:cs="宋体"/>
                <w:b/>
                <w:bCs/>
                <w:kern w:val="0"/>
                <w:szCs w:val="21"/>
              </w:rPr>
            </w:pPr>
            <w:r>
              <w:rPr>
                <w:rFonts w:hint="eastAsia" w:ascii="宋体" w:hAnsi="宋体" w:eastAsia="宋体" w:cs="宋体"/>
                <w:b/>
                <w:bCs/>
                <w:kern w:val="0"/>
                <w:szCs w:val="21"/>
              </w:rPr>
              <w:t>计划参与人员</w:t>
            </w:r>
          </w:p>
        </w:tc>
      </w:tr>
      <w:tr w14:paraId="5C3297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05" w:type="dxa"/>
            <w:vAlign w:val="center"/>
          </w:tcPr>
          <w:p w14:paraId="12326DB7">
            <w:pPr>
              <w:pStyle w:val="26"/>
              <w:keepNext w:val="0"/>
              <w:keepLines w:val="0"/>
              <w:pageBreakBefore w:val="0"/>
              <w:kinsoku/>
              <w:wordWrap/>
              <w:overflowPunct/>
              <w:autoSpaceDE/>
              <w:autoSpaceDN/>
              <w:bidi w:val="0"/>
              <w:spacing w:line="570" w:lineRule="exact"/>
              <w:jc w:val="center"/>
              <w:rPr>
                <w:rFonts w:hint="eastAsia" w:ascii="宋体" w:hAnsi="宋体" w:eastAsia="宋体" w:cs="宋体"/>
                <w:kern w:val="0"/>
                <w:szCs w:val="21"/>
                <w:lang w:val="en-US" w:eastAsia="zh-CN"/>
              </w:rPr>
            </w:pPr>
            <w:r>
              <w:rPr>
                <w:rFonts w:hint="eastAsia" w:ascii="宋体" w:hAnsi="宋体" w:eastAsia="宋体" w:cs="宋体"/>
                <w:kern w:val="0"/>
                <w:szCs w:val="21"/>
                <w:lang w:val="en-US" w:eastAsia="zh-CN"/>
              </w:rPr>
              <w:t>1</w:t>
            </w:r>
          </w:p>
        </w:tc>
        <w:tc>
          <w:tcPr>
            <w:tcW w:w="3488" w:type="dxa"/>
            <w:vAlign w:val="center"/>
          </w:tcPr>
          <w:p w14:paraId="5C6FFB43">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1850" w:type="dxa"/>
            <w:vAlign w:val="center"/>
          </w:tcPr>
          <w:p w14:paraId="28E8CC99">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2212" w:type="dxa"/>
            <w:vAlign w:val="center"/>
          </w:tcPr>
          <w:p w14:paraId="5FFD2601">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209732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05" w:type="dxa"/>
            <w:vAlign w:val="center"/>
          </w:tcPr>
          <w:p w14:paraId="3DC94842">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2</w:t>
            </w:r>
          </w:p>
        </w:tc>
        <w:tc>
          <w:tcPr>
            <w:tcW w:w="3488" w:type="dxa"/>
            <w:vAlign w:val="center"/>
          </w:tcPr>
          <w:p w14:paraId="69930E05">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1850" w:type="dxa"/>
            <w:vAlign w:val="center"/>
          </w:tcPr>
          <w:p w14:paraId="41CE93AC">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2212" w:type="dxa"/>
            <w:vAlign w:val="center"/>
          </w:tcPr>
          <w:p w14:paraId="35F4C279">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286555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05" w:type="dxa"/>
            <w:vAlign w:val="center"/>
          </w:tcPr>
          <w:p w14:paraId="55C04F97">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3</w:t>
            </w:r>
          </w:p>
        </w:tc>
        <w:tc>
          <w:tcPr>
            <w:tcW w:w="3488" w:type="dxa"/>
            <w:vAlign w:val="center"/>
          </w:tcPr>
          <w:p w14:paraId="5B4615FE">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1850" w:type="dxa"/>
            <w:vAlign w:val="center"/>
          </w:tcPr>
          <w:p w14:paraId="4AF4B312">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2212" w:type="dxa"/>
            <w:vAlign w:val="center"/>
          </w:tcPr>
          <w:p w14:paraId="2C8A33A8">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69A9A9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05" w:type="dxa"/>
            <w:vAlign w:val="center"/>
          </w:tcPr>
          <w:p w14:paraId="5B097029">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4</w:t>
            </w:r>
          </w:p>
        </w:tc>
        <w:tc>
          <w:tcPr>
            <w:tcW w:w="3488" w:type="dxa"/>
            <w:vAlign w:val="center"/>
          </w:tcPr>
          <w:p w14:paraId="1D33A6FF">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1850" w:type="dxa"/>
            <w:vAlign w:val="center"/>
          </w:tcPr>
          <w:p w14:paraId="6FD84842">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2212" w:type="dxa"/>
            <w:vAlign w:val="center"/>
          </w:tcPr>
          <w:p w14:paraId="7029F9E1">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4043F8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05" w:type="dxa"/>
            <w:vAlign w:val="center"/>
          </w:tcPr>
          <w:p w14:paraId="2D3A2F0C">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5</w:t>
            </w:r>
          </w:p>
        </w:tc>
        <w:tc>
          <w:tcPr>
            <w:tcW w:w="3488" w:type="dxa"/>
            <w:vAlign w:val="center"/>
          </w:tcPr>
          <w:p w14:paraId="40009698">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1850" w:type="dxa"/>
            <w:vAlign w:val="center"/>
          </w:tcPr>
          <w:p w14:paraId="53FA0F22">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2212" w:type="dxa"/>
            <w:vAlign w:val="center"/>
          </w:tcPr>
          <w:p w14:paraId="5822A2B5">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r w14:paraId="6FB561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05" w:type="dxa"/>
            <w:vAlign w:val="center"/>
          </w:tcPr>
          <w:p w14:paraId="4B825124">
            <w:pPr>
              <w:pStyle w:val="26"/>
              <w:keepNext w:val="0"/>
              <w:keepLines w:val="0"/>
              <w:pageBreakBefore w:val="0"/>
              <w:kinsoku/>
              <w:wordWrap/>
              <w:overflowPunct/>
              <w:autoSpaceDE/>
              <w:autoSpaceDN/>
              <w:bidi w:val="0"/>
              <w:spacing w:line="570" w:lineRule="exact"/>
              <w:jc w:val="center"/>
              <w:rPr>
                <w:rFonts w:ascii="宋体" w:hAnsi="宋体" w:eastAsia="宋体" w:cs="宋体"/>
                <w:kern w:val="0"/>
                <w:szCs w:val="21"/>
              </w:rPr>
            </w:pPr>
            <w:r>
              <w:rPr>
                <w:rFonts w:hint="eastAsia" w:ascii="宋体" w:hAnsi="宋体" w:eastAsia="宋体" w:cs="宋体"/>
                <w:kern w:val="0"/>
                <w:szCs w:val="21"/>
              </w:rPr>
              <w:t>6</w:t>
            </w:r>
          </w:p>
        </w:tc>
        <w:tc>
          <w:tcPr>
            <w:tcW w:w="3488" w:type="dxa"/>
            <w:vAlign w:val="center"/>
          </w:tcPr>
          <w:p w14:paraId="5CE05DA6">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1850" w:type="dxa"/>
            <w:vAlign w:val="center"/>
          </w:tcPr>
          <w:p w14:paraId="029067F5">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c>
          <w:tcPr>
            <w:tcW w:w="2212" w:type="dxa"/>
            <w:vAlign w:val="center"/>
          </w:tcPr>
          <w:p w14:paraId="0A659BEF">
            <w:pPr>
              <w:pStyle w:val="26"/>
              <w:keepNext w:val="0"/>
              <w:keepLines w:val="0"/>
              <w:pageBreakBefore w:val="0"/>
              <w:kinsoku/>
              <w:wordWrap/>
              <w:overflowPunct/>
              <w:autoSpaceDE/>
              <w:autoSpaceDN/>
              <w:bidi w:val="0"/>
              <w:spacing w:line="570" w:lineRule="exact"/>
              <w:ind w:firstLine="420" w:firstLineChars="200"/>
              <w:jc w:val="center"/>
              <w:rPr>
                <w:rFonts w:ascii="宋体" w:hAnsi="宋体" w:eastAsia="宋体" w:cs="宋体"/>
                <w:kern w:val="0"/>
                <w:szCs w:val="21"/>
              </w:rPr>
            </w:pPr>
          </w:p>
        </w:tc>
      </w:tr>
    </w:tbl>
    <w:p w14:paraId="2756425F">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rPr>
        <w:t>7.3.3</w:t>
      </w:r>
      <w:r>
        <w:rPr>
          <w:rFonts w:hint="eastAsia" w:ascii="宋体" w:hAnsi="宋体" w:eastAsia="宋体" w:cs="宋体"/>
          <w:lang w:val="zh-CN"/>
        </w:rPr>
        <w:t>制定</w:t>
      </w:r>
      <w:r>
        <w:rPr>
          <w:rFonts w:hint="eastAsia" w:ascii="宋体" w:hAnsi="宋体" w:eastAsia="宋体" w:cs="宋体"/>
        </w:rPr>
        <w:t>实施</w:t>
      </w:r>
      <w:r>
        <w:rPr>
          <w:rFonts w:hint="eastAsia" w:ascii="宋体" w:hAnsi="宋体" w:eastAsia="宋体" w:cs="宋体"/>
          <w:lang w:val="zh-CN"/>
        </w:rPr>
        <w:t>方案</w:t>
      </w:r>
    </w:p>
    <w:p w14:paraId="7F7AA018">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lang w:eastAsia="zh-CN"/>
        </w:rPr>
        <w:t>中标人</w:t>
      </w:r>
      <w:r>
        <w:rPr>
          <w:rFonts w:hint="eastAsia" w:ascii="宋体" w:hAnsi="宋体" w:eastAsia="宋体" w:cs="宋体"/>
          <w:lang w:val="zh-CN"/>
        </w:rPr>
        <w:t>成立改造项目组，制定改造</w:t>
      </w:r>
      <w:r>
        <w:rPr>
          <w:rFonts w:hint="eastAsia" w:ascii="宋体" w:hAnsi="宋体" w:eastAsia="宋体" w:cs="宋体"/>
        </w:rPr>
        <w:t>实施</w:t>
      </w:r>
      <w:r>
        <w:rPr>
          <w:rFonts w:hint="eastAsia" w:ascii="宋体" w:hAnsi="宋体" w:eastAsia="宋体" w:cs="宋体"/>
          <w:lang w:val="zh-CN"/>
        </w:rPr>
        <w:t>方案。</w:t>
      </w:r>
    </w:p>
    <w:p w14:paraId="77210160">
      <w:pPr>
        <w:keepNext w:val="0"/>
        <w:keepLines w:val="0"/>
        <w:pageBreakBefore w:val="0"/>
        <w:kinsoku/>
        <w:wordWrap/>
        <w:overflowPunct/>
        <w:autoSpaceDE/>
        <w:autoSpaceDN/>
        <w:bidi w:val="0"/>
        <w:spacing w:line="570" w:lineRule="exact"/>
        <w:ind w:firstLine="480" w:firstLineChars="200"/>
        <w:jc w:val="center"/>
        <w:rPr>
          <w:rFonts w:ascii="宋体" w:hAnsi="宋体" w:eastAsia="宋体" w:cs="宋体"/>
        </w:rPr>
      </w:pPr>
      <w:r>
        <w:rPr>
          <w:rFonts w:hint="eastAsia" w:ascii="宋体" w:hAnsi="宋体" w:eastAsia="宋体" w:cs="宋体"/>
        </w:rPr>
        <w:t xml:space="preserve"> 项目组成员通讯录</w:t>
      </w:r>
    </w:p>
    <w:tbl>
      <w:tblPr>
        <w:tblStyle w:val="18"/>
        <w:tblW w:w="82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1"/>
        <w:gridCol w:w="2058"/>
        <w:gridCol w:w="1659"/>
        <w:gridCol w:w="1659"/>
        <w:gridCol w:w="1659"/>
      </w:tblGrid>
      <w:tr w14:paraId="2F8533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61" w:type="dxa"/>
          </w:tcPr>
          <w:p w14:paraId="3F59E6BC">
            <w:pPr>
              <w:pStyle w:val="26"/>
              <w:keepNext w:val="0"/>
              <w:keepLines w:val="0"/>
              <w:pageBreakBefore w:val="0"/>
              <w:kinsoku/>
              <w:wordWrap/>
              <w:overflowPunct/>
              <w:autoSpaceDE/>
              <w:autoSpaceDN/>
              <w:bidi w:val="0"/>
              <w:spacing w:line="570" w:lineRule="exact"/>
              <w:jc w:val="center"/>
              <w:rPr>
                <w:rFonts w:ascii="宋体" w:hAnsi="宋体" w:eastAsia="宋体" w:cs="宋体"/>
                <w:b/>
                <w:bCs/>
                <w:kern w:val="0"/>
                <w:sz w:val="24"/>
              </w:rPr>
            </w:pPr>
            <w:r>
              <w:rPr>
                <w:rFonts w:hint="eastAsia" w:ascii="宋体" w:hAnsi="宋体" w:eastAsia="宋体" w:cs="宋体"/>
                <w:b/>
                <w:bCs/>
                <w:kern w:val="0"/>
                <w:sz w:val="24"/>
              </w:rPr>
              <w:t>姓名</w:t>
            </w:r>
          </w:p>
        </w:tc>
        <w:tc>
          <w:tcPr>
            <w:tcW w:w="2058" w:type="dxa"/>
          </w:tcPr>
          <w:p w14:paraId="72A68CC1">
            <w:pPr>
              <w:pStyle w:val="26"/>
              <w:keepNext w:val="0"/>
              <w:keepLines w:val="0"/>
              <w:pageBreakBefore w:val="0"/>
              <w:kinsoku/>
              <w:wordWrap/>
              <w:overflowPunct/>
              <w:autoSpaceDE/>
              <w:autoSpaceDN/>
              <w:bidi w:val="0"/>
              <w:spacing w:line="570" w:lineRule="exact"/>
              <w:jc w:val="center"/>
              <w:rPr>
                <w:rFonts w:ascii="宋体" w:hAnsi="宋体" w:eastAsia="宋体" w:cs="宋体"/>
                <w:b/>
                <w:bCs/>
                <w:kern w:val="0"/>
                <w:sz w:val="24"/>
              </w:rPr>
            </w:pPr>
            <w:r>
              <w:rPr>
                <w:rFonts w:hint="eastAsia" w:ascii="宋体" w:hAnsi="宋体" w:eastAsia="宋体" w:cs="宋体"/>
                <w:b/>
                <w:bCs/>
                <w:kern w:val="0"/>
                <w:sz w:val="24"/>
              </w:rPr>
              <w:t>联系电话</w:t>
            </w:r>
          </w:p>
        </w:tc>
        <w:tc>
          <w:tcPr>
            <w:tcW w:w="1659" w:type="dxa"/>
          </w:tcPr>
          <w:p w14:paraId="28055E97">
            <w:pPr>
              <w:pStyle w:val="26"/>
              <w:keepNext w:val="0"/>
              <w:keepLines w:val="0"/>
              <w:pageBreakBefore w:val="0"/>
              <w:kinsoku/>
              <w:wordWrap/>
              <w:overflowPunct/>
              <w:autoSpaceDE/>
              <w:autoSpaceDN/>
              <w:bidi w:val="0"/>
              <w:spacing w:line="570" w:lineRule="exact"/>
              <w:jc w:val="center"/>
              <w:rPr>
                <w:rFonts w:ascii="宋体" w:hAnsi="宋体" w:eastAsia="宋体" w:cs="宋体"/>
                <w:b/>
                <w:bCs/>
                <w:kern w:val="0"/>
                <w:sz w:val="24"/>
              </w:rPr>
            </w:pPr>
            <w:r>
              <w:rPr>
                <w:rFonts w:hint="eastAsia" w:ascii="宋体" w:hAnsi="宋体" w:eastAsia="宋体" w:cs="宋体"/>
                <w:b/>
                <w:bCs/>
                <w:kern w:val="0"/>
                <w:sz w:val="24"/>
              </w:rPr>
              <w:t>工作内容</w:t>
            </w:r>
          </w:p>
        </w:tc>
        <w:tc>
          <w:tcPr>
            <w:tcW w:w="1659" w:type="dxa"/>
          </w:tcPr>
          <w:p w14:paraId="30240791">
            <w:pPr>
              <w:pStyle w:val="26"/>
              <w:keepNext w:val="0"/>
              <w:keepLines w:val="0"/>
              <w:pageBreakBefore w:val="0"/>
              <w:kinsoku/>
              <w:wordWrap/>
              <w:overflowPunct/>
              <w:autoSpaceDE/>
              <w:autoSpaceDN/>
              <w:bidi w:val="0"/>
              <w:spacing w:line="570" w:lineRule="exact"/>
              <w:jc w:val="center"/>
              <w:rPr>
                <w:rFonts w:hint="eastAsia" w:ascii="宋体" w:hAnsi="宋体" w:eastAsia="宋体" w:cs="宋体"/>
                <w:b/>
                <w:bCs/>
                <w:kern w:val="0"/>
                <w:sz w:val="24"/>
                <w:lang w:val="en-US" w:eastAsia="zh-CN"/>
              </w:rPr>
            </w:pPr>
            <w:r>
              <w:rPr>
                <w:rFonts w:hint="eastAsia" w:ascii="宋体" w:hAnsi="宋体" w:eastAsia="宋体" w:cs="宋体"/>
                <w:b/>
                <w:bCs/>
                <w:kern w:val="0"/>
                <w:sz w:val="24"/>
              </w:rPr>
              <w:t>时间安排</w:t>
            </w:r>
            <w:r>
              <w:rPr>
                <w:rFonts w:hint="eastAsia" w:ascii="宋体" w:hAnsi="宋体" w:eastAsia="宋体" w:cs="宋体"/>
                <w:b/>
                <w:bCs/>
                <w:kern w:val="0"/>
                <w:sz w:val="24"/>
                <w:lang w:val="en-US" w:eastAsia="zh-CN"/>
              </w:rPr>
              <w:t xml:space="preserve"> </w:t>
            </w:r>
          </w:p>
        </w:tc>
        <w:tc>
          <w:tcPr>
            <w:tcW w:w="1659" w:type="dxa"/>
          </w:tcPr>
          <w:p w14:paraId="65FC7236">
            <w:pPr>
              <w:pStyle w:val="26"/>
              <w:keepNext w:val="0"/>
              <w:keepLines w:val="0"/>
              <w:pageBreakBefore w:val="0"/>
              <w:kinsoku/>
              <w:wordWrap/>
              <w:overflowPunct/>
              <w:autoSpaceDE/>
              <w:autoSpaceDN/>
              <w:bidi w:val="0"/>
              <w:spacing w:line="570" w:lineRule="exact"/>
              <w:ind w:firstLine="482" w:firstLineChars="200"/>
              <w:jc w:val="center"/>
              <w:rPr>
                <w:rFonts w:ascii="宋体" w:hAnsi="宋体" w:eastAsia="宋体" w:cs="宋体"/>
                <w:b/>
                <w:bCs/>
                <w:kern w:val="0"/>
                <w:sz w:val="24"/>
              </w:rPr>
            </w:pPr>
            <w:r>
              <w:rPr>
                <w:rFonts w:hint="eastAsia" w:ascii="宋体" w:hAnsi="宋体" w:eastAsia="宋体" w:cs="宋体"/>
                <w:b/>
                <w:bCs/>
                <w:kern w:val="0"/>
                <w:sz w:val="24"/>
              </w:rPr>
              <w:t>其他</w:t>
            </w:r>
          </w:p>
        </w:tc>
      </w:tr>
      <w:tr w14:paraId="305878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61" w:type="dxa"/>
          </w:tcPr>
          <w:p w14:paraId="2DFA854A">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2058" w:type="dxa"/>
          </w:tcPr>
          <w:p w14:paraId="52B1223C">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77AF26A4">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37C57E3E">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60AFD3A1">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r>
      <w:tr w14:paraId="44F046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61" w:type="dxa"/>
          </w:tcPr>
          <w:p w14:paraId="21F3472D">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2058" w:type="dxa"/>
          </w:tcPr>
          <w:p w14:paraId="6913EA4E">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45FD3FDD">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616EFE0B">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6ACFD304">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r>
      <w:tr w14:paraId="1E254D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61" w:type="dxa"/>
          </w:tcPr>
          <w:p w14:paraId="23FB24A1">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2058" w:type="dxa"/>
          </w:tcPr>
          <w:p w14:paraId="7D97D85A">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695F52DC">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47C3562C">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0EBF93DD">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r>
      <w:tr w14:paraId="48302F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61" w:type="dxa"/>
          </w:tcPr>
          <w:p w14:paraId="1DC84B65">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2058" w:type="dxa"/>
          </w:tcPr>
          <w:p w14:paraId="02908686">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7387B211">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7F0C268E">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7CCA3161">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r>
      <w:tr w14:paraId="78384D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61" w:type="dxa"/>
          </w:tcPr>
          <w:p w14:paraId="04237D94">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2058" w:type="dxa"/>
          </w:tcPr>
          <w:p w14:paraId="723E6AE7">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6C71E1EC">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1041492D">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c>
          <w:tcPr>
            <w:tcW w:w="1659" w:type="dxa"/>
          </w:tcPr>
          <w:p w14:paraId="6A691517">
            <w:pPr>
              <w:pStyle w:val="26"/>
              <w:keepNext w:val="0"/>
              <w:keepLines w:val="0"/>
              <w:pageBreakBefore w:val="0"/>
              <w:kinsoku/>
              <w:wordWrap/>
              <w:overflowPunct/>
              <w:autoSpaceDE/>
              <w:autoSpaceDN/>
              <w:bidi w:val="0"/>
              <w:spacing w:line="570" w:lineRule="exact"/>
              <w:ind w:firstLine="480" w:firstLineChars="200"/>
              <w:rPr>
                <w:rFonts w:ascii="宋体" w:hAnsi="宋体" w:eastAsia="宋体" w:cs="宋体"/>
                <w:kern w:val="0"/>
                <w:sz w:val="24"/>
              </w:rPr>
            </w:pPr>
          </w:p>
        </w:tc>
      </w:tr>
    </w:tbl>
    <w:p w14:paraId="59C31712">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lang w:val="zh-CN"/>
        </w:rPr>
        <w:t>需要配合的人员主要有逆变器厂家人员、箱变测控装置厂家（通讯管理机）人员、</w:t>
      </w:r>
      <w:r>
        <w:rPr>
          <w:rFonts w:hint="eastAsia" w:ascii="宋体" w:hAnsi="宋体" w:eastAsia="宋体" w:cs="宋体"/>
        </w:rPr>
        <w:t>正泰自动化厂家、AGC厂家、</w:t>
      </w:r>
      <w:r>
        <w:rPr>
          <w:rFonts w:hint="eastAsia" w:ascii="宋体" w:hAnsi="宋体" w:eastAsia="宋体" w:cs="宋体"/>
          <w:lang w:val="zh-CN"/>
        </w:rPr>
        <w:t>快速频率响应装置厂家人员、电站运维人员、现场施工人员（如需）、调度人员、</w:t>
      </w:r>
      <w:r>
        <w:rPr>
          <w:rFonts w:hint="eastAsia" w:ascii="宋体" w:hAnsi="宋体" w:eastAsia="宋体" w:cs="宋体"/>
          <w:lang w:val="en-US" w:eastAsia="zh-CN"/>
        </w:rPr>
        <w:t>第三方</w:t>
      </w:r>
      <w:r>
        <w:rPr>
          <w:rFonts w:hint="eastAsia" w:ascii="宋体" w:hAnsi="宋体" w:eastAsia="宋体" w:cs="宋体"/>
          <w:lang w:val="zh-CN"/>
        </w:rPr>
        <w:t>检测人员（后期做试验，出具合格报告）等。</w:t>
      </w:r>
    </w:p>
    <w:p w14:paraId="210BE93F">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r>
        <w:rPr>
          <w:rFonts w:hint="eastAsia" w:ascii="宋体" w:hAnsi="宋体" w:eastAsia="宋体" w:cs="宋体"/>
        </w:rPr>
        <w:t>7.3.4</w:t>
      </w:r>
      <w:r>
        <w:rPr>
          <w:rFonts w:hint="eastAsia" w:ascii="宋体" w:hAnsi="宋体" w:eastAsia="宋体" w:cs="宋体"/>
          <w:lang w:val="zh-CN"/>
        </w:rPr>
        <w:t>现场设备安装</w:t>
      </w:r>
    </w:p>
    <w:p w14:paraId="7AF4C683">
      <w:pPr>
        <w:keepNext w:val="0"/>
        <w:keepLines w:val="0"/>
        <w:pageBreakBefore w:val="0"/>
        <w:kinsoku/>
        <w:wordWrap/>
        <w:overflowPunct/>
        <w:autoSpaceDE/>
        <w:autoSpaceDN/>
        <w:bidi w:val="0"/>
        <w:spacing w:line="570" w:lineRule="exact"/>
        <w:ind w:firstLine="480" w:firstLineChars="200"/>
        <w:rPr>
          <w:rFonts w:ascii="宋体" w:hAnsi="宋体" w:eastAsia="宋体" w:cs="宋体"/>
          <w:bCs/>
        </w:rPr>
      </w:pPr>
      <w:r>
        <w:rPr>
          <w:rFonts w:hint="eastAsia" w:ascii="宋体" w:hAnsi="宋体" w:eastAsia="宋体" w:cs="宋体"/>
          <w:lang w:val="zh-CN"/>
        </w:rPr>
        <w:t>包括设备安装、现场详细测试、通讯网络改造、硬件调试、软件调试。</w:t>
      </w:r>
    </w:p>
    <w:p w14:paraId="47FDE0A8">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233" w:name="_Toc3898"/>
      <w:bookmarkStart w:id="234" w:name="_Toc17648"/>
      <w:bookmarkStart w:id="235" w:name="_Toc21270"/>
      <w:bookmarkStart w:id="236" w:name="_Toc15657"/>
      <w:bookmarkStart w:id="237" w:name="_Toc32160"/>
      <w:bookmarkStart w:id="238" w:name="_Toc8777"/>
      <w:bookmarkStart w:id="239" w:name="_Toc12920"/>
      <w:bookmarkStart w:id="240" w:name="_Toc2558"/>
      <w:bookmarkStart w:id="241" w:name="_Toc8184"/>
      <w:bookmarkStart w:id="242" w:name="_Toc28496"/>
      <w:bookmarkStart w:id="243" w:name="_Toc20644"/>
      <w:bookmarkStart w:id="244" w:name="_Toc2862"/>
      <w:bookmarkStart w:id="245" w:name="_Toc13893"/>
      <w:bookmarkStart w:id="246" w:name="_Toc20204"/>
      <w:r>
        <w:rPr>
          <w:rFonts w:hint="eastAsia" w:ascii="宋体" w:hAnsi="宋体" w:eastAsia="宋体" w:cs="宋体"/>
          <w:b/>
          <w:bCs w:val="0"/>
          <w:sz w:val="24"/>
          <w:szCs w:val="24"/>
        </w:rPr>
        <w:t>7.4性能检测</w:t>
      </w:r>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p w14:paraId="6AD6210E">
      <w:pPr>
        <w:keepNext w:val="0"/>
        <w:keepLines w:val="0"/>
        <w:pageBreakBefore w:val="0"/>
        <w:kinsoku/>
        <w:wordWrap/>
        <w:overflowPunct/>
        <w:autoSpaceDE/>
        <w:autoSpaceDN/>
        <w:bidi w:val="0"/>
        <w:spacing w:line="570" w:lineRule="exact"/>
        <w:ind w:firstLine="480" w:firstLineChars="200"/>
        <w:rPr>
          <w:rFonts w:ascii="宋体" w:hAnsi="宋体" w:eastAsia="宋体" w:cs="宋体"/>
          <w:lang w:val="zh-CN"/>
        </w:rPr>
      </w:pPr>
      <w:bookmarkStart w:id="247" w:name="_Toc30783"/>
      <w:bookmarkStart w:id="248" w:name="_Toc28804"/>
      <w:bookmarkStart w:id="249" w:name="_Toc26508"/>
      <w:bookmarkStart w:id="250" w:name="_Toc20374"/>
      <w:bookmarkStart w:id="251" w:name="_Toc26867"/>
      <w:bookmarkStart w:id="252" w:name="_Toc19241"/>
      <w:bookmarkStart w:id="253" w:name="_Toc28699"/>
      <w:bookmarkStart w:id="254" w:name="_Toc23840"/>
      <w:bookmarkStart w:id="255" w:name="_Toc1615"/>
      <w:bookmarkStart w:id="256" w:name="_Toc19034"/>
      <w:bookmarkStart w:id="257" w:name="_Toc16449"/>
      <w:bookmarkStart w:id="258" w:name="_Toc17426"/>
      <w:bookmarkStart w:id="259" w:name="_Toc9382"/>
      <w:r>
        <w:rPr>
          <w:rFonts w:hint="eastAsia" w:ascii="宋体" w:hAnsi="宋体" w:eastAsia="宋体" w:cs="宋体"/>
          <w:lang w:val="zh-CN"/>
        </w:rPr>
        <w:t>根据《并网电源一次调频技术规定及试验导则》（GB/T 40595-2021）</w:t>
      </w:r>
      <w:r>
        <w:rPr>
          <w:rFonts w:hint="eastAsia" w:ascii="宋体" w:hAnsi="宋体" w:eastAsia="宋体" w:cs="宋体"/>
          <w:lang w:val="en-US" w:eastAsia="zh-CN"/>
        </w:rPr>
        <w:t>及</w:t>
      </w:r>
      <w:r>
        <w:rPr>
          <w:rFonts w:hint="eastAsia" w:ascii="宋体" w:hAnsi="宋体" w:eastAsia="宋体" w:cs="宋体"/>
          <w:lang w:val="zh-CN"/>
        </w:rPr>
        <w:t>西北电网发布的</w:t>
      </w:r>
      <w:r>
        <w:rPr>
          <w:rFonts w:hint="eastAsia" w:ascii="宋体" w:hAnsi="宋体" w:eastAsia="宋体" w:cs="宋体"/>
          <w:highlight w:val="none"/>
          <w:lang w:val="zh-CN"/>
        </w:rPr>
        <w:t>《</w:t>
      </w:r>
      <w:r>
        <w:rPr>
          <w:rFonts w:hint="eastAsia" w:ascii="宋体" w:hAnsi="宋体" w:eastAsia="宋体" w:cs="宋体"/>
          <w:color w:val="000000" w:themeColor="text1"/>
          <w:highlight w:val="none"/>
          <w:lang w:val="zh-CN"/>
        </w:rPr>
        <w:t>国家能源局西北监管局关于推进西北电网新能源场站快速频率响应工作的通知</w:t>
      </w:r>
      <w:r>
        <w:rPr>
          <w:rFonts w:hint="eastAsia" w:ascii="宋体" w:hAnsi="宋体" w:eastAsia="宋体" w:cs="宋体"/>
          <w:highlight w:val="none"/>
          <w:lang w:val="zh-CN"/>
        </w:rPr>
        <w:t>》</w:t>
      </w:r>
      <w:r>
        <w:rPr>
          <w:rFonts w:hint="eastAsia" w:ascii="宋体" w:hAnsi="宋体" w:eastAsia="宋体" w:cs="宋体"/>
          <w:color w:val="000000" w:themeColor="text1"/>
          <w:highlight w:val="none"/>
          <w:lang w:val="zh-CN"/>
        </w:rPr>
        <w:t>（西北能监市场〔2018〕43号文件）</w:t>
      </w:r>
      <w:r>
        <w:rPr>
          <w:rFonts w:hint="eastAsia" w:ascii="宋体" w:hAnsi="宋体" w:eastAsia="宋体" w:cs="宋体"/>
          <w:lang w:val="zh-CN"/>
        </w:rPr>
        <w:t>的要求，进行频率快速响应的性能检测。</w:t>
      </w:r>
    </w:p>
    <w:p w14:paraId="33BF0C53">
      <w:pPr>
        <w:keepNext w:val="0"/>
        <w:keepLines w:val="0"/>
        <w:pageBreakBefore w:val="0"/>
        <w:kinsoku/>
        <w:wordWrap/>
        <w:overflowPunct/>
        <w:autoSpaceDE/>
        <w:autoSpaceDN/>
        <w:bidi w:val="0"/>
        <w:spacing w:line="570" w:lineRule="exact"/>
        <w:ind w:firstLine="480" w:firstLineChars="200"/>
        <w:rPr>
          <w:rFonts w:ascii="宋体" w:hAnsi="宋体" w:eastAsia="宋体" w:cs="宋体"/>
        </w:rPr>
      </w:pPr>
      <w:r>
        <w:rPr>
          <w:rFonts w:hint="eastAsia" w:ascii="宋体" w:hAnsi="宋体" w:eastAsia="宋体" w:cs="宋体"/>
          <w:lang w:val="zh-CN"/>
        </w:rPr>
        <w:t>当完成内部性能检测后，联系</w:t>
      </w:r>
      <w:r>
        <w:rPr>
          <w:rFonts w:hint="eastAsia" w:ascii="宋体" w:hAnsi="宋体" w:eastAsia="宋体" w:cs="宋体"/>
        </w:rPr>
        <w:t>所属调控机构认可的具有相应资质的试验单位开展快速频率响应功能性能试验</w:t>
      </w:r>
      <w:r>
        <w:rPr>
          <w:rFonts w:hint="eastAsia" w:ascii="宋体" w:hAnsi="宋体" w:eastAsia="宋体" w:cs="宋体"/>
          <w:lang w:val="zh-CN"/>
        </w:rPr>
        <w:t>，合格后出具检验报告。</w:t>
      </w:r>
    </w:p>
    <w:p w14:paraId="066E68AF">
      <w:pPr>
        <w:pStyle w:val="3"/>
        <w:keepNext w:val="0"/>
        <w:keepLines w:val="0"/>
        <w:pageBreakBefore w:val="0"/>
        <w:kinsoku/>
        <w:wordWrap/>
        <w:overflowPunct/>
        <w:autoSpaceDE/>
        <w:autoSpaceDN/>
        <w:bidi w:val="0"/>
        <w:spacing w:line="570" w:lineRule="exact"/>
        <w:ind w:firstLine="482" w:firstLineChars="200"/>
        <w:rPr>
          <w:rFonts w:ascii="宋体" w:hAnsi="宋体" w:eastAsia="宋体" w:cs="宋体"/>
          <w:b/>
          <w:bCs w:val="0"/>
          <w:sz w:val="24"/>
          <w:szCs w:val="24"/>
        </w:rPr>
      </w:pPr>
      <w:bookmarkStart w:id="260" w:name="_Toc15176"/>
      <w:r>
        <w:rPr>
          <w:rFonts w:hint="eastAsia" w:ascii="宋体" w:hAnsi="宋体" w:eastAsia="宋体" w:cs="宋体"/>
          <w:b/>
          <w:bCs w:val="0"/>
          <w:sz w:val="24"/>
          <w:szCs w:val="24"/>
        </w:rPr>
        <w:t>7.5其他条款</w:t>
      </w:r>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p>
    <w:p w14:paraId="52F86B42">
      <w:pPr>
        <w:keepNext w:val="0"/>
        <w:keepLines w:val="0"/>
        <w:pageBreakBefore w:val="0"/>
        <w:numPr>
          <w:ilvl w:val="0"/>
          <w:numId w:val="3"/>
        </w:numPr>
        <w:kinsoku/>
        <w:wordWrap/>
        <w:overflowPunct/>
        <w:autoSpaceDE/>
        <w:autoSpaceDN/>
        <w:bidi w:val="0"/>
        <w:spacing w:line="570" w:lineRule="exact"/>
        <w:ind w:firstLine="480" w:firstLineChars="200"/>
        <w:rPr>
          <w:rFonts w:hint="eastAsia" w:ascii="宋体" w:hAnsi="宋体" w:eastAsia="宋体" w:cs="宋体"/>
          <w:lang w:val="zh-CN"/>
        </w:rPr>
      </w:pPr>
      <w:bookmarkStart w:id="261" w:name="_Toc18304"/>
      <w:bookmarkStart w:id="262" w:name="_Toc16991"/>
      <w:bookmarkStart w:id="263" w:name="_Toc29131"/>
      <w:bookmarkStart w:id="264" w:name="_Toc16074"/>
      <w:bookmarkStart w:id="265" w:name="_Toc32132"/>
      <w:bookmarkStart w:id="266" w:name="_Toc6885"/>
      <w:bookmarkStart w:id="267" w:name="_Toc3060"/>
      <w:bookmarkStart w:id="268" w:name="_Toc2593"/>
      <w:bookmarkStart w:id="269" w:name="_Toc7400"/>
      <w:bookmarkStart w:id="270" w:name="_Toc16976"/>
      <w:bookmarkStart w:id="271" w:name="_Toc2851"/>
      <w:r>
        <w:rPr>
          <w:rFonts w:hint="eastAsia" w:ascii="宋体" w:hAnsi="宋体" w:eastAsia="宋体" w:cs="宋体"/>
          <w:lang w:val="zh-CN"/>
        </w:rPr>
        <w:t>投标</w:t>
      </w:r>
      <w:r>
        <w:rPr>
          <w:rFonts w:hint="eastAsia" w:ascii="宋体" w:hAnsi="宋体" w:eastAsia="宋体" w:cs="宋体"/>
        </w:rPr>
        <w:t>方</w:t>
      </w:r>
      <w:r>
        <w:rPr>
          <w:rFonts w:hint="eastAsia" w:ascii="宋体" w:hAnsi="宋体" w:eastAsia="宋体" w:cs="宋体"/>
          <w:lang w:val="zh-CN"/>
        </w:rPr>
        <w:t>根据自身技术优势、区域业务优势针对本项目做出的承诺如下：保障改造项目顺利通过电网公司组织的</w:t>
      </w:r>
      <w:r>
        <w:rPr>
          <w:rFonts w:hint="eastAsia" w:ascii="宋体" w:hAnsi="宋体" w:eastAsia="宋体" w:cs="宋体"/>
        </w:rPr>
        <w:t>入网验收</w:t>
      </w:r>
      <w:r>
        <w:rPr>
          <w:rFonts w:hint="eastAsia" w:ascii="宋体" w:hAnsi="宋体" w:eastAsia="宋体" w:cs="宋体"/>
          <w:lang w:val="zh-CN"/>
        </w:rPr>
        <w:t>，取得合格鉴定报告，</w:t>
      </w:r>
      <w:r>
        <w:rPr>
          <w:rFonts w:hint="eastAsia" w:ascii="宋体" w:hAnsi="宋体" w:eastAsia="宋体" w:cs="宋体"/>
        </w:rPr>
        <w:t>协调所属调控机构完成快速频率响应功能认定。</w:t>
      </w:r>
      <w:r>
        <w:rPr>
          <w:rFonts w:hint="eastAsia" w:ascii="宋体" w:hAnsi="宋体" w:eastAsia="宋体" w:cs="宋体"/>
          <w:lang w:val="zh-CN"/>
        </w:rPr>
        <w:t>不会因工期原因被考核等。</w:t>
      </w:r>
    </w:p>
    <w:p w14:paraId="06603B18">
      <w:pPr>
        <w:keepNext w:val="0"/>
        <w:keepLines w:val="0"/>
        <w:pageBreakBefore w:val="0"/>
        <w:numPr>
          <w:ilvl w:val="0"/>
          <w:numId w:val="3"/>
        </w:numPr>
        <w:kinsoku/>
        <w:wordWrap/>
        <w:overflowPunct/>
        <w:autoSpaceDE/>
        <w:autoSpaceDN/>
        <w:bidi w:val="0"/>
        <w:spacing w:line="570" w:lineRule="exact"/>
        <w:ind w:firstLine="480" w:firstLineChars="200"/>
        <w:rPr>
          <w:rFonts w:hint="eastAsia" w:ascii="宋体" w:hAnsi="宋体" w:eastAsia="宋体" w:cs="宋体"/>
          <w:lang w:val="zh-CN"/>
        </w:rPr>
      </w:pPr>
      <w:r>
        <w:rPr>
          <w:rFonts w:hint="eastAsia" w:ascii="宋体" w:hAnsi="宋体" w:eastAsia="宋体" w:cs="宋体"/>
          <w:lang w:val="en-US" w:eastAsia="zh-CN"/>
        </w:rPr>
        <w:t>中标人应保证安装设备在全生命周期内免费提供设备软件升级服务。</w:t>
      </w:r>
    </w:p>
    <w:p w14:paraId="43A59C69">
      <w:pPr>
        <w:keepNext w:val="0"/>
        <w:keepLines w:val="0"/>
        <w:pageBreakBefore w:val="0"/>
        <w:numPr>
          <w:ilvl w:val="0"/>
          <w:numId w:val="3"/>
        </w:numPr>
        <w:kinsoku/>
        <w:wordWrap/>
        <w:overflowPunct/>
        <w:autoSpaceDE/>
        <w:autoSpaceDN/>
        <w:bidi w:val="0"/>
        <w:spacing w:line="570" w:lineRule="exact"/>
        <w:ind w:firstLine="480" w:firstLineChars="200"/>
        <w:rPr>
          <w:rFonts w:hint="eastAsia" w:ascii="宋体" w:hAnsi="宋体" w:eastAsia="宋体" w:cs="宋体"/>
          <w:lang w:val="zh-CN"/>
        </w:rPr>
      </w:pPr>
      <w:r>
        <w:rPr>
          <w:rFonts w:hint="eastAsia" w:ascii="宋体" w:hAnsi="宋体" w:eastAsia="宋体" w:cs="宋体"/>
          <w:lang w:val="en-US" w:eastAsia="zh-CN"/>
        </w:rPr>
        <w:t>中标人应保证安装设备使用寿命≥15年。</w:t>
      </w:r>
    </w:p>
    <w:p w14:paraId="5972AB9A">
      <w:pPr>
        <w:pStyle w:val="2"/>
        <w:keepNext w:val="0"/>
        <w:keepLines w:val="0"/>
        <w:pageBreakBefore w:val="0"/>
        <w:kinsoku/>
        <w:wordWrap/>
        <w:overflowPunct/>
        <w:autoSpaceDE/>
        <w:autoSpaceDN/>
        <w:bidi w:val="0"/>
        <w:spacing w:line="570" w:lineRule="exact"/>
      </w:pPr>
      <w:r>
        <w:rPr>
          <w:rFonts w:hint="eastAsia"/>
        </w:rPr>
        <w:t>八、培训</w:t>
      </w:r>
      <w:bookmarkEnd w:id="261"/>
      <w:bookmarkEnd w:id="262"/>
      <w:bookmarkEnd w:id="263"/>
      <w:bookmarkEnd w:id="264"/>
      <w:bookmarkEnd w:id="265"/>
      <w:bookmarkEnd w:id="266"/>
      <w:bookmarkEnd w:id="267"/>
      <w:bookmarkEnd w:id="268"/>
      <w:bookmarkEnd w:id="269"/>
      <w:bookmarkEnd w:id="270"/>
      <w:bookmarkEnd w:id="271"/>
    </w:p>
    <w:p w14:paraId="42B0FC21">
      <w:pPr>
        <w:pStyle w:val="7"/>
        <w:pageBreakBefore w:val="0"/>
        <w:numPr>
          <w:ilvl w:val="0"/>
          <w:numId w:val="0"/>
        </w:numPr>
        <w:kinsoku/>
        <w:overflowPunct/>
        <w:topLinePunct w:val="0"/>
        <w:autoSpaceDE/>
        <w:autoSpaceDN/>
        <w:bidi w:val="0"/>
        <w:spacing w:line="560" w:lineRule="exact"/>
        <w:ind w:left="480" w:leftChars="0"/>
        <w:rPr>
          <w:rFonts w:hint="eastAsia" w:ascii="宋体" w:hAnsi="宋体" w:eastAsia="宋体" w:cs="宋体"/>
          <w:b w:val="0"/>
          <w:color w:val="000000" w:themeColor="text1"/>
        </w:rPr>
      </w:pPr>
      <w:r>
        <w:rPr>
          <w:rFonts w:hint="eastAsia" w:ascii="宋体" w:hAnsi="宋体" w:eastAsia="宋体" w:cs="宋体"/>
          <w:color w:val="000000"/>
          <w:lang w:val="en-US" w:eastAsia="zh-CN"/>
        </w:rPr>
        <w:t>（1）</w:t>
      </w:r>
      <w:r>
        <w:rPr>
          <w:rFonts w:hint="eastAsia" w:ascii="宋体" w:hAnsi="宋体" w:eastAsia="宋体" w:cs="宋体"/>
          <w:color w:val="000000"/>
        </w:rPr>
        <w:t>为使设备能正常安装和运行，</w:t>
      </w:r>
      <w:r>
        <w:rPr>
          <w:rFonts w:hint="eastAsia" w:ascii="宋体" w:hAnsi="宋体" w:eastAsia="宋体" w:cs="宋体"/>
          <w:lang w:eastAsia="zh-CN"/>
        </w:rPr>
        <w:t>中标人</w:t>
      </w:r>
      <w:r>
        <w:rPr>
          <w:rFonts w:hint="eastAsia" w:ascii="宋体" w:hAnsi="宋体" w:eastAsia="宋体" w:cs="宋体"/>
        </w:rPr>
        <w:t>有责任</w:t>
      </w:r>
      <w:r>
        <w:rPr>
          <w:rFonts w:hint="eastAsia" w:ascii="宋体" w:hAnsi="宋体" w:eastAsia="宋体" w:cs="宋体"/>
          <w:lang w:val="zh-CN"/>
        </w:rPr>
        <w:t>做好资料移交及</w:t>
      </w:r>
      <w:r>
        <w:rPr>
          <w:rFonts w:hint="eastAsia" w:ascii="宋体" w:hAnsi="宋体" w:eastAsia="宋体" w:cs="宋体"/>
        </w:rPr>
        <w:t>必要的</w:t>
      </w:r>
      <w:r>
        <w:rPr>
          <w:rFonts w:hint="eastAsia" w:ascii="宋体" w:hAnsi="宋体" w:eastAsia="宋体" w:cs="宋体"/>
          <w:lang w:val="zh-CN"/>
        </w:rPr>
        <w:t>技术培训工作，</w:t>
      </w:r>
      <w:r>
        <w:rPr>
          <w:rFonts w:hint="eastAsia" w:ascii="宋体" w:hAnsi="宋体" w:eastAsia="宋体" w:cs="宋体"/>
          <w:b w:val="0"/>
          <w:color w:val="000000" w:themeColor="text1"/>
        </w:rPr>
        <w:t>为电站运行人员提供系统操作、维护和故障处理的培训。</w:t>
      </w:r>
    </w:p>
    <w:p w14:paraId="7069188F">
      <w:pPr>
        <w:pStyle w:val="7"/>
        <w:pageBreakBefore w:val="0"/>
        <w:numPr>
          <w:ilvl w:val="0"/>
          <w:numId w:val="0"/>
        </w:numPr>
        <w:kinsoku/>
        <w:overflowPunct/>
        <w:topLinePunct w:val="0"/>
        <w:autoSpaceDE/>
        <w:autoSpaceDN/>
        <w:bidi w:val="0"/>
        <w:spacing w:line="560" w:lineRule="exact"/>
        <w:ind w:left="480" w:leftChars="0"/>
        <w:rPr>
          <w:rFonts w:hint="eastAsia" w:ascii="宋体" w:hAnsi="宋体" w:eastAsia="宋体" w:cs="宋体"/>
          <w:b w:val="0"/>
          <w:color w:val="000000" w:themeColor="text1"/>
        </w:rPr>
      </w:pPr>
      <w:r>
        <w:rPr>
          <w:rFonts w:hint="eastAsia" w:ascii="宋体" w:hAnsi="宋体" w:eastAsia="宋体" w:cs="宋体"/>
          <w:b w:val="0"/>
          <w:color w:val="000000" w:themeColor="text1"/>
          <w:lang w:val="en-US" w:eastAsia="zh-CN"/>
        </w:rPr>
        <w:t>（2）</w:t>
      </w:r>
      <w:r>
        <w:rPr>
          <w:rFonts w:hint="eastAsia" w:ascii="宋体" w:hAnsi="宋体" w:eastAsia="宋体" w:cs="宋体"/>
          <w:b w:val="0"/>
          <w:color w:val="000000" w:themeColor="text1"/>
        </w:rPr>
        <w:t>培训内容包括</w:t>
      </w:r>
      <w:r>
        <w:rPr>
          <w:rFonts w:hint="eastAsia" w:ascii="宋体" w:hAnsi="宋体" w:eastAsia="宋体" w:cs="宋体"/>
          <w:b w:val="0"/>
          <w:color w:val="000000" w:themeColor="text1"/>
          <w:lang w:val="en-US" w:eastAsia="zh-CN"/>
        </w:rPr>
        <w:t>快速频率响应装置</w:t>
      </w:r>
      <w:r>
        <w:rPr>
          <w:rFonts w:hint="eastAsia" w:ascii="宋体" w:hAnsi="宋体" w:eastAsia="宋体" w:cs="宋体"/>
          <w:b w:val="0"/>
          <w:color w:val="000000" w:themeColor="text1"/>
        </w:rPr>
        <w:t>操作、</w:t>
      </w:r>
      <w:r>
        <w:rPr>
          <w:rFonts w:hint="eastAsia" w:ascii="宋体" w:hAnsi="宋体" w:eastAsia="宋体" w:cs="宋体"/>
          <w:b w:val="0"/>
          <w:color w:val="000000" w:themeColor="text1"/>
          <w:lang w:val="en-US" w:eastAsia="zh-CN"/>
        </w:rPr>
        <w:t>报警查询、</w:t>
      </w:r>
      <w:r>
        <w:rPr>
          <w:rFonts w:hint="eastAsia" w:ascii="宋体" w:hAnsi="宋体" w:eastAsia="宋体" w:cs="宋体"/>
          <w:b w:val="0"/>
          <w:color w:val="000000" w:themeColor="text1"/>
        </w:rPr>
        <w:t>故障排查等。</w:t>
      </w:r>
    </w:p>
    <w:p w14:paraId="61681627">
      <w:pPr>
        <w:pStyle w:val="7"/>
        <w:pageBreakBefore w:val="0"/>
        <w:numPr>
          <w:ilvl w:val="0"/>
          <w:numId w:val="0"/>
        </w:numPr>
        <w:kinsoku/>
        <w:overflowPunct/>
        <w:topLinePunct w:val="0"/>
        <w:autoSpaceDE/>
        <w:autoSpaceDN/>
        <w:bidi w:val="0"/>
        <w:spacing w:line="560" w:lineRule="exact"/>
        <w:ind w:left="480" w:leftChars="0"/>
        <w:rPr>
          <w:rFonts w:hint="eastAsia" w:ascii="宋体" w:hAnsi="宋体" w:eastAsia="宋体" w:cs="宋体"/>
          <w:b w:val="0"/>
          <w:color w:val="000000" w:themeColor="text1"/>
        </w:rPr>
      </w:pPr>
      <w:r>
        <w:rPr>
          <w:rFonts w:hint="eastAsia" w:ascii="宋体" w:hAnsi="宋体" w:eastAsia="宋体" w:cs="宋体"/>
          <w:b w:val="0"/>
          <w:color w:val="000000" w:themeColor="text1"/>
          <w:lang w:val="en-US" w:eastAsia="zh-CN"/>
        </w:rPr>
        <w:t>（3）</w:t>
      </w:r>
      <w:r>
        <w:rPr>
          <w:rFonts w:hint="eastAsia" w:ascii="宋体" w:hAnsi="宋体" w:eastAsia="宋体" w:cs="宋体"/>
          <w:b w:val="0"/>
          <w:color w:val="000000" w:themeColor="text1"/>
        </w:rPr>
        <w:t>对电站人员的培训时长不少于6学时。</w:t>
      </w:r>
    </w:p>
    <w:p w14:paraId="3C1FAD40">
      <w:pPr>
        <w:keepNext w:val="0"/>
        <w:keepLines w:val="0"/>
        <w:pageBreakBefore w:val="0"/>
        <w:kinsoku/>
        <w:wordWrap/>
        <w:overflowPunct/>
        <w:autoSpaceDE/>
        <w:autoSpaceDN/>
        <w:bidi w:val="0"/>
        <w:spacing w:line="570" w:lineRule="exact"/>
        <w:ind w:firstLine="480" w:firstLineChars="200"/>
        <w:rPr>
          <w:rFonts w:hint="default" w:ascii="宋体" w:hAnsi="宋体" w:eastAsia="宋体" w:cs="宋体"/>
          <w:color w:val="000000"/>
          <w:lang w:val="en-US" w:eastAsia="zh-CN"/>
        </w:rPr>
      </w:pPr>
    </w:p>
    <w:p w14:paraId="2294A585">
      <w:pPr>
        <w:keepNext w:val="0"/>
        <w:keepLines w:val="0"/>
        <w:pageBreakBefore w:val="0"/>
        <w:kinsoku/>
        <w:wordWrap/>
        <w:overflowPunct/>
        <w:autoSpaceDE/>
        <w:autoSpaceDN/>
        <w:bidi w:val="0"/>
        <w:spacing w:line="570" w:lineRule="exact"/>
        <w:ind w:firstLine="480" w:firstLineChars="200"/>
        <w:rPr>
          <w:rFonts w:hint="default" w:ascii="宋体" w:hAnsi="宋体" w:eastAsia="宋体" w:cs="宋体"/>
          <w:color w:val="000000"/>
          <w:lang w:val="en-US" w:eastAsia="zh-CN"/>
        </w:rPr>
      </w:pPr>
    </w:p>
    <w:sectPr>
      <w:headerReference r:id="rId5" w:type="default"/>
      <w:footerReference r:id="rId6" w:type="default"/>
      <w:pgSz w:w="11906" w:h="16838"/>
      <w:pgMar w:top="1440" w:right="1800" w:bottom="1440" w:left="1800" w:header="851" w:footer="992" w:gutter="0"/>
      <w:pgBorders>
        <w:top w:val="none" w:sz="0" w:space="0"/>
        <w:left w:val="none" w:sz="0" w:space="0"/>
        <w:bottom w:val="none" w:sz="0" w:space="0"/>
        <w:right w:val="none" w:sz="0" w:space="0"/>
      </w:pgBorders>
      <w:pgNumType w:fmt="decimal" w:start="1"/>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4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等线">
    <w:panose1 w:val="02010600030101010101"/>
    <w:charset w:val="86"/>
    <w:family w:val="auto"/>
    <w:pitch w:val="default"/>
    <w:sig w:usb0="A00002BF" w:usb1="38CF7CFA" w:usb2="00000016" w:usb3="00000000" w:csb0="0004000F" w:csb1="00000000"/>
  </w:font>
  <w:font w:name="细宋体">
    <w:altName w:val="黑体"/>
    <w:panose1 w:val="00000000000000000000"/>
    <w:charset w:val="86"/>
    <w:family w:val="modern"/>
    <w:pitch w:val="default"/>
    <w:sig w:usb0="00000000" w:usb1="0000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318583">
    <w:pPr>
      <w:pStyle w:val="11"/>
      <w:ind w:firstLine="360"/>
    </w:pPr>
    <w:r>
      <w:rPr>
        <w:sz w:val="18"/>
      </w:rPr>
      <w:pict>
        <v:shape id="_x0000_s2050" o:spid="_x0000_s2050" o:spt="202" type="#_x0000_t202" style="position:absolute;left:0pt;margin-top:0pt;height:144pt;width:144pt;mso-position-horizontal:center;mso-position-horizontal-relative:margin;mso-wrap-style:none;z-index:251659264;mso-width-relative:page;mso-height-relative:page;" filled="f" stroked="f" coordsize="21600,21600">
          <v:path/>
          <v:fill on="f" focussize="0,0"/>
          <v:stroke on="f"/>
          <v:imagedata o:title=""/>
          <o:lock v:ext="edit" aspectratio="f"/>
          <v:textbox inset="0mm,0mm,0mm,0mm" style="mso-fit-shape-to-text:t;">
            <w:txbxContent>
              <w:p w14:paraId="206BAE7C">
                <w:pPr>
                  <w:pStyle w:val="11"/>
                </w:pPr>
                <w:r>
                  <w:fldChar w:fldCharType="begin"/>
                </w:r>
                <w:r>
                  <w:instrText xml:space="preserve"> PAGE  \* MERGEFORMAT </w:instrText>
                </w:r>
                <w:r>
                  <w:fldChar w:fldCharType="separate"/>
                </w:r>
                <w:r>
                  <w:t>4</w:t>
                </w:r>
                <w:r>
                  <w:fldChar w:fldCharType="end"/>
                </w: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97D9DF">
    <w:pPr>
      <w:pStyle w:val="12"/>
      <w:widowControl w:val="0"/>
      <w:pBdr>
        <w:top w:val="none" w:color="auto" w:sz="0" w:space="1"/>
        <w:left w:val="none" w:color="auto" w:sz="0" w:space="4"/>
        <w:bottom w:val="none" w:color="auto" w:sz="0" w:space="1"/>
        <w:right w:val="none" w:color="auto" w:sz="0" w:space="4"/>
        <w:between w:val="none" w:color="auto" w:sz="0" w:space="0"/>
      </w:pBdr>
      <w:snapToGrid w:val="0"/>
      <w:spacing w:line="240" w:lineRule="auto"/>
      <w:ind w:left="0" w:leftChars="0" w:firstLine="0" w:firstLineChars="0"/>
      <w:jc w:val="both"/>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4ECDDAA"/>
    <w:multiLevelType w:val="singleLevel"/>
    <w:tmpl w:val="F4ECDDAA"/>
    <w:lvl w:ilvl="0" w:tentative="0">
      <w:start w:val="1"/>
      <w:numFmt w:val="decimal"/>
      <w:suff w:val="nothing"/>
      <w:lvlText w:val="（%1）"/>
      <w:lvlJc w:val="left"/>
    </w:lvl>
  </w:abstractNum>
  <w:abstractNum w:abstractNumId="1">
    <w:nsid w:val="46335E6F"/>
    <w:multiLevelType w:val="multilevel"/>
    <w:tmpl w:val="46335E6F"/>
    <w:lvl w:ilvl="0" w:tentative="0">
      <w:start w:val="1"/>
      <w:numFmt w:val="decimal"/>
      <w:pStyle w:val="35"/>
      <w:lvlText w:val="（%1）"/>
      <w:lvlJc w:val="left"/>
      <w:pPr>
        <w:ind w:left="987" w:hanging="420"/>
      </w:pPr>
      <w:rPr>
        <w:rFonts w:hint="eastAsia"/>
      </w:rPr>
    </w:lvl>
    <w:lvl w:ilvl="1" w:tentative="0">
      <w:start w:val="1"/>
      <w:numFmt w:val="lowerLetter"/>
      <w:lvlText w:val="%2)"/>
      <w:lvlJc w:val="left"/>
      <w:pPr>
        <w:ind w:left="1407" w:hanging="420"/>
      </w:pPr>
    </w:lvl>
    <w:lvl w:ilvl="2" w:tentative="0">
      <w:start w:val="1"/>
      <w:numFmt w:val="lowerRoman"/>
      <w:lvlText w:val="%3."/>
      <w:lvlJc w:val="right"/>
      <w:pPr>
        <w:ind w:left="1827" w:hanging="420"/>
      </w:pPr>
    </w:lvl>
    <w:lvl w:ilvl="3" w:tentative="0">
      <w:start w:val="1"/>
      <w:numFmt w:val="decimal"/>
      <w:lvlText w:val="%4."/>
      <w:lvlJc w:val="left"/>
      <w:pPr>
        <w:ind w:left="2247" w:hanging="420"/>
      </w:pPr>
    </w:lvl>
    <w:lvl w:ilvl="4" w:tentative="0">
      <w:start w:val="1"/>
      <w:numFmt w:val="lowerLetter"/>
      <w:lvlText w:val="%5)"/>
      <w:lvlJc w:val="left"/>
      <w:pPr>
        <w:ind w:left="2667" w:hanging="420"/>
      </w:pPr>
    </w:lvl>
    <w:lvl w:ilvl="5" w:tentative="0">
      <w:start w:val="1"/>
      <w:numFmt w:val="lowerRoman"/>
      <w:lvlText w:val="%6."/>
      <w:lvlJc w:val="right"/>
      <w:pPr>
        <w:ind w:left="3087" w:hanging="420"/>
      </w:pPr>
    </w:lvl>
    <w:lvl w:ilvl="6" w:tentative="0">
      <w:start w:val="1"/>
      <w:numFmt w:val="decimal"/>
      <w:lvlText w:val="%7."/>
      <w:lvlJc w:val="left"/>
      <w:pPr>
        <w:ind w:left="3507" w:hanging="420"/>
      </w:pPr>
    </w:lvl>
    <w:lvl w:ilvl="7" w:tentative="0">
      <w:start w:val="1"/>
      <w:numFmt w:val="lowerLetter"/>
      <w:lvlText w:val="%8)"/>
      <w:lvlJc w:val="left"/>
      <w:pPr>
        <w:ind w:left="3927" w:hanging="420"/>
      </w:pPr>
    </w:lvl>
    <w:lvl w:ilvl="8" w:tentative="0">
      <w:start w:val="1"/>
      <w:numFmt w:val="lowerRoman"/>
      <w:lvlText w:val="%9."/>
      <w:lvlJc w:val="right"/>
      <w:pPr>
        <w:ind w:left="4347" w:hanging="420"/>
      </w:pPr>
    </w:lvl>
  </w:abstractNum>
  <w:abstractNum w:abstractNumId="2">
    <w:nsid w:val="76CD6B6A"/>
    <w:multiLevelType w:val="multilevel"/>
    <w:tmpl w:val="76CD6B6A"/>
    <w:lvl w:ilvl="0" w:tentative="0">
      <w:start w:val="1"/>
      <w:numFmt w:val="decimal"/>
      <w:lvlText w:val="6.3.%1"/>
      <w:lvlJc w:val="left"/>
      <w:pPr>
        <w:tabs>
          <w:tab w:val="left" w:pos="720"/>
        </w:tabs>
        <w:ind w:left="432" w:hanging="432"/>
      </w:pPr>
      <w:rPr>
        <w:rFonts w:hint="eastAsia"/>
      </w:rPr>
    </w:lvl>
    <w:lvl w:ilvl="1" w:tentative="0">
      <w:start w:val="1"/>
      <w:numFmt w:val="decimal"/>
      <w:pStyle w:val="34"/>
      <w:lvlText w:val="%1.%2"/>
      <w:lvlJc w:val="left"/>
      <w:pPr>
        <w:tabs>
          <w:tab w:val="left" w:pos="576"/>
        </w:tabs>
        <w:ind w:left="576" w:hanging="576"/>
      </w:pPr>
      <w:rPr>
        <w:rFonts w:hint="eastAsia"/>
      </w:rPr>
    </w:lvl>
    <w:lvl w:ilvl="2" w:tentative="0">
      <w:start w:val="1"/>
      <w:numFmt w:val="decimal"/>
      <w:lvlText w:val="%1.%2.%3"/>
      <w:lvlJc w:val="left"/>
      <w:pPr>
        <w:tabs>
          <w:tab w:val="left" w:pos="720"/>
        </w:tabs>
        <w:ind w:left="720" w:hanging="720"/>
      </w:pPr>
      <w:rPr>
        <w:rFonts w:hint="eastAsia"/>
      </w:rPr>
    </w:lvl>
    <w:lvl w:ilvl="3" w:tentative="0">
      <w:start w:val="1"/>
      <w:numFmt w:val="decimal"/>
      <w:lvlText w:val="%1.%2.%3.%4"/>
      <w:lvlJc w:val="left"/>
      <w:pPr>
        <w:tabs>
          <w:tab w:val="left" w:pos="864"/>
        </w:tabs>
        <w:ind w:left="864" w:hanging="864"/>
      </w:pPr>
      <w:rPr>
        <w:rFonts w:hint="eastAsia"/>
      </w:rPr>
    </w:lvl>
    <w:lvl w:ilvl="4" w:tentative="0">
      <w:start w:val="1"/>
      <w:numFmt w:val="decimal"/>
      <w:lvlText w:val="%1.%2.%3.%4.%5"/>
      <w:lvlJc w:val="left"/>
      <w:pPr>
        <w:tabs>
          <w:tab w:val="left" w:pos="1008"/>
        </w:tabs>
        <w:ind w:left="1008" w:hanging="1008"/>
      </w:pPr>
      <w:rPr>
        <w:rFonts w:hint="eastAsia"/>
      </w:rPr>
    </w:lvl>
    <w:lvl w:ilvl="5" w:tentative="0">
      <w:start w:val="1"/>
      <w:numFmt w:val="decimal"/>
      <w:lvlText w:val="%1.%2.%3.%4.%5.%6"/>
      <w:lvlJc w:val="left"/>
      <w:pPr>
        <w:tabs>
          <w:tab w:val="left" w:pos="1152"/>
        </w:tabs>
        <w:ind w:left="1152" w:hanging="1152"/>
      </w:pPr>
      <w:rPr>
        <w:rFonts w:hint="eastAsia"/>
      </w:rPr>
    </w:lvl>
    <w:lvl w:ilvl="6" w:tentative="0">
      <w:start w:val="1"/>
      <w:numFmt w:val="decimal"/>
      <w:lvlText w:val="%1.%2.%3.%4.%5.%6.%7"/>
      <w:lvlJc w:val="left"/>
      <w:pPr>
        <w:tabs>
          <w:tab w:val="left" w:pos="1296"/>
        </w:tabs>
        <w:ind w:left="1296" w:hanging="1296"/>
      </w:pPr>
      <w:rPr>
        <w:rFonts w:hint="eastAsia"/>
      </w:rPr>
    </w:lvl>
    <w:lvl w:ilvl="7" w:tentative="0">
      <w:start w:val="1"/>
      <w:numFmt w:val="decimal"/>
      <w:lvlText w:val="%1.%2.%3.%4.%5.%6.%7.%8"/>
      <w:lvlJc w:val="left"/>
      <w:pPr>
        <w:tabs>
          <w:tab w:val="left" w:pos="1440"/>
        </w:tabs>
        <w:ind w:left="1440" w:hanging="1440"/>
      </w:pPr>
      <w:rPr>
        <w:rFonts w:hint="eastAsia"/>
      </w:rPr>
    </w:lvl>
    <w:lvl w:ilvl="8" w:tentative="0">
      <w:start w:val="1"/>
      <w:numFmt w:val="decimal"/>
      <w:lvlText w:val="%1.%2.%3.%4.%5.%6.%7.%8.%9"/>
      <w:lvlJc w:val="left"/>
      <w:pPr>
        <w:tabs>
          <w:tab w:val="left" w:pos="1584"/>
        </w:tabs>
        <w:ind w:left="1584" w:hanging="1584"/>
      </w:pPr>
      <w:rPr>
        <w:rFonts w:hint="eastAsia"/>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bordersDoNotSurroundHeader w:val="1"/>
  <w:bordersDoNotSurroundFooter w:val="1"/>
  <w:documentProtection w:enforcement="0"/>
  <w:defaultTabStop w:val="420"/>
  <w:drawingGridVerticalSpacing w:val="156"/>
  <w:noPunctuationKerning w:val="1"/>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rsids>
    <w:rsidRoot w:val="00D35735"/>
    <w:rsid w:val="00004D9F"/>
    <w:rsid w:val="00034209"/>
    <w:rsid w:val="000C1BB8"/>
    <w:rsid w:val="00141CB3"/>
    <w:rsid w:val="001F0415"/>
    <w:rsid w:val="002511D2"/>
    <w:rsid w:val="00280B8E"/>
    <w:rsid w:val="002847BF"/>
    <w:rsid w:val="002B20EC"/>
    <w:rsid w:val="002D3F88"/>
    <w:rsid w:val="002D485E"/>
    <w:rsid w:val="002E3F78"/>
    <w:rsid w:val="0035614E"/>
    <w:rsid w:val="003C40E6"/>
    <w:rsid w:val="003D25F9"/>
    <w:rsid w:val="004123CF"/>
    <w:rsid w:val="00416806"/>
    <w:rsid w:val="00422B6C"/>
    <w:rsid w:val="00561EAE"/>
    <w:rsid w:val="005A22E1"/>
    <w:rsid w:val="005E0145"/>
    <w:rsid w:val="005F1C8D"/>
    <w:rsid w:val="00650E22"/>
    <w:rsid w:val="0066264A"/>
    <w:rsid w:val="007129B8"/>
    <w:rsid w:val="00792CA4"/>
    <w:rsid w:val="007C4959"/>
    <w:rsid w:val="008027C8"/>
    <w:rsid w:val="00817F17"/>
    <w:rsid w:val="0085796B"/>
    <w:rsid w:val="0089082F"/>
    <w:rsid w:val="008A6AE6"/>
    <w:rsid w:val="00941AB0"/>
    <w:rsid w:val="00950CA2"/>
    <w:rsid w:val="00970FCC"/>
    <w:rsid w:val="009760F3"/>
    <w:rsid w:val="009C5BC4"/>
    <w:rsid w:val="00A96A45"/>
    <w:rsid w:val="00AC4B31"/>
    <w:rsid w:val="00AC6EEA"/>
    <w:rsid w:val="00B629EA"/>
    <w:rsid w:val="00B74861"/>
    <w:rsid w:val="00BA078D"/>
    <w:rsid w:val="00BA7E0E"/>
    <w:rsid w:val="00C46173"/>
    <w:rsid w:val="00CA1936"/>
    <w:rsid w:val="00D01D6D"/>
    <w:rsid w:val="00D35735"/>
    <w:rsid w:val="00D55EAC"/>
    <w:rsid w:val="00D60D3E"/>
    <w:rsid w:val="00D833E6"/>
    <w:rsid w:val="00DF1722"/>
    <w:rsid w:val="00E14D4B"/>
    <w:rsid w:val="00F43CB1"/>
    <w:rsid w:val="00F62228"/>
    <w:rsid w:val="021F4265"/>
    <w:rsid w:val="0243726F"/>
    <w:rsid w:val="026B1236"/>
    <w:rsid w:val="02EF0038"/>
    <w:rsid w:val="02F318B1"/>
    <w:rsid w:val="03676284"/>
    <w:rsid w:val="04A415E3"/>
    <w:rsid w:val="04B21B50"/>
    <w:rsid w:val="04BA5E56"/>
    <w:rsid w:val="04D1103A"/>
    <w:rsid w:val="04EA1E23"/>
    <w:rsid w:val="05103461"/>
    <w:rsid w:val="051B1BF4"/>
    <w:rsid w:val="05B3055E"/>
    <w:rsid w:val="05C0612D"/>
    <w:rsid w:val="06F63341"/>
    <w:rsid w:val="07204515"/>
    <w:rsid w:val="077F487B"/>
    <w:rsid w:val="07B45185"/>
    <w:rsid w:val="07C776CC"/>
    <w:rsid w:val="07E60FB7"/>
    <w:rsid w:val="07EF3C03"/>
    <w:rsid w:val="09C741EF"/>
    <w:rsid w:val="09DE01CD"/>
    <w:rsid w:val="0A303815"/>
    <w:rsid w:val="0ACB0732"/>
    <w:rsid w:val="0BFC26E7"/>
    <w:rsid w:val="0C075F47"/>
    <w:rsid w:val="0C41797C"/>
    <w:rsid w:val="0C5C3AB8"/>
    <w:rsid w:val="0CCE4BDB"/>
    <w:rsid w:val="0D0C6AA6"/>
    <w:rsid w:val="0D214CCB"/>
    <w:rsid w:val="0D243F67"/>
    <w:rsid w:val="0E5D6392"/>
    <w:rsid w:val="0E693C13"/>
    <w:rsid w:val="0EE07034"/>
    <w:rsid w:val="0F5F11D0"/>
    <w:rsid w:val="0F901423"/>
    <w:rsid w:val="10892918"/>
    <w:rsid w:val="10C1784F"/>
    <w:rsid w:val="10DB0452"/>
    <w:rsid w:val="112D27B1"/>
    <w:rsid w:val="11665B19"/>
    <w:rsid w:val="127E7C19"/>
    <w:rsid w:val="130F15E9"/>
    <w:rsid w:val="13871A1F"/>
    <w:rsid w:val="14886EF4"/>
    <w:rsid w:val="14B44527"/>
    <w:rsid w:val="15494683"/>
    <w:rsid w:val="1653079A"/>
    <w:rsid w:val="177F1B0A"/>
    <w:rsid w:val="1799704D"/>
    <w:rsid w:val="18936B4F"/>
    <w:rsid w:val="18E5190D"/>
    <w:rsid w:val="1A040E5F"/>
    <w:rsid w:val="1ACC57A0"/>
    <w:rsid w:val="1B1606DD"/>
    <w:rsid w:val="1B2D236B"/>
    <w:rsid w:val="1B8C2662"/>
    <w:rsid w:val="1B8F437C"/>
    <w:rsid w:val="1CA327AC"/>
    <w:rsid w:val="1CFC0972"/>
    <w:rsid w:val="1D0528DD"/>
    <w:rsid w:val="1D53352D"/>
    <w:rsid w:val="1D73688D"/>
    <w:rsid w:val="1DA65BF3"/>
    <w:rsid w:val="1ED35C22"/>
    <w:rsid w:val="202222CA"/>
    <w:rsid w:val="20ED491F"/>
    <w:rsid w:val="22313395"/>
    <w:rsid w:val="22382A1A"/>
    <w:rsid w:val="22665D62"/>
    <w:rsid w:val="235856A8"/>
    <w:rsid w:val="236C2301"/>
    <w:rsid w:val="23913467"/>
    <w:rsid w:val="239D4B92"/>
    <w:rsid w:val="23F94F01"/>
    <w:rsid w:val="24307E17"/>
    <w:rsid w:val="24BC69B4"/>
    <w:rsid w:val="26215F4F"/>
    <w:rsid w:val="262C4994"/>
    <w:rsid w:val="26B46159"/>
    <w:rsid w:val="271D5A21"/>
    <w:rsid w:val="28512B40"/>
    <w:rsid w:val="297866ED"/>
    <w:rsid w:val="298B4CEB"/>
    <w:rsid w:val="298C3A13"/>
    <w:rsid w:val="2A0A1FF4"/>
    <w:rsid w:val="2A407B23"/>
    <w:rsid w:val="2B3A00B5"/>
    <w:rsid w:val="2B6362D0"/>
    <w:rsid w:val="2B6C18AD"/>
    <w:rsid w:val="2CC24950"/>
    <w:rsid w:val="2D1A4AF9"/>
    <w:rsid w:val="2D2268FA"/>
    <w:rsid w:val="2D3E5F79"/>
    <w:rsid w:val="2DA453BA"/>
    <w:rsid w:val="2DCC2CA8"/>
    <w:rsid w:val="2EAE16EF"/>
    <w:rsid w:val="2F9C1F9E"/>
    <w:rsid w:val="2FEA115F"/>
    <w:rsid w:val="30826FD6"/>
    <w:rsid w:val="30BB6D3E"/>
    <w:rsid w:val="319F7673"/>
    <w:rsid w:val="31AA3013"/>
    <w:rsid w:val="31B14D37"/>
    <w:rsid w:val="329378EE"/>
    <w:rsid w:val="32A012CF"/>
    <w:rsid w:val="32F414C1"/>
    <w:rsid w:val="331E7139"/>
    <w:rsid w:val="33805D4C"/>
    <w:rsid w:val="338F204D"/>
    <w:rsid w:val="33952204"/>
    <w:rsid w:val="34960EFB"/>
    <w:rsid w:val="355574E5"/>
    <w:rsid w:val="35C46757"/>
    <w:rsid w:val="35D733E3"/>
    <w:rsid w:val="361309A3"/>
    <w:rsid w:val="36220A7C"/>
    <w:rsid w:val="36395CDA"/>
    <w:rsid w:val="364345B1"/>
    <w:rsid w:val="36810A22"/>
    <w:rsid w:val="36CC6B0B"/>
    <w:rsid w:val="37CD55EE"/>
    <w:rsid w:val="37E17512"/>
    <w:rsid w:val="37F05A95"/>
    <w:rsid w:val="38431BDB"/>
    <w:rsid w:val="387F3B15"/>
    <w:rsid w:val="38802DE6"/>
    <w:rsid w:val="39412AA3"/>
    <w:rsid w:val="3A3B6A3D"/>
    <w:rsid w:val="3B6D4E68"/>
    <w:rsid w:val="3B997AE8"/>
    <w:rsid w:val="3C7A08E1"/>
    <w:rsid w:val="3CA7199F"/>
    <w:rsid w:val="3CC56E8E"/>
    <w:rsid w:val="3D3B4D8A"/>
    <w:rsid w:val="3D413949"/>
    <w:rsid w:val="3E1459D5"/>
    <w:rsid w:val="3E904578"/>
    <w:rsid w:val="3E905778"/>
    <w:rsid w:val="3E980FFF"/>
    <w:rsid w:val="3EAA26B3"/>
    <w:rsid w:val="3FB43D04"/>
    <w:rsid w:val="3FF859B6"/>
    <w:rsid w:val="408D1166"/>
    <w:rsid w:val="409B2578"/>
    <w:rsid w:val="40A24BCE"/>
    <w:rsid w:val="412F0BC1"/>
    <w:rsid w:val="418E5FE8"/>
    <w:rsid w:val="41972A6B"/>
    <w:rsid w:val="42412031"/>
    <w:rsid w:val="430276A5"/>
    <w:rsid w:val="434676B5"/>
    <w:rsid w:val="43DE67D6"/>
    <w:rsid w:val="44352BE7"/>
    <w:rsid w:val="443773AD"/>
    <w:rsid w:val="45027A40"/>
    <w:rsid w:val="45762514"/>
    <w:rsid w:val="45B730B5"/>
    <w:rsid w:val="45F7224F"/>
    <w:rsid w:val="474B54DC"/>
    <w:rsid w:val="47773F0F"/>
    <w:rsid w:val="47A870EF"/>
    <w:rsid w:val="48570FBE"/>
    <w:rsid w:val="48ED53DC"/>
    <w:rsid w:val="49014655"/>
    <w:rsid w:val="499465FF"/>
    <w:rsid w:val="49A2125A"/>
    <w:rsid w:val="49FB6D90"/>
    <w:rsid w:val="4A9123AA"/>
    <w:rsid w:val="4AFD24CF"/>
    <w:rsid w:val="4B4E7A16"/>
    <w:rsid w:val="4BA850AA"/>
    <w:rsid w:val="4C6E4E34"/>
    <w:rsid w:val="4F905428"/>
    <w:rsid w:val="4FA75592"/>
    <w:rsid w:val="4FBA569D"/>
    <w:rsid w:val="50407C6A"/>
    <w:rsid w:val="508A1BA4"/>
    <w:rsid w:val="50A21A8A"/>
    <w:rsid w:val="51BE2486"/>
    <w:rsid w:val="527A1006"/>
    <w:rsid w:val="52BB6C5F"/>
    <w:rsid w:val="53060148"/>
    <w:rsid w:val="53272FE7"/>
    <w:rsid w:val="532C41A9"/>
    <w:rsid w:val="53456529"/>
    <w:rsid w:val="53BE4CAC"/>
    <w:rsid w:val="54463EF8"/>
    <w:rsid w:val="54946066"/>
    <w:rsid w:val="54D05D83"/>
    <w:rsid w:val="550830A5"/>
    <w:rsid w:val="559C33E6"/>
    <w:rsid w:val="564A51A6"/>
    <w:rsid w:val="56504002"/>
    <w:rsid w:val="57554AF4"/>
    <w:rsid w:val="57F17D71"/>
    <w:rsid w:val="57F4370F"/>
    <w:rsid w:val="58025C15"/>
    <w:rsid w:val="58504DAA"/>
    <w:rsid w:val="58530C6F"/>
    <w:rsid w:val="58E377F9"/>
    <w:rsid w:val="592856F9"/>
    <w:rsid w:val="5953168D"/>
    <w:rsid w:val="59976020"/>
    <w:rsid w:val="5AF12898"/>
    <w:rsid w:val="5B560BF8"/>
    <w:rsid w:val="5B715C85"/>
    <w:rsid w:val="5B811EE9"/>
    <w:rsid w:val="5C0E2A78"/>
    <w:rsid w:val="5C3E7FB9"/>
    <w:rsid w:val="5C4001D5"/>
    <w:rsid w:val="5C4A4A5E"/>
    <w:rsid w:val="5C4D1BFB"/>
    <w:rsid w:val="5CAA6AB1"/>
    <w:rsid w:val="5D2A3E8C"/>
    <w:rsid w:val="5D31702F"/>
    <w:rsid w:val="5D392DC1"/>
    <w:rsid w:val="5D611660"/>
    <w:rsid w:val="5D660017"/>
    <w:rsid w:val="5E4842FB"/>
    <w:rsid w:val="5F0522A8"/>
    <w:rsid w:val="5F4F0D50"/>
    <w:rsid w:val="5F596D10"/>
    <w:rsid w:val="60250735"/>
    <w:rsid w:val="60706D81"/>
    <w:rsid w:val="60D724EC"/>
    <w:rsid w:val="61070BEB"/>
    <w:rsid w:val="611A34D3"/>
    <w:rsid w:val="612A6A80"/>
    <w:rsid w:val="613C49FD"/>
    <w:rsid w:val="617278C8"/>
    <w:rsid w:val="629846EC"/>
    <w:rsid w:val="62E441A1"/>
    <w:rsid w:val="62EC2379"/>
    <w:rsid w:val="62FE79A7"/>
    <w:rsid w:val="647013A6"/>
    <w:rsid w:val="652B65F3"/>
    <w:rsid w:val="65531B83"/>
    <w:rsid w:val="664A0CCA"/>
    <w:rsid w:val="67533F8B"/>
    <w:rsid w:val="67DD52E6"/>
    <w:rsid w:val="67E25270"/>
    <w:rsid w:val="67EB342B"/>
    <w:rsid w:val="67FA5BC8"/>
    <w:rsid w:val="68645CAE"/>
    <w:rsid w:val="68944EB2"/>
    <w:rsid w:val="69080EA8"/>
    <w:rsid w:val="692B5CE6"/>
    <w:rsid w:val="69C35294"/>
    <w:rsid w:val="69DE615E"/>
    <w:rsid w:val="6A1D7F98"/>
    <w:rsid w:val="6B074013"/>
    <w:rsid w:val="6B2A3292"/>
    <w:rsid w:val="6B457DDB"/>
    <w:rsid w:val="6B604D49"/>
    <w:rsid w:val="6BDF70C3"/>
    <w:rsid w:val="6C831E4E"/>
    <w:rsid w:val="6CAD0EE0"/>
    <w:rsid w:val="6CEF4DFD"/>
    <w:rsid w:val="6D166653"/>
    <w:rsid w:val="6D687253"/>
    <w:rsid w:val="6D943049"/>
    <w:rsid w:val="6E661AE5"/>
    <w:rsid w:val="6E8855A1"/>
    <w:rsid w:val="6ED9084C"/>
    <w:rsid w:val="6EF13970"/>
    <w:rsid w:val="6EFA655B"/>
    <w:rsid w:val="6F2779EE"/>
    <w:rsid w:val="6FBD59CD"/>
    <w:rsid w:val="6FEA0239"/>
    <w:rsid w:val="70531E2E"/>
    <w:rsid w:val="705C79A8"/>
    <w:rsid w:val="70F36A43"/>
    <w:rsid w:val="716D251D"/>
    <w:rsid w:val="71BE39AD"/>
    <w:rsid w:val="71DD01F0"/>
    <w:rsid w:val="721E4E3B"/>
    <w:rsid w:val="722C45CA"/>
    <w:rsid w:val="72A54FA5"/>
    <w:rsid w:val="72E171C9"/>
    <w:rsid w:val="730228FC"/>
    <w:rsid w:val="73373C88"/>
    <w:rsid w:val="739B4B8D"/>
    <w:rsid w:val="743F5D0D"/>
    <w:rsid w:val="749804C6"/>
    <w:rsid w:val="75071439"/>
    <w:rsid w:val="755A5BDF"/>
    <w:rsid w:val="75681C54"/>
    <w:rsid w:val="76132838"/>
    <w:rsid w:val="76330089"/>
    <w:rsid w:val="76666698"/>
    <w:rsid w:val="76681662"/>
    <w:rsid w:val="76975EA8"/>
    <w:rsid w:val="78BF2BC7"/>
    <w:rsid w:val="78C545B5"/>
    <w:rsid w:val="79002623"/>
    <w:rsid w:val="79073758"/>
    <w:rsid w:val="792A2D3A"/>
    <w:rsid w:val="79821188"/>
    <w:rsid w:val="799476DC"/>
    <w:rsid w:val="79DA3E16"/>
    <w:rsid w:val="7ABC0CA9"/>
    <w:rsid w:val="7B2404A8"/>
    <w:rsid w:val="7B6B05D7"/>
    <w:rsid w:val="7BC96853"/>
    <w:rsid w:val="7BEB644A"/>
    <w:rsid w:val="7C4708C2"/>
    <w:rsid w:val="7CFD0D28"/>
    <w:rsid w:val="7D7A5993"/>
    <w:rsid w:val="7D8C7BD8"/>
    <w:rsid w:val="7D911378"/>
    <w:rsid w:val="7DC03AE6"/>
    <w:rsid w:val="7DF8486D"/>
    <w:rsid w:val="7E53448D"/>
    <w:rsid w:val="7EF20A78"/>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qFormat="1" w:uiPriority="99" w:semiHidden="0"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200" w:firstLineChars="200"/>
      <w:jc w:val="both"/>
    </w:pPr>
    <w:rPr>
      <w:rFonts w:ascii="Times New Roman" w:hAnsi="Times New Roman" w:eastAsia="仿宋" w:cs="Times New Roman"/>
      <w:kern w:val="2"/>
      <w:sz w:val="24"/>
      <w:szCs w:val="24"/>
      <w:lang w:val="en-US" w:eastAsia="zh-CN" w:bidi="ar-SA"/>
    </w:rPr>
  </w:style>
  <w:style w:type="paragraph" w:styleId="2">
    <w:name w:val="heading 1"/>
    <w:basedOn w:val="1"/>
    <w:next w:val="1"/>
    <w:link w:val="22"/>
    <w:qFormat/>
    <w:uiPriority w:val="9"/>
    <w:pPr>
      <w:keepNext/>
      <w:keepLines/>
      <w:spacing w:before="60" w:after="60" w:line="240" w:lineRule="auto"/>
      <w:ind w:firstLine="0" w:firstLineChars="0"/>
      <w:outlineLvl w:val="0"/>
    </w:pPr>
    <w:rPr>
      <w:rFonts w:eastAsia="黑体"/>
      <w:b/>
      <w:bCs/>
      <w:kern w:val="44"/>
      <w:sz w:val="32"/>
      <w:szCs w:val="44"/>
    </w:rPr>
  </w:style>
  <w:style w:type="paragraph" w:styleId="3">
    <w:name w:val="heading 2"/>
    <w:basedOn w:val="1"/>
    <w:next w:val="1"/>
    <w:link w:val="23"/>
    <w:unhideWhenUsed/>
    <w:qFormat/>
    <w:uiPriority w:val="9"/>
    <w:pPr>
      <w:keepNext/>
      <w:keepLines/>
      <w:spacing w:before="20" w:after="20" w:line="240" w:lineRule="auto"/>
      <w:outlineLvl w:val="1"/>
    </w:pPr>
    <w:rPr>
      <w:rFonts w:eastAsia="黑体" w:cstheme="majorBidi"/>
      <w:bCs/>
      <w:sz w:val="30"/>
      <w:szCs w:val="32"/>
    </w:rPr>
  </w:style>
  <w:style w:type="paragraph" w:styleId="4">
    <w:name w:val="heading 3"/>
    <w:basedOn w:val="1"/>
    <w:next w:val="1"/>
    <w:link w:val="28"/>
    <w:unhideWhenUsed/>
    <w:qFormat/>
    <w:uiPriority w:val="9"/>
    <w:pPr>
      <w:keepNext/>
      <w:keepLines/>
      <w:spacing w:before="20" w:after="20" w:line="240" w:lineRule="auto"/>
      <w:outlineLvl w:val="2"/>
    </w:pPr>
    <w:rPr>
      <w:b/>
      <w:bCs/>
      <w:sz w:val="28"/>
      <w:szCs w:val="32"/>
    </w:rPr>
  </w:style>
  <w:style w:type="character" w:default="1" w:styleId="19">
    <w:name w:val="Default Paragraph Font"/>
    <w:semiHidden/>
    <w:unhideWhenUsed/>
    <w:qFormat/>
    <w:uiPriority w:val="1"/>
  </w:style>
  <w:style w:type="table" w:default="1" w:styleId="17">
    <w:name w:val="Normal Table"/>
    <w:semiHidden/>
    <w:unhideWhenUsed/>
    <w:qFormat/>
    <w:uiPriority w:val="99"/>
    <w:tblPr>
      <w:tblCellMar>
        <w:top w:w="0" w:type="dxa"/>
        <w:left w:w="108" w:type="dxa"/>
        <w:bottom w:w="0" w:type="dxa"/>
        <w:right w:w="108" w:type="dxa"/>
      </w:tblCellMar>
    </w:tblPr>
  </w:style>
  <w:style w:type="paragraph" w:styleId="5">
    <w:name w:val="Normal Indent"/>
    <w:basedOn w:val="1"/>
    <w:next w:val="1"/>
    <w:qFormat/>
    <w:uiPriority w:val="0"/>
    <w:pPr>
      <w:adjustRightInd w:val="0"/>
      <w:spacing w:line="360" w:lineRule="atLeast"/>
      <w:ind w:firstLine="420"/>
      <w:jc w:val="left"/>
      <w:textAlignment w:val="baseline"/>
    </w:pPr>
    <w:rPr>
      <w:kern w:val="0"/>
      <w:szCs w:val="20"/>
    </w:rPr>
  </w:style>
  <w:style w:type="paragraph" w:styleId="6">
    <w:name w:val="annotation text"/>
    <w:basedOn w:val="1"/>
    <w:link w:val="24"/>
    <w:semiHidden/>
    <w:unhideWhenUsed/>
    <w:qFormat/>
    <w:uiPriority w:val="99"/>
    <w:pPr>
      <w:spacing w:line="240" w:lineRule="auto"/>
      <w:ind w:firstLine="0" w:firstLineChars="0"/>
      <w:jc w:val="left"/>
    </w:pPr>
    <w:rPr>
      <w:rFonts w:asciiTheme="minorHAnsi" w:hAnsiTheme="minorHAnsi" w:eastAsiaTheme="minorEastAsia" w:cstheme="minorBidi"/>
      <w:sz w:val="21"/>
      <w:szCs w:val="22"/>
    </w:rPr>
  </w:style>
  <w:style w:type="paragraph" w:styleId="7">
    <w:name w:val="Body Text"/>
    <w:basedOn w:val="1"/>
    <w:qFormat/>
    <w:uiPriority w:val="0"/>
    <w:pPr>
      <w:spacing w:after="120"/>
    </w:pPr>
  </w:style>
  <w:style w:type="paragraph" w:styleId="8">
    <w:name w:val="Plain Text"/>
    <w:basedOn w:val="1"/>
    <w:qFormat/>
    <w:uiPriority w:val="0"/>
    <w:pPr>
      <w:spacing w:line="240" w:lineRule="auto"/>
    </w:pPr>
    <w:rPr>
      <w:rFonts w:ascii="宋体" w:hAnsi="Courier New" w:eastAsia="等线"/>
      <w:sz w:val="21"/>
      <w:szCs w:val="22"/>
    </w:rPr>
  </w:style>
  <w:style w:type="paragraph" w:styleId="9">
    <w:name w:val="Date"/>
    <w:basedOn w:val="1"/>
    <w:next w:val="1"/>
    <w:link w:val="31"/>
    <w:semiHidden/>
    <w:unhideWhenUsed/>
    <w:qFormat/>
    <w:uiPriority w:val="99"/>
    <w:pPr>
      <w:ind w:left="100" w:leftChars="2500"/>
    </w:pPr>
  </w:style>
  <w:style w:type="paragraph" w:styleId="10">
    <w:name w:val="Balloon Text"/>
    <w:basedOn w:val="1"/>
    <w:link w:val="25"/>
    <w:semiHidden/>
    <w:unhideWhenUsed/>
    <w:qFormat/>
    <w:uiPriority w:val="99"/>
    <w:pPr>
      <w:spacing w:line="240" w:lineRule="auto"/>
    </w:pPr>
    <w:rPr>
      <w:sz w:val="18"/>
      <w:szCs w:val="18"/>
    </w:rPr>
  </w:style>
  <w:style w:type="paragraph" w:styleId="11">
    <w:name w:val="footer"/>
    <w:basedOn w:val="1"/>
    <w:link w:val="33"/>
    <w:unhideWhenUsed/>
    <w:qFormat/>
    <w:uiPriority w:val="99"/>
    <w:pPr>
      <w:tabs>
        <w:tab w:val="center" w:pos="4153"/>
        <w:tab w:val="right" w:pos="8306"/>
      </w:tabs>
      <w:snapToGrid w:val="0"/>
      <w:spacing w:line="240" w:lineRule="auto"/>
      <w:jc w:val="left"/>
    </w:pPr>
    <w:rPr>
      <w:sz w:val="18"/>
      <w:szCs w:val="18"/>
    </w:rPr>
  </w:style>
  <w:style w:type="paragraph" w:styleId="12">
    <w:name w:val="header"/>
    <w:basedOn w:val="1"/>
    <w:link w:val="32"/>
    <w:unhideWhenUsed/>
    <w:qFormat/>
    <w:uiPriority w:val="99"/>
    <w:pPr>
      <w:pBdr>
        <w:bottom w:val="single" w:color="auto" w:sz="6" w:space="1"/>
      </w:pBdr>
      <w:tabs>
        <w:tab w:val="center" w:pos="4153"/>
        <w:tab w:val="right" w:pos="8306"/>
      </w:tabs>
      <w:snapToGrid w:val="0"/>
      <w:spacing w:line="240" w:lineRule="auto"/>
      <w:jc w:val="center"/>
    </w:pPr>
    <w:rPr>
      <w:sz w:val="18"/>
      <w:szCs w:val="18"/>
    </w:rPr>
  </w:style>
  <w:style w:type="paragraph" w:styleId="13">
    <w:name w:val="toc 1"/>
    <w:basedOn w:val="1"/>
    <w:next w:val="1"/>
    <w:unhideWhenUsed/>
    <w:qFormat/>
    <w:uiPriority w:val="39"/>
    <w:pPr>
      <w:tabs>
        <w:tab w:val="right" w:leader="dot" w:pos="8296"/>
      </w:tabs>
      <w:ind w:firstLine="482"/>
      <w:jc w:val="center"/>
    </w:pPr>
    <w:rPr>
      <w:b/>
    </w:rPr>
  </w:style>
  <w:style w:type="paragraph" w:styleId="14">
    <w:name w:val="toc 2"/>
    <w:basedOn w:val="1"/>
    <w:next w:val="1"/>
    <w:unhideWhenUsed/>
    <w:qFormat/>
    <w:uiPriority w:val="39"/>
    <w:pPr>
      <w:ind w:left="420" w:leftChars="200"/>
    </w:pPr>
  </w:style>
  <w:style w:type="paragraph" w:styleId="15">
    <w:name w:val="annotation subject"/>
    <w:basedOn w:val="6"/>
    <w:next w:val="6"/>
    <w:link w:val="27"/>
    <w:semiHidden/>
    <w:unhideWhenUsed/>
    <w:qFormat/>
    <w:uiPriority w:val="99"/>
    <w:pPr>
      <w:spacing w:line="360" w:lineRule="auto"/>
      <w:ind w:firstLine="200" w:firstLineChars="200"/>
    </w:pPr>
    <w:rPr>
      <w:rFonts w:ascii="Times New Roman" w:hAnsi="Times New Roman" w:eastAsia="仿宋" w:cs="Times New Roman"/>
      <w:b/>
      <w:bCs/>
      <w:sz w:val="24"/>
      <w:szCs w:val="24"/>
    </w:rPr>
  </w:style>
  <w:style w:type="paragraph" w:styleId="16">
    <w:name w:val="Body Text First Indent"/>
    <w:basedOn w:val="7"/>
    <w:unhideWhenUsed/>
    <w:qFormat/>
    <w:uiPriority w:val="99"/>
    <w:pPr>
      <w:spacing w:line="360" w:lineRule="auto"/>
      <w:ind w:firstLine="420" w:firstLineChars="100"/>
    </w:pPr>
    <w:rPr>
      <w:szCs w:val="28"/>
    </w:rPr>
  </w:style>
  <w:style w:type="table" w:styleId="18">
    <w:name w:val="Table Grid"/>
    <w:basedOn w:val="17"/>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0">
    <w:name w:val="Hyperlink"/>
    <w:basedOn w:val="19"/>
    <w:unhideWhenUsed/>
    <w:qFormat/>
    <w:uiPriority w:val="99"/>
    <w:rPr>
      <w:color w:val="0563C1" w:themeColor="hyperlink"/>
      <w:u w:val="single"/>
    </w:rPr>
  </w:style>
  <w:style w:type="character" w:styleId="21">
    <w:name w:val="annotation reference"/>
    <w:basedOn w:val="19"/>
    <w:semiHidden/>
    <w:unhideWhenUsed/>
    <w:qFormat/>
    <w:uiPriority w:val="99"/>
    <w:rPr>
      <w:sz w:val="21"/>
      <w:szCs w:val="21"/>
    </w:rPr>
  </w:style>
  <w:style w:type="character" w:customStyle="1" w:styleId="22">
    <w:name w:val="标题 1 字符"/>
    <w:basedOn w:val="19"/>
    <w:link w:val="2"/>
    <w:qFormat/>
    <w:uiPriority w:val="9"/>
    <w:rPr>
      <w:rFonts w:ascii="Times New Roman" w:hAnsi="Times New Roman" w:eastAsia="黑体" w:cs="Times New Roman"/>
      <w:b/>
      <w:bCs/>
      <w:kern w:val="44"/>
      <w:sz w:val="32"/>
      <w:szCs w:val="44"/>
    </w:rPr>
  </w:style>
  <w:style w:type="character" w:customStyle="1" w:styleId="23">
    <w:name w:val="标题 2 字符"/>
    <w:basedOn w:val="19"/>
    <w:link w:val="3"/>
    <w:qFormat/>
    <w:uiPriority w:val="9"/>
    <w:rPr>
      <w:rFonts w:ascii="Times New Roman" w:hAnsi="Times New Roman" w:eastAsia="黑体" w:cstheme="majorBidi"/>
      <w:bCs/>
      <w:sz w:val="30"/>
      <w:szCs w:val="32"/>
    </w:rPr>
  </w:style>
  <w:style w:type="character" w:customStyle="1" w:styleId="24">
    <w:name w:val="批注文字 字符"/>
    <w:basedOn w:val="19"/>
    <w:link w:val="6"/>
    <w:semiHidden/>
    <w:qFormat/>
    <w:uiPriority w:val="99"/>
  </w:style>
  <w:style w:type="character" w:customStyle="1" w:styleId="25">
    <w:name w:val="批注框文本 字符"/>
    <w:basedOn w:val="19"/>
    <w:link w:val="10"/>
    <w:semiHidden/>
    <w:qFormat/>
    <w:uiPriority w:val="99"/>
    <w:rPr>
      <w:rFonts w:ascii="Times New Roman" w:hAnsi="Times New Roman" w:eastAsia="仿宋" w:cs="Times New Roman"/>
      <w:sz w:val="18"/>
      <w:szCs w:val="18"/>
    </w:rPr>
  </w:style>
  <w:style w:type="paragraph" w:styleId="26">
    <w:name w:val="No Spacing"/>
    <w:qFormat/>
    <w:uiPriority w:val="1"/>
    <w:pPr>
      <w:widowControl w:val="0"/>
      <w:jc w:val="both"/>
    </w:pPr>
    <w:rPr>
      <w:rFonts w:ascii="Times New Roman" w:hAnsi="Times New Roman" w:eastAsia="仿宋" w:cs="Times New Roman"/>
      <w:kern w:val="2"/>
      <w:sz w:val="21"/>
      <w:szCs w:val="24"/>
      <w:lang w:val="en-US" w:eastAsia="zh-CN" w:bidi="ar-SA"/>
    </w:rPr>
  </w:style>
  <w:style w:type="character" w:customStyle="1" w:styleId="27">
    <w:name w:val="批注主题 字符"/>
    <w:basedOn w:val="24"/>
    <w:link w:val="15"/>
    <w:semiHidden/>
    <w:qFormat/>
    <w:uiPriority w:val="99"/>
    <w:rPr>
      <w:rFonts w:ascii="Times New Roman" w:hAnsi="Times New Roman" w:eastAsia="仿宋" w:cs="Times New Roman"/>
      <w:b/>
      <w:bCs/>
      <w:sz w:val="24"/>
      <w:szCs w:val="24"/>
    </w:rPr>
  </w:style>
  <w:style w:type="character" w:customStyle="1" w:styleId="28">
    <w:name w:val="标题 3 字符"/>
    <w:basedOn w:val="19"/>
    <w:link w:val="4"/>
    <w:qFormat/>
    <w:uiPriority w:val="9"/>
    <w:rPr>
      <w:rFonts w:ascii="Times New Roman" w:hAnsi="Times New Roman" w:eastAsia="仿宋" w:cs="Times New Roman"/>
      <w:b/>
      <w:bCs/>
      <w:sz w:val="28"/>
      <w:szCs w:val="32"/>
    </w:rPr>
  </w:style>
  <w:style w:type="paragraph" w:styleId="29">
    <w:name w:val="List Paragraph"/>
    <w:basedOn w:val="1"/>
    <w:qFormat/>
    <w:uiPriority w:val="34"/>
    <w:pPr>
      <w:widowControl/>
      <w:spacing w:line="240" w:lineRule="auto"/>
      <w:ind w:firstLine="420"/>
      <w:jc w:val="left"/>
    </w:pPr>
    <w:rPr>
      <w:rFonts w:ascii="宋体" w:hAnsi="宋体" w:eastAsia="宋体" w:cs="宋体"/>
      <w:kern w:val="0"/>
    </w:rPr>
  </w:style>
  <w:style w:type="paragraph" w:customStyle="1" w:styleId="30">
    <w:name w:val="表"/>
    <w:basedOn w:val="1"/>
    <w:qFormat/>
    <w:uiPriority w:val="0"/>
    <w:pPr>
      <w:wordWrap w:val="0"/>
      <w:adjustRightInd w:val="0"/>
      <w:spacing w:line="240" w:lineRule="auto"/>
      <w:ind w:firstLine="0" w:firstLineChars="0"/>
      <w:jc w:val="left"/>
      <w:textAlignment w:val="baseline"/>
    </w:pPr>
    <w:rPr>
      <w:rFonts w:ascii="Arial" w:hAnsi="Arial" w:eastAsia="细宋体"/>
      <w:kern w:val="0"/>
      <w:sz w:val="21"/>
      <w:szCs w:val="20"/>
    </w:rPr>
  </w:style>
  <w:style w:type="character" w:customStyle="1" w:styleId="31">
    <w:name w:val="日期 字符"/>
    <w:basedOn w:val="19"/>
    <w:link w:val="9"/>
    <w:semiHidden/>
    <w:qFormat/>
    <w:uiPriority w:val="99"/>
    <w:rPr>
      <w:rFonts w:ascii="Times New Roman" w:hAnsi="Times New Roman" w:eastAsia="仿宋" w:cs="Times New Roman"/>
      <w:sz w:val="24"/>
      <w:szCs w:val="24"/>
    </w:rPr>
  </w:style>
  <w:style w:type="character" w:customStyle="1" w:styleId="32">
    <w:name w:val="页眉 字符"/>
    <w:basedOn w:val="19"/>
    <w:link w:val="12"/>
    <w:qFormat/>
    <w:uiPriority w:val="99"/>
    <w:rPr>
      <w:rFonts w:ascii="Times New Roman" w:hAnsi="Times New Roman" w:eastAsia="仿宋" w:cs="Times New Roman"/>
      <w:sz w:val="18"/>
      <w:szCs w:val="18"/>
    </w:rPr>
  </w:style>
  <w:style w:type="character" w:customStyle="1" w:styleId="33">
    <w:name w:val="页脚 字符"/>
    <w:basedOn w:val="19"/>
    <w:link w:val="11"/>
    <w:qFormat/>
    <w:uiPriority w:val="99"/>
    <w:rPr>
      <w:rFonts w:ascii="Times New Roman" w:hAnsi="Times New Roman" w:eastAsia="仿宋" w:cs="Times New Roman"/>
      <w:sz w:val="18"/>
      <w:szCs w:val="18"/>
    </w:rPr>
  </w:style>
  <w:style w:type="paragraph" w:customStyle="1" w:styleId="34">
    <w:name w:val="引言二级条标题"/>
    <w:basedOn w:val="35"/>
    <w:next w:val="1"/>
    <w:qFormat/>
    <w:uiPriority w:val="0"/>
    <w:pPr>
      <w:widowControl/>
      <w:numPr>
        <w:ilvl w:val="1"/>
        <w:numId w:val="1"/>
      </w:numPr>
      <w:tabs>
        <w:tab w:val="left" w:pos="360"/>
        <w:tab w:val="left" w:pos="1200"/>
        <w:tab w:val="left" w:pos="1320"/>
      </w:tabs>
      <w:spacing w:line="240" w:lineRule="auto"/>
      <w:jc w:val="left"/>
    </w:pPr>
    <w:rPr>
      <w:rFonts w:eastAsia="黑体"/>
      <w:sz w:val="20"/>
    </w:rPr>
  </w:style>
  <w:style w:type="paragraph" w:customStyle="1" w:styleId="35">
    <w:name w:val="引言一级条标题"/>
    <w:basedOn w:val="1"/>
    <w:next w:val="36"/>
    <w:qFormat/>
    <w:uiPriority w:val="0"/>
    <w:pPr>
      <w:widowControl/>
      <w:numPr>
        <w:ilvl w:val="0"/>
        <w:numId w:val="2"/>
      </w:numPr>
    </w:pPr>
    <w:rPr>
      <w:rFonts w:eastAsia="黑体"/>
      <w:b/>
    </w:rPr>
  </w:style>
  <w:style w:type="paragraph" w:customStyle="1" w:styleId="36">
    <w:name w:val="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37">
    <w:name w:val="正文_7"/>
    <w:qFormat/>
    <w:uiPriority w:val="0"/>
    <w:pPr>
      <w:widowControl w:val="0"/>
      <w:jc w:val="both"/>
    </w:pPr>
    <w:rPr>
      <w:rFonts w:ascii="Calibri" w:hAnsi="Calibri"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2" Type="http://schemas.openxmlformats.org/officeDocument/2006/relationships/fontTable" Target="fontTable.xml"/><Relationship Id="rId21" Type="http://schemas.openxmlformats.org/officeDocument/2006/relationships/customXml" Target="../customXml/item2.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7.wmf"/><Relationship Id="rId17" Type="http://schemas.openxmlformats.org/officeDocument/2006/relationships/oleObject" Target="embeddings/oleObject4.bin"/><Relationship Id="rId16" Type="http://schemas.openxmlformats.org/officeDocument/2006/relationships/image" Target="media/image6.wmf"/><Relationship Id="rId15" Type="http://schemas.openxmlformats.org/officeDocument/2006/relationships/oleObject" Target="embeddings/oleObject3.bin"/><Relationship Id="rId14" Type="http://schemas.openxmlformats.org/officeDocument/2006/relationships/image" Target="media/image5.wmf"/><Relationship Id="rId13" Type="http://schemas.openxmlformats.org/officeDocument/2006/relationships/oleObject" Target="embeddings/oleObject2.bin"/><Relationship Id="rId12" Type="http://schemas.openxmlformats.org/officeDocument/2006/relationships/image" Target="media/image4.wmf"/><Relationship Id="rId11" Type="http://schemas.openxmlformats.org/officeDocument/2006/relationships/oleObject" Target="embeddings/oleObject1.bin"/><Relationship Id="rId10" Type="http://schemas.openxmlformats.org/officeDocument/2006/relationships/image" Target="media/image3.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50" textRotate="1"/>
    <customShpInfo spid="_x0000_s1026"/>
    <customShpInfo spid="_x0000_s1028"/>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945AF9C-5A18-4DC7-A959-A7406E2430AF}">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25</Pages>
  <Words>10329</Words>
  <Characters>11633</Characters>
  <Lines>71</Lines>
  <Paragraphs>20</Paragraphs>
  <TotalTime>0</TotalTime>
  <ScaleCrop>false</ScaleCrop>
  <LinksUpToDate>false</LinksUpToDate>
  <CharactersWithSpaces>11748</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2019-03-28T01:39:00Z</dcterms:created>
  <dc:creator>黄兴发</dc:creator>
  <cp:lastModifiedBy>勾家模</cp:lastModifiedBy>
  <cp:lastPrinted>2025-04-14T08:08:00Z</cp:lastPrinted>
  <dcterms:modified xsi:type="dcterms:W3CDTF">2025-05-28T06:55:49Z</dcterms:modified>
  <cp:revision>23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2EB2817A5E6849888EF69023A0AA20E5</vt:lpwstr>
  </property>
  <property fmtid="{D5CDD505-2E9C-101B-9397-08002B2CF9AE}" pid="4" name="KSOTemplateDocerSaveRecord">
    <vt:lpwstr>eyJoZGlkIjoiZjM5MTNkMTRmNTExODdkM2Y2OGJjYTRkZjIxOTYzOWMiLCJ1c2VySWQiOiI0NDMwNDAwMDYifQ==</vt:lpwstr>
  </property>
</Properties>
</file>