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highlight w:val="none"/>
        </w:rPr>
      </w:pPr>
      <w:bookmarkStart w:id="170" w:name="_GoBack"/>
    </w:p>
    <w:p>
      <w:pPr>
        <w:jc w:val="center"/>
        <w:rPr>
          <w:rFonts w:hint="eastAsia" w:ascii="宋体" w:hAnsi="宋体"/>
          <w:highlight w:val="none"/>
        </w:rPr>
      </w:pPr>
    </w:p>
    <w:p>
      <w:pPr>
        <w:ind w:left="0" w:right="0" w:firstLine="0" w:firstLineChars="0"/>
        <w:jc w:val="center"/>
        <w:textAlignment w:val="auto"/>
        <w:rPr>
          <w:rFonts w:hint="eastAsia" w:ascii="宋体" w:hAnsi="宋体"/>
          <w:b/>
          <w:sz w:val="44"/>
          <w:szCs w:val="44"/>
          <w:highlight w:val="none"/>
        </w:rPr>
      </w:pPr>
      <w:r>
        <w:rPr>
          <w:rFonts w:hint="eastAsia" w:ascii="宋体" w:hAnsi="宋体"/>
          <w:b/>
          <w:sz w:val="44"/>
          <w:szCs w:val="44"/>
          <w:highlight w:val="none"/>
        </w:rPr>
        <w:t>浙能嘉兴</w:t>
      </w:r>
      <w:r>
        <w:rPr>
          <w:rFonts w:ascii="宋体" w:hAnsi="宋体"/>
          <w:b/>
          <w:sz w:val="44"/>
          <w:szCs w:val="44"/>
          <w:highlight w:val="none"/>
        </w:rPr>
        <w:t>1</w:t>
      </w:r>
      <w:r>
        <w:rPr>
          <w:rFonts w:hint="eastAsia" w:ascii="宋体" w:hAnsi="宋体"/>
          <w:b/>
          <w:sz w:val="44"/>
          <w:szCs w:val="44"/>
          <w:highlight w:val="none"/>
        </w:rPr>
        <w:t>号风电场监控提升改造</w:t>
      </w:r>
    </w:p>
    <w:p>
      <w:pPr>
        <w:ind w:left="0" w:right="0" w:firstLine="0" w:firstLineChars="0"/>
        <w:jc w:val="center"/>
        <w:textAlignment w:val="auto"/>
        <w:rPr>
          <w:rFonts w:hint="eastAsia" w:ascii="宋体" w:hAnsi="宋体"/>
          <w:b/>
          <w:sz w:val="44"/>
          <w:szCs w:val="44"/>
          <w:highlight w:val="none"/>
        </w:rPr>
      </w:pPr>
      <w:r>
        <w:rPr>
          <w:rFonts w:hint="eastAsia" w:ascii="宋体" w:hAnsi="宋体"/>
          <w:b/>
          <w:sz w:val="44"/>
          <w:szCs w:val="44"/>
          <w:highlight w:val="none"/>
        </w:rPr>
        <w:t>生产性技术改造项目</w:t>
      </w:r>
      <w:bookmarkStart w:id="0" w:name="_Toc215298515"/>
      <w:bookmarkStart w:id="1" w:name="_Toc215298661"/>
      <w:bookmarkStart w:id="2" w:name="_Toc215298563"/>
      <w:bookmarkStart w:id="3" w:name="_Toc286153212"/>
      <w:r>
        <w:rPr>
          <w:rFonts w:hint="eastAsia" w:ascii="宋体" w:hAnsi="宋体"/>
          <w:b/>
          <w:sz w:val="44"/>
          <w:szCs w:val="44"/>
          <w:highlight w:val="none"/>
        </w:rPr>
        <w:t>技术规范</w:t>
      </w:r>
      <w:bookmarkEnd w:id="0"/>
      <w:bookmarkEnd w:id="1"/>
      <w:bookmarkEnd w:id="2"/>
      <w:bookmarkEnd w:id="3"/>
      <w:r>
        <w:rPr>
          <w:rFonts w:hint="eastAsia" w:ascii="宋体" w:hAnsi="宋体"/>
          <w:b/>
          <w:sz w:val="44"/>
          <w:szCs w:val="44"/>
          <w:highlight w:val="none"/>
        </w:rPr>
        <w:t>书</w:t>
      </w:r>
    </w:p>
    <w:p>
      <w:pPr>
        <w:jc w:val="center"/>
        <w:rPr>
          <w:rFonts w:hint="eastAsia" w:ascii="宋体" w:hAnsi="宋体"/>
          <w:highlight w:val="none"/>
        </w:rPr>
      </w:pPr>
    </w:p>
    <w:p>
      <w:pPr>
        <w:jc w:val="center"/>
        <w:rPr>
          <w:rFonts w:hint="eastAsia" w:ascii="宋体" w:hAnsi="宋体"/>
          <w:highlight w:val="none"/>
        </w:rPr>
      </w:pPr>
    </w:p>
    <w:p>
      <w:pPr>
        <w:jc w:val="center"/>
        <w:rPr>
          <w:rFonts w:hint="eastAsia" w:ascii="宋体" w:hAnsi="宋体"/>
          <w:highlight w:val="none"/>
        </w:rPr>
      </w:pPr>
    </w:p>
    <w:p>
      <w:pPr>
        <w:ind w:left="0" w:right="0" w:firstLine="3328" w:firstLineChars="1036"/>
        <w:textAlignment w:val="auto"/>
        <w:rPr>
          <w:rFonts w:hint="eastAsia" w:ascii="宋体" w:hAnsi="宋体"/>
          <w:b/>
          <w:sz w:val="32"/>
          <w:szCs w:val="32"/>
          <w:highlight w:val="none"/>
        </w:rPr>
      </w:pPr>
      <w:r>
        <w:rPr>
          <w:rFonts w:hint="eastAsia" w:ascii="宋体" w:hAnsi="宋体"/>
          <w:b/>
          <w:sz w:val="32"/>
          <w:szCs w:val="32"/>
          <w:highlight w:val="none"/>
        </w:rPr>
        <w:t>编写：</w:t>
      </w:r>
    </w:p>
    <w:p>
      <w:pPr>
        <w:pStyle w:val="2"/>
        <w:ind w:left="0" w:firstLine="0" w:firstLineChars="0"/>
        <w:rPr>
          <w:rFonts w:hint="eastAsia" w:ascii="宋体" w:hAnsi="宋体"/>
          <w:b/>
          <w:sz w:val="32"/>
          <w:szCs w:val="32"/>
          <w:highlight w:val="none"/>
        </w:rPr>
      </w:pPr>
    </w:p>
    <w:p>
      <w:pPr>
        <w:ind w:left="0" w:right="0" w:firstLine="3328" w:firstLineChars="1036"/>
        <w:textAlignment w:val="auto"/>
        <w:rPr>
          <w:rFonts w:ascii="宋体" w:hAnsi="宋体"/>
          <w:b/>
          <w:sz w:val="32"/>
          <w:szCs w:val="32"/>
          <w:highlight w:val="none"/>
        </w:rPr>
      </w:pPr>
      <w:r>
        <w:rPr>
          <w:rFonts w:hint="eastAsia" w:ascii="宋体" w:hAnsi="宋体"/>
          <w:b/>
          <w:sz w:val="32"/>
          <w:szCs w:val="32"/>
          <w:highlight w:val="none"/>
        </w:rPr>
        <w:t>会签：</w:t>
      </w:r>
    </w:p>
    <w:p>
      <w:pPr>
        <w:jc w:val="center"/>
        <w:rPr>
          <w:rFonts w:hint="eastAsia" w:ascii="宋体" w:hAnsi="宋体"/>
          <w:sz w:val="32"/>
          <w:szCs w:val="32"/>
          <w:highlight w:val="none"/>
        </w:rPr>
      </w:pPr>
    </w:p>
    <w:p>
      <w:pPr>
        <w:ind w:left="0" w:right="0" w:firstLine="3328" w:firstLineChars="1036"/>
        <w:textAlignment w:val="auto"/>
        <w:rPr>
          <w:rFonts w:hint="eastAsia" w:ascii="宋体" w:hAnsi="宋体"/>
          <w:sz w:val="32"/>
          <w:szCs w:val="32"/>
          <w:highlight w:val="none"/>
        </w:rPr>
      </w:pPr>
      <w:r>
        <w:rPr>
          <w:rFonts w:hint="eastAsia" w:ascii="宋体" w:hAnsi="宋体"/>
          <w:b/>
          <w:sz w:val="32"/>
          <w:szCs w:val="32"/>
          <w:highlight w:val="none"/>
        </w:rPr>
        <w:t>审核：</w:t>
      </w:r>
    </w:p>
    <w:p>
      <w:pPr>
        <w:jc w:val="center"/>
        <w:rPr>
          <w:rFonts w:hint="eastAsia" w:ascii="宋体" w:hAnsi="宋体"/>
          <w:sz w:val="32"/>
          <w:szCs w:val="32"/>
          <w:highlight w:val="none"/>
        </w:rPr>
      </w:pPr>
    </w:p>
    <w:p>
      <w:pPr>
        <w:ind w:left="0" w:right="0" w:firstLine="3328" w:firstLineChars="1036"/>
        <w:textAlignment w:val="auto"/>
        <w:rPr>
          <w:rFonts w:hint="eastAsia" w:ascii="宋体" w:hAnsi="宋体"/>
          <w:b/>
          <w:sz w:val="32"/>
          <w:szCs w:val="32"/>
          <w:highlight w:val="none"/>
        </w:rPr>
      </w:pPr>
      <w:r>
        <w:rPr>
          <w:rFonts w:hint="eastAsia" w:ascii="宋体" w:hAnsi="宋体"/>
          <w:b/>
          <w:sz w:val="32"/>
          <w:szCs w:val="32"/>
          <w:highlight w:val="none"/>
        </w:rPr>
        <w:t>审定：</w:t>
      </w:r>
    </w:p>
    <w:p>
      <w:pPr>
        <w:ind w:left="0" w:right="0" w:firstLine="3328" w:firstLineChars="1036"/>
        <w:textAlignment w:val="auto"/>
        <w:rPr>
          <w:rFonts w:hint="eastAsia" w:ascii="宋体" w:hAnsi="宋体"/>
          <w:b/>
          <w:sz w:val="32"/>
          <w:szCs w:val="32"/>
          <w:highlight w:val="none"/>
        </w:rPr>
      </w:pPr>
    </w:p>
    <w:p>
      <w:pPr>
        <w:ind w:left="0" w:right="0" w:firstLine="3328" w:firstLineChars="1036"/>
        <w:textAlignment w:val="auto"/>
        <w:rPr>
          <w:rFonts w:hint="eastAsia" w:ascii="宋体" w:hAnsi="宋体"/>
          <w:b/>
          <w:sz w:val="32"/>
          <w:szCs w:val="32"/>
          <w:highlight w:val="none"/>
        </w:rPr>
      </w:pPr>
      <w:r>
        <w:rPr>
          <w:rFonts w:hint="eastAsia" w:ascii="宋体" w:hAnsi="宋体"/>
          <w:b/>
          <w:sz w:val="32"/>
          <w:szCs w:val="32"/>
          <w:highlight w:val="none"/>
        </w:rPr>
        <w:t>批准：</w:t>
      </w:r>
    </w:p>
    <w:p>
      <w:pPr>
        <w:jc w:val="center"/>
        <w:rPr>
          <w:rFonts w:hint="eastAsia" w:ascii="宋体" w:hAnsi="宋体"/>
          <w:highlight w:val="none"/>
        </w:rPr>
      </w:pPr>
    </w:p>
    <w:p>
      <w:pPr>
        <w:jc w:val="center"/>
        <w:rPr>
          <w:rFonts w:hint="eastAsia" w:ascii="宋体" w:hAnsi="宋体"/>
          <w:highlight w:val="none"/>
        </w:rPr>
      </w:pPr>
    </w:p>
    <w:p>
      <w:pPr>
        <w:jc w:val="center"/>
        <w:rPr>
          <w:rFonts w:hint="eastAsia" w:ascii="宋体" w:hAnsi="宋体"/>
          <w:highlight w:val="none"/>
        </w:rPr>
      </w:pPr>
    </w:p>
    <w:p>
      <w:pPr>
        <w:ind w:left="0" w:right="0" w:firstLine="0" w:firstLineChars="0"/>
        <w:jc w:val="center"/>
        <w:textAlignment w:val="auto"/>
        <w:rPr>
          <w:rFonts w:hint="eastAsia" w:ascii="宋体" w:hAnsi="宋体"/>
          <w:b/>
          <w:sz w:val="44"/>
          <w:szCs w:val="44"/>
          <w:highlight w:val="none"/>
        </w:rPr>
      </w:pPr>
      <w:r>
        <w:rPr>
          <w:rFonts w:hint="eastAsia" w:ascii="宋体" w:hAnsi="宋体"/>
          <w:b/>
          <w:sz w:val="44"/>
          <w:szCs w:val="44"/>
          <w:highlight w:val="none"/>
        </w:rPr>
        <w:t>浙江浙能嘉兴海上风力发电有限公司</w:t>
      </w:r>
    </w:p>
    <w:p>
      <w:pPr>
        <w:ind w:left="0" w:right="0" w:firstLine="0" w:firstLineChars="0"/>
        <w:jc w:val="center"/>
        <w:textAlignment w:val="auto"/>
        <w:rPr>
          <w:rFonts w:hint="eastAsia" w:ascii="宋体" w:hAnsi="宋体"/>
          <w:b/>
          <w:sz w:val="44"/>
          <w:szCs w:val="44"/>
          <w:highlight w:val="none"/>
        </w:rPr>
      </w:pPr>
      <w:r>
        <w:rPr>
          <w:rFonts w:hint="eastAsia" w:ascii="宋体" w:hAnsi="宋体"/>
          <w:b/>
          <w:sz w:val="44"/>
          <w:szCs w:val="44"/>
          <w:highlight w:val="none"/>
        </w:rPr>
        <w:t>2025年02月</w:t>
      </w:r>
    </w:p>
    <w:p>
      <w:pPr>
        <w:rPr>
          <w:rFonts w:hint="eastAsia" w:ascii="宋体" w:hAnsi="宋体"/>
          <w:highlight w:val="none"/>
        </w:rPr>
      </w:pPr>
    </w:p>
    <w:p>
      <w:pPr>
        <w:widowControl/>
        <w:spacing w:line="240" w:lineRule="auto"/>
        <w:ind w:left="0" w:right="0" w:firstLine="0" w:firstLineChars="0"/>
        <w:textAlignment w:val="auto"/>
        <w:rPr>
          <w:rFonts w:hint="eastAsia" w:ascii="宋体" w:hAnsi="宋体"/>
          <w:highlight w:val="none"/>
        </w:rPr>
      </w:pPr>
      <w:r>
        <w:rPr>
          <w:rFonts w:ascii="宋体" w:hAnsi="宋体"/>
          <w:highlight w:val="none"/>
        </w:rPr>
        <w:br w:type="page"/>
      </w:r>
    </w:p>
    <w:p>
      <w:pPr>
        <w:rPr>
          <w:rFonts w:hint="eastAsia" w:ascii="宋体" w:hAnsi="宋体"/>
          <w:highlight w:val="none"/>
        </w:rPr>
      </w:pPr>
    </w:p>
    <w:p>
      <w:pPr>
        <w:autoSpaceDE w:val="0"/>
        <w:autoSpaceDN w:val="0"/>
        <w:spacing w:line="500" w:lineRule="exact"/>
        <w:ind w:left="0" w:right="0" w:firstLine="0" w:firstLineChars="0"/>
        <w:jc w:val="center"/>
        <w:textAlignment w:val="auto"/>
        <w:rPr>
          <w:rFonts w:hint="eastAsia" w:ascii="宋体" w:hAnsi="宋体"/>
          <w:b/>
          <w:sz w:val="44"/>
          <w:szCs w:val="44"/>
          <w:highlight w:val="none"/>
        </w:rPr>
      </w:pPr>
      <w:r>
        <w:rPr>
          <w:rFonts w:hint="eastAsia" w:ascii="宋体" w:hAnsi="宋体"/>
          <w:b/>
          <w:sz w:val="44"/>
          <w:szCs w:val="44"/>
          <w:highlight w:val="none"/>
        </w:rPr>
        <w:t>目  录</w:t>
      </w:r>
    </w:p>
    <w:p>
      <w:pPr>
        <w:rPr>
          <w:rFonts w:hint="eastAsia" w:ascii="宋体" w:hAnsi="宋体"/>
          <w:highlight w:val="none"/>
        </w:rPr>
      </w:pPr>
    </w:p>
    <w:p>
      <w:pPr>
        <w:pStyle w:val="10"/>
        <w:rPr>
          <w:rFonts w:hint="eastAsia" w:ascii="Calibri" w:hAnsi="Calibri" w:eastAsia="宋体" w:cs="Arial"/>
          <w:b w:val="0"/>
          <w:kern w:val="2"/>
          <w:sz w:val="22"/>
          <w:szCs w:val="24"/>
          <w:highlight w:val="none"/>
        </w:rPr>
      </w:pPr>
      <w:r>
        <w:rPr>
          <w:rStyle w:val="15"/>
          <w:rFonts w:ascii="宋体" w:hAnsi="宋体" w:eastAsia="宋体"/>
          <w:caps/>
          <w:smallCaps w:val="0"/>
          <w:color w:val="auto"/>
          <w:sz w:val="24"/>
          <w:szCs w:val="24"/>
          <w:highlight w:val="none"/>
        </w:rPr>
        <w:fldChar w:fldCharType="begin"/>
      </w:r>
      <w:r>
        <w:rPr>
          <w:rStyle w:val="15"/>
          <w:rFonts w:ascii="宋体" w:hAnsi="宋体" w:eastAsia="宋体"/>
          <w:caps/>
          <w:smallCaps w:val="0"/>
          <w:color w:val="auto"/>
          <w:sz w:val="24"/>
          <w:szCs w:val="24"/>
          <w:highlight w:val="none"/>
        </w:rPr>
        <w:instrText xml:space="preserve"> TOC \o "1-1" \h \z \u </w:instrText>
      </w:r>
      <w:r>
        <w:rPr>
          <w:bCs/>
          <w:caps/>
          <w:smallCaps w:val="0"/>
          <w:sz w:val="24"/>
          <w:szCs w:val="24"/>
          <w:highlight w:val="none"/>
        </w:rPr>
        <w:fldChar w:fldCharType="separate"/>
      </w:r>
      <w:r>
        <w:rPr>
          <w:highlight w:val="none"/>
        </w:rPr>
        <w:fldChar w:fldCharType="begin"/>
      </w:r>
      <w:r>
        <w:rPr>
          <w:highlight w:val="none"/>
        </w:rPr>
        <w:instrText xml:space="preserve"> HYPERLINK \l "_Toc190301444" </w:instrText>
      </w:r>
      <w:r>
        <w:rPr>
          <w:highlight w:val="none"/>
        </w:rPr>
        <w:fldChar w:fldCharType="separate"/>
      </w:r>
      <w:r>
        <w:rPr>
          <w:rFonts w:hint="eastAsia"/>
          <w:bCs/>
          <w:highlight w:val="none"/>
        </w:rPr>
        <w:t>附件1 技术规范</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_Toc190301444 \h</w:instrText>
      </w:r>
      <w:r>
        <w:rPr>
          <w:rFonts w:hint="eastAsia"/>
          <w:highlight w:val="none"/>
        </w:rPr>
        <w:instrText xml:space="preserve"> </w:instrText>
      </w:r>
      <w:r>
        <w:rPr>
          <w:rFonts w:hint="eastAsia"/>
          <w:highlight w:val="none"/>
        </w:rPr>
        <w:fldChar w:fldCharType="separate"/>
      </w:r>
      <w:r>
        <w:rPr>
          <w:highlight w:val="none"/>
        </w:rPr>
        <w:t>3</w:t>
      </w:r>
      <w:r>
        <w:rPr>
          <w:rFonts w:hint="eastAsia"/>
          <w:highlight w:val="none"/>
        </w:rPr>
        <w:fldChar w:fldCharType="end"/>
      </w:r>
      <w:r>
        <w:rPr>
          <w:rFonts w:hint="eastAsia"/>
          <w:highlight w:val="none"/>
        </w:rPr>
        <w:fldChar w:fldCharType="end"/>
      </w:r>
    </w:p>
    <w:p>
      <w:pPr>
        <w:pStyle w:val="10"/>
        <w:rPr>
          <w:rFonts w:hint="eastAsia" w:ascii="Calibri" w:hAnsi="Calibri" w:eastAsia="宋体" w:cs="Arial"/>
          <w:b w:val="0"/>
          <w:kern w:val="2"/>
          <w:sz w:val="22"/>
          <w:szCs w:val="24"/>
          <w:highlight w:val="none"/>
        </w:rPr>
      </w:pPr>
      <w:r>
        <w:rPr>
          <w:highlight w:val="none"/>
        </w:rPr>
        <w:fldChar w:fldCharType="begin"/>
      </w:r>
      <w:r>
        <w:rPr>
          <w:highlight w:val="none"/>
        </w:rPr>
        <w:instrText xml:space="preserve"> HYPERLINK \l "_Toc190301445" </w:instrText>
      </w:r>
      <w:r>
        <w:rPr>
          <w:highlight w:val="none"/>
        </w:rPr>
        <w:fldChar w:fldCharType="separate"/>
      </w:r>
      <w:r>
        <w:rPr>
          <w:rFonts w:hint="eastAsia"/>
          <w:bCs/>
          <w:highlight w:val="none"/>
        </w:rPr>
        <w:t>附件3 技术资料及交付进度</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_Toc190301445 \h</w:instrText>
      </w:r>
      <w:r>
        <w:rPr>
          <w:rFonts w:hint="eastAsia"/>
          <w:highlight w:val="none"/>
        </w:rPr>
        <w:instrText xml:space="preserve"> </w:instrText>
      </w:r>
      <w:r>
        <w:rPr>
          <w:rFonts w:hint="eastAsia"/>
          <w:highlight w:val="none"/>
        </w:rPr>
        <w:fldChar w:fldCharType="separate"/>
      </w:r>
      <w:r>
        <w:rPr>
          <w:highlight w:val="none"/>
        </w:rPr>
        <w:t>23</w:t>
      </w:r>
      <w:r>
        <w:rPr>
          <w:rFonts w:hint="eastAsia"/>
          <w:highlight w:val="none"/>
        </w:rPr>
        <w:fldChar w:fldCharType="end"/>
      </w:r>
      <w:r>
        <w:rPr>
          <w:rFonts w:hint="eastAsia"/>
          <w:highlight w:val="none"/>
        </w:rPr>
        <w:fldChar w:fldCharType="end"/>
      </w:r>
    </w:p>
    <w:p>
      <w:pPr>
        <w:pStyle w:val="10"/>
        <w:rPr>
          <w:rFonts w:hint="eastAsia" w:ascii="Calibri" w:hAnsi="Calibri" w:eastAsia="宋体" w:cs="Arial"/>
          <w:b w:val="0"/>
          <w:kern w:val="2"/>
          <w:sz w:val="22"/>
          <w:szCs w:val="24"/>
          <w:highlight w:val="none"/>
        </w:rPr>
      </w:pPr>
      <w:r>
        <w:rPr>
          <w:highlight w:val="none"/>
        </w:rPr>
        <w:fldChar w:fldCharType="begin"/>
      </w:r>
      <w:r>
        <w:rPr>
          <w:highlight w:val="none"/>
        </w:rPr>
        <w:instrText xml:space="preserve"> HYPERLINK \l "_Toc190301446" </w:instrText>
      </w:r>
      <w:r>
        <w:rPr>
          <w:highlight w:val="none"/>
        </w:rPr>
        <w:fldChar w:fldCharType="separate"/>
      </w:r>
      <w:r>
        <w:rPr>
          <w:rFonts w:hint="eastAsia"/>
          <w:bCs/>
          <w:highlight w:val="none"/>
        </w:rPr>
        <w:t>附件4 设备交货进度</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_Toc190301446 \h</w:instrText>
      </w:r>
      <w:r>
        <w:rPr>
          <w:rFonts w:hint="eastAsia"/>
          <w:highlight w:val="none"/>
        </w:rPr>
        <w:instrText xml:space="preserve"> </w:instrText>
      </w:r>
      <w:r>
        <w:rPr>
          <w:rFonts w:hint="eastAsia"/>
          <w:highlight w:val="none"/>
        </w:rPr>
        <w:fldChar w:fldCharType="separate"/>
      </w:r>
      <w:r>
        <w:rPr>
          <w:highlight w:val="none"/>
        </w:rPr>
        <w:t>25</w:t>
      </w:r>
      <w:r>
        <w:rPr>
          <w:rFonts w:hint="eastAsia"/>
          <w:highlight w:val="none"/>
        </w:rPr>
        <w:fldChar w:fldCharType="end"/>
      </w:r>
      <w:r>
        <w:rPr>
          <w:rFonts w:hint="eastAsia"/>
          <w:highlight w:val="none"/>
        </w:rPr>
        <w:fldChar w:fldCharType="end"/>
      </w:r>
    </w:p>
    <w:p>
      <w:pPr>
        <w:pStyle w:val="10"/>
        <w:rPr>
          <w:rFonts w:hint="eastAsia" w:ascii="Calibri" w:hAnsi="Calibri" w:eastAsia="宋体" w:cs="Arial"/>
          <w:b w:val="0"/>
          <w:kern w:val="2"/>
          <w:sz w:val="22"/>
          <w:szCs w:val="24"/>
          <w:highlight w:val="none"/>
        </w:rPr>
      </w:pPr>
      <w:r>
        <w:rPr>
          <w:highlight w:val="none"/>
        </w:rPr>
        <w:fldChar w:fldCharType="begin"/>
      </w:r>
      <w:r>
        <w:rPr>
          <w:highlight w:val="none"/>
        </w:rPr>
        <w:instrText xml:space="preserve"> HYPERLINK \l "_Toc190301447" </w:instrText>
      </w:r>
      <w:r>
        <w:rPr>
          <w:highlight w:val="none"/>
        </w:rPr>
        <w:fldChar w:fldCharType="separate"/>
      </w:r>
      <w:r>
        <w:rPr>
          <w:rFonts w:hint="eastAsia"/>
          <w:bCs/>
          <w:highlight w:val="none"/>
        </w:rPr>
        <w:t>附件5 验收</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_Toc190301447 \h</w:instrText>
      </w:r>
      <w:r>
        <w:rPr>
          <w:rFonts w:hint="eastAsia"/>
          <w:highlight w:val="none"/>
        </w:rPr>
        <w:instrText xml:space="preserve"> </w:instrText>
      </w:r>
      <w:r>
        <w:rPr>
          <w:rFonts w:hint="eastAsia"/>
          <w:highlight w:val="none"/>
        </w:rPr>
        <w:fldChar w:fldCharType="separate"/>
      </w:r>
      <w:r>
        <w:rPr>
          <w:highlight w:val="none"/>
        </w:rPr>
        <w:t>26</w:t>
      </w:r>
      <w:r>
        <w:rPr>
          <w:rFonts w:hint="eastAsia"/>
          <w:highlight w:val="none"/>
        </w:rPr>
        <w:fldChar w:fldCharType="end"/>
      </w:r>
      <w:r>
        <w:rPr>
          <w:rFonts w:hint="eastAsia"/>
          <w:highlight w:val="none"/>
        </w:rPr>
        <w:fldChar w:fldCharType="end"/>
      </w:r>
    </w:p>
    <w:p>
      <w:pPr>
        <w:pStyle w:val="10"/>
        <w:rPr>
          <w:rFonts w:hint="eastAsia" w:ascii="Calibri" w:hAnsi="Calibri" w:eastAsia="宋体" w:cs="Arial"/>
          <w:b w:val="0"/>
          <w:kern w:val="2"/>
          <w:sz w:val="22"/>
          <w:szCs w:val="24"/>
          <w:highlight w:val="none"/>
        </w:rPr>
      </w:pPr>
      <w:r>
        <w:rPr>
          <w:highlight w:val="none"/>
        </w:rPr>
        <w:fldChar w:fldCharType="begin"/>
      </w:r>
      <w:r>
        <w:rPr>
          <w:highlight w:val="none"/>
        </w:rPr>
        <w:instrText xml:space="preserve"> HYPERLINK \l "_Toc190301448" </w:instrText>
      </w:r>
      <w:r>
        <w:rPr>
          <w:highlight w:val="none"/>
        </w:rPr>
        <w:fldChar w:fldCharType="separate"/>
      </w:r>
      <w:r>
        <w:rPr>
          <w:rFonts w:hint="eastAsia"/>
          <w:bCs/>
          <w:highlight w:val="none"/>
        </w:rPr>
        <w:t>附件6 技术服务和联络</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_Toc190301448 \h</w:instrText>
      </w:r>
      <w:r>
        <w:rPr>
          <w:rFonts w:hint="eastAsia"/>
          <w:highlight w:val="none"/>
        </w:rPr>
        <w:instrText xml:space="preserve"> </w:instrText>
      </w:r>
      <w:r>
        <w:rPr>
          <w:rFonts w:hint="eastAsia"/>
          <w:highlight w:val="none"/>
        </w:rPr>
        <w:fldChar w:fldCharType="separate"/>
      </w:r>
      <w:r>
        <w:rPr>
          <w:highlight w:val="none"/>
        </w:rPr>
        <w:t>27</w:t>
      </w:r>
      <w:r>
        <w:rPr>
          <w:rFonts w:hint="eastAsia"/>
          <w:highlight w:val="none"/>
        </w:rPr>
        <w:fldChar w:fldCharType="end"/>
      </w:r>
      <w:r>
        <w:rPr>
          <w:rFonts w:hint="eastAsia"/>
          <w:highlight w:val="none"/>
        </w:rPr>
        <w:fldChar w:fldCharType="end"/>
      </w:r>
    </w:p>
    <w:p>
      <w:pPr>
        <w:pStyle w:val="10"/>
        <w:rPr>
          <w:rFonts w:hint="eastAsia" w:ascii="Calibri" w:hAnsi="Calibri" w:eastAsia="宋体" w:cs="Arial"/>
          <w:b w:val="0"/>
          <w:kern w:val="2"/>
          <w:sz w:val="22"/>
          <w:szCs w:val="24"/>
          <w:highlight w:val="none"/>
        </w:rPr>
      </w:pPr>
      <w:r>
        <w:rPr>
          <w:highlight w:val="none"/>
        </w:rPr>
        <w:fldChar w:fldCharType="begin"/>
      </w:r>
      <w:r>
        <w:rPr>
          <w:highlight w:val="none"/>
        </w:rPr>
        <w:instrText xml:space="preserve"> HYPERLINK \l "_Toc190301449" </w:instrText>
      </w:r>
      <w:r>
        <w:rPr>
          <w:highlight w:val="none"/>
        </w:rPr>
        <w:fldChar w:fldCharType="separate"/>
      </w:r>
      <w:r>
        <w:rPr>
          <w:rFonts w:hint="eastAsia"/>
          <w:bCs/>
          <w:highlight w:val="none"/>
        </w:rPr>
        <w:t>附件7 技术差异表</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_Toc190301449 \h</w:instrText>
      </w:r>
      <w:r>
        <w:rPr>
          <w:rFonts w:hint="eastAsia"/>
          <w:highlight w:val="none"/>
        </w:rPr>
        <w:instrText xml:space="preserve"> </w:instrText>
      </w:r>
      <w:r>
        <w:rPr>
          <w:rFonts w:hint="eastAsia"/>
          <w:highlight w:val="none"/>
        </w:rPr>
        <w:fldChar w:fldCharType="separate"/>
      </w:r>
      <w:r>
        <w:rPr>
          <w:highlight w:val="none"/>
        </w:rPr>
        <w:t>29</w:t>
      </w:r>
      <w:r>
        <w:rPr>
          <w:rFonts w:hint="eastAsia"/>
          <w:highlight w:val="none"/>
        </w:rPr>
        <w:fldChar w:fldCharType="end"/>
      </w:r>
      <w:r>
        <w:rPr>
          <w:rFonts w:hint="eastAsia"/>
          <w:highlight w:val="none"/>
        </w:rPr>
        <w:fldChar w:fldCharType="end"/>
      </w:r>
    </w:p>
    <w:p>
      <w:pPr>
        <w:pStyle w:val="10"/>
        <w:rPr>
          <w:rFonts w:hint="eastAsia" w:ascii="Calibri" w:hAnsi="Calibri" w:eastAsia="宋体" w:cs="Arial"/>
          <w:b w:val="0"/>
          <w:kern w:val="2"/>
          <w:sz w:val="22"/>
          <w:szCs w:val="24"/>
          <w:highlight w:val="none"/>
        </w:rPr>
      </w:pPr>
      <w:r>
        <w:rPr>
          <w:highlight w:val="none"/>
        </w:rPr>
        <w:fldChar w:fldCharType="begin"/>
      </w:r>
      <w:r>
        <w:rPr>
          <w:highlight w:val="none"/>
        </w:rPr>
        <w:instrText xml:space="preserve"> HYPERLINK \l "_Toc190301450" </w:instrText>
      </w:r>
      <w:r>
        <w:rPr>
          <w:highlight w:val="none"/>
        </w:rPr>
        <w:fldChar w:fldCharType="separate"/>
      </w:r>
      <w:r>
        <w:rPr>
          <w:rFonts w:hint="eastAsia"/>
          <w:bCs/>
          <w:highlight w:val="none"/>
        </w:rPr>
        <w:t>附件8  性能考核条款</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_Toc190301450 \h</w:instrText>
      </w:r>
      <w:r>
        <w:rPr>
          <w:rFonts w:hint="eastAsia"/>
          <w:highlight w:val="none"/>
        </w:rPr>
        <w:instrText xml:space="preserve"> </w:instrText>
      </w:r>
      <w:r>
        <w:rPr>
          <w:rFonts w:hint="eastAsia"/>
          <w:highlight w:val="none"/>
        </w:rPr>
        <w:fldChar w:fldCharType="separate"/>
      </w:r>
      <w:r>
        <w:rPr>
          <w:highlight w:val="none"/>
        </w:rPr>
        <w:t>30</w:t>
      </w:r>
      <w:r>
        <w:rPr>
          <w:rFonts w:hint="eastAsia"/>
          <w:highlight w:val="none"/>
        </w:rPr>
        <w:fldChar w:fldCharType="end"/>
      </w:r>
      <w:r>
        <w:rPr>
          <w:rFonts w:hint="eastAsia"/>
          <w:highlight w:val="none"/>
        </w:rPr>
        <w:fldChar w:fldCharType="end"/>
      </w:r>
    </w:p>
    <w:p>
      <w:pPr>
        <w:pStyle w:val="10"/>
        <w:rPr>
          <w:rFonts w:hint="eastAsia" w:ascii="Calibri" w:hAnsi="Calibri" w:eastAsia="宋体" w:cs="Arial"/>
          <w:b w:val="0"/>
          <w:kern w:val="2"/>
          <w:sz w:val="22"/>
          <w:szCs w:val="24"/>
          <w:highlight w:val="none"/>
        </w:rPr>
      </w:pPr>
      <w:r>
        <w:rPr>
          <w:highlight w:val="none"/>
        </w:rPr>
        <w:fldChar w:fldCharType="begin"/>
      </w:r>
      <w:r>
        <w:rPr>
          <w:highlight w:val="none"/>
        </w:rPr>
        <w:instrText xml:space="preserve"> HYPERLINK \l "_Toc190301451" </w:instrText>
      </w:r>
      <w:r>
        <w:rPr>
          <w:rFonts w:hint="eastAsia"/>
          <w:highlight w:val="none"/>
        </w:rPr>
        <w:fldChar w:fldCharType="separate"/>
      </w:r>
      <w:r>
        <w:rPr>
          <w:rFonts w:hint="eastAsia"/>
          <w:bCs/>
          <w:highlight w:val="none"/>
        </w:rPr>
        <w:t>附件9 投标人需要说明的其他问题</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_Toc190301451 \h</w:instrText>
      </w:r>
      <w:r>
        <w:rPr>
          <w:rFonts w:hint="eastAsia"/>
          <w:highlight w:val="none"/>
        </w:rPr>
        <w:instrText xml:space="preserve"> </w:instrText>
      </w:r>
      <w:r>
        <w:rPr>
          <w:rFonts w:hint="eastAsia"/>
          <w:highlight w:val="none"/>
        </w:rPr>
        <w:fldChar w:fldCharType="separate"/>
      </w:r>
      <w:r>
        <w:rPr>
          <w:highlight w:val="none"/>
        </w:rPr>
        <w:t>31</w:t>
      </w:r>
      <w:r>
        <w:rPr>
          <w:rFonts w:hint="eastAsia"/>
          <w:highlight w:val="none"/>
        </w:rPr>
        <w:fldChar w:fldCharType="end"/>
      </w:r>
      <w:r>
        <w:rPr>
          <w:rFonts w:hint="eastAsia"/>
          <w:highlight w:val="none"/>
        </w:rPr>
        <w:fldChar w:fldCharType="end"/>
      </w:r>
    </w:p>
    <w:p>
      <w:pPr>
        <w:ind w:left="718" w:firstLine="0" w:firstLineChars="0"/>
        <w:rPr>
          <w:rFonts w:hint="eastAsia" w:ascii="宋体" w:hAnsi="宋体"/>
          <w:highlight w:val="none"/>
        </w:rPr>
      </w:pPr>
      <w:r>
        <w:rPr>
          <w:rFonts w:ascii="宋体" w:hAnsi="宋体"/>
          <w:highlight w:val="none"/>
        </w:rPr>
        <w:fldChar w:fldCharType="end"/>
      </w:r>
    </w:p>
    <w:p>
      <w:pPr>
        <w:rPr>
          <w:rFonts w:hint="eastAsia" w:ascii="宋体" w:hAnsi="宋体"/>
          <w:kern w:val="44"/>
          <w:sz w:val="32"/>
          <w:szCs w:val="20"/>
          <w:highlight w:val="none"/>
        </w:rPr>
      </w:pPr>
      <w:r>
        <w:rPr>
          <w:rFonts w:ascii="宋体" w:hAnsi="宋体"/>
          <w:highlight w:val="none"/>
        </w:rPr>
        <w:br w:type="page"/>
      </w:r>
    </w:p>
    <w:p>
      <w:pPr>
        <w:rPr>
          <w:rFonts w:hint="eastAsia" w:ascii="宋体" w:hAnsi="宋体"/>
          <w:highlight w:val="none"/>
        </w:rPr>
        <w:sectPr>
          <w:headerReference r:id="rId5" w:type="default"/>
          <w:footerReference r:id="rId6" w:type="default"/>
          <w:pgSz w:w="11907" w:h="16840"/>
          <w:pgMar w:top="1418" w:right="1531" w:bottom="1418" w:left="1701" w:header="851" w:footer="851" w:gutter="0"/>
          <w:cols w:space="720" w:num="1"/>
          <w:docGrid w:linePitch="312" w:charSpace="0"/>
        </w:sectPr>
      </w:pPr>
    </w:p>
    <w:p>
      <w:pPr>
        <w:rPr>
          <w:rFonts w:hint="eastAsia" w:ascii="宋体" w:hAnsi="宋体"/>
          <w:highlight w:val="none"/>
        </w:rPr>
      </w:pPr>
    </w:p>
    <w:p>
      <w:pPr>
        <w:pStyle w:val="3"/>
        <w:spacing w:before="300" w:after="300"/>
        <w:ind w:left="0" w:right="0"/>
        <w:jc w:val="both"/>
        <w:textAlignment w:val="auto"/>
        <w:rPr>
          <w:rFonts w:hint="eastAsia" w:ascii="宋体" w:hAnsi="宋体" w:eastAsia="宋体"/>
          <w:b/>
          <w:bCs/>
          <w:color w:val="auto"/>
          <w:sz w:val="30"/>
          <w:szCs w:val="30"/>
          <w:highlight w:val="none"/>
        </w:rPr>
      </w:pPr>
      <w:bookmarkStart w:id="4" w:name="_Toc190301444"/>
      <w:r>
        <w:rPr>
          <w:rFonts w:hint="eastAsia" w:ascii="宋体" w:hAnsi="宋体" w:eastAsia="宋体"/>
          <w:b/>
          <w:bCs/>
          <w:color w:val="auto"/>
          <w:sz w:val="30"/>
          <w:szCs w:val="30"/>
          <w:highlight w:val="none"/>
        </w:rPr>
        <w:t>附件</w:t>
      </w:r>
      <w:r>
        <w:rPr>
          <w:rFonts w:ascii="宋体" w:hAnsi="宋体" w:eastAsia="宋体"/>
          <w:b/>
          <w:bCs/>
          <w:color w:val="auto"/>
          <w:sz w:val="30"/>
          <w:szCs w:val="30"/>
          <w:highlight w:val="none"/>
        </w:rPr>
        <w:t>1</w:t>
      </w:r>
      <w:r>
        <w:rPr>
          <w:rFonts w:hint="eastAsia" w:ascii="宋体" w:hAnsi="宋体" w:eastAsia="宋体"/>
          <w:b/>
          <w:bCs/>
          <w:color w:val="auto"/>
          <w:sz w:val="30"/>
          <w:szCs w:val="30"/>
          <w:highlight w:val="none"/>
        </w:rPr>
        <w:t xml:space="preserve"> 技术规范</w:t>
      </w:r>
      <w:bookmarkEnd w:id="4"/>
    </w:p>
    <w:p>
      <w:pPr>
        <w:pStyle w:val="4"/>
        <w:spacing w:before="200" w:after="200"/>
        <w:ind w:left="0" w:right="0"/>
        <w:jc w:val="both"/>
        <w:textAlignment w:val="auto"/>
        <w:rPr>
          <w:rFonts w:hint="eastAsia" w:ascii="宋体" w:hAnsi="宋体" w:eastAsia="宋体"/>
          <w:b/>
          <w:color w:val="auto"/>
          <w:sz w:val="28"/>
          <w:szCs w:val="28"/>
          <w:highlight w:val="none"/>
        </w:rPr>
      </w:pPr>
      <w:bookmarkStart w:id="5" w:name="_Toc170270571"/>
      <w:bookmarkStart w:id="6" w:name="_Toc170462597"/>
      <w:bookmarkStart w:id="7" w:name="_Toc96238072"/>
      <w:r>
        <w:rPr>
          <w:rFonts w:ascii="宋体" w:hAnsi="宋体" w:eastAsia="宋体"/>
          <w:b/>
          <w:color w:val="auto"/>
          <w:sz w:val="28"/>
          <w:szCs w:val="28"/>
          <w:highlight w:val="none"/>
        </w:rPr>
        <w:t>1</w:t>
      </w:r>
      <w:r>
        <w:rPr>
          <w:rFonts w:hint="eastAsia" w:ascii="宋体" w:hAnsi="宋体" w:eastAsia="宋体"/>
          <w:b/>
          <w:color w:val="auto"/>
          <w:sz w:val="28"/>
          <w:szCs w:val="28"/>
          <w:highlight w:val="none"/>
        </w:rPr>
        <w:t xml:space="preserve"> 总则</w:t>
      </w:r>
      <w:bookmarkEnd w:id="5"/>
      <w:bookmarkEnd w:id="6"/>
      <w:bookmarkEnd w:id="7"/>
    </w:p>
    <w:p>
      <w:pPr>
        <w:rPr>
          <w:rFonts w:hint="eastAsia" w:ascii="宋体" w:hAnsi="宋体"/>
          <w:highlight w:val="none"/>
        </w:rPr>
      </w:pPr>
      <w:r>
        <w:rPr>
          <w:rFonts w:ascii="宋体" w:hAnsi="宋体"/>
          <w:highlight w:val="none"/>
        </w:rPr>
        <w:t>1.1</w:t>
      </w:r>
      <w:r>
        <w:rPr>
          <w:rFonts w:hint="eastAsia" w:ascii="宋体" w:hAnsi="宋体"/>
          <w:highlight w:val="none"/>
        </w:rPr>
        <w:t>本技术规范书适用于</w:t>
      </w:r>
      <w:bookmarkStart w:id="8" w:name="_Hlk187914428"/>
      <w:r>
        <w:rPr>
          <w:rFonts w:hint="eastAsia" w:ascii="宋体" w:hAnsi="宋体"/>
          <w:highlight w:val="none"/>
        </w:rPr>
        <w:t>浙江浙能嘉兴海上风电有限公司</w:t>
      </w:r>
      <w:bookmarkStart w:id="9" w:name="_Hlk190245199"/>
      <w:r>
        <w:rPr>
          <w:rFonts w:hint="eastAsia" w:ascii="宋体" w:hAnsi="宋体"/>
          <w:highlight w:val="none"/>
        </w:rPr>
        <w:t>监控提升改造</w:t>
      </w:r>
      <w:bookmarkEnd w:id="9"/>
      <w:r>
        <w:rPr>
          <w:rFonts w:hint="eastAsia" w:ascii="宋体" w:hAnsi="宋体"/>
          <w:highlight w:val="none"/>
        </w:rPr>
        <w:t>生产性技术改造项目</w:t>
      </w:r>
      <w:bookmarkEnd w:id="8"/>
      <w:r>
        <w:rPr>
          <w:rFonts w:hint="eastAsia" w:ascii="宋体" w:hAnsi="宋体"/>
          <w:highlight w:val="none"/>
        </w:rPr>
        <w:t>,其包含项目所有软硬件设备的</w:t>
      </w:r>
      <w:r>
        <w:rPr>
          <w:rFonts w:ascii="宋体" w:hAnsi="宋体"/>
          <w:highlight w:val="none"/>
        </w:rPr>
        <w:t>功能设计、</w:t>
      </w:r>
      <w:r>
        <w:rPr>
          <w:rFonts w:hint="eastAsia" w:ascii="宋体" w:hAnsi="宋体"/>
          <w:highlight w:val="none"/>
        </w:rPr>
        <w:t>实施、安装</w:t>
      </w:r>
      <w:r>
        <w:rPr>
          <w:rFonts w:ascii="宋体" w:hAnsi="宋体"/>
          <w:highlight w:val="none"/>
        </w:rPr>
        <w:t>、</w:t>
      </w:r>
      <w:r>
        <w:rPr>
          <w:rFonts w:hint="eastAsia" w:ascii="宋体" w:hAnsi="宋体"/>
          <w:highlight w:val="none"/>
        </w:rPr>
        <w:t>调试、培训</w:t>
      </w:r>
      <w:r>
        <w:rPr>
          <w:rFonts w:ascii="宋体" w:hAnsi="宋体"/>
          <w:highlight w:val="none"/>
        </w:rPr>
        <w:t>等方面的</w:t>
      </w:r>
      <w:r>
        <w:rPr>
          <w:rFonts w:hint="eastAsia" w:ascii="宋体" w:hAnsi="宋体"/>
          <w:highlight w:val="none"/>
        </w:rPr>
        <w:t>技术要求。</w:t>
      </w:r>
    </w:p>
    <w:p>
      <w:pPr>
        <w:rPr>
          <w:rFonts w:hint="eastAsia" w:ascii="宋体" w:hAnsi="宋体"/>
          <w:highlight w:val="none"/>
        </w:rPr>
      </w:pPr>
      <w:r>
        <w:rPr>
          <w:rFonts w:ascii="宋体" w:hAnsi="宋体"/>
          <w:highlight w:val="none"/>
        </w:rPr>
        <w:t>1.2</w:t>
      </w:r>
      <w:r>
        <w:rPr>
          <w:rFonts w:hint="eastAsia" w:ascii="宋体" w:hAnsi="宋体"/>
          <w:highlight w:val="none"/>
        </w:rPr>
        <w:t>招标人在本技术规范书中提出了最低限度的技术要求，</w:t>
      </w:r>
      <w:r>
        <w:rPr>
          <w:rFonts w:ascii="宋体" w:hAnsi="宋体"/>
          <w:highlight w:val="none"/>
        </w:rPr>
        <w:t>并未对一切技术细节</w:t>
      </w:r>
      <w:r>
        <w:rPr>
          <w:rFonts w:hint="eastAsia" w:ascii="宋体" w:hAnsi="宋体"/>
          <w:highlight w:val="none"/>
        </w:rPr>
        <w:t>做出规定</w:t>
      </w:r>
      <w:r>
        <w:rPr>
          <w:rFonts w:ascii="宋体" w:hAnsi="宋体"/>
          <w:highlight w:val="none"/>
        </w:rPr>
        <w:t>，也</w:t>
      </w:r>
      <w:r>
        <w:rPr>
          <w:rFonts w:hint="eastAsia" w:ascii="宋体" w:hAnsi="宋体"/>
          <w:highlight w:val="none"/>
        </w:rPr>
        <w:t>未</w:t>
      </w:r>
      <w:r>
        <w:rPr>
          <w:rFonts w:ascii="宋体" w:hAnsi="宋体"/>
          <w:highlight w:val="none"/>
        </w:rPr>
        <w:t>充分引述有关标准和规范条文</w:t>
      </w:r>
      <w:r>
        <w:rPr>
          <w:rFonts w:hint="eastAsia" w:ascii="宋体" w:hAnsi="宋体"/>
          <w:highlight w:val="none"/>
        </w:rPr>
        <w:t>，投标人应提供一套满足本技术规范书和</w:t>
      </w:r>
      <w:r>
        <w:rPr>
          <w:rFonts w:ascii="宋体" w:hAnsi="宋体"/>
          <w:highlight w:val="none"/>
        </w:rPr>
        <w:t>符合国家或国际标准的优质产品及其相应的服务</w:t>
      </w:r>
      <w:r>
        <w:rPr>
          <w:rFonts w:ascii="宋体" w:hAnsi="宋体" w:cs="Arial"/>
          <w:highlight w:val="none"/>
        </w:rPr>
        <w:t>。</w:t>
      </w:r>
      <w:r>
        <w:rPr>
          <w:rFonts w:hint="eastAsia" w:ascii="宋体" w:hAnsi="宋体"/>
          <w:highlight w:val="none"/>
        </w:rPr>
        <w:t>有矛盾时，按较高标准执行。所有标准都会被修订，投标人在实施过程中应执行最新版本。</w:t>
      </w:r>
    </w:p>
    <w:p>
      <w:pPr>
        <w:rPr>
          <w:rFonts w:hint="eastAsia" w:ascii="宋体" w:hAnsi="宋体"/>
          <w:highlight w:val="none"/>
        </w:rPr>
      </w:pPr>
      <w:r>
        <w:rPr>
          <w:rFonts w:hint="eastAsia" w:ascii="宋体" w:hAnsi="宋体"/>
          <w:highlight w:val="none"/>
        </w:rPr>
        <w:t>1.3投标人如对本技术规范书有偏差（无论多少或大小），都必须清楚地表示在本技术规范书的“差异表”中，否则招标人将认为投标人完全接受和同意本技术规范书的要求。投标人如有优于本技术规范书基本要求的条款，也应在投标文件中进行特殊说明</w:t>
      </w:r>
      <w:r>
        <w:rPr>
          <w:rFonts w:hint="eastAsia" w:ascii="宋体" w:hAnsi="宋体"/>
          <w:snapToGrid w:val="0"/>
          <w:highlight w:val="none"/>
        </w:rPr>
        <w:t>。</w:t>
      </w:r>
    </w:p>
    <w:p>
      <w:pPr>
        <w:rPr>
          <w:rFonts w:hint="eastAsia" w:ascii="宋体" w:hAnsi="宋体"/>
          <w:highlight w:val="none"/>
        </w:rPr>
      </w:pPr>
      <w:r>
        <w:rPr>
          <w:rFonts w:hint="eastAsia" w:ascii="宋体" w:hAnsi="宋体"/>
          <w:highlight w:val="none"/>
        </w:rPr>
        <w:t>1.4招标人有权修改本技术规范书。合同谈判将以本技术规范书为基础，并列入投标人所认可的技术偏差，最终确定的技术要求作为合同的附件，并与合同文件具有同等法律效力。</w:t>
      </w:r>
    </w:p>
    <w:p>
      <w:pPr>
        <w:rPr>
          <w:rFonts w:hint="eastAsia" w:ascii="宋体" w:hAnsi="宋体"/>
          <w:highlight w:val="none"/>
        </w:rPr>
      </w:pPr>
      <w:r>
        <w:rPr>
          <w:rFonts w:hint="eastAsia" w:ascii="宋体" w:hAnsi="宋体"/>
          <w:highlight w:val="none"/>
        </w:rPr>
        <w:t>1.5</w:t>
      </w:r>
      <w:r>
        <w:rPr>
          <w:rFonts w:ascii="宋体" w:hAnsi="宋体" w:cs="Arial"/>
          <w:highlight w:val="none"/>
        </w:rPr>
        <w:t>投标人对供货范围内的</w:t>
      </w:r>
      <w:r>
        <w:rPr>
          <w:rFonts w:hint="eastAsia" w:ascii="宋体" w:hAnsi="宋体" w:cs="Arial"/>
          <w:highlight w:val="none"/>
        </w:rPr>
        <w:t>所有</w:t>
      </w:r>
      <w:r>
        <w:rPr>
          <w:rFonts w:hint="eastAsia" w:ascii="宋体" w:hAnsi="宋体"/>
          <w:highlight w:val="none"/>
        </w:rPr>
        <w:t>软硬件设备</w:t>
      </w:r>
      <w:r>
        <w:rPr>
          <w:rFonts w:ascii="宋体" w:hAnsi="宋体" w:cs="Arial"/>
          <w:highlight w:val="none"/>
        </w:rPr>
        <w:t>负有全责，即包括分包（或对外采购）的产品。</w:t>
      </w:r>
      <w:r>
        <w:rPr>
          <w:rFonts w:hint="eastAsia" w:ascii="宋体" w:hAnsi="宋体"/>
          <w:highlight w:val="none"/>
        </w:rPr>
        <w:t>设备采用的专利涉及到的全部费用均被认为已包含在设备中，投标人保证招标人不承担有关设备专利的一切责任。</w:t>
      </w:r>
    </w:p>
    <w:p>
      <w:pPr>
        <w:rPr>
          <w:rFonts w:hint="eastAsia" w:ascii="宋体" w:hAnsi="宋体"/>
          <w:highlight w:val="none"/>
        </w:rPr>
      </w:pPr>
      <w:bookmarkStart w:id="10" w:name="_Hlt37418005"/>
      <w:bookmarkEnd w:id="10"/>
      <w:r>
        <w:rPr>
          <w:rFonts w:hint="eastAsia" w:ascii="宋体" w:hAnsi="宋体"/>
          <w:highlight w:val="none"/>
        </w:rPr>
        <w:t>1.6招标人对于投标人设计方案和图纸的确认，并不代表招标人将为相关的系统设计承担责任，投标人完全保证所供设备的安全可靠性、合理性、完整性和优良性。无论是否经过招标人确认，投标人都无条件对设备中的缺陷、不足和与合同不符的地方进行修改、补充或更换，而不增加任何费用。</w:t>
      </w:r>
    </w:p>
    <w:p>
      <w:pPr>
        <w:rPr>
          <w:rFonts w:hint="eastAsia" w:ascii="宋体" w:hAnsi="宋体"/>
          <w:highlight w:val="none"/>
        </w:rPr>
      </w:pPr>
      <w:r>
        <w:rPr>
          <w:rFonts w:hint="eastAsia" w:ascii="宋体" w:hAnsi="宋体"/>
          <w:highlight w:val="none"/>
        </w:rPr>
        <w:t>1.7投标人应在投标文件中，对于技术规范书进行逐段应答，表明是否接受和同意本技术规范书的要求，如：接受和同意技术规范书某条款的要求，则在该条款后注明：“理解并承诺完全响应上述条款的要求”；若针对某条款，投标人有特别的建议、方案、技术特点或差异，请在该条款下加以描述和说明。</w:t>
      </w:r>
    </w:p>
    <w:p>
      <w:pPr>
        <w:rPr>
          <w:rFonts w:hint="eastAsia" w:ascii="宋体" w:hAnsi="宋体" w:cs="Arial"/>
          <w:highlight w:val="none"/>
        </w:rPr>
      </w:pPr>
      <w:r>
        <w:rPr>
          <w:rFonts w:hint="eastAsia" w:ascii="宋体" w:hAnsi="宋体"/>
          <w:highlight w:val="none"/>
        </w:rPr>
        <w:t>1.8投标人后续经招投标双方确认的澄清文件内容的理解如有异议，解释权归招标人。</w:t>
      </w:r>
    </w:p>
    <w:p>
      <w:pPr>
        <w:rPr>
          <w:rFonts w:hint="eastAsia" w:ascii="宋体" w:hAnsi="宋体"/>
          <w:highlight w:val="none"/>
        </w:rPr>
      </w:pPr>
      <w:r>
        <w:rPr>
          <w:rFonts w:hint="eastAsia" w:ascii="宋体" w:hAnsi="宋体"/>
          <w:highlight w:val="none"/>
        </w:rPr>
        <w:t>1.9在项目实施过程中发现非人为原因设备损坏，投标人承诺24小时内无条件更换。</w:t>
      </w:r>
    </w:p>
    <w:p>
      <w:pPr>
        <w:rPr>
          <w:rFonts w:hint="eastAsia" w:ascii="宋体" w:hAnsi="宋体"/>
          <w:highlight w:val="none"/>
        </w:rPr>
      </w:pPr>
      <w:r>
        <w:rPr>
          <w:rFonts w:ascii="宋体" w:hAnsi="宋体"/>
          <w:highlight w:val="none"/>
        </w:rPr>
        <w:t>1.1</w:t>
      </w:r>
      <w:r>
        <w:rPr>
          <w:rFonts w:hint="eastAsia" w:ascii="宋体" w:hAnsi="宋体"/>
          <w:highlight w:val="none"/>
        </w:rPr>
        <w:t>0所有软硬件设备必须具备原制造厂商的铭牌、标志，所有设备均需得到制造商认证及授权，符合制造商公布的质量标准，所有硬件设备必须通过合法渠道。对于自产设备必须提供相关生产许可、国家强制性认证等文件。本系统中出现的任何涉及非法进口设备的纠纷，均由投标人承担全部法律责任，不能采用淘汰或非主流产品。</w:t>
      </w:r>
    </w:p>
    <w:p>
      <w:pPr>
        <w:rPr>
          <w:rFonts w:hint="eastAsia" w:ascii="宋体" w:hAnsi="宋体"/>
          <w:highlight w:val="none"/>
        </w:rPr>
      </w:pPr>
      <w:r>
        <w:rPr>
          <w:rFonts w:ascii="宋体" w:hAnsi="宋体"/>
          <w:highlight w:val="none"/>
        </w:rPr>
        <w:t>1.1</w:t>
      </w:r>
      <w:r>
        <w:rPr>
          <w:rFonts w:hint="eastAsia" w:ascii="宋体" w:hAnsi="宋体"/>
          <w:highlight w:val="none"/>
        </w:rPr>
        <w:t>1投标人应提供主要设备的数量、配置以及随带软件包的说明，并应保证设备配备的品种、数量准确无误，如有错漏由投标人无偿补足。</w:t>
      </w:r>
    </w:p>
    <w:p>
      <w:pPr>
        <w:rPr>
          <w:rFonts w:hint="eastAsia" w:ascii="宋体" w:hAnsi="宋体" w:cs="Times New Roman Regular"/>
          <w:highlight w:val="none"/>
        </w:rPr>
      </w:pPr>
      <w:r>
        <w:rPr>
          <w:rFonts w:hint="eastAsia" w:ascii="宋体" w:hAnsi="宋体"/>
          <w:highlight w:val="none"/>
        </w:rPr>
        <w:t>1.12</w:t>
      </w:r>
      <w:r>
        <w:rPr>
          <w:rFonts w:hint="eastAsia" w:ascii="宋体" w:hAnsi="宋体" w:cs="Times New Roman Regular"/>
          <w:highlight w:val="none"/>
        </w:rPr>
        <w:t>投标人提供的监控改造系统需考虑后期扩展需求，须预留相关接口，确保未来能够接入招标人集中管控范围内各海上风电公司监控系统数据。</w:t>
      </w:r>
    </w:p>
    <w:p>
      <w:pPr>
        <w:rPr>
          <w:rFonts w:hint="eastAsia" w:ascii="宋体" w:hAnsi="宋体" w:eastAsia="宋体" w:cs="Times New Roman Regular"/>
          <w:b/>
          <w:bCs/>
          <w:highlight w:val="none"/>
          <w:lang w:val="en-US" w:eastAsia="zh-CN"/>
        </w:rPr>
      </w:pPr>
      <w:r>
        <w:rPr>
          <w:rFonts w:hint="eastAsia" w:ascii="宋体" w:hAnsi="宋体" w:cs="Times New Roman Regular"/>
          <w:b/>
          <w:bCs/>
          <w:highlight w:val="none"/>
          <w:lang w:val="en-US" w:eastAsia="zh-CN"/>
        </w:rPr>
        <w:t>1.13</w:t>
      </w:r>
      <w:r>
        <w:rPr>
          <w:rFonts w:hint="eastAsia" w:ascii="宋体" w:hAnsi="宋体" w:cs="Times New Roman Regular"/>
          <w:b/>
          <w:bCs/>
          <w:highlight w:val="none"/>
        </w:rPr>
        <w:t>投标人</w:t>
      </w:r>
      <w:r>
        <w:rPr>
          <w:rFonts w:hint="eastAsia" w:ascii="宋体" w:hAnsi="宋体" w:cs="Times New Roman Regular"/>
          <w:b/>
          <w:bCs/>
          <w:highlight w:val="none"/>
          <w:lang w:val="en-US" w:eastAsia="zh-CN"/>
        </w:rPr>
        <w:t>投标时</w:t>
      </w:r>
      <w:r>
        <w:rPr>
          <w:rFonts w:hint="eastAsia" w:ascii="宋体" w:hAnsi="宋体" w:cs="Times New Roman Regular"/>
          <w:b/>
          <w:bCs/>
          <w:highlight w:val="none"/>
        </w:rPr>
        <w:t>需</w:t>
      </w:r>
      <w:r>
        <w:rPr>
          <w:rFonts w:hint="eastAsia" w:ascii="宋体" w:hAnsi="宋体" w:cs="Times New Roman Regular"/>
          <w:b/>
          <w:bCs/>
          <w:highlight w:val="none"/>
          <w:lang w:val="en-US" w:eastAsia="zh-CN"/>
        </w:rPr>
        <w:t>提交承诺函，确保</w:t>
      </w:r>
      <w:r>
        <w:rPr>
          <w:rFonts w:hint="eastAsia" w:hAnsi="宋体" w:cs="宋体"/>
          <w:b/>
          <w:bCs/>
          <w:color w:val="000000"/>
          <w:szCs w:val="24"/>
          <w:highlight w:val="none"/>
          <w:lang w:val="en-US" w:eastAsia="zh-CN"/>
        </w:rPr>
        <w:t>本次新增的摄像机、存储服务器、超脑等需要和原有视频监控系统完全兼容，统一存储、统一平台管理，不会造成任何传输协议兼容性问题。</w:t>
      </w:r>
    </w:p>
    <w:p>
      <w:pPr>
        <w:pStyle w:val="4"/>
        <w:spacing w:before="200" w:after="200"/>
        <w:ind w:left="0" w:right="0"/>
        <w:jc w:val="both"/>
        <w:textAlignment w:val="auto"/>
        <w:rPr>
          <w:rFonts w:hint="eastAsia" w:ascii="宋体" w:hAnsi="宋体" w:eastAsia="宋体"/>
          <w:b/>
          <w:color w:val="auto"/>
          <w:sz w:val="28"/>
          <w:szCs w:val="28"/>
          <w:highlight w:val="none"/>
        </w:rPr>
      </w:pPr>
    </w:p>
    <w:p>
      <w:pPr>
        <w:pStyle w:val="4"/>
        <w:spacing w:before="200" w:after="200"/>
        <w:ind w:left="0" w:right="0"/>
        <w:jc w:val="both"/>
        <w:textAlignment w:val="auto"/>
        <w:rPr>
          <w:rFonts w:hint="eastAsia" w:ascii="宋体" w:hAnsi="宋体" w:eastAsia="宋体"/>
          <w:b/>
          <w:color w:val="auto"/>
          <w:sz w:val="28"/>
          <w:szCs w:val="28"/>
          <w:highlight w:val="none"/>
        </w:rPr>
      </w:pPr>
      <w:r>
        <w:rPr>
          <w:rFonts w:hint="eastAsia" w:ascii="宋体" w:hAnsi="宋体" w:eastAsia="宋体"/>
          <w:b/>
          <w:color w:val="auto"/>
          <w:sz w:val="28"/>
          <w:szCs w:val="28"/>
          <w:highlight w:val="none"/>
        </w:rPr>
        <w:t>2</w:t>
      </w:r>
      <w:r>
        <w:rPr>
          <w:rFonts w:ascii="宋体" w:hAnsi="宋体" w:eastAsia="宋体"/>
          <w:b/>
          <w:color w:val="auto"/>
          <w:sz w:val="28"/>
          <w:szCs w:val="28"/>
          <w:highlight w:val="none"/>
        </w:rPr>
        <w:t xml:space="preserve"> </w:t>
      </w:r>
      <w:r>
        <w:rPr>
          <w:rFonts w:hint="eastAsia" w:ascii="宋体" w:hAnsi="宋体" w:eastAsia="宋体"/>
          <w:b/>
          <w:color w:val="auto"/>
          <w:sz w:val="28"/>
          <w:szCs w:val="28"/>
          <w:highlight w:val="none"/>
        </w:rPr>
        <w:t>项目概况</w:t>
      </w:r>
    </w:p>
    <w:p>
      <w:pPr>
        <w:rPr>
          <w:rFonts w:hint="eastAsia" w:ascii="宋体" w:hAnsi="宋体"/>
          <w:highlight w:val="none"/>
        </w:rPr>
      </w:pPr>
      <w:r>
        <w:rPr>
          <w:rFonts w:hint="eastAsia" w:ascii="宋体" w:hAnsi="宋体"/>
          <w:highlight w:val="none"/>
        </w:rPr>
        <w:t>浙江浙能嘉兴海上风力发电有限公司管理的嘉兴1号海上风电场装机容量300MW，安装4种型号共74台风机，风电机组通过35kV海缆送至220kV#1海上升压站，经35/220kV主变升压后，以2回220kV海缆送至220kV陆上计量站。</w:t>
      </w:r>
    </w:p>
    <w:p>
      <w:pPr>
        <w:rPr>
          <w:rFonts w:hint="eastAsia" w:ascii="宋体" w:hAnsi="宋体"/>
          <w:highlight w:val="none"/>
        </w:rPr>
      </w:pPr>
      <w:r>
        <w:rPr>
          <w:rFonts w:hint="eastAsia" w:ascii="宋体" w:hAnsi="宋体"/>
          <w:highlight w:val="none"/>
        </w:rPr>
        <w:t>项目基建期间，在升压站、陆上计量站及风机等关键位置部署了近500台海康威视摄像机，并配套建设了软件平台、服务器、存储设备等基础设施，同时采用了西门子核心交换机、环网交换机和接入交换机等网络设备。</w:t>
      </w:r>
      <w:r>
        <w:rPr>
          <w:rFonts w:hint="eastAsia" w:ascii="宋体" w:hAnsi="宋体"/>
          <w:highlight w:val="none"/>
          <w:lang w:val="en-US" w:eastAsia="zh-CN"/>
        </w:rPr>
        <w:t>本次招标旨在对招标人监控系统进行升级改造，主要包括软件模块升级、存储容量扩充，以及新增摄像机点位、AI超脑设备，</w:t>
      </w:r>
      <w:r>
        <w:rPr>
          <w:rFonts w:hint="eastAsia" w:ascii="宋体" w:hAnsi="宋体"/>
          <w:highlight w:val="none"/>
        </w:rPr>
        <w:t>平台服务器</w:t>
      </w:r>
      <w:r>
        <w:rPr>
          <w:rFonts w:hint="eastAsia" w:ascii="宋体" w:hAnsi="宋体"/>
          <w:highlight w:val="none"/>
          <w:lang w:val="en-US" w:eastAsia="zh-CN"/>
        </w:rPr>
        <w:t>等，</w:t>
      </w:r>
      <w:r>
        <w:rPr>
          <w:rFonts w:hint="eastAsia" w:ascii="宋体" w:hAnsi="宋体"/>
          <w:highlight w:val="none"/>
          <w:lang w:val="en-US" w:eastAsia="zh-CN"/>
        </w:rPr>
        <w:t>同时优化系统整体布局。</w:t>
      </w:r>
    </w:p>
    <w:p>
      <w:pPr>
        <w:pStyle w:val="2"/>
        <w:ind w:left="0" w:firstLine="0" w:firstLineChars="0"/>
        <w:rPr>
          <w:rFonts w:hint="eastAsia" w:ascii="宋体" w:hAnsi="宋体"/>
          <w:highlight w:val="none"/>
        </w:rPr>
      </w:pPr>
    </w:p>
    <w:p>
      <w:pPr>
        <w:pStyle w:val="4"/>
        <w:spacing w:before="200" w:after="200"/>
        <w:ind w:left="0" w:right="0"/>
        <w:jc w:val="both"/>
        <w:textAlignment w:val="auto"/>
        <w:rPr>
          <w:rFonts w:hint="eastAsia" w:ascii="宋体" w:hAnsi="宋体" w:eastAsia="宋体"/>
          <w:b/>
          <w:color w:val="auto"/>
          <w:sz w:val="28"/>
          <w:szCs w:val="28"/>
          <w:highlight w:val="none"/>
        </w:rPr>
      </w:pPr>
      <w:bookmarkStart w:id="11" w:name="_Toc505950794"/>
      <w:bookmarkStart w:id="12" w:name="_Toc523606051"/>
      <w:bookmarkStart w:id="13" w:name="_Toc505887152"/>
      <w:bookmarkStart w:id="14" w:name="_Toc240423149"/>
      <w:bookmarkStart w:id="15" w:name="_Toc197338025"/>
      <w:bookmarkStart w:id="16" w:name="_Toc505887245"/>
      <w:bookmarkStart w:id="17" w:name="_Toc196641364"/>
      <w:r>
        <w:rPr>
          <w:rFonts w:hint="eastAsia" w:ascii="宋体" w:hAnsi="宋体" w:eastAsia="宋体"/>
          <w:b/>
          <w:color w:val="auto"/>
          <w:sz w:val="28"/>
          <w:szCs w:val="28"/>
          <w:highlight w:val="none"/>
        </w:rPr>
        <w:t>3 工作内容</w:t>
      </w:r>
      <w:bookmarkEnd w:id="11"/>
      <w:bookmarkEnd w:id="12"/>
      <w:bookmarkEnd w:id="13"/>
      <w:bookmarkEnd w:id="14"/>
      <w:bookmarkEnd w:id="15"/>
      <w:bookmarkEnd w:id="16"/>
      <w:bookmarkEnd w:id="17"/>
      <w:bookmarkStart w:id="18" w:name="_Toc505887246"/>
      <w:bookmarkStart w:id="19" w:name="_Toc505887153"/>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1投标人工作内容</w:t>
      </w:r>
      <w:bookmarkEnd w:id="18"/>
      <w:bookmarkEnd w:id="19"/>
      <w:bookmarkStart w:id="20" w:name="_Toc505887154"/>
      <w:bookmarkStart w:id="21" w:name="_Toc505887247"/>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1.1按本技术规范书和适用的工业标准，提供一套完整的风电场监控提升改造生产性技术改造项目的配套设备，包括必需的硬件、软件、及各种安装辅助材料（如电源线、光缆、安装支架等）和各项服务。</w:t>
      </w:r>
      <w:bookmarkEnd w:id="20"/>
      <w:bookmarkEnd w:id="21"/>
      <w:bookmarkStart w:id="22" w:name="_Toc505887155"/>
      <w:bookmarkStart w:id="23" w:name="_Toc505887248"/>
      <w:bookmarkStart w:id="24" w:name="_Toc505887249"/>
      <w:bookmarkStart w:id="25" w:name="_Toc505887156"/>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1.2</w:t>
      </w:r>
      <w:bookmarkEnd w:id="22"/>
      <w:bookmarkEnd w:id="23"/>
      <w:r>
        <w:rPr>
          <w:rFonts w:hint="eastAsia" w:ascii="宋体" w:hAnsi="宋体"/>
          <w:highlight w:val="none"/>
        </w:rPr>
        <w:t>按照本技术规范书规定的全部功能要求，以及招标人提供的资料，进行系统设计、供货、安装、调试、培训、验收。</w:t>
      </w:r>
    </w:p>
    <w:p>
      <w:pPr>
        <w:rPr>
          <w:rFonts w:hint="eastAsia" w:ascii="宋体" w:hAnsi="宋体"/>
          <w:highlight w:val="none"/>
        </w:rPr>
      </w:pPr>
      <w:r>
        <w:rPr>
          <w:rFonts w:hint="eastAsia" w:ascii="宋体" w:hAnsi="宋体"/>
          <w:highlight w:val="none"/>
        </w:rPr>
        <w:t>3.1.3投标人负责在每台风机、海上升压站、计量站安装摄像机、交换机等所需的配套设备布置以及电缆桥架和电缆布线的施工。设备安装后，无缝接入招标人现有视频综合管理平台，并展示相关数据。</w:t>
      </w:r>
    </w:p>
    <w:p>
      <w:pPr>
        <w:rPr>
          <w:rFonts w:hint="eastAsia" w:ascii="宋体" w:hAnsi="宋体"/>
          <w:highlight w:val="none"/>
        </w:rPr>
      </w:pPr>
      <w:r>
        <w:rPr>
          <w:rFonts w:hint="eastAsia" w:ascii="宋体" w:hAnsi="宋体"/>
          <w:highlight w:val="none"/>
        </w:rPr>
        <w:t>3.1.4投标人负责该项目全部配套设备布置以及电缆桥架和电缆布线的设计工作。</w:t>
      </w:r>
    </w:p>
    <w:p>
      <w:pPr>
        <w:rPr>
          <w:rFonts w:hint="eastAsia" w:ascii="宋体" w:hAnsi="宋体"/>
          <w:highlight w:val="none"/>
        </w:rPr>
      </w:pPr>
      <w:r>
        <w:rPr>
          <w:rFonts w:hint="eastAsia" w:ascii="宋体" w:hAnsi="宋体"/>
          <w:highlight w:val="none"/>
        </w:rPr>
        <w:t>3.1.5招标人</w:t>
      </w:r>
      <w:r>
        <w:rPr>
          <w:rFonts w:ascii="宋体" w:hAnsi="宋体"/>
          <w:highlight w:val="none"/>
        </w:rPr>
        <w:t>内外网之间交互需通过国网电力系统认证的正反向隔离网闸进行传输，确保数据安全可靠</w:t>
      </w:r>
      <w:r>
        <w:rPr>
          <w:rFonts w:hint="eastAsia" w:ascii="宋体" w:hAnsi="宋体"/>
          <w:highlight w:val="none"/>
        </w:rPr>
        <w:t>。</w:t>
      </w:r>
    </w:p>
    <w:p>
      <w:pPr>
        <w:rPr>
          <w:rFonts w:hint="eastAsia" w:ascii="宋体" w:hAnsi="宋体"/>
          <w:highlight w:val="none"/>
        </w:rPr>
      </w:pPr>
      <w:r>
        <w:rPr>
          <w:rFonts w:hint="eastAsia" w:ascii="宋体" w:hAnsi="宋体"/>
          <w:highlight w:val="none"/>
        </w:rPr>
        <w:t>3.1.6</w:t>
      </w:r>
      <w:r>
        <w:rPr>
          <w:rFonts w:ascii="宋体" w:hAnsi="宋体"/>
          <w:highlight w:val="none"/>
        </w:rPr>
        <w:t>投标人负责提供</w:t>
      </w:r>
      <w:r>
        <w:rPr>
          <w:rFonts w:hint="eastAsia" w:ascii="宋体" w:hAnsi="宋体"/>
          <w:highlight w:val="none"/>
        </w:rPr>
        <w:t>招标人</w:t>
      </w:r>
      <w:r>
        <w:rPr>
          <w:rFonts w:ascii="宋体" w:hAnsi="宋体"/>
          <w:highlight w:val="none"/>
        </w:rPr>
        <w:t>其他系统的接口（分界点在招标人设备接口侧），并预留相应的接口设备</w:t>
      </w:r>
      <w:r>
        <w:rPr>
          <w:rFonts w:hint="eastAsia" w:ascii="宋体" w:hAnsi="宋体"/>
          <w:highlight w:val="none"/>
        </w:rPr>
        <w:t>。</w:t>
      </w:r>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1.7根据本技术规范书的要求，提供必需的安装详图和安装指导说明，以及实施图设计、安装调试、运行维护所需的全部图纸和资料。</w:t>
      </w:r>
      <w:bookmarkEnd w:id="24"/>
      <w:bookmarkEnd w:id="25"/>
      <w:bookmarkStart w:id="26" w:name="_Toc505887157"/>
      <w:bookmarkStart w:id="27" w:name="_Toc505887250"/>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1.8提供最终的系统配置图、系统布置图、系统设备清册、系统操作说明、设备清单、接线图、电源要求、安装要求、接地要求、盘台柜外形尺寸图和实施图等文件。</w:t>
      </w:r>
      <w:bookmarkEnd w:id="26"/>
      <w:bookmarkEnd w:id="27"/>
      <w:bookmarkStart w:id="28" w:name="_Toc505887251"/>
      <w:bookmarkStart w:id="29" w:name="_Toc505887158"/>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1.9通电启动和调试服务，实现所供的所有软硬件设备正常安全稳定运行，达到本技术规范书规定的全部功能并满足性能要求。</w:t>
      </w:r>
      <w:bookmarkEnd w:id="28"/>
      <w:bookmarkEnd w:id="29"/>
      <w:bookmarkStart w:id="30" w:name="_Toc505887252"/>
      <w:bookmarkStart w:id="31" w:name="_Toc505887159"/>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1.10根据本技术规范书的要求，向招标人提供本项目所供的软硬件设备运行所需的系统支持文件，用于系统编程、维护、修改和调试。</w:t>
      </w:r>
      <w:bookmarkEnd w:id="30"/>
      <w:bookmarkEnd w:id="31"/>
      <w:bookmarkStart w:id="32" w:name="_Toc505887253"/>
      <w:bookmarkStart w:id="33" w:name="_Toc505887160"/>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1.11负责培训招标人的运行和维护技术人员，使他们能熟练的操作、维护、修改和调试系统。提供完善的帮助系统和齐全的系统操作说明、典型的故障案例和故障图谱的实例讲解。</w:t>
      </w:r>
      <w:bookmarkEnd w:id="32"/>
      <w:bookmarkEnd w:id="33"/>
      <w:bookmarkStart w:id="34" w:name="_Toc505887161"/>
      <w:bookmarkStart w:id="35" w:name="_Toc505887254"/>
    </w:p>
    <w:p>
      <w:pPr>
        <w:rPr>
          <w:rFonts w:hint="eastAsia" w:ascii="宋体" w:hAnsi="宋体"/>
          <w:b/>
          <w:bCs/>
          <w:highlight w:val="none"/>
        </w:rPr>
      </w:pPr>
      <w:r>
        <w:rPr>
          <w:rFonts w:hint="eastAsia" w:ascii="宋体" w:hAnsi="宋体"/>
          <w:b/>
          <w:bCs/>
          <w:highlight w:val="none"/>
        </w:rPr>
        <w:t>3.1.12投标人指派的现场作业人员须具有海上交通安全技能培训合格证和低压电工证。</w:t>
      </w:r>
      <w:bookmarkEnd w:id="34"/>
      <w:bookmarkEnd w:id="35"/>
      <w:bookmarkStart w:id="36" w:name="_Toc505887256"/>
      <w:bookmarkStart w:id="37" w:name="_Toc505887163"/>
    </w:p>
    <w:bookmarkEnd w:id="36"/>
    <w:bookmarkEnd w:id="37"/>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2招标人工作内容：</w:t>
      </w:r>
    </w:p>
    <w:p>
      <w:pPr>
        <w:rPr>
          <w:rFonts w:hint="eastAsia" w:ascii="宋体" w:hAnsi="宋体"/>
          <w:highlight w:val="none"/>
        </w:rPr>
      </w:pPr>
      <w:bookmarkStart w:id="38" w:name="_Toc505950795"/>
      <w:bookmarkStart w:id="39" w:name="_Toc505887169"/>
      <w:bookmarkStart w:id="40" w:name="_Toc523606052"/>
      <w:bookmarkStart w:id="41" w:name="_Toc505887262"/>
      <w:r>
        <w:rPr>
          <w:rFonts w:hint="eastAsia" w:ascii="宋体" w:hAnsi="宋体"/>
          <w:highlight w:val="none"/>
        </w:rPr>
        <w:t>3.2.1 审核投标人的系统方案和提供的资料、图纸、技术文件。</w:t>
      </w:r>
    </w:p>
    <w:p>
      <w:pPr>
        <w:rPr>
          <w:rFonts w:hint="eastAsia" w:ascii="宋体" w:hAnsi="宋体"/>
          <w:highlight w:val="none"/>
        </w:rPr>
      </w:pPr>
      <w:r>
        <w:rPr>
          <w:rFonts w:hint="eastAsia" w:ascii="宋体" w:hAnsi="宋体"/>
          <w:highlight w:val="none"/>
        </w:rPr>
        <w:t>3.2.2管理设备安装调试工作。</w:t>
      </w:r>
    </w:p>
    <w:p>
      <w:pPr>
        <w:rPr>
          <w:rFonts w:hint="eastAsia" w:ascii="宋体" w:hAnsi="宋体"/>
          <w:highlight w:val="none"/>
        </w:rPr>
      </w:pPr>
      <w:r>
        <w:rPr>
          <w:rFonts w:hint="eastAsia" w:ascii="宋体" w:hAnsi="宋体"/>
          <w:highlight w:val="none"/>
        </w:rPr>
        <w:t>3.2.3负责系统验收。</w:t>
      </w:r>
    </w:p>
    <w:p>
      <w:pPr>
        <w:rPr>
          <w:rFonts w:hint="eastAsia" w:ascii="宋体" w:hAnsi="宋体"/>
          <w:highlight w:val="none"/>
        </w:rPr>
      </w:pPr>
      <w:r>
        <w:rPr>
          <w:rFonts w:hint="eastAsia" w:ascii="宋体" w:hAnsi="宋体"/>
          <w:highlight w:val="none"/>
        </w:rPr>
        <w:t>3.2.4配合投标人现场服务人员的工作，并在生活、交通和通讯上提供便利。</w:t>
      </w:r>
    </w:p>
    <w:p>
      <w:pPr>
        <w:rPr>
          <w:rFonts w:hint="eastAsia" w:ascii="宋体" w:hAnsi="宋体"/>
          <w:highlight w:val="none"/>
        </w:rPr>
      </w:pPr>
      <w:r>
        <w:rPr>
          <w:rFonts w:hint="eastAsia" w:ascii="宋体" w:hAnsi="宋体"/>
          <w:highlight w:val="none"/>
        </w:rPr>
        <w:t>3.2.5配合投标人提供现场设备电源接口和网络接口。</w:t>
      </w:r>
    </w:p>
    <w:p>
      <w:pPr>
        <w:rPr>
          <w:rFonts w:hint="eastAsia" w:ascii="宋体" w:hAnsi="宋体"/>
          <w:highlight w:val="none"/>
        </w:rPr>
      </w:pPr>
      <w:r>
        <w:rPr>
          <w:rFonts w:hint="eastAsia" w:ascii="宋体" w:hAnsi="宋体"/>
          <w:highlight w:val="none"/>
        </w:rPr>
        <w:t>3.2.6配合投标人提供设备材料堆放的仓库。</w:t>
      </w:r>
    </w:p>
    <w:p>
      <w:pPr>
        <w:pStyle w:val="4"/>
        <w:spacing w:before="200" w:after="200"/>
        <w:ind w:left="0" w:right="0"/>
        <w:jc w:val="both"/>
        <w:textAlignment w:val="auto"/>
        <w:rPr>
          <w:rFonts w:hint="eastAsia" w:ascii="宋体" w:hAnsi="宋体" w:eastAsia="宋体"/>
          <w:b/>
          <w:color w:val="auto"/>
          <w:sz w:val="28"/>
          <w:szCs w:val="28"/>
          <w:highlight w:val="none"/>
        </w:rPr>
      </w:pPr>
      <w:r>
        <w:rPr>
          <w:rFonts w:hint="eastAsia" w:ascii="宋体" w:hAnsi="宋体" w:eastAsia="宋体"/>
          <w:b/>
          <w:color w:val="auto"/>
          <w:sz w:val="28"/>
          <w:szCs w:val="28"/>
          <w:highlight w:val="none"/>
        </w:rPr>
        <w:t>4 规范和标准</w:t>
      </w:r>
      <w:bookmarkEnd w:id="38"/>
      <w:bookmarkEnd w:id="39"/>
      <w:bookmarkEnd w:id="40"/>
      <w:bookmarkEnd w:id="41"/>
    </w:p>
    <w:p>
      <w:pPr>
        <w:rPr>
          <w:rFonts w:hint="eastAsia" w:ascii="宋体" w:hAnsi="宋体"/>
          <w:highlight w:val="none"/>
        </w:rPr>
      </w:pPr>
      <w:bookmarkStart w:id="42" w:name="_Toc505887263"/>
      <w:bookmarkStart w:id="43" w:name="_Toc505887170"/>
      <w:r>
        <w:rPr>
          <w:rFonts w:hint="eastAsia" w:ascii="宋体" w:hAnsi="宋体"/>
          <w:highlight w:val="none"/>
        </w:rPr>
        <w:t>4</w:t>
      </w:r>
      <w:r>
        <w:rPr>
          <w:rFonts w:ascii="宋体" w:hAnsi="宋体"/>
          <w:highlight w:val="none"/>
        </w:rPr>
        <w:t>.1</w:t>
      </w:r>
      <w:r>
        <w:rPr>
          <w:rFonts w:hint="eastAsia" w:ascii="宋体" w:hAnsi="宋体"/>
          <w:highlight w:val="none"/>
        </w:rPr>
        <w:t>本技术规范书中包括的所有设备应遵照以下适用标准和规范进行设计、制造、检验。所采用的标准和规范（包括附件）应为合同期间的最新有效版本。</w:t>
      </w:r>
      <w:bookmarkEnd w:id="42"/>
      <w:bookmarkEnd w:id="43"/>
    </w:p>
    <w:p>
      <w:pPr>
        <w:rPr>
          <w:rFonts w:hint="eastAsia" w:ascii="宋体" w:hAnsi="宋体"/>
          <w:highlight w:val="none"/>
        </w:rPr>
      </w:pPr>
      <w:bookmarkStart w:id="44" w:name="_Toc505887171"/>
      <w:bookmarkStart w:id="45" w:name="_Toc505887264"/>
      <w:r>
        <w:rPr>
          <w:rFonts w:hint="eastAsia" w:ascii="宋体" w:hAnsi="宋体"/>
          <w:highlight w:val="none"/>
        </w:rPr>
        <w:t>4</w:t>
      </w:r>
      <w:r>
        <w:rPr>
          <w:rFonts w:ascii="宋体" w:hAnsi="宋体"/>
          <w:highlight w:val="none"/>
        </w:rPr>
        <w:t>.2</w:t>
      </w:r>
      <w:r>
        <w:rPr>
          <w:rFonts w:hint="eastAsia" w:ascii="宋体" w:hAnsi="宋体"/>
          <w:highlight w:val="none"/>
        </w:rPr>
        <w:t>如经招标人同意，投标人可根据自身的经验，超越标准和规范中规定的最低限度要求，对其所供设备采用更好的或更经济的设计。</w:t>
      </w:r>
      <w:bookmarkEnd w:id="44"/>
      <w:bookmarkEnd w:id="45"/>
    </w:p>
    <w:p>
      <w:pPr>
        <w:rPr>
          <w:rFonts w:hint="eastAsia" w:ascii="宋体" w:hAnsi="宋体"/>
          <w:highlight w:val="none"/>
        </w:rPr>
      </w:pPr>
      <w:bookmarkStart w:id="46" w:name="_Toc505887172"/>
      <w:bookmarkStart w:id="47" w:name="_Toc505887265"/>
      <w:r>
        <w:rPr>
          <w:rFonts w:hint="eastAsia" w:ascii="宋体" w:hAnsi="宋体"/>
          <w:highlight w:val="none"/>
        </w:rPr>
        <w:t>4</w:t>
      </w:r>
      <w:r>
        <w:rPr>
          <w:rFonts w:ascii="宋体" w:hAnsi="宋体"/>
          <w:highlight w:val="none"/>
        </w:rPr>
        <w:t>.3</w:t>
      </w:r>
      <w:r>
        <w:rPr>
          <w:rFonts w:hint="eastAsia" w:ascii="宋体" w:hAnsi="宋体"/>
          <w:highlight w:val="none"/>
        </w:rPr>
        <w:t>投标人向招标人提供的所有设备和服务应保证遵循所在国和当地的法律、法规以及适用的标准和规范。</w:t>
      </w:r>
      <w:bookmarkEnd w:id="46"/>
      <w:bookmarkEnd w:id="47"/>
    </w:p>
    <w:p>
      <w:pPr>
        <w:rPr>
          <w:rFonts w:hint="eastAsia" w:ascii="宋体" w:hAnsi="宋体"/>
          <w:highlight w:val="none"/>
        </w:rPr>
      </w:pPr>
      <w:bookmarkStart w:id="48" w:name="_Toc505887266"/>
      <w:bookmarkStart w:id="49" w:name="_Toc505887173"/>
      <w:r>
        <w:rPr>
          <w:rFonts w:hint="eastAsia" w:ascii="宋体" w:hAnsi="宋体"/>
          <w:highlight w:val="none"/>
        </w:rPr>
        <w:t>4</w:t>
      </w:r>
      <w:r>
        <w:rPr>
          <w:rFonts w:ascii="宋体" w:hAnsi="宋体"/>
          <w:highlight w:val="none"/>
        </w:rPr>
        <w:t>.4</w:t>
      </w:r>
      <w:r>
        <w:rPr>
          <w:rFonts w:hint="eastAsia" w:ascii="宋体" w:hAnsi="宋体"/>
          <w:highlight w:val="none"/>
        </w:rPr>
        <w:t>当遵照的标准和规范与本技术规范书存在明显冲突时，投标人应向招标人指出冲突之处并取得书面意见。</w:t>
      </w:r>
      <w:bookmarkEnd w:id="48"/>
      <w:bookmarkEnd w:id="49"/>
    </w:p>
    <w:p>
      <w:pPr>
        <w:ind w:left="4800" w:hanging="4800" w:hangingChars="2000"/>
        <w:rPr>
          <w:rFonts w:hint="eastAsia" w:ascii="宋体" w:hAnsi="宋体"/>
          <w:highlight w:val="none"/>
        </w:rPr>
      </w:pPr>
      <w:r>
        <w:rPr>
          <w:rFonts w:hint="eastAsia" w:ascii="宋体" w:hAnsi="宋体"/>
          <w:highlight w:val="none"/>
        </w:rPr>
        <w:t>《信息安全技术 网络安全等级保护基本要求》</w:t>
      </w:r>
      <w:r>
        <w:rPr>
          <w:rFonts w:hint="eastAsia" w:ascii="宋体" w:hAnsi="宋体"/>
          <w:highlight w:val="none"/>
          <w:lang w:val="en-US" w:eastAsia="zh-CN"/>
        </w:rPr>
        <w:t xml:space="preserve">                  </w:t>
      </w:r>
      <w:r>
        <w:rPr>
          <w:rFonts w:hint="eastAsia" w:ascii="宋体" w:hAnsi="宋体"/>
          <w:highlight w:val="none"/>
        </w:rPr>
        <w:t xml:space="preserve"> GB/T 22239</w:t>
      </w:r>
    </w:p>
    <w:p>
      <w:pPr>
        <w:ind w:left="0" w:firstLine="0" w:firstLineChars="0"/>
        <w:rPr>
          <w:rFonts w:hint="eastAsia" w:ascii="宋体" w:hAnsi="宋体"/>
          <w:highlight w:val="none"/>
        </w:rPr>
      </w:pPr>
      <w:r>
        <w:rPr>
          <w:rFonts w:hint="eastAsia" w:ascii="宋体" w:hAnsi="宋体"/>
          <w:highlight w:val="none"/>
        </w:rPr>
        <w:t xml:space="preserve">《信息安全技术 网络安全等级保护实施指南》  </w:t>
      </w:r>
      <w:r>
        <w:rPr>
          <w:rFonts w:hint="eastAsia" w:ascii="宋体" w:hAnsi="宋体"/>
          <w:highlight w:val="none"/>
          <w:lang w:val="en-US" w:eastAsia="zh-CN"/>
        </w:rPr>
        <w:t xml:space="preserve">                 </w:t>
      </w:r>
      <w:r>
        <w:rPr>
          <w:rFonts w:hint="eastAsia" w:ascii="宋体" w:hAnsi="宋体"/>
          <w:highlight w:val="none"/>
        </w:rPr>
        <w:t>GB/T 25058</w:t>
      </w:r>
    </w:p>
    <w:p>
      <w:pPr>
        <w:ind w:left="0" w:firstLine="0" w:firstLineChars="0"/>
        <w:rPr>
          <w:rFonts w:hint="eastAsia" w:ascii="宋体" w:hAnsi="宋体"/>
          <w:highlight w:val="none"/>
        </w:rPr>
      </w:pPr>
      <w:r>
        <w:rPr>
          <w:rFonts w:hint="eastAsia" w:ascii="宋体" w:hAnsi="宋体"/>
          <w:highlight w:val="none"/>
        </w:rPr>
        <w:t>《综合布线系统工程设计规范》</w:t>
      </w:r>
      <w:r>
        <w:rPr>
          <w:rFonts w:hint="eastAsia" w:ascii="宋体" w:hAnsi="宋体"/>
          <w:highlight w:val="none"/>
          <w:lang w:val="en-US" w:eastAsia="zh-CN"/>
        </w:rPr>
        <w:t xml:space="preserve">                                </w:t>
      </w:r>
      <w:r>
        <w:rPr>
          <w:rFonts w:hint="eastAsia" w:ascii="宋体" w:hAnsi="宋体"/>
          <w:highlight w:val="none"/>
        </w:rPr>
        <w:t>GB/T50311</w:t>
      </w:r>
    </w:p>
    <w:p>
      <w:pPr>
        <w:ind w:left="0" w:firstLine="0" w:firstLineChars="0"/>
        <w:rPr>
          <w:rFonts w:hint="eastAsia" w:ascii="宋体" w:hAnsi="宋体"/>
          <w:highlight w:val="none"/>
        </w:rPr>
      </w:pPr>
      <w:r>
        <w:rPr>
          <w:rFonts w:hint="eastAsia" w:ascii="宋体" w:hAnsi="宋体"/>
          <w:highlight w:val="none"/>
        </w:rPr>
        <w:t>《互联网协议第六版（IPV6）》</w:t>
      </w:r>
      <w:r>
        <w:rPr>
          <w:rFonts w:hint="eastAsia" w:ascii="宋体" w:hAnsi="宋体"/>
          <w:highlight w:val="none"/>
          <w:lang w:val="en-US" w:eastAsia="zh-CN"/>
        </w:rPr>
        <w:t xml:space="preserve">                               </w:t>
      </w:r>
      <w:r>
        <w:rPr>
          <w:rFonts w:hint="eastAsia" w:ascii="宋体" w:hAnsi="宋体"/>
          <w:highlight w:val="none"/>
        </w:rPr>
        <w:t xml:space="preserve">IETF RFC2460            </w:t>
      </w:r>
      <w:r>
        <w:rPr>
          <w:rFonts w:hint="eastAsia" w:ascii="宋体" w:hAnsi="宋体"/>
          <w:highlight w:val="none"/>
          <w:lang w:val="en-US" w:eastAsia="zh-CN"/>
        </w:rPr>
        <w:t xml:space="preserve">                                    </w:t>
      </w:r>
      <w:r>
        <w:rPr>
          <w:rFonts w:hint="eastAsia" w:ascii="宋体" w:hAnsi="宋体"/>
          <w:highlight w:val="none"/>
        </w:rPr>
        <w:t xml:space="preserve">           </w:t>
      </w:r>
    </w:p>
    <w:p>
      <w:pPr>
        <w:ind w:left="0" w:firstLine="0" w:firstLineChars="0"/>
        <w:rPr>
          <w:rFonts w:ascii="宋体" w:hAnsi="宋体"/>
          <w:highlight w:val="none"/>
        </w:rPr>
      </w:pPr>
      <w:r>
        <w:rPr>
          <w:rFonts w:hint="eastAsia" w:ascii="宋体" w:hAnsi="宋体"/>
          <w:highlight w:val="none"/>
        </w:rPr>
        <w:t>《安全防范工程技术标准》</w:t>
      </w:r>
      <w:r>
        <w:rPr>
          <w:rFonts w:hint="eastAsia" w:ascii="宋体" w:hAnsi="宋体"/>
          <w:highlight w:val="none"/>
          <w:lang w:val="en-US" w:eastAsia="zh-CN"/>
        </w:rPr>
        <w:t xml:space="preserve">                                     </w:t>
      </w:r>
      <w:r>
        <w:rPr>
          <w:rFonts w:hint="eastAsia" w:ascii="宋体" w:hAnsi="宋体"/>
          <w:highlight w:val="none"/>
        </w:rPr>
        <w:t>GB</w:t>
      </w:r>
      <w:r>
        <w:rPr>
          <w:rFonts w:hint="eastAsia" w:ascii="宋体" w:hAnsi="宋体"/>
          <w:highlight w:val="none"/>
          <w:lang w:val="en-US" w:eastAsia="zh-CN"/>
        </w:rPr>
        <w:t>/</w:t>
      </w:r>
      <w:r>
        <w:rPr>
          <w:rFonts w:ascii="宋体" w:hAnsi="宋体"/>
          <w:highlight w:val="none"/>
        </w:rPr>
        <w:t>50348</w:t>
      </w:r>
      <w:r>
        <w:rPr>
          <w:rFonts w:hint="eastAsia" w:ascii="宋体" w:hAnsi="宋体"/>
          <w:highlight w:val="none"/>
        </w:rPr>
        <w:t xml:space="preserve">                      </w:t>
      </w:r>
      <w:r>
        <w:rPr>
          <w:rFonts w:hint="eastAsia" w:ascii="宋体" w:hAnsi="宋体"/>
          <w:highlight w:val="none"/>
          <w:lang w:val="en-US" w:eastAsia="zh-CN"/>
        </w:rPr>
        <w:t xml:space="preserve">                                          </w:t>
      </w:r>
      <w:r>
        <w:rPr>
          <w:rFonts w:hint="eastAsia" w:ascii="宋体" w:hAnsi="宋体"/>
          <w:highlight w:val="none"/>
        </w:rPr>
        <w:t xml:space="preserve">  </w:t>
      </w:r>
      <w:r>
        <w:rPr>
          <w:rFonts w:hint="eastAsia" w:ascii="宋体" w:hAnsi="宋体"/>
          <w:highlight w:val="none"/>
          <w:lang w:val="en-US" w:eastAsia="zh-CN"/>
        </w:rPr>
        <w:t xml:space="preserve">  </w:t>
      </w:r>
      <w:r>
        <w:rPr>
          <w:rFonts w:hint="eastAsia" w:ascii="宋体" w:hAnsi="宋体"/>
          <w:highlight w:val="none"/>
        </w:rPr>
        <w:t xml:space="preserve">       </w:t>
      </w:r>
    </w:p>
    <w:p>
      <w:pPr>
        <w:ind w:left="0" w:firstLine="0" w:firstLineChars="0"/>
        <w:rPr>
          <w:rFonts w:hint="eastAsia" w:ascii="宋体" w:hAnsi="宋体"/>
          <w:highlight w:val="none"/>
        </w:rPr>
      </w:pPr>
      <w:r>
        <w:rPr>
          <w:rFonts w:hint="eastAsia" w:ascii="宋体" w:hAnsi="宋体"/>
          <w:highlight w:val="none"/>
        </w:rPr>
        <w:t>《安全防范视频监控联网系统信息传输、交换、控制技术要</w:t>
      </w:r>
      <w:r>
        <w:rPr>
          <w:rFonts w:hint="eastAsia" w:ascii="宋体" w:hAnsi="宋体"/>
          <w:highlight w:val="none"/>
          <w:lang w:eastAsia="zh-CN"/>
        </w:rPr>
        <w:t>》</w:t>
      </w:r>
      <w:r>
        <w:rPr>
          <w:rFonts w:hint="eastAsia" w:ascii="宋体" w:hAnsi="宋体"/>
          <w:highlight w:val="none"/>
          <w:lang w:val="en-US" w:eastAsia="zh-CN"/>
        </w:rPr>
        <w:t xml:space="preserve">      </w:t>
      </w:r>
      <w:r>
        <w:rPr>
          <w:rFonts w:hint="eastAsia" w:ascii="宋体" w:hAnsi="宋体"/>
          <w:highlight w:val="none"/>
        </w:rPr>
        <w:t>GB/T</w:t>
      </w:r>
      <w:r>
        <w:rPr>
          <w:rFonts w:ascii="宋体" w:hAnsi="宋体"/>
          <w:highlight w:val="none"/>
        </w:rPr>
        <w:t>281281</w:t>
      </w:r>
      <w:r>
        <w:rPr>
          <w:rFonts w:hint="eastAsia" w:ascii="宋体" w:hAnsi="宋体"/>
          <w:highlight w:val="none"/>
          <w:lang w:val="en-US" w:eastAsia="zh-CN"/>
        </w:rPr>
        <w:t xml:space="preserve">         </w:t>
      </w:r>
    </w:p>
    <w:p>
      <w:pPr>
        <w:ind w:left="0" w:firstLine="0" w:firstLineChars="0"/>
        <w:rPr>
          <w:rFonts w:ascii="宋体" w:hAnsi="宋体"/>
          <w:highlight w:val="none"/>
        </w:rPr>
      </w:pPr>
      <w:r>
        <w:rPr>
          <w:rFonts w:hint="eastAsia" w:ascii="宋体" w:hAnsi="宋体"/>
          <w:highlight w:val="none"/>
        </w:rPr>
        <w:t xml:space="preserve">《网络关键设备安全技术要求 交换机设备》          </w:t>
      </w:r>
      <w:r>
        <w:rPr>
          <w:rFonts w:hint="eastAsia" w:ascii="宋体" w:hAnsi="宋体"/>
          <w:highlight w:val="none"/>
          <w:lang w:val="en-US" w:eastAsia="zh-CN"/>
        </w:rPr>
        <w:t xml:space="preserve">           </w:t>
      </w:r>
      <w:r>
        <w:rPr>
          <w:rFonts w:hint="eastAsia" w:ascii="宋体" w:hAnsi="宋体"/>
          <w:highlight w:val="none"/>
        </w:rPr>
        <w:t>GB/T</w:t>
      </w:r>
      <w:r>
        <w:rPr>
          <w:rFonts w:ascii="宋体" w:hAnsi="宋体"/>
          <w:highlight w:val="none"/>
        </w:rPr>
        <w:t xml:space="preserve"> 41267</w:t>
      </w:r>
      <w:r>
        <w:rPr>
          <w:rFonts w:hint="eastAsia" w:ascii="宋体" w:hAnsi="宋体"/>
          <w:highlight w:val="none"/>
          <w:lang w:val="en-US" w:eastAsia="zh-CN"/>
        </w:rPr>
        <w:t xml:space="preserve">      </w:t>
      </w:r>
      <w:r>
        <w:rPr>
          <w:rFonts w:hint="eastAsia" w:ascii="宋体" w:hAnsi="宋体"/>
          <w:highlight w:val="none"/>
        </w:rPr>
        <w:t xml:space="preserve"> </w:t>
      </w:r>
      <w:r>
        <w:rPr>
          <w:rFonts w:hint="eastAsia" w:ascii="宋体" w:hAnsi="宋体"/>
          <w:highlight w:val="none"/>
          <w:lang w:val="en-US" w:eastAsia="zh-CN"/>
        </w:rPr>
        <w:t xml:space="preserve">           </w:t>
      </w:r>
      <w:r>
        <w:rPr>
          <w:rFonts w:hint="eastAsia" w:ascii="宋体" w:hAnsi="宋体"/>
          <w:highlight w:val="none"/>
        </w:rPr>
        <w:t xml:space="preserve">    </w:t>
      </w:r>
    </w:p>
    <w:p>
      <w:pPr>
        <w:rPr>
          <w:rFonts w:hint="eastAsia" w:ascii="宋体" w:hAnsi="宋体"/>
          <w:highlight w:val="none"/>
        </w:rPr>
      </w:pPr>
      <w:r>
        <w:rPr>
          <w:rFonts w:hint="eastAsia" w:ascii="宋体" w:hAnsi="宋体"/>
          <w:highlight w:val="none"/>
        </w:rPr>
        <w:t>如果采用其它标准，其要求不得低于上述标准，国家最新颁布、执行的与本项目有关的规范、标准等。当新老版本规范不一致时，以新版本为准。</w:t>
      </w:r>
    </w:p>
    <w:p>
      <w:pPr>
        <w:pStyle w:val="4"/>
        <w:numPr>
          <w:ilvl w:val="0"/>
          <w:numId w:val="1"/>
        </w:numPr>
        <w:spacing w:before="200" w:after="200"/>
        <w:ind w:left="0" w:right="0" w:firstLine="562" w:firstLineChars="0"/>
        <w:jc w:val="both"/>
        <w:textAlignment w:val="auto"/>
        <w:rPr>
          <w:rFonts w:hint="eastAsia" w:ascii="宋体" w:hAnsi="宋体" w:eastAsia="宋体"/>
          <w:b/>
          <w:color w:val="auto"/>
          <w:sz w:val="28"/>
          <w:szCs w:val="28"/>
          <w:highlight w:val="none"/>
        </w:rPr>
      </w:pPr>
      <w:r>
        <w:rPr>
          <w:rFonts w:hint="eastAsia" w:ascii="宋体" w:hAnsi="宋体" w:eastAsia="宋体"/>
          <w:b/>
          <w:color w:val="auto"/>
          <w:sz w:val="28"/>
          <w:szCs w:val="28"/>
          <w:highlight w:val="none"/>
        </w:rPr>
        <w:t>技术要求</w:t>
      </w:r>
    </w:p>
    <w:p>
      <w:pPr>
        <w:pStyle w:val="5"/>
        <w:ind w:left="360" w:firstLine="0" w:firstLineChars="0"/>
        <w:rPr>
          <w:rFonts w:hint="eastAsia" w:ascii="宋体" w:hAnsi="宋体" w:eastAsia="宋体"/>
          <w:b/>
          <w:bCs/>
          <w:color w:val="auto"/>
          <w:sz w:val="24"/>
          <w:szCs w:val="24"/>
          <w:highlight w:val="none"/>
        </w:rPr>
      </w:pPr>
      <w:r>
        <w:rPr>
          <w:rFonts w:hint="eastAsia" w:ascii="宋体" w:hAnsi="宋体" w:eastAsia="宋体"/>
          <w:b/>
          <w:bCs/>
          <w:color w:val="auto"/>
          <w:sz w:val="24"/>
          <w:szCs w:val="24"/>
          <w:highlight w:val="none"/>
        </w:rPr>
        <w:t xml:space="preserve">5.1 </w:t>
      </w:r>
      <w:r>
        <w:rPr>
          <w:rFonts w:hint="eastAsia" w:ascii="宋体" w:hAnsi="宋体" w:eastAsia="宋体"/>
          <w:b/>
          <w:bCs/>
          <w:color w:val="auto"/>
          <w:sz w:val="24"/>
          <w:szCs w:val="24"/>
          <w:highlight w:val="none"/>
          <w:lang w:val="en-US" w:eastAsia="zh-CN"/>
        </w:rPr>
        <w:t>升级改造</w:t>
      </w:r>
      <w:r>
        <w:rPr>
          <w:rFonts w:hint="eastAsia" w:ascii="宋体" w:hAnsi="宋体" w:eastAsia="宋体"/>
          <w:b/>
          <w:bCs/>
          <w:color w:val="auto"/>
          <w:sz w:val="24"/>
          <w:szCs w:val="24"/>
          <w:highlight w:val="none"/>
        </w:rPr>
        <w:t>方案说明</w:t>
      </w:r>
    </w:p>
    <w:p>
      <w:pPr>
        <w:snapToGrid w:val="0"/>
        <w:spacing w:line="500" w:lineRule="exact"/>
        <w:textAlignment w:val="baseline"/>
        <w:rPr>
          <w:rFonts w:hint="eastAsia" w:ascii="宋体" w:hAnsi="宋体"/>
          <w:highlight w:val="none"/>
        </w:rPr>
      </w:pPr>
      <w:r>
        <w:rPr>
          <w:rFonts w:hint="eastAsia" w:ascii="宋体" w:hAnsi="宋体"/>
          <w:highlight w:val="none"/>
        </w:rPr>
        <w:t>本次项目升级改造基于招标人现有监控系统，在保留原有功能的基础上，优化传输网络、扩展监控中心功能，并提升前端设备的适应性和监控质量。具体主要包括监控点位新增，表计巡检超脑、行为巡检超脑、平台服务器新增，视频存储设备进行扩容（新增监控点位满足后备90天存储要求），软件功能新增（详见5.3.1软件功能清单）以及整体项目实施交付部分。</w:t>
      </w:r>
    </w:p>
    <w:p>
      <w:pPr>
        <w:spacing w:line="500" w:lineRule="exact"/>
        <w:textAlignment w:val="baseline"/>
        <w:rPr>
          <w:rFonts w:hint="eastAsia"/>
          <w:highlight w:val="none"/>
        </w:rPr>
      </w:pPr>
      <w:r>
        <w:rPr>
          <w:rFonts w:hint="eastAsia" w:ascii="宋体" w:hAnsi="宋体"/>
          <w:highlight w:val="none"/>
        </w:rPr>
        <w:t>视频监控系统主要由前端设备、传输网络和监控中心</w:t>
      </w:r>
      <w:r>
        <w:rPr>
          <w:rFonts w:hint="eastAsia" w:ascii="宋体" w:hAnsi="宋体"/>
          <w:highlight w:val="none"/>
          <w:lang w:val="en-US" w:eastAsia="zh-CN"/>
        </w:rPr>
        <w:t>平台</w:t>
      </w:r>
      <w:r>
        <w:rPr>
          <w:rFonts w:hint="eastAsia" w:ascii="宋体" w:hAnsi="宋体"/>
          <w:highlight w:val="none"/>
        </w:rPr>
        <w:t>三大部分组成，各部分协同工作，共同保障系统的稳定性和监控效果。</w:t>
      </w:r>
    </w:p>
    <w:p>
      <w:pPr>
        <w:snapToGrid w:val="0"/>
        <w:spacing w:line="500" w:lineRule="exact"/>
        <w:textAlignment w:val="baseline"/>
        <w:rPr>
          <w:rFonts w:hint="eastAsia" w:ascii="宋体" w:hAnsi="宋体"/>
          <w:highlight w:val="none"/>
        </w:rPr>
      </w:pPr>
      <w:r>
        <w:rPr>
          <w:rFonts w:hint="eastAsia" w:ascii="宋体" w:hAnsi="宋体"/>
          <w:highlight w:val="none"/>
        </w:rPr>
        <w:t>监控中心</w:t>
      </w:r>
      <w:r>
        <w:rPr>
          <w:rFonts w:hint="eastAsia" w:ascii="宋体" w:hAnsi="宋体"/>
          <w:highlight w:val="none"/>
          <w:lang w:val="en-US" w:eastAsia="zh-CN"/>
        </w:rPr>
        <w:t>平台</w:t>
      </w:r>
      <w:r>
        <w:rPr>
          <w:rFonts w:hint="eastAsia" w:ascii="宋体" w:hAnsi="宋体"/>
          <w:highlight w:val="none"/>
          <w:lang w:eastAsia="zh-CN"/>
        </w:rPr>
        <w:t>：</w:t>
      </w:r>
      <w:r>
        <w:rPr>
          <w:rFonts w:hint="eastAsia" w:ascii="宋体" w:hAnsi="宋体"/>
          <w:highlight w:val="none"/>
        </w:rPr>
        <w:t>监控中心</w:t>
      </w:r>
      <w:r>
        <w:rPr>
          <w:rFonts w:hint="eastAsia" w:ascii="宋体" w:hAnsi="宋体"/>
          <w:highlight w:val="none"/>
          <w:lang w:val="en-US" w:eastAsia="zh-CN"/>
        </w:rPr>
        <w:t>平台</w:t>
      </w:r>
      <w:r>
        <w:rPr>
          <w:rFonts w:hint="eastAsia" w:ascii="宋体" w:hAnsi="宋体"/>
          <w:highlight w:val="none"/>
        </w:rPr>
        <w:t>是整个系统的核心，目前招标人已在</w:t>
      </w:r>
      <w:r>
        <w:rPr>
          <w:rFonts w:hint="eastAsia" w:ascii="宋体" w:hAnsi="宋体"/>
          <w:highlight w:val="none"/>
          <w:lang w:val="en-US" w:eastAsia="zh-CN"/>
        </w:rPr>
        <w:t>计量站</w:t>
      </w:r>
      <w:r>
        <w:rPr>
          <w:rFonts w:hint="eastAsia" w:ascii="宋体" w:hAnsi="宋体"/>
          <w:highlight w:val="none"/>
        </w:rPr>
        <w:t>部署整体管理系统，包括服务器端和客户端，并配备设备管理应用平台，实现对风电场站内风机、计量站及升压站设备的统一管理。本次改造在原有平台基础上新增设备远程巡检、表计识别</w:t>
      </w:r>
      <w:r>
        <w:rPr>
          <w:rFonts w:hint="eastAsia" w:ascii="宋体" w:hAnsi="宋体"/>
          <w:highlight w:val="none"/>
        </w:rPr>
        <w:t>、违章行为识别、</w:t>
      </w:r>
      <w:r>
        <w:rPr>
          <w:rFonts w:hint="eastAsia" w:ascii="宋体" w:hAnsi="宋体"/>
          <w:highlight w:val="none"/>
        </w:rPr>
        <w:t>和驾驶舱等功能，以提升系统的智能化管理水平。</w:t>
      </w:r>
    </w:p>
    <w:p>
      <w:pPr>
        <w:snapToGrid w:val="0"/>
        <w:spacing w:line="500" w:lineRule="exact"/>
        <w:textAlignment w:val="baseline"/>
        <w:rPr>
          <w:rFonts w:hint="eastAsia" w:ascii="宋体" w:hAnsi="宋体"/>
          <w:highlight w:val="none"/>
        </w:rPr>
      </w:pPr>
      <w:r>
        <w:rPr>
          <w:rFonts w:hint="eastAsia" w:ascii="宋体" w:hAnsi="宋体"/>
          <w:highlight w:val="none"/>
        </w:rPr>
        <w:t>服务器：原有服务器实现原500路视频监控数据库管理、数据处理、文件共享、流媒体转发等功能已接近饱和，本次新增2台服务器，1台用于本次新增</w:t>
      </w:r>
      <w:r>
        <w:rPr>
          <w:rFonts w:hint="eastAsia" w:ascii="宋体" w:hAnsi="宋体"/>
          <w:highlight w:val="none"/>
          <w:lang w:eastAsia="zh-CN"/>
        </w:rPr>
        <w:t>5</w:t>
      </w:r>
      <w:r>
        <w:rPr>
          <w:rFonts w:hint="eastAsia" w:ascii="宋体" w:hAnsi="宋体"/>
          <w:highlight w:val="none"/>
          <w:lang w:val="en-US" w:eastAsia="zh-CN"/>
        </w:rPr>
        <w:t>00</w:t>
      </w:r>
      <w:r>
        <w:rPr>
          <w:rFonts w:hint="eastAsia" w:ascii="宋体" w:hAnsi="宋体"/>
          <w:highlight w:val="none"/>
        </w:rPr>
        <w:t>路视频监控数据库管理、数据处理、文件共享、流媒体转发等功能，1台为智能驾驶舱平台数据整合、数据可视化、信息展示提供硬件搭设底座。</w:t>
      </w:r>
    </w:p>
    <w:p>
      <w:pPr>
        <w:snapToGrid w:val="0"/>
        <w:spacing w:line="500" w:lineRule="exact"/>
        <w:textAlignment w:val="baseline"/>
        <w:rPr>
          <w:rFonts w:hint="eastAsia" w:ascii="宋体" w:hAnsi="宋体"/>
          <w:highlight w:val="none"/>
        </w:rPr>
      </w:pPr>
      <w:r>
        <w:rPr>
          <w:rFonts w:hint="eastAsia" w:ascii="宋体" w:hAnsi="宋体"/>
          <w:highlight w:val="none"/>
        </w:rPr>
        <w:t>存储：原有存储实现原500路监控的视频存储90天功能，本次新增</w:t>
      </w:r>
      <w:r>
        <w:rPr>
          <w:rFonts w:hint="eastAsia" w:ascii="宋体" w:hAnsi="宋体"/>
          <w:highlight w:val="none"/>
          <w:lang w:val="en-US" w:eastAsia="zh-CN"/>
        </w:rPr>
        <w:t>2</w:t>
      </w:r>
      <w:r>
        <w:rPr>
          <w:rFonts w:hint="eastAsia" w:ascii="宋体" w:hAnsi="宋体"/>
          <w:highlight w:val="none"/>
        </w:rPr>
        <w:t>台</w:t>
      </w:r>
      <w:r>
        <w:rPr>
          <w:rFonts w:hint="eastAsia" w:ascii="宋体" w:hAnsi="宋体"/>
          <w:highlight w:val="none"/>
        </w:rPr>
        <w:t>同系列</w:t>
      </w:r>
      <w:r>
        <w:rPr>
          <w:rFonts w:hint="eastAsia" w:ascii="宋体" w:hAnsi="宋体"/>
          <w:highlight w:val="none"/>
        </w:rPr>
        <w:t>存储满足</w:t>
      </w:r>
      <w:r>
        <w:rPr>
          <w:rFonts w:hint="eastAsia" w:ascii="宋体" w:hAnsi="宋体"/>
          <w:highlight w:val="none"/>
          <w:lang w:eastAsia="zh-CN"/>
        </w:rPr>
        <w:t>5</w:t>
      </w:r>
      <w:r>
        <w:rPr>
          <w:rFonts w:hint="eastAsia" w:ascii="宋体" w:hAnsi="宋体"/>
          <w:highlight w:val="none"/>
          <w:lang w:val="en-US" w:eastAsia="zh-CN"/>
        </w:rPr>
        <w:t>00</w:t>
      </w:r>
      <w:r>
        <w:rPr>
          <w:rFonts w:hint="eastAsia" w:ascii="宋体" w:hAnsi="宋体"/>
          <w:highlight w:val="none"/>
        </w:rPr>
        <w:t>路新增摄像机存储90天的要求</w:t>
      </w:r>
      <w:r>
        <w:rPr>
          <w:rFonts w:hint="eastAsia" w:ascii="宋体" w:hAnsi="宋体"/>
          <w:highlight w:val="none"/>
        </w:rPr>
        <w:t>，新增存储和原存储用同系列产品，可实现全部存储磁盘阵列统一部署、统一管理、集中调度</w:t>
      </w:r>
      <w:r>
        <w:rPr>
          <w:rFonts w:hint="eastAsia" w:ascii="宋体" w:hAnsi="宋体"/>
          <w:highlight w:val="none"/>
        </w:rPr>
        <w:t>。</w:t>
      </w:r>
    </w:p>
    <w:p>
      <w:pPr>
        <w:pStyle w:val="2"/>
        <w:rPr>
          <w:rFonts w:ascii="Times New Roman" w:hAnsi="Times New Roman"/>
          <w:highlight w:val="none"/>
        </w:rPr>
      </w:pPr>
    </w:p>
    <w:p>
      <w:pPr>
        <w:widowControl/>
        <w:ind w:left="199" w:leftChars="83" w:firstLine="480" w:firstLineChars="200"/>
        <w:rPr>
          <w:rFonts w:hint="eastAsia" w:ascii="宋体" w:hAnsi="宋体"/>
          <w:color w:val="000000"/>
          <w:highlight w:val="none"/>
        </w:rPr>
      </w:pPr>
      <w:r>
        <w:rPr>
          <w:rFonts w:hint="eastAsia" w:ascii="宋体" w:hAnsi="宋体"/>
          <w:color w:val="000000"/>
          <w:highlight w:val="none"/>
          <w:lang w:val="en-US" w:eastAsia="zh-CN"/>
        </w:rPr>
        <w:t>传输网络：作为数据传输的</w:t>
      </w:r>
      <w:r>
        <w:rPr>
          <w:rFonts w:hint="eastAsia" w:ascii="宋体" w:hAnsi="宋体"/>
          <w:color w:val="000000"/>
          <w:highlight w:val="none"/>
        </w:rPr>
        <w:t>关键环节</w:t>
      </w:r>
      <w:r>
        <w:rPr>
          <w:rFonts w:hint="eastAsia" w:ascii="宋体" w:hAnsi="宋体"/>
          <w:color w:val="000000"/>
          <w:highlight w:val="none"/>
          <w:lang w:val="en-US" w:eastAsia="zh-CN"/>
        </w:rPr>
        <w:t>，</w:t>
      </w:r>
      <w:r>
        <w:rPr>
          <w:rFonts w:hint="eastAsia" w:ascii="宋体" w:hAnsi="宋体"/>
          <w:color w:val="000000"/>
          <w:highlight w:val="none"/>
        </w:rPr>
        <w:t>负责风电机组至升压站的数据汇集，采用光纤环网方式</w:t>
      </w:r>
      <w:r>
        <w:rPr>
          <w:rFonts w:hint="eastAsia" w:ascii="宋体" w:hAnsi="宋体"/>
          <w:color w:val="000000"/>
          <w:highlight w:val="none"/>
          <w:lang w:val="en-US" w:eastAsia="zh-CN"/>
        </w:rPr>
        <w:t>。前端摄像机可通过以太网线或光纤介质接入环网交换机。本次改造拟在每台风机新增部署1台8端口交换机，并在升压站新增1台24端口汇聚交换机，通过优化网络架构和设备配置，提升数据传输的稳定性、可靠性和实时性，确保监控数据的高效、低延时传输。</w:t>
      </w:r>
    </w:p>
    <w:p>
      <w:pPr>
        <w:snapToGrid w:val="0"/>
        <w:spacing w:line="500" w:lineRule="exact"/>
        <w:ind w:firstLine="480" w:firstLineChars="200"/>
        <w:jc w:val="left"/>
        <w:textAlignment w:val="baseline"/>
        <w:rPr>
          <w:rFonts w:hint="eastAsia" w:ascii="宋体" w:hAnsi="宋体"/>
          <w:highlight w:val="none"/>
          <w:lang w:eastAsia="zh-CN"/>
        </w:rPr>
      </w:pPr>
      <w:r>
        <w:rPr>
          <w:rFonts w:hint="eastAsia" w:ascii="宋体" w:hAnsi="宋体"/>
          <w:highlight w:val="none"/>
        </w:rPr>
        <w:t>前端摄像机</w:t>
      </w:r>
      <w:r>
        <w:rPr>
          <w:rFonts w:hint="eastAsia" w:ascii="宋体" w:hAnsi="宋体"/>
          <w:highlight w:val="none"/>
          <w:lang w:eastAsia="zh-CN"/>
        </w:rPr>
        <w:t>：</w:t>
      </w:r>
      <w:r>
        <w:rPr>
          <w:rFonts w:hint="eastAsia" w:ascii="宋体" w:hAnsi="宋体"/>
          <w:color w:val="000000"/>
          <w:highlight w:val="none"/>
        </w:rPr>
        <w:t>在海上风电机组</w:t>
      </w:r>
      <w:r>
        <w:rPr>
          <w:rFonts w:hint="eastAsia" w:ascii="宋体" w:hAnsi="宋体"/>
          <w:highlight w:val="none"/>
        </w:rPr>
        <w:t>、</w:t>
      </w:r>
      <w:r>
        <w:rPr>
          <w:rFonts w:hint="eastAsia" w:ascii="宋体" w:hAnsi="宋体"/>
          <w:color w:val="000000"/>
          <w:highlight w:val="none"/>
        </w:rPr>
        <w:t>升压站内新增球机，以覆盖现有监控盲区，并增设表计识别摄像机，实现设备的远程巡视，替代人工现场巡检。系统建设遵循按需部署原则，合理规划监测监控点，确保关键设备指标全面覆盖、无死角。通过先进的表计识别技术，对</w:t>
      </w:r>
      <w:r>
        <w:rPr>
          <w:rFonts w:hint="eastAsia" w:ascii="宋体" w:hAnsi="宋体"/>
          <w:highlight w:val="none"/>
          <w:lang w:val="en-US" w:eastAsia="zh-CN"/>
        </w:rPr>
        <w:t>74</w:t>
      </w:r>
      <w:r>
        <w:rPr>
          <w:rFonts w:hint="eastAsia" w:ascii="宋体" w:hAnsi="宋体"/>
          <w:color w:val="000000"/>
          <w:highlight w:val="none"/>
        </w:rPr>
        <w:t>台风机及海上升压站的核心参数进行实时监测，并具备自动报警功能，以提高安全性和运维效率</w:t>
      </w:r>
      <w:r>
        <w:rPr>
          <w:rFonts w:hint="eastAsia" w:ascii="宋体" w:hAnsi="宋体"/>
          <w:color w:val="000000"/>
          <w:highlight w:val="none"/>
          <w:lang w:eastAsia="zh-CN"/>
        </w:rPr>
        <w:t>（</w:t>
      </w:r>
      <w:r>
        <w:rPr>
          <w:rFonts w:hint="eastAsia" w:ascii="宋体" w:hAnsi="宋体"/>
          <w:highlight w:val="none"/>
        </w:rPr>
        <w:t>前端摄像机接入</w:t>
      </w:r>
      <w:r>
        <w:rPr>
          <w:rFonts w:hint="eastAsia" w:ascii="宋体" w:hAnsi="宋体"/>
          <w:highlight w:val="none"/>
          <w:lang w:val="en-US" w:eastAsia="zh-CN"/>
        </w:rPr>
        <w:t>招标人</w:t>
      </w:r>
      <w:r>
        <w:rPr>
          <w:rFonts w:hint="eastAsia" w:ascii="宋体" w:hAnsi="宋体"/>
          <w:highlight w:val="none"/>
        </w:rPr>
        <w:t>现有电源接口。如现有</w:t>
      </w:r>
      <w:r>
        <w:rPr>
          <w:rFonts w:hint="eastAsia" w:ascii="宋体" w:hAnsi="宋体"/>
          <w:highlight w:val="none"/>
          <w:lang w:val="en-US" w:eastAsia="zh-CN"/>
        </w:rPr>
        <w:t>电源</w:t>
      </w:r>
      <w:r>
        <w:rPr>
          <w:rFonts w:hint="eastAsia" w:ascii="宋体" w:hAnsi="宋体"/>
          <w:highlight w:val="none"/>
        </w:rPr>
        <w:t>接口无法满足需求，则由投标人负责扩充。前端设备需具备防腐、防水性能，并确保合理的监控范围和高质量的视频采集，以满足整体视频监控系统的需求</w:t>
      </w:r>
      <w:r>
        <w:rPr>
          <w:rFonts w:hint="eastAsia" w:ascii="宋体" w:hAnsi="宋体"/>
          <w:highlight w:val="none"/>
          <w:lang w:eastAsia="zh-CN"/>
        </w:rPr>
        <w:t>）。</w:t>
      </w:r>
    </w:p>
    <w:p>
      <w:pPr>
        <w:snapToGrid w:val="0"/>
        <w:spacing w:line="500" w:lineRule="exact"/>
        <w:ind w:left="398" w:leftChars="166"/>
        <w:textAlignment w:val="baseline"/>
        <w:rPr>
          <w:rFonts w:hint="eastAsia" w:ascii="宋体" w:hAnsi="宋体"/>
          <w:highlight w:val="none"/>
        </w:rPr>
      </w:pPr>
      <w:r>
        <w:rPr>
          <w:rFonts w:hint="eastAsia" w:ascii="宋体" w:hAnsi="宋体"/>
          <w:color w:val="000000"/>
          <w:highlight w:val="none"/>
        </w:rPr>
        <w:t>本项目需具备“人工巡视”与“智能巡视”两种巡检模式。其中，人工巡视模式依靠人工操控系统完成检查项，而智能巡视模式则可按设定任务定时启动，利用人工智能自动执行检查。智能巡视的检查结果经过人工二次核验后，系统将自动生成远程巡视报告。</w:t>
      </w:r>
    </w:p>
    <w:p>
      <w:pPr>
        <w:pStyle w:val="5"/>
        <w:ind w:left="360" w:firstLine="0" w:firstLineChars="0"/>
        <w:rPr>
          <w:rFonts w:hint="eastAsia" w:ascii="宋体" w:hAnsi="宋体" w:eastAsia="宋体"/>
          <w:b/>
          <w:bCs/>
          <w:color w:val="auto"/>
          <w:sz w:val="24"/>
          <w:szCs w:val="24"/>
          <w:highlight w:val="none"/>
          <w:lang w:eastAsia="zh-CN"/>
        </w:rPr>
      </w:pPr>
      <w:r>
        <w:rPr>
          <w:rFonts w:hint="eastAsia" w:ascii="宋体" w:hAnsi="宋体" w:eastAsia="宋体"/>
          <w:b/>
          <w:bCs/>
          <w:color w:val="auto"/>
          <w:sz w:val="24"/>
          <w:szCs w:val="24"/>
          <w:highlight w:val="none"/>
        </w:rPr>
        <w:t xml:space="preserve">5.2 </w:t>
      </w:r>
      <w:r>
        <w:rPr>
          <w:rFonts w:hint="eastAsia" w:ascii="宋体" w:hAnsi="宋体" w:eastAsia="宋体"/>
          <w:b/>
          <w:bCs/>
          <w:color w:val="auto"/>
          <w:sz w:val="24"/>
          <w:szCs w:val="24"/>
          <w:highlight w:val="none"/>
          <w:lang w:val="en-US" w:eastAsia="zh-CN"/>
        </w:rPr>
        <w:t>设备部署</w:t>
      </w:r>
    </w:p>
    <w:p>
      <w:pPr>
        <w:rPr>
          <w:rFonts w:hint="eastAsia" w:ascii="宋体" w:hAnsi="宋体"/>
          <w:highlight w:val="none"/>
        </w:rPr>
      </w:pPr>
      <w:r>
        <w:rPr>
          <w:rFonts w:hint="eastAsia" w:ascii="宋体" w:hAnsi="宋体"/>
          <w:highlight w:val="none"/>
          <w:lang w:val="en-US" w:eastAsia="zh-CN"/>
        </w:rPr>
        <w:t>本项目计划新增监控点位共计398个，其中海上风机区域新增视频监控点位256个，海上升压站区域新增视频监控点位29个，陆上计量站区域新增视频监控点位30个；表计识别系统新增监控点位80个，包括风机区域74个和海上升压站区域6个；同时，海上升压站区域新增3台卡片式测温热像仪。表计巡检超脑服务器和行为巡检超脑服务器计划统一部署于海上升压站继保室内。2两台服务器和中心存储部署于陆上计量站SIS机房。所有监控点位的具体安装位置将由招标人指定。</w:t>
      </w:r>
    </w:p>
    <w:p>
      <w:pPr>
        <w:pStyle w:val="5"/>
        <w:ind w:left="360" w:firstLine="0" w:firstLineChars="0"/>
        <w:rPr>
          <w:rFonts w:hint="eastAsia" w:ascii="宋体" w:hAnsi="宋体" w:eastAsia="宋体"/>
          <w:b/>
          <w:bCs/>
          <w:color w:val="auto"/>
          <w:sz w:val="24"/>
          <w:szCs w:val="24"/>
          <w:highlight w:val="none"/>
        </w:rPr>
      </w:pPr>
      <w:bookmarkStart w:id="50" w:name="_Toc496269358"/>
      <w:r>
        <w:rPr>
          <w:rFonts w:hint="eastAsia" w:ascii="宋体" w:hAnsi="宋体" w:eastAsia="宋体"/>
          <w:b/>
          <w:bCs/>
          <w:color w:val="auto"/>
          <w:sz w:val="24"/>
          <w:szCs w:val="24"/>
          <w:highlight w:val="none"/>
        </w:rPr>
        <w:t>5.3设备要求</w:t>
      </w:r>
      <w:bookmarkEnd w:id="50"/>
    </w:p>
    <w:p>
      <w:pPr>
        <w:rPr>
          <w:rFonts w:hint="eastAsia" w:ascii="宋体" w:hAnsi="宋体"/>
          <w:highlight w:val="none"/>
        </w:rPr>
      </w:pPr>
      <w:r>
        <w:rPr>
          <w:rFonts w:ascii="宋体" w:hAnsi="宋体"/>
          <w:highlight w:val="none"/>
        </w:rPr>
        <w:t>所有硬件设备必须具备原制造厂商的铭牌、标志，所有设备均需得到制造商认证，符合制造商公布的质量标准，凡进口的硬件设备必须通过合法渠道进口。本系统中出现的任何涉及非法进口设备的纠纷，均由投标人承担全部法律责任</w:t>
      </w:r>
      <w:r>
        <w:rPr>
          <w:rFonts w:hint="eastAsia" w:ascii="宋体" w:hAnsi="宋体"/>
          <w:highlight w:val="none"/>
        </w:rPr>
        <w:t>。</w:t>
      </w:r>
      <w:r>
        <w:rPr>
          <w:rFonts w:ascii="宋体" w:hAnsi="宋体"/>
          <w:highlight w:val="none"/>
        </w:rPr>
        <w:t>所有软件必须具有原制造厂商的授权证或许可证，应具有功能、性能参数和使用手册。本系统中出现的任何涉及版权纠纷，均由投标人承担全部法律责任</w:t>
      </w:r>
      <w:r>
        <w:rPr>
          <w:rFonts w:hint="eastAsia" w:ascii="宋体" w:hAnsi="宋体"/>
          <w:highlight w:val="none"/>
        </w:rPr>
        <w:t>；</w:t>
      </w:r>
    </w:p>
    <w:p>
      <w:pPr>
        <w:pStyle w:val="2"/>
        <w:rPr>
          <w:rFonts w:hint="eastAsia" w:ascii="宋体" w:hAnsi="宋体"/>
          <w:highlight w:val="none"/>
        </w:rPr>
      </w:pPr>
      <w:r>
        <w:rPr>
          <w:rFonts w:hint="eastAsia" w:ascii="宋体" w:hAnsi="宋体" w:cs="宋体"/>
          <w:sz w:val="24"/>
          <w:szCs w:val="24"/>
          <w:highlight w:val="none"/>
        </w:rPr>
        <w:t>5.3.1 设备功能清单（在招标人现有视频监控平台的基础上进行升级扩容，并定</w:t>
      </w:r>
      <w:r>
        <w:rPr>
          <w:rFonts w:ascii="宋体" w:hAnsi="宋体"/>
          <w:sz w:val="24"/>
          <w:szCs w:val="24"/>
          <w:highlight w:val="none"/>
        </w:rPr>
        <w:t>制优化功能</w:t>
      </w:r>
      <w:r>
        <w:rPr>
          <w:rFonts w:hint="eastAsia" w:ascii="宋体" w:hAnsi="宋体"/>
          <w:highlight w:val="none"/>
        </w:rPr>
        <w:t>）。</w:t>
      </w: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4"/>
        <w:gridCol w:w="2337"/>
        <w:gridCol w:w="5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2" w:type="pct"/>
          </w:tcPr>
          <w:p>
            <w:pPr>
              <w:spacing w:line="240" w:lineRule="auto"/>
              <w:ind w:left="0" w:right="0" w:firstLine="0" w:firstLineChars="0"/>
              <w:textAlignment w:val="auto"/>
              <w:rPr>
                <w:rFonts w:hint="eastAsia" w:ascii="宋体" w:hAnsi="宋体"/>
                <w:highlight w:val="none"/>
              </w:rPr>
            </w:pPr>
            <w:bookmarkStart w:id="51" w:name="OLE_LINK1"/>
            <w:r>
              <w:rPr>
                <w:rFonts w:hint="eastAsia" w:ascii="宋体" w:hAnsi="宋体"/>
                <w:highlight w:val="none"/>
              </w:rPr>
              <w:t>序号</w:t>
            </w:r>
          </w:p>
        </w:tc>
        <w:tc>
          <w:tcPr>
            <w:tcW w:w="1314" w:type="pct"/>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名称</w:t>
            </w:r>
          </w:p>
        </w:tc>
        <w:tc>
          <w:tcPr>
            <w:tcW w:w="3102" w:type="pct"/>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主要建设内容及功能描述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9" w:hRule="atLeast"/>
        </w:trPr>
        <w:tc>
          <w:tcPr>
            <w:tcW w:w="582" w:type="pct"/>
            <w:tcBorders>
              <w:top w:val="single" w:color="auto" w:sz="4" w:space="0"/>
              <w:left w:val="single" w:color="auto" w:sz="4" w:space="0"/>
              <w:right w:val="single" w:color="auto" w:sz="4" w:space="0"/>
            </w:tcBorders>
            <w:vAlign w:val="center"/>
          </w:tcPr>
          <w:p>
            <w:pPr>
              <w:spacing w:line="240" w:lineRule="auto"/>
              <w:ind w:left="0" w:right="0" w:firstLine="0" w:firstLineChars="0"/>
              <w:jc w:val="center"/>
              <w:textAlignment w:val="auto"/>
              <w:rPr>
                <w:rFonts w:hint="eastAsia" w:ascii="宋体" w:hAnsi="宋体"/>
                <w:highlight w:val="none"/>
              </w:rPr>
            </w:pPr>
            <w:r>
              <w:rPr>
                <w:rFonts w:hint="eastAsia" w:ascii="宋体" w:hAnsi="宋体"/>
                <w:highlight w:val="none"/>
              </w:rPr>
              <w:t>1</w:t>
            </w:r>
          </w:p>
        </w:tc>
        <w:tc>
          <w:tcPr>
            <w:tcW w:w="1314" w:type="pct"/>
            <w:tcBorders>
              <w:top w:val="single" w:color="auto" w:sz="4" w:space="0"/>
              <w:left w:val="single" w:color="auto" w:sz="4" w:space="0"/>
              <w:right w:val="single" w:color="auto" w:sz="4" w:space="0"/>
            </w:tcBorders>
            <w:vAlign w:val="center"/>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智能驾驶舱平台</w:t>
            </w:r>
          </w:p>
        </w:tc>
        <w:tc>
          <w:tcPr>
            <w:tcW w:w="3102" w:type="pct"/>
            <w:tcBorders>
              <w:top w:val="single" w:color="auto" w:sz="4" w:space="0"/>
              <w:left w:val="single" w:color="auto" w:sz="4" w:space="0"/>
              <w:right w:val="single" w:color="auto" w:sz="4" w:space="0"/>
            </w:tcBorders>
          </w:tcPr>
          <w:p>
            <w:pPr>
              <w:widowControl w:val="0"/>
              <w:spacing w:line="240" w:lineRule="auto"/>
              <w:ind w:left="0" w:right="0" w:firstLine="0" w:firstLineChars="0"/>
              <w:textAlignment w:val="auto"/>
              <w:rPr>
                <w:rFonts w:hint="eastAsia" w:ascii="宋体" w:hAnsi="宋体"/>
                <w:highlight w:val="none"/>
              </w:rPr>
            </w:pPr>
            <w:r>
              <w:rPr>
                <w:rFonts w:hint="eastAsia" w:ascii="宋体" w:hAnsi="宋体"/>
                <w:highlight w:val="none"/>
              </w:rPr>
              <w:t>新增的驾驶舱平台将以风场全景可视化（</w:t>
            </w:r>
            <w:r>
              <w:rPr>
                <w:rFonts w:hint="eastAsia" w:ascii="宋体" w:hAnsi="宋体"/>
                <w:highlight w:val="none"/>
                <w:lang w:val="en-US" w:eastAsia="zh-CN"/>
              </w:rPr>
              <w:t>A</w:t>
            </w:r>
            <w:r>
              <w:rPr>
                <w:rFonts w:hint="eastAsia" w:ascii="宋体" w:hAnsi="宋体"/>
                <w:highlight w:val="none"/>
              </w:rPr>
              <w:t>R）系统为核心载体，需实现与招标人现有设备管理应用系统的无缝对接。平台功能应涵盖基础管理模块（包括人员管理、门禁设备管理、权限控制、视频监控等）和新增智能应用模块（包含远程巡检、表计识别、违章行为识别</w:t>
            </w:r>
            <w:r>
              <w:rPr>
                <w:rFonts w:hint="eastAsia" w:ascii="宋体" w:hAnsi="宋体"/>
                <w:highlight w:val="none"/>
                <w:lang w:eastAsia="zh-CN"/>
              </w:rPr>
              <w:t>、</w:t>
            </w:r>
            <w:r>
              <w:rPr>
                <w:rFonts w:hint="eastAsia" w:ascii="宋体" w:hAnsi="宋体"/>
                <w:highlight w:val="none"/>
                <w:lang w:val="en-US" w:eastAsia="zh-CN"/>
              </w:rPr>
              <w:t>非风场</w:t>
            </w:r>
            <w:r>
              <w:rPr>
                <w:rFonts w:hint="eastAsia" w:ascii="宋体" w:hAnsi="宋体"/>
                <w:highlight w:val="none"/>
              </w:rPr>
              <w:t>作业人员</w:t>
            </w:r>
            <w:r>
              <w:rPr>
                <w:rFonts w:hint="eastAsia" w:ascii="宋体" w:hAnsi="宋体"/>
                <w:highlight w:val="none"/>
                <w:lang w:val="en-US" w:eastAsia="zh-CN"/>
              </w:rPr>
              <w:t>入侵识别</w:t>
            </w:r>
            <w:r>
              <w:rPr>
                <w:rFonts w:hint="eastAsia" w:ascii="宋体" w:hAnsi="宋体"/>
                <w:highlight w:val="none"/>
              </w:rPr>
              <w:t>及告警信息管理等）。</w:t>
            </w:r>
          </w:p>
          <w:p>
            <w:pPr>
              <w:widowControl w:val="0"/>
              <w:spacing w:line="240" w:lineRule="auto"/>
              <w:ind w:left="0" w:right="0" w:firstLine="0" w:firstLineChars="0"/>
              <w:textAlignment w:val="auto"/>
              <w:rPr>
                <w:rFonts w:hint="eastAsia" w:ascii="宋体" w:hAnsi="宋体" w:eastAsia="宋体"/>
                <w:highlight w:val="none"/>
                <w:lang w:eastAsia="zh-CN"/>
              </w:rPr>
            </w:pPr>
            <w:r>
              <w:rPr>
                <w:rFonts w:hint="eastAsia" w:ascii="宋体" w:hAnsi="宋体"/>
                <w:highlight w:val="none"/>
              </w:rPr>
              <w:t>平台需构建精细化的权限管理体系，确保不同角色、不同层级人员的监控权限严格隔离，杜绝权限交叉。同时，系统应支持自定义配置功能，包括但不限于人员违章行为规则设定、设备运行阈值设置等，并实现异常情况下的自动弹窗报警和实时提醒</w:t>
            </w:r>
            <w:r>
              <w:rPr>
                <w:rFonts w:hint="eastAsia" w:ascii="宋体" w:hAnsi="宋体"/>
                <w:highlight w:val="none"/>
                <w:lang w:eastAsia="zh-CN"/>
              </w:rPr>
              <w:t>。</w:t>
            </w:r>
          </w:p>
          <w:p>
            <w:pPr>
              <w:widowControl w:val="0"/>
              <w:spacing w:line="240" w:lineRule="auto"/>
              <w:ind w:left="0" w:right="0" w:firstLine="0" w:firstLineChars="0"/>
              <w:textAlignment w:val="auto"/>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2" w:type="pct"/>
            <w:tcBorders>
              <w:top w:val="single" w:color="auto" w:sz="4" w:space="0"/>
              <w:left w:val="single" w:color="auto" w:sz="4" w:space="0"/>
              <w:right w:val="single" w:color="auto" w:sz="4" w:space="0"/>
            </w:tcBorders>
            <w:vAlign w:val="center"/>
          </w:tcPr>
          <w:p>
            <w:pPr>
              <w:spacing w:line="240" w:lineRule="auto"/>
              <w:ind w:left="0" w:right="0" w:firstLine="0" w:firstLineChars="0"/>
              <w:jc w:val="center"/>
              <w:textAlignment w:val="auto"/>
              <w:rPr>
                <w:rFonts w:hint="eastAsia" w:ascii="宋体" w:hAnsi="宋体"/>
                <w:highlight w:val="none"/>
              </w:rPr>
            </w:pPr>
            <w:r>
              <w:rPr>
                <w:rFonts w:hint="eastAsia" w:ascii="宋体" w:hAnsi="宋体"/>
                <w:highlight w:val="none"/>
              </w:rPr>
              <w:t>2</w:t>
            </w:r>
          </w:p>
        </w:tc>
        <w:tc>
          <w:tcPr>
            <w:tcW w:w="1314" w:type="pct"/>
            <w:tcBorders>
              <w:top w:val="single" w:color="auto" w:sz="4" w:space="0"/>
              <w:left w:val="single" w:color="auto" w:sz="4" w:space="0"/>
              <w:right w:val="single" w:color="auto" w:sz="4" w:space="0"/>
            </w:tcBorders>
            <w:vAlign w:val="center"/>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远程巡检功能模块</w:t>
            </w:r>
          </w:p>
        </w:tc>
        <w:tc>
          <w:tcPr>
            <w:tcW w:w="3102" w:type="pct"/>
            <w:tcBorders>
              <w:top w:val="single" w:color="auto" w:sz="4" w:space="0"/>
              <w:left w:val="single" w:color="auto" w:sz="4" w:space="0"/>
              <w:right w:val="single" w:color="auto" w:sz="4" w:space="0"/>
            </w:tcBorders>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通过摄像头结合智能分析实现设备跑、冒、滴漏、指示灯、表计指数等指标的巡检任务，支持巡检计划、巡检任务的自主配置。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2" w:type="pct"/>
            <w:tcBorders>
              <w:top w:val="single" w:color="auto" w:sz="4" w:space="0"/>
              <w:left w:val="single" w:color="auto" w:sz="4" w:space="0"/>
              <w:right w:val="single" w:color="auto" w:sz="4" w:space="0"/>
            </w:tcBorders>
            <w:vAlign w:val="center"/>
          </w:tcPr>
          <w:p>
            <w:pPr>
              <w:spacing w:line="240" w:lineRule="auto"/>
              <w:ind w:left="0" w:right="0" w:firstLine="0" w:firstLineChars="0"/>
              <w:jc w:val="center"/>
              <w:textAlignment w:val="auto"/>
              <w:rPr>
                <w:rFonts w:hint="eastAsia" w:ascii="宋体" w:hAnsi="宋体"/>
                <w:highlight w:val="none"/>
              </w:rPr>
            </w:pPr>
            <w:r>
              <w:rPr>
                <w:rFonts w:hint="eastAsia" w:ascii="宋体" w:hAnsi="宋体"/>
                <w:highlight w:val="none"/>
              </w:rPr>
              <w:t>3</w:t>
            </w:r>
          </w:p>
        </w:tc>
        <w:tc>
          <w:tcPr>
            <w:tcW w:w="1314" w:type="pct"/>
            <w:tcBorders>
              <w:top w:val="single" w:color="auto" w:sz="4" w:space="0"/>
              <w:left w:val="single" w:color="auto" w:sz="4" w:space="0"/>
              <w:right w:val="single" w:color="auto" w:sz="4" w:space="0"/>
            </w:tcBorders>
            <w:vAlign w:val="center"/>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表计识别功能模块</w:t>
            </w:r>
          </w:p>
        </w:tc>
        <w:tc>
          <w:tcPr>
            <w:tcW w:w="3102" w:type="pct"/>
            <w:tcBorders>
              <w:top w:val="single" w:color="auto" w:sz="4" w:space="0"/>
              <w:left w:val="single" w:color="auto" w:sz="4" w:space="0"/>
              <w:right w:val="single" w:color="auto" w:sz="4" w:space="0"/>
            </w:tcBorders>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通过摄像头实现现场表计及开关面板等数据读取和异常报警功能。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2" w:type="pct"/>
            <w:tcBorders>
              <w:top w:val="single" w:color="auto" w:sz="4" w:space="0"/>
              <w:left w:val="single" w:color="auto" w:sz="4" w:space="0"/>
              <w:right w:val="single" w:color="auto" w:sz="4" w:space="0"/>
            </w:tcBorders>
            <w:vAlign w:val="center"/>
          </w:tcPr>
          <w:p>
            <w:pPr>
              <w:spacing w:line="240" w:lineRule="auto"/>
              <w:ind w:left="0" w:right="0" w:firstLine="0" w:firstLineChars="0"/>
              <w:jc w:val="center"/>
              <w:textAlignment w:val="auto"/>
              <w:rPr>
                <w:rFonts w:hint="eastAsia" w:ascii="宋体" w:hAnsi="宋体"/>
                <w:highlight w:val="none"/>
              </w:rPr>
            </w:pPr>
            <w:r>
              <w:rPr>
                <w:rFonts w:hint="eastAsia" w:ascii="宋体" w:hAnsi="宋体"/>
                <w:highlight w:val="none"/>
              </w:rPr>
              <w:t>4</w:t>
            </w:r>
          </w:p>
        </w:tc>
        <w:tc>
          <w:tcPr>
            <w:tcW w:w="1314" w:type="pct"/>
            <w:tcBorders>
              <w:top w:val="single" w:color="auto" w:sz="4" w:space="0"/>
              <w:left w:val="single" w:color="auto" w:sz="4" w:space="0"/>
              <w:right w:val="single" w:color="auto" w:sz="4" w:space="0"/>
            </w:tcBorders>
            <w:vAlign w:val="center"/>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违章行为识别功能模块</w:t>
            </w:r>
          </w:p>
        </w:tc>
        <w:tc>
          <w:tcPr>
            <w:tcW w:w="3102" w:type="pct"/>
            <w:tcBorders>
              <w:top w:val="single" w:color="auto" w:sz="4" w:space="0"/>
              <w:left w:val="single" w:color="auto" w:sz="4" w:space="0"/>
              <w:right w:val="single" w:color="auto" w:sz="4" w:space="0"/>
            </w:tcBorders>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通过摄像头识别现场巡检过程人员违章行为，支持未佩戴安全帽、人员倒地、人员抽烟、人员经过等行为识别，并进行自动弹窗。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2" w:type="pct"/>
            <w:tcBorders>
              <w:top w:val="single" w:color="auto" w:sz="4" w:space="0"/>
              <w:left w:val="single" w:color="auto" w:sz="4" w:space="0"/>
              <w:right w:val="single" w:color="auto" w:sz="4" w:space="0"/>
            </w:tcBorders>
            <w:vAlign w:val="center"/>
          </w:tcPr>
          <w:p>
            <w:pPr>
              <w:spacing w:line="240" w:lineRule="auto"/>
              <w:ind w:left="0" w:right="0" w:firstLine="0" w:firstLineChars="0"/>
              <w:jc w:val="center"/>
              <w:textAlignment w:val="auto"/>
              <w:rPr>
                <w:rFonts w:hint="eastAsia" w:ascii="宋体" w:hAnsi="宋体" w:eastAsia="宋体" w:cs="Times New Roman"/>
                <w:kern w:val="2"/>
                <w:sz w:val="24"/>
                <w:szCs w:val="24"/>
                <w:highlight w:val="none"/>
                <w:lang w:val="en-US" w:eastAsia="zh-CN" w:bidi="ar-SA"/>
              </w:rPr>
            </w:pPr>
            <w:r>
              <w:rPr>
                <w:rFonts w:hint="eastAsia" w:ascii="宋体" w:hAnsi="宋体"/>
                <w:highlight w:val="none"/>
              </w:rPr>
              <w:t>5</w:t>
            </w:r>
          </w:p>
        </w:tc>
        <w:tc>
          <w:tcPr>
            <w:tcW w:w="1314" w:type="pct"/>
            <w:tcBorders>
              <w:top w:val="single" w:color="auto" w:sz="4" w:space="0"/>
              <w:left w:val="single" w:color="auto" w:sz="4" w:space="0"/>
              <w:right w:val="single" w:color="auto" w:sz="4" w:space="0"/>
            </w:tcBorders>
          </w:tcPr>
          <w:p>
            <w:pPr>
              <w:spacing w:line="240" w:lineRule="auto"/>
              <w:ind w:left="0" w:right="0" w:firstLine="0" w:firstLineChars="0"/>
              <w:textAlignment w:val="auto"/>
              <w:rPr>
                <w:rFonts w:hint="eastAsia" w:ascii="宋体" w:hAnsi="宋体" w:eastAsia="宋体" w:cs="Times New Roman"/>
                <w:kern w:val="2"/>
                <w:sz w:val="24"/>
                <w:szCs w:val="24"/>
                <w:highlight w:val="none"/>
                <w:lang w:val="en-US" w:eastAsia="zh-CN" w:bidi="ar-SA"/>
              </w:rPr>
            </w:pPr>
            <w:r>
              <w:rPr>
                <w:rFonts w:hint="eastAsia" w:ascii="宋体" w:hAnsi="宋体"/>
                <w:highlight w:val="none"/>
                <w:lang w:val="en-US" w:eastAsia="zh-CN"/>
              </w:rPr>
              <w:t>非风场</w:t>
            </w:r>
            <w:r>
              <w:rPr>
                <w:rFonts w:hint="eastAsia" w:ascii="宋体" w:hAnsi="宋体"/>
                <w:highlight w:val="none"/>
              </w:rPr>
              <w:t>作业人员</w:t>
            </w:r>
            <w:r>
              <w:rPr>
                <w:rFonts w:hint="eastAsia" w:ascii="宋体" w:hAnsi="宋体"/>
                <w:highlight w:val="none"/>
                <w:lang w:val="en-US" w:eastAsia="zh-CN"/>
              </w:rPr>
              <w:t>入侵识别</w:t>
            </w:r>
            <w:r>
              <w:rPr>
                <w:rFonts w:hint="eastAsia"/>
                <w:highlight w:val="none"/>
                <w:lang w:val="en-US" w:eastAsia="zh-CN"/>
              </w:rPr>
              <w:t>模块</w:t>
            </w:r>
          </w:p>
        </w:tc>
        <w:tc>
          <w:tcPr>
            <w:tcW w:w="3102" w:type="pct"/>
            <w:tcBorders>
              <w:top w:val="single" w:color="auto" w:sz="4" w:space="0"/>
              <w:left w:val="single" w:color="auto" w:sz="4" w:space="0"/>
              <w:right w:val="single" w:color="auto" w:sz="4" w:space="0"/>
            </w:tcBorders>
          </w:tcPr>
          <w:p>
            <w:pPr>
              <w:spacing w:line="240" w:lineRule="auto"/>
              <w:ind w:left="0" w:right="0" w:firstLine="0" w:firstLineChars="0"/>
              <w:textAlignment w:val="auto"/>
              <w:rPr>
                <w:rFonts w:hint="eastAsia" w:ascii="宋体" w:hAnsi="宋体" w:eastAsia="宋体" w:cs="Times New Roman"/>
                <w:kern w:val="2"/>
                <w:sz w:val="24"/>
                <w:szCs w:val="24"/>
                <w:highlight w:val="none"/>
                <w:lang w:val="en-US" w:eastAsia="zh-CN" w:bidi="ar-SA"/>
              </w:rPr>
            </w:pPr>
            <w:r>
              <w:rPr>
                <w:rFonts w:hint="eastAsia"/>
                <w:highlight w:val="none"/>
              </w:rPr>
              <w:t>通过与</w:t>
            </w:r>
            <w:r>
              <w:rPr>
                <w:rFonts w:hint="eastAsia"/>
                <w:highlight w:val="none"/>
                <w:lang w:val="en-US" w:eastAsia="zh-CN"/>
              </w:rPr>
              <w:t>招标人</w:t>
            </w:r>
            <w:r>
              <w:rPr>
                <w:rFonts w:hint="eastAsia"/>
                <w:highlight w:val="none"/>
              </w:rPr>
              <w:t>现有登船人员识别系统对接，</w:t>
            </w:r>
            <w:r>
              <w:rPr>
                <w:rFonts w:hint="eastAsia"/>
                <w:highlight w:val="none"/>
                <w:lang w:val="en-US" w:eastAsia="zh-CN"/>
              </w:rPr>
              <w:t>实现人员从登船出海-海上非风场人员入侵报警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2" w:type="pct"/>
            <w:tcBorders>
              <w:top w:val="single" w:color="auto" w:sz="4" w:space="0"/>
              <w:left w:val="single" w:color="auto" w:sz="4" w:space="0"/>
              <w:right w:val="single" w:color="auto" w:sz="4" w:space="0"/>
            </w:tcBorders>
            <w:vAlign w:val="center"/>
          </w:tcPr>
          <w:p>
            <w:pPr>
              <w:spacing w:line="240" w:lineRule="auto"/>
              <w:ind w:left="0" w:right="0" w:firstLine="0" w:firstLineChars="0"/>
              <w:jc w:val="center"/>
              <w:textAlignment w:val="auto"/>
              <w:rPr>
                <w:rFonts w:hint="eastAsia" w:ascii="宋体" w:hAnsi="宋体" w:eastAsia="宋体"/>
                <w:highlight w:val="none"/>
                <w:lang w:eastAsia="zh-CN"/>
              </w:rPr>
            </w:pPr>
            <w:r>
              <w:rPr>
                <w:rFonts w:hint="eastAsia" w:ascii="宋体" w:hAnsi="宋体"/>
                <w:highlight w:val="none"/>
                <w:lang w:val="en-US" w:eastAsia="zh-CN"/>
              </w:rPr>
              <w:t>6</w:t>
            </w:r>
          </w:p>
        </w:tc>
        <w:tc>
          <w:tcPr>
            <w:tcW w:w="1314" w:type="pct"/>
            <w:tcBorders>
              <w:top w:val="single" w:color="auto" w:sz="4" w:space="0"/>
              <w:left w:val="single" w:color="auto" w:sz="4" w:space="0"/>
              <w:right w:val="single" w:color="auto" w:sz="4" w:space="0"/>
            </w:tcBorders>
            <w:vAlign w:val="center"/>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视频监控功能模块扩容</w:t>
            </w:r>
          </w:p>
        </w:tc>
        <w:tc>
          <w:tcPr>
            <w:tcW w:w="3102" w:type="pct"/>
            <w:tcBorders>
              <w:top w:val="single" w:color="auto" w:sz="4" w:space="0"/>
              <w:left w:val="single" w:color="auto" w:sz="4" w:space="0"/>
              <w:right w:val="single" w:color="auto" w:sz="4" w:space="0"/>
            </w:tcBorders>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软件功能实现监控设备的管理，支持监控名称管理、监控设备的录像回放及在线浏览。实现账号、人员、设备、权限信息统一管理。</w:t>
            </w:r>
          </w:p>
        </w:tc>
      </w:tr>
    </w:tbl>
    <w:p>
      <w:pPr>
        <w:rPr>
          <w:rFonts w:hint="eastAsia" w:ascii="宋体" w:hAnsi="宋体"/>
          <w:highlight w:val="none"/>
        </w:rPr>
      </w:pPr>
    </w:p>
    <w:p>
      <w:pPr>
        <w:pStyle w:val="6"/>
        <w:ind w:firstLine="480"/>
        <w:rPr>
          <w:rFonts w:hint="eastAsia" w:ascii="宋体" w:hAnsi="宋体"/>
          <w:highlight w:val="none"/>
        </w:rPr>
      </w:pPr>
      <w:bookmarkStart w:id="52" w:name="_Hlk190367534"/>
      <w:r>
        <w:rPr>
          <w:rFonts w:hint="eastAsia" w:ascii="宋体" w:hAnsi="宋体"/>
          <w:highlight w:val="none"/>
        </w:rPr>
        <w:t>5.3.1.1智能驾驶舱平台</w:t>
      </w:r>
    </w:p>
    <w:p>
      <w:pPr>
        <w:ind w:left="-240" w:leftChars="-100"/>
        <w:rPr>
          <w:highlight w:val="none"/>
        </w:rPr>
      </w:pPr>
      <w:r>
        <w:rPr>
          <w:rFonts w:hint="eastAsia"/>
          <w:highlight w:val="none"/>
        </w:rPr>
        <w:t>数字驾驶舱平台需无缝对接原有综合安防平台并调取综合安防平台实时视频流信息，通过数字化技术模块提升风场设备安全和作业安全的管理水平。平台以风场全景可视化为载体，利用深层融合技术将平台元素融合展示，呈现视频监控、</w:t>
      </w:r>
      <w:r>
        <w:rPr>
          <w:rFonts w:hint="eastAsia" w:ascii="宋体" w:hAnsi="宋体"/>
          <w:highlight w:val="none"/>
        </w:rPr>
        <w:t>远程巡检、表计识别、违章行为识别及告警信息等模块</w:t>
      </w:r>
      <w:r>
        <w:rPr>
          <w:rFonts w:hint="eastAsia"/>
          <w:highlight w:val="none"/>
        </w:rPr>
        <w:t>功能。</w:t>
      </w:r>
      <w:r>
        <w:rPr>
          <w:highlight w:val="none"/>
        </w:rPr>
        <w:t xml:space="preserve"> </w:t>
      </w:r>
    </w:p>
    <w:p>
      <w:pPr>
        <w:ind w:left="-240" w:leftChars="-100"/>
        <w:rPr>
          <w:rFonts w:hint="eastAsia" w:ascii="宋体" w:hAnsi="宋体" w:cs="宋体"/>
          <w:highlight w:val="none"/>
        </w:rPr>
      </w:pPr>
      <w:r>
        <w:rPr>
          <w:rFonts w:hint="eastAsia" w:ascii="宋体" w:hAnsi="宋体" w:cs="宋体"/>
          <w:highlight w:val="none"/>
        </w:rPr>
        <w:t>全景风场</w:t>
      </w:r>
      <w:r>
        <w:rPr>
          <w:rFonts w:hint="eastAsia" w:ascii="宋体" w:hAnsi="宋体" w:cs="宋体"/>
          <w:highlight w:val="none"/>
          <w:lang w:val="en-US" w:eastAsia="zh-CN"/>
        </w:rPr>
        <w:t>需</w:t>
      </w:r>
      <w:r>
        <w:rPr>
          <w:rFonts w:hint="eastAsia" w:ascii="宋体" w:hAnsi="宋体" w:cs="宋体"/>
          <w:highlight w:val="none"/>
        </w:rPr>
        <w:t>通过VR全景可视化实现，利用虚拟现实（VR）技术，对风机进行拍摄扫描</w:t>
      </w:r>
      <w:r>
        <w:rPr>
          <w:rFonts w:hint="eastAsia" w:ascii="宋体" w:hAnsi="宋体" w:cs="宋体"/>
          <w:szCs w:val="28"/>
          <w:highlight w:val="none"/>
        </w:rPr>
        <w:t>，通过无人机飞行拍照拍摄风机全景俯视全貌作为底图，展示风机AR可视化空间的点位信息，通过风机菜单，及点击各风机空间进入AR可视化空间展示实</w:t>
      </w:r>
      <w:r>
        <w:rPr>
          <w:rFonts w:hint="eastAsia" w:ascii="宋体" w:hAnsi="宋体" w:cs="宋体"/>
          <w:highlight w:val="none"/>
        </w:rPr>
        <w:t>景全景效果，同时通过实时数据标签及设备信息标签介绍详细空间情况，实现VR实景浏览。</w:t>
      </w:r>
    </w:p>
    <w:p>
      <w:pPr>
        <w:ind w:left="-240" w:leftChars="-100" w:firstLine="580" w:firstLineChars="242"/>
        <w:rPr>
          <w:rFonts w:ascii="宋体" w:hAnsi="宋体" w:cs="宋体"/>
          <w:highlight w:val="none"/>
        </w:rPr>
      </w:pPr>
      <w:r>
        <w:rPr>
          <w:rFonts w:hint="eastAsia" w:ascii="宋体" w:hAnsi="宋体" w:cs="宋体"/>
          <w:highlight w:val="none"/>
        </w:rPr>
        <w:t>告警信息模块能自定义展示远程巡检设备状态，表计识别数据，人员倒地、抽烟、闯入及未佩戴安全帽等行为报警数据，帮助管理人员快速掌握风场的整体实时情况。</w:t>
      </w:r>
    </w:p>
    <w:p>
      <w:pPr>
        <w:pStyle w:val="2"/>
        <w:ind w:left="-240" w:leftChars="-100" w:firstLine="0" w:firstLineChars="0"/>
        <w:rPr>
          <w:rFonts w:ascii="宋体" w:hAnsi="宋体" w:cs="宋体"/>
          <w:highlight w:val="none"/>
        </w:rPr>
      </w:pPr>
      <w:r>
        <w:rPr>
          <w:rFonts w:ascii="宋体" w:hAnsi="宋体" w:cs="宋体"/>
          <w:sz w:val="24"/>
          <w:szCs w:val="24"/>
          <w:highlight w:val="none"/>
        </w:rPr>
        <w:t xml:space="preserve">   </w:t>
      </w:r>
      <w:r>
        <w:rPr>
          <w:rFonts w:hint="eastAsia" w:ascii="宋体" w:hAnsi="宋体" w:cs="宋体"/>
          <w:sz w:val="24"/>
          <w:szCs w:val="24"/>
          <w:highlight w:val="none"/>
        </w:rPr>
        <w:t>平台支持自定义弹窗，涵盖视频弹窗及报警信号弹窗等。</w:t>
      </w:r>
    </w:p>
    <w:p>
      <w:pPr>
        <w:rPr>
          <w:rFonts w:hint="eastAsia" w:ascii="宋体" w:hAnsi="宋体"/>
          <w:highlight w:val="none"/>
        </w:rPr>
      </w:pPr>
      <w:r>
        <w:rPr>
          <w:rFonts w:hint="eastAsia" w:ascii="宋体" w:hAnsi="宋体"/>
          <w:highlight w:val="none"/>
        </w:rPr>
        <w:t>1）系统平台支持PC端网页访问，支持查看项目信息、视频监控、设备信息、AI分析告警、设备监测状态、巡检信息、自定义告警自动弹窗等。</w:t>
      </w:r>
    </w:p>
    <w:p>
      <w:pPr>
        <w:rPr>
          <w:rFonts w:hint="eastAsia" w:ascii="宋体" w:hAnsi="宋体"/>
          <w:highlight w:val="none"/>
        </w:rPr>
      </w:pPr>
      <w:r>
        <w:rPr>
          <w:rFonts w:hint="eastAsia" w:ascii="宋体" w:hAnsi="宋体"/>
          <w:highlight w:val="none"/>
        </w:rPr>
        <w:t>2）系统采用B/S架构进行开发，支持HTTP、MQTT协议，符合信息安全标准，同时支持1000个在线用户数，页面加载时间&lt;2s，TPS/QPS，1500/1s，支持可接入超过1000路视频。</w:t>
      </w:r>
    </w:p>
    <w:p>
      <w:pPr>
        <w:rPr>
          <w:rFonts w:hint="eastAsia" w:ascii="宋体" w:hAnsi="宋体"/>
          <w:highlight w:val="none"/>
        </w:rPr>
      </w:pPr>
      <w:r>
        <w:rPr>
          <w:rFonts w:hint="eastAsia" w:ascii="宋体" w:hAnsi="宋体"/>
          <w:highlight w:val="none"/>
        </w:rPr>
        <w:t>3）支持用户权限分级管理，用户注册、用户信息修改、密码修改、用户分类等；具有系统设置、日志分件管理等功能；对用户使用权限进行添加、修改、删除；支持浏览、打印、导出等功能；支持配置修改用户查看及管理权限；支持用户管理查看所管理辖区域内设备。</w:t>
      </w:r>
    </w:p>
    <w:p>
      <w:pPr>
        <w:rPr>
          <w:rFonts w:hint="eastAsia" w:ascii="宋体" w:hAnsi="宋体"/>
          <w:highlight w:val="none"/>
        </w:rPr>
      </w:pPr>
      <w:r>
        <w:rPr>
          <w:rFonts w:hint="eastAsia" w:ascii="宋体" w:hAnsi="宋体"/>
          <w:highlight w:val="none"/>
        </w:rPr>
        <w:t>4）系统平台支持开放接口，并提供接口文档，详细描述各接口的功能、参数和使用场景等。</w:t>
      </w:r>
    </w:p>
    <w:p>
      <w:pPr>
        <w:rPr>
          <w:rFonts w:hint="eastAsia" w:ascii="宋体" w:hAnsi="宋体"/>
          <w:highlight w:val="none"/>
        </w:rPr>
      </w:pPr>
      <w:r>
        <w:rPr>
          <w:rFonts w:hint="eastAsia" w:ascii="宋体" w:hAnsi="宋体"/>
          <w:highlight w:val="none"/>
        </w:rPr>
        <w:t>5）要求支持地图、风机设备建模全景展示，支持可在地图上点击任意风机设备查看设备运行数据、告警信息、巡检信息等。</w:t>
      </w:r>
    </w:p>
    <w:p>
      <w:pPr>
        <w:rPr>
          <w:rFonts w:hint="eastAsia" w:ascii="宋体" w:hAnsi="宋体"/>
          <w:highlight w:val="none"/>
        </w:rPr>
      </w:pPr>
      <w:r>
        <w:rPr>
          <w:rFonts w:hint="eastAsia" w:ascii="宋体" w:hAnsi="宋体"/>
          <w:highlight w:val="none"/>
        </w:rPr>
        <w:t>6）系统平台需支持国产操作系统，支持主流数据库（MySQL）；</w:t>
      </w:r>
    </w:p>
    <w:p>
      <w:pPr>
        <w:rPr>
          <w:rFonts w:hint="eastAsia" w:ascii="宋体" w:hAnsi="宋体"/>
          <w:highlight w:val="none"/>
        </w:rPr>
      </w:pPr>
      <w:r>
        <w:rPr>
          <w:rFonts w:hint="eastAsia" w:ascii="宋体" w:hAnsi="宋体"/>
          <w:highlight w:val="none"/>
        </w:rPr>
        <w:t>7）系统平台能够快速响应服务需求，紧急事件2小时内响应，通过网络或电话解决问题；本地应24小时内可到达客户现场；外地在48小时内到达客户现场；</w:t>
      </w:r>
    </w:p>
    <w:p>
      <w:pPr>
        <w:rPr>
          <w:rFonts w:hint="eastAsia" w:ascii="宋体" w:hAnsi="宋体"/>
          <w:highlight w:val="none"/>
        </w:rPr>
      </w:pPr>
      <w:r>
        <w:rPr>
          <w:rFonts w:hint="eastAsia" w:ascii="宋体" w:hAnsi="宋体"/>
          <w:highlight w:val="none"/>
        </w:rPr>
        <w:t>8）平台应支持兼容浏览器版本：Firefox 4及以上, Google Chrome 9及以上, Opera 12及以上, Safari 5.1及以上, Internet Explorer 11及以上和Microsoft Edge build 10240及以上等。</w:t>
      </w:r>
    </w:p>
    <w:p>
      <w:pPr>
        <w:pStyle w:val="6"/>
        <w:rPr>
          <w:rFonts w:hint="eastAsia" w:ascii="宋体" w:hAnsi="宋体"/>
          <w:highlight w:val="none"/>
        </w:rPr>
      </w:pPr>
      <w:r>
        <w:rPr>
          <w:rFonts w:hint="eastAsia" w:ascii="宋体" w:hAnsi="宋体"/>
          <w:highlight w:val="none"/>
        </w:rPr>
        <w:t>5.3.1.2远程巡检功能模块</w:t>
      </w:r>
    </w:p>
    <w:p>
      <w:pPr>
        <w:rPr>
          <w:rFonts w:hint="eastAsia" w:ascii="宋体" w:hAnsi="宋体"/>
          <w:highlight w:val="none"/>
        </w:rPr>
      </w:pPr>
      <w:r>
        <w:rPr>
          <w:rFonts w:hint="eastAsia" w:ascii="宋体" w:hAnsi="宋体"/>
          <w:highlight w:val="none"/>
        </w:rPr>
        <w:t>1）设备远程巡检应用服务主要依托视频技术对生产设备进行智能化巡检。智能巡检通过自动抓图，并对具备智能分析能力的设备进行数据分析，最终由人工进行确认，形成高效、精准的巡检流程。</w:t>
      </w:r>
    </w:p>
    <w:p>
      <w:pPr>
        <w:rPr>
          <w:rFonts w:hint="eastAsia" w:ascii="宋体" w:hAnsi="宋体"/>
          <w:highlight w:val="none"/>
        </w:rPr>
      </w:pPr>
      <w:r>
        <w:rPr>
          <w:rFonts w:hint="eastAsia" w:ascii="宋体" w:hAnsi="宋体"/>
          <w:highlight w:val="none"/>
        </w:rPr>
        <w:t>2）数据分析判断方式需支持同源差值对比、同源趋势对比、同源一致对比、非同源差值对比、非同源不一致对比、巡视点阈值管理。</w:t>
      </w:r>
    </w:p>
    <w:p>
      <w:pPr>
        <w:rPr>
          <w:rFonts w:hint="eastAsia" w:ascii="宋体" w:hAnsi="宋体"/>
          <w:highlight w:val="none"/>
        </w:rPr>
      </w:pPr>
      <w:r>
        <w:rPr>
          <w:rFonts w:hint="eastAsia" w:ascii="宋体" w:hAnsi="宋体"/>
          <w:highlight w:val="none"/>
        </w:rPr>
        <w:t>3）</w:t>
      </w:r>
      <w:r>
        <w:rPr>
          <w:rFonts w:ascii="宋体" w:hAnsi="宋体"/>
          <w:highlight w:val="none"/>
        </w:rPr>
        <w:t>支持在图片上叠加巡视点位名称和算法分析目标框。</w:t>
      </w:r>
    </w:p>
    <w:p>
      <w:pPr>
        <w:rPr>
          <w:rFonts w:hint="eastAsia" w:ascii="宋体" w:hAnsi="宋体"/>
          <w:highlight w:val="none"/>
        </w:rPr>
      </w:pPr>
      <w:r>
        <w:rPr>
          <w:rFonts w:hint="eastAsia" w:ascii="宋体" w:hAnsi="宋体"/>
          <w:highlight w:val="none"/>
        </w:rPr>
        <w:t>4）支持对标准巡检点位内容模板的管理，包括设备分类、巡检标准、数据格式、智能识别类型的添加、修改和删除。同时支持巡检项复制黏贴、位置的调整。</w:t>
      </w:r>
    </w:p>
    <w:p>
      <w:pPr>
        <w:rPr>
          <w:rFonts w:hint="eastAsia" w:ascii="宋体" w:hAnsi="宋体"/>
          <w:highlight w:val="none"/>
        </w:rPr>
      </w:pPr>
      <w:r>
        <w:rPr>
          <w:rFonts w:hint="eastAsia" w:ascii="宋体" w:hAnsi="宋体"/>
          <w:highlight w:val="none"/>
        </w:rPr>
        <w:t>5）支持将本系统的生产设备下的巡检点位与监控点绑定。</w:t>
      </w:r>
    </w:p>
    <w:p>
      <w:pPr>
        <w:rPr>
          <w:rFonts w:hint="eastAsia" w:ascii="宋体" w:hAnsi="宋体"/>
          <w:highlight w:val="none"/>
        </w:rPr>
      </w:pPr>
      <w:r>
        <w:rPr>
          <w:rFonts w:hint="eastAsia" w:ascii="宋体" w:hAnsi="宋体"/>
          <w:highlight w:val="none"/>
        </w:rPr>
        <w:t>6）支持对</w:t>
      </w:r>
      <w:r>
        <w:rPr>
          <w:rFonts w:ascii="宋体" w:hAnsi="宋体"/>
          <w:highlight w:val="none"/>
        </w:rPr>
        <w:t>巡检</w:t>
      </w:r>
      <w:r>
        <w:rPr>
          <w:rFonts w:hint="eastAsia" w:ascii="宋体" w:hAnsi="宋体"/>
          <w:highlight w:val="none"/>
        </w:rPr>
        <w:t>点位</w:t>
      </w:r>
      <w:r>
        <w:rPr>
          <w:rFonts w:ascii="宋体" w:hAnsi="宋体"/>
          <w:highlight w:val="none"/>
        </w:rPr>
        <w:t>配置巡检计划</w:t>
      </w:r>
      <w:r>
        <w:rPr>
          <w:rFonts w:hint="eastAsia" w:ascii="宋体" w:hAnsi="宋体"/>
          <w:highlight w:val="none"/>
        </w:rPr>
        <w:t>，</w:t>
      </w:r>
      <w:r>
        <w:rPr>
          <w:rFonts w:ascii="宋体" w:hAnsi="宋体"/>
          <w:highlight w:val="none"/>
        </w:rPr>
        <w:t>包括</w:t>
      </w:r>
      <w:r>
        <w:rPr>
          <w:rFonts w:hint="eastAsia" w:ascii="宋体" w:hAnsi="宋体"/>
          <w:highlight w:val="none"/>
        </w:rPr>
        <w:t>巡检计划的</w:t>
      </w:r>
      <w:r>
        <w:rPr>
          <w:rFonts w:ascii="宋体" w:hAnsi="宋体"/>
          <w:highlight w:val="none"/>
        </w:rPr>
        <w:t>添加、删除、查询</w:t>
      </w:r>
      <w:r>
        <w:rPr>
          <w:rFonts w:hint="eastAsia" w:ascii="宋体" w:hAnsi="宋体"/>
          <w:highlight w:val="none"/>
        </w:rPr>
        <w:t>，支持对巡检计划</w:t>
      </w:r>
      <w:r>
        <w:rPr>
          <w:rFonts w:ascii="宋体" w:hAnsi="宋体"/>
          <w:highlight w:val="none"/>
        </w:rPr>
        <w:t>设置有效期</w:t>
      </w:r>
      <w:r>
        <w:rPr>
          <w:rFonts w:hint="eastAsia" w:ascii="宋体" w:hAnsi="宋体"/>
          <w:highlight w:val="none"/>
        </w:rPr>
        <w:t>，</w:t>
      </w:r>
      <w:r>
        <w:rPr>
          <w:rFonts w:ascii="宋体" w:hAnsi="宋体"/>
          <w:highlight w:val="none"/>
        </w:rPr>
        <w:t>任务执行周期支持按天</w:t>
      </w:r>
      <w:r>
        <w:rPr>
          <w:rFonts w:hint="eastAsia" w:ascii="宋体" w:hAnsi="宋体"/>
          <w:highlight w:val="none"/>
        </w:rPr>
        <w:t>、</w:t>
      </w:r>
      <w:r>
        <w:rPr>
          <w:rFonts w:ascii="宋体" w:hAnsi="宋体"/>
          <w:highlight w:val="none"/>
        </w:rPr>
        <w:t>每周</w:t>
      </w:r>
      <w:r>
        <w:rPr>
          <w:rFonts w:hint="eastAsia" w:ascii="宋体" w:hAnsi="宋体"/>
          <w:highlight w:val="none"/>
        </w:rPr>
        <w:t>、</w:t>
      </w:r>
      <w:r>
        <w:rPr>
          <w:rFonts w:ascii="宋体" w:hAnsi="宋体"/>
          <w:highlight w:val="none"/>
        </w:rPr>
        <w:t>周月。</w:t>
      </w:r>
    </w:p>
    <w:p>
      <w:pPr>
        <w:rPr>
          <w:rFonts w:hint="eastAsia" w:ascii="宋体" w:hAnsi="宋体"/>
          <w:highlight w:val="none"/>
        </w:rPr>
      </w:pPr>
      <w:r>
        <w:rPr>
          <w:rFonts w:hint="eastAsia" w:ascii="宋体" w:hAnsi="宋体"/>
          <w:highlight w:val="none"/>
        </w:rPr>
        <w:t>7）支持按巡检区域添加巡检任务，支持</w:t>
      </w:r>
      <w:r>
        <w:rPr>
          <w:rFonts w:ascii="宋体" w:hAnsi="宋体"/>
          <w:highlight w:val="none"/>
        </w:rPr>
        <w:t>巡检任务的</w:t>
      </w:r>
      <w:r>
        <w:rPr>
          <w:rFonts w:hint="eastAsia" w:ascii="宋体" w:hAnsi="宋体"/>
          <w:highlight w:val="none"/>
        </w:rPr>
        <w:t>管理，</w:t>
      </w:r>
      <w:r>
        <w:rPr>
          <w:rFonts w:ascii="宋体" w:hAnsi="宋体"/>
          <w:highlight w:val="none"/>
        </w:rPr>
        <w:t>包括巡检任务的</w:t>
      </w:r>
      <w:r>
        <w:rPr>
          <w:rFonts w:hint="eastAsia" w:ascii="宋体" w:hAnsi="宋体"/>
          <w:highlight w:val="none"/>
        </w:rPr>
        <w:t>列表</w:t>
      </w:r>
      <w:r>
        <w:rPr>
          <w:rFonts w:ascii="宋体" w:hAnsi="宋体"/>
          <w:highlight w:val="none"/>
        </w:rPr>
        <w:t>查询</w:t>
      </w:r>
      <w:r>
        <w:rPr>
          <w:rFonts w:hint="eastAsia" w:ascii="宋体" w:hAnsi="宋体"/>
          <w:highlight w:val="none"/>
        </w:rPr>
        <w:t>、</w:t>
      </w:r>
      <w:r>
        <w:rPr>
          <w:rFonts w:ascii="宋体" w:hAnsi="宋体"/>
          <w:highlight w:val="none"/>
        </w:rPr>
        <w:t>详情查看、巡检任务</w:t>
      </w:r>
      <w:r>
        <w:rPr>
          <w:rFonts w:hint="eastAsia" w:ascii="宋体" w:hAnsi="宋体"/>
          <w:highlight w:val="none"/>
        </w:rPr>
        <w:t>的</w:t>
      </w:r>
      <w:r>
        <w:rPr>
          <w:rFonts w:ascii="宋体" w:hAnsi="宋体"/>
          <w:highlight w:val="none"/>
        </w:rPr>
        <w:t>开始、</w:t>
      </w:r>
      <w:r>
        <w:rPr>
          <w:rFonts w:hint="eastAsia" w:ascii="宋体" w:hAnsi="宋体"/>
          <w:highlight w:val="none"/>
        </w:rPr>
        <w:t>取消</w:t>
      </w:r>
      <w:r>
        <w:rPr>
          <w:rFonts w:ascii="宋体" w:hAnsi="宋体"/>
          <w:highlight w:val="none"/>
        </w:rPr>
        <w:t>、</w:t>
      </w:r>
      <w:r>
        <w:rPr>
          <w:rFonts w:hint="eastAsia" w:ascii="宋体" w:hAnsi="宋体"/>
          <w:highlight w:val="none"/>
        </w:rPr>
        <w:t>终止</w:t>
      </w:r>
      <w:r>
        <w:rPr>
          <w:rFonts w:ascii="宋体" w:hAnsi="宋体"/>
          <w:highlight w:val="none"/>
        </w:rPr>
        <w:t>、结束。</w:t>
      </w:r>
    </w:p>
    <w:p>
      <w:pPr>
        <w:rPr>
          <w:rFonts w:hint="eastAsia" w:ascii="宋体" w:hAnsi="宋体"/>
          <w:highlight w:val="none"/>
        </w:rPr>
      </w:pPr>
      <w:r>
        <w:rPr>
          <w:rFonts w:hint="eastAsia" w:ascii="宋体" w:hAnsi="宋体"/>
          <w:highlight w:val="none"/>
        </w:rPr>
        <w:t>8）支持巡检记录的查看，对已结束（状态为已取消、已完成、已终止）的巡检任务进行查看，支持对巡检记录中的巡检项进行人工复核操作，支持对巡检记录根据“不带图片报告”、“带图片报告”、“带图片链接报告”方式导出。</w:t>
      </w:r>
    </w:p>
    <w:p>
      <w:pPr>
        <w:rPr>
          <w:rFonts w:hint="eastAsia" w:ascii="宋体" w:hAnsi="宋体"/>
          <w:highlight w:val="none"/>
        </w:rPr>
      </w:pPr>
      <w:r>
        <w:rPr>
          <w:rFonts w:hint="eastAsia" w:ascii="宋体" w:hAnsi="宋体"/>
          <w:highlight w:val="none"/>
        </w:rPr>
        <w:t>9）支持以巡检项纬度进行内容查看和分析复核。其中包括历史查询、告警查询、缺陷查询、误报查询、失败查询以及分析比对。</w:t>
      </w:r>
    </w:p>
    <w:p>
      <w:pPr>
        <w:rPr>
          <w:rFonts w:hint="eastAsia" w:ascii="宋体" w:hAnsi="宋体"/>
          <w:highlight w:val="none"/>
        </w:rPr>
      </w:pPr>
      <w:r>
        <w:rPr>
          <w:rFonts w:hint="eastAsia" w:ascii="宋体" w:hAnsi="宋体"/>
          <w:highlight w:val="none"/>
        </w:rPr>
        <w:t>10）支持对巡检对象的管理，巡检对象管理用于配置要巡检的对象并为巡检对象关联检测点，配置标签</w:t>
      </w:r>
    </w:p>
    <w:p>
      <w:pPr>
        <w:rPr>
          <w:rFonts w:hint="eastAsia" w:ascii="宋体" w:hAnsi="宋体"/>
          <w:highlight w:val="none"/>
        </w:rPr>
      </w:pPr>
      <w:r>
        <w:rPr>
          <w:rFonts w:hint="eastAsia" w:ascii="宋体" w:hAnsi="宋体"/>
          <w:highlight w:val="none"/>
        </w:rPr>
        <w:t>11）支持配置巡检计划模板：设备设施巡检（无需整改、审核），设备设施巡检（需整改、审核）。当</w:t>
      </w:r>
      <w:r>
        <w:rPr>
          <w:rFonts w:ascii="宋体" w:hAnsi="宋体"/>
          <w:highlight w:val="none"/>
        </w:rPr>
        <w:t>需要整改、审核时</w:t>
      </w:r>
      <w:r>
        <w:rPr>
          <w:rFonts w:hint="eastAsia" w:ascii="宋体" w:hAnsi="宋体"/>
          <w:highlight w:val="none"/>
        </w:rPr>
        <w:t>，</w:t>
      </w:r>
      <w:r>
        <w:rPr>
          <w:rFonts w:ascii="宋体" w:hAnsi="宋体"/>
          <w:highlight w:val="none"/>
        </w:rPr>
        <w:t>在配置巡检相关人员时，除执行人外还需设置整改人、审核人。</w:t>
      </w:r>
    </w:p>
    <w:p>
      <w:pPr>
        <w:rPr>
          <w:rFonts w:hint="eastAsia" w:ascii="宋体" w:hAnsi="宋体"/>
          <w:highlight w:val="none"/>
        </w:rPr>
      </w:pPr>
      <w:r>
        <w:rPr>
          <w:rFonts w:hint="eastAsia" w:ascii="宋体" w:hAnsi="宋体"/>
          <w:highlight w:val="none"/>
        </w:rPr>
        <w:t>12）支持现场巡检、远程巡检两种任务执行方式，远程巡检的任务需支持在平台进行处理。</w:t>
      </w:r>
    </w:p>
    <w:p>
      <w:pPr>
        <w:rPr>
          <w:rFonts w:hint="eastAsia" w:ascii="宋体" w:hAnsi="宋体"/>
          <w:highlight w:val="none"/>
        </w:rPr>
      </w:pPr>
      <w:r>
        <w:rPr>
          <w:rFonts w:hint="eastAsia" w:ascii="宋体" w:hAnsi="宋体"/>
          <w:highlight w:val="none"/>
        </w:rPr>
        <w:t>13)如风机监控点的识别范围应至少涵盖以下内容：</w:t>
      </w:r>
    </w:p>
    <w:p>
      <w:pPr>
        <w:ind w:left="0" w:firstLine="0" w:firstLineChars="0"/>
        <w:rPr>
          <w:highlight w:val="none"/>
        </w:rPr>
      </w:pPr>
      <w:r>
        <w:rPr>
          <w:rFonts w:hint="eastAsia" w:ascii="宋体" w:hAnsi="宋体"/>
          <w:highlight w:val="none"/>
        </w:rPr>
        <w:t>a. 读取环网柜面板刀闸状态、气体表计压力、指示灯及小开关位置，以及变流器冷却系统管路状态；</w:t>
      </w:r>
      <w:r>
        <w:rPr>
          <w:rFonts w:hint="eastAsia" w:ascii="宋体" w:hAnsi="宋体"/>
          <w:highlight w:val="none"/>
        </w:rPr>
        <w:br w:type="textWrapping"/>
      </w:r>
      <w:r>
        <w:rPr>
          <w:rFonts w:hint="eastAsia" w:ascii="宋体" w:hAnsi="宋体"/>
          <w:highlight w:val="none"/>
        </w:rPr>
        <w:t>b. 读取变流器控制面板上的指示灯状态，监测变流器冷却进出水管抱箍漏液情况并触发报警，同时确保清晰查看变流器冷却水箱液位；</w:t>
      </w:r>
      <w:r>
        <w:rPr>
          <w:rFonts w:hint="eastAsia" w:ascii="宋体" w:hAnsi="宋体"/>
          <w:highlight w:val="none"/>
        </w:rPr>
        <w:br w:type="textWrapping"/>
      </w:r>
      <w:r>
        <w:rPr>
          <w:rFonts w:hint="eastAsia" w:ascii="宋体" w:hAnsi="宋体"/>
          <w:highlight w:val="none"/>
        </w:rPr>
        <w:t>c. 读取机舱控制柜面板指示灯状态及各切换小开关状态，同时清晰查看齿轮油、主液压油站油位及整体情况，以及各润滑油脂罐油位；</w:t>
      </w:r>
      <w:r>
        <w:rPr>
          <w:rFonts w:hint="eastAsia" w:ascii="宋体" w:hAnsi="宋体"/>
          <w:highlight w:val="none"/>
        </w:rPr>
        <w:br w:type="textWrapping"/>
      </w:r>
      <w:r>
        <w:rPr>
          <w:rFonts w:hint="eastAsia" w:ascii="宋体" w:hAnsi="宋体"/>
          <w:highlight w:val="none"/>
        </w:rPr>
        <w:t>d. 监测风机塔筒设备的漏液、漏油及跑冒滴漏现象；</w:t>
      </w:r>
      <w:r>
        <w:rPr>
          <w:rFonts w:hint="eastAsia" w:ascii="宋体" w:hAnsi="宋体"/>
          <w:highlight w:val="none"/>
        </w:rPr>
        <w:br w:type="textWrapping"/>
      </w:r>
      <w:r>
        <w:rPr>
          <w:rFonts w:hint="eastAsia" w:ascii="宋体" w:hAnsi="宋体"/>
          <w:highlight w:val="none"/>
        </w:rPr>
        <w:t>e. 读取辅助变压器三相温度指示及 UPS 面板指示灯数值；</w:t>
      </w:r>
    </w:p>
    <w:p>
      <w:pPr>
        <w:pStyle w:val="6"/>
        <w:rPr>
          <w:rFonts w:hint="eastAsia" w:ascii="宋体" w:hAnsi="宋体"/>
          <w:highlight w:val="none"/>
        </w:rPr>
      </w:pPr>
      <w:r>
        <w:rPr>
          <w:rFonts w:hint="eastAsia" w:ascii="宋体" w:hAnsi="宋体"/>
          <w:highlight w:val="none"/>
        </w:rPr>
        <w:t>5.3.1.3表计识别功能模块</w:t>
      </w:r>
    </w:p>
    <w:p>
      <w:pPr>
        <w:rPr>
          <w:rFonts w:hint="eastAsia" w:ascii="宋体" w:hAnsi="宋体"/>
          <w:highlight w:val="none"/>
        </w:rPr>
      </w:pPr>
      <w:r>
        <w:rPr>
          <w:rFonts w:hint="eastAsia"/>
          <w:highlight w:val="none"/>
        </w:rPr>
        <w:t>系统通过表计识别技术可实现自动抄表，同时，还可通过对大量表计数据的分析，实现设备的监测和告警。</w:t>
      </w:r>
    </w:p>
    <w:p>
      <w:pPr>
        <w:rPr>
          <w:rFonts w:hint="eastAsia" w:ascii="宋体" w:hAnsi="宋体"/>
          <w:highlight w:val="none"/>
        </w:rPr>
      </w:pPr>
      <w:r>
        <w:rPr>
          <w:rFonts w:hint="eastAsia" w:ascii="宋体" w:hAnsi="宋体"/>
          <w:highlight w:val="none"/>
        </w:rPr>
        <w:t>1）支持配置表计识别计划任务，支持按间隔（分钟、小时、天）或按时间点配置；</w:t>
      </w:r>
    </w:p>
    <w:p>
      <w:pPr>
        <w:ind w:left="0" w:firstLine="720" w:firstLineChars="300"/>
        <w:rPr>
          <w:rFonts w:hint="eastAsia" w:ascii="宋体" w:hAnsi="宋体"/>
          <w:highlight w:val="none"/>
        </w:rPr>
      </w:pPr>
      <w:r>
        <w:rPr>
          <w:rFonts w:hint="eastAsia" w:ascii="宋体" w:hAnsi="宋体"/>
          <w:highlight w:val="none"/>
        </w:rPr>
        <w:t>2）支持查看监测点上报的历史记录、复核及数据导出。</w:t>
      </w:r>
    </w:p>
    <w:p>
      <w:pPr>
        <w:rPr>
          <w:rFonts w:hint="eastAsia" w:ascii="宋体" w:hAnsi="宋体"/>
          <w:highlight w:val="none"/>
        </w:rPr>
      </w:pPr>
      <w:r>
        <w:rPr>
          <w:rFonts w:hint="eastAsia" w:ascii="宋体" w:hAnsi="宋体"/>
          <w:highlight w:val="none"/>
        </w:rPr>
        <w:t>3）支持在驾驶舱平台上实时动态展示监控点设备的状态、数值和报警信息，并且可设置阈值报警；</w:t>
      </w:r>
    </w:p>
    <w:p>
      <w:pPr>
        <w:rPr>
          <w:rFonts w:hint="eastAsia" w:ascii="宋体" w:hAnsi="宋体"/>
          <w:highlight w:val="none"/>
        </w:rPr>
      </w:pPr>
      <w:r>
        <w:rPr>
          <w:rFonts w:hint="eastAsia" w:ascii="宋体" w:hAnsi="宋体"/>
          <w:highlight w:val="none"/>
        </w:rPr>
        <w:t>4）支持AI模型管理：根据监控点设备建设模型，可直接在大屏上全面展示设备的状态、数据和报警信息。</w:t>
      </w:r>
    </w:p>
    <w:p>
      <w:pPr>
        <w:pStyle w:val="6"/>
        <w:rPr>
          <w:rFonts w:hint="eastAsia" w:ascii="宋体" w:hAnsi="宋体"/>
          <w:highlight w:val="none"/>
        </w:rPr>
      </w:pPr>
      <w:r>
        <w:rPr>
          <w:rFonts w:hint="eastAsia" w:ascii="宋体" w:hAnsi="宋体"/>
          <w:highlight w:val="none"/>
        </w:rPr>
        <w:t>5.3.1.4违章行为识别功能模块</w:t>
      </w:r>
    </w:p>
    <w:p>
      <w:pPr>
        <w:rPr>
          <w:rFonts w:hint="eastAsia" w:ascii="宋体" w:hAnsi="宋体"/>
          <w:highlight w:val="none"/>
        </w:rPr>
      </w:pPr>
      <w:r>
        <w:rPr>
          <w:rFonts w:hint="eastAsia" w:ascii="宋体" w:hAnsi="宋体"/>
          <w:highlight w:val="none"/>
        </w:rPr>
        <w:t>1）支持已安装监控视频进行智能AI算法分析，能够识别违章包括但不限于巡检过程未佩戴安全帽、人员倒地、人员经过等行为识别，并进行自动弹窗；</w:t>
      </w:r>
    </w:p>
    <w:p>
      <w:pPr>
        <w:rPr>
          <w:rFonts w:hint="eastAsia" w:ascii="宋体" w:hAnsi="宋体"/>
          <w:highlight w:val="none"/>
        </w:rPr>
      </w:pPr>
      <w:r>
        <w:rPr>
          <w:rFonts w:hint="eastAsia" w:ascii="宋体" w:hAnsi="宋体"/>
          <w:highlight w:val="none"/>
        </w:rPr>
        <w:t>2）系统检测到违章行为时需联动对应摄像头进行抓拍和视频记录，违章信息可实时展示在驾驶舱平台，支持查看违章详细信息，包含违章图片、违章视频、违章时间、违章地点等；</w:t>
      </w:r>
    </w:p>
    <w:p>
      <w:pPr>
        <w:rPr>
          <w:rFonts w:hint="eastAsia" w:ascii="宋体" w:hAnsi="宋体"/>
          <w:highlight w:val="none"/>
        </w:rPr>
      </w:pPr>
      <w:r>
        <w:rPr>
          <w:rFonts w:hint="eastAsia" w:ascii="宋体" w:hAnsi="宋体"/>
          <w:highlight w:val="none"/>
        </w:rPr>
        <w:t>3）平台需支持预警、告警功能，实现异常预警、告警推送功能，包括违章行为、设备隐患，支持预警关联监控设备；支持预警/告警分级推送；支持预警/告警图片内容推送。</w:t>
      </w:r>
    </w:p>
    <w:p>
      <w:pPr>
        <w:rPr>
          <w:rFonts w:hint="eastAsia" w:ascii="宋体" w:hAnsi="宋体"/>
          <w:highlight w:val="none"/>
        </w:rPr>
      </w:pPr>
      <w:r>
        <w:rPr>
          <w:rFonts w:hint="eastAsia" w:ascii="宋体" w:hAnsi="宋体"/>
          <w:highlight w:val="none"/>
        </w:rPr>
        <w:t>4）平台需支持人、行为、事件等多种算法。支持自定义行为自动弹窗（例：风场人员入侵报警）。</w:t>
      </w:r>
    </w:p>
    <w:p>
      <w:pPr>
        <w:rPr>
          <w:rFonts w:hint="eastAsia" w:ascii="宋体" w:hAnsi="宋体"/>
          <w:highlight w:val="none"/>
        </w:rPr>
      </w:pPr>
      <w:r>
        <w:rPr>
          <w:rFonts w:hint="eastAsia" w:ascii="宋体" w:hAnsi="宋体"/>
          <w:highlight w:val="none"/>
        </w:rPr>
        <w:t>5）识别准确率需满足85%以上，支持后续AI模型算法迭代，满足后续新的安全规范。</w:t>
      </w:r>
    </w:p>
    <w:p>
      <w:pPr>
        <w:ind w:left="0" w:firstLine="480" w:firstLineChars="200"/>
        <w:rPr>
          <w:rFonts w:hint="eastAsia" w:ascii="宋体" w:hAnsi="宋体"/>
          <w:highlight w:val="none"/>
        </w:rPr>
      </w:pPr>
      <w:r>
        <w:rPr>
          <w:rFonts w:hint="eastAsia" w:ascii="宋体" w:hAnsi="宋体"/>
          <w:highlight w:val="none"/>
        </w:rPr>
        <w:t xml:space="preserve">5.3.1.5 </w:t>
      </w:r>
      <w:r>
        <w:rPr>
          <w:rFonts w:hint="eastAsia" w:ascii="宋体" w:hAnsi="宋体"/>
          <w:highlight w:val="none"/>
          <w:lang w:val="en-US" w:eastAsia="zh-CN"/>
        </w:rPr>
        <w:t>非风场</w:t>
      </w:r>
      <w:r>
        <w:rPr>
          <w:rFonts w:hint="eastAsia" w:ascii="宋体" w:hAnsi="宋体"/>
          <w:highlight w:val="none"/>
        </w:rPr>
        <w:t>作业人员</w:t>
      </w:r>
      <w:r>
        <w:rPr>
          <w:rFonts w:hint="eastAsia" w:ascii="宋体" w:hAnsi="宋体"/>
          <w:highlight w:val="none"/>
          <w:lang w:val="en-US" w:eastAsia="zh-CN"/>
        </w:rPr>
        <w:t>入侵识别</w:t>
      </w:r>
      <w:r>
        <w:rPr>
          <w:rFonts w:hint="eastAsia"/>
          <w:highlight w:val="none"/>
          <w:lang w:val="en-US" w:eastAsia="zh-CN"/>
        </w:rPr>
        <w:t>模块</w:t>
      </w:r>
    </w:p>
    <w:p>
      <w:pPr>
        <w:pStyle w:val="2"/>
        <w:rPr>
          <w:rFonts w:ascii="宋体" w:hAnsi="宋体"/>
          <w:highlight w:val="none"/>
          <w:lang w:val="en-US"/>
        </w:rPr>
      </w:pPr>
      <w:r>
        <w:rPr>
          <w:rFonts w:hint="eastAsia" w:ascii="宋体" w:hAnsi="宋体"/>
          <w:sz w:val="24"/>
          <w:szCs w:val="24"/>
          <w:highlight w:val="none"/>
        </w:rPr>
        <w:t>与现有登船识别系统对接，</w:t>
      </w:r>
      <w:r>
        <w:rPr>
          <w:rFonts w:hint="eastAsia" w:ascii="宋体" w:hAnsi="宋体"/>
          <w:sz w:val="24"/>
          <w:szCs w:val="24"/>
          <w:highlight w:val="none"/>
          <w:lang w:val="en-US" w:eastAsia="zh-CN"/>
        </w:rPr>
        <w:t>符合网络安全管理及在不影响登船识别系统使用的要求下</w:t>
      </w:r>
      <w:r>
        <w:rPr>
          <w:rFonts w:hint="eastAsia" w:ascii="宋体" w:hAnsi="宋体"/>
          <w:sz w:val="24"/>
          <w:szCs w:val="24"/>
          <w:highlight w:val="none"/>
        </w:rPr>
        <w:t>，</w:t>
      </w:r>
      <w:r>
        <w:rPr>
          <w:rFonts w:hint="eastAsia" w:ascii="宋体" w:hAnsi="宋体"/>
          <w:sz w:val="24"/>
          <w:szCs w:val="24"/>
          <w:highlight w:val="none"/>
          <w:lang w:val="en-US" w:eastAsia="zh-CN"/>
        </w:rPr>
        <w:t>接入登船识别系统船只计划及人员登船数据，实现非风场作业人员入侵报警。</w:t>
      </w:r>
    </w:p>
    <w:p>
      <w:pPr>
        <w:pStyle w:val="2"/>
        <w:rPr>
          <w:highlight w:val="none"/>
        </w:rPr>
      </w:pPr>
    </w:p>
    <w:bookmarkEnd w:id="52"/>
    <w:p>
      <w:pPr>
        <w:pStyle w:val="6"/>
        <w:ind w:left="0" w:firstLine="480"/>
        <w:rPr>
          <w:rFonts w:hint="eastAsia" w:ascii="宋体" w:hAnsi="宋体"/>
          <w:highlight w:val="none"/>
        </w:rPr>
      </w:pPr>
      <w:r>
        <w:rPr>
          <w:rFonts w:hint="eastAsia" w:ascii="宋体" w:hAnsi="宋体"/>
          <w:highlight w:val="none"/>
        </w:rPr>
        <w:t>5.3.1.</w:t>
      </w:r>
      <w:r>
        <w:rPr>
          <w:rFonts w:hint="eastAsia" w:ascii="宋体" w:hAnsi="宋体"/>
          <w:highlight w:val="none"/>
          <w:lang w:val="en-US" w:eastAsia="zh-CN"/>
        </w:rPr>
        <w:t>6</w:t>
      </w:r>
      <w:r>
        <w:rPr>
          <w:rFonts w:hint="eastAsia" w:ascii="宋体" w:hAnsi="宋体"/>
          <w:highlight w:val="none"/>
        </w:rPr>
        <w:t>视频监控功能模块扩容</w:t>
      </w:r>
    </w:p>
    <w:p>
      <w:pPr>
        <w:widowControl/>
        <w:rPr>
          <w:rFonts w:hint="eastAsia" w:ascii="宋体" w:hAnsi="宋体"/>
          <w:highlight w:val="none"/>
        </w:rPr>
      </w:pPr>
      <w:r>
        <w:rPr>
          <w:rFonts w:hint="eastAsia" w:ascii="宋体" w:hAnsi="宋体"/>
          <w:highlight w:val="none"/>
        </w:rPr>
        <w:t xml:space="preserve"> 监控点位授权本次新增500路授权。</w:t>
      </w:r>
    </w:p>
    <w:p>
      <w:pPr>
        <w:widowControl w:val="0"/>
        <w:ind w:left="0" w:firstLine="0" w:firstLineChars="0"/>
        <w:rPr>
          <w:rFonts w:hint="eastAsia" w:ascii="宋体" w:hAnsi="宋体"/>
          <w:highlight w:val="none"/>
        </w:rPr>
      </w:pPr>
      <w:r>
        <w:rPr>
          <w:rFonts w:hint="eastAsia" w:ascii="宋体" w:hAnsi="宋体"/>
          <w:highlight w:val="none"/>
        </w:rPr>
        <w:t xml:space="preserve"> 系统应支持按照指定设备和指定通道进行实时图像点播，具备图像显示、缩放、抓拍和录像功能，且支持多个用户同时点播同一图像资源；系统应支持国标协议下的上下级平台级联，支持流媒体集群配置；支持监控点的批量迁移；支持检查平台内视频设备的在线状态；支持视频质量诊断，并能够接收信号丢失、图像黑白等异常情况的报警信息；支持检查视频设备录像的完整性；支持对设备的在线率、录像状态、视频质量等运维状态进行统计，并生成报表；支持BS客户端和CS客户端的视频预览，支持多浏览器的实时预览；支持对当前预览的窗格和监控点画面进行视图保存，以便后续预览该视图；支持视频预览、录像回放、图片监控、视频上墙及视频事件管理；支持监控回放功能，并能够提供三个月周期的视频检索和回放功能。</w:t>
      </w:r>
    </w:p>
    <w:bookmarkEnd w:id="51"/>
    <w:p>
      <w:pPr>
        <w:ind w:left="0" w:firstLine="0" w:firstLineChars="0"/>
        <w:rPr>
          <w:rFonts w:hint="eastAsia" w:ascii="宋体" w:hAnsi="宋体"/>
          <w:highlight w:val="none"/>
        </w:rPr>
      </w:pPr>
      <w:r>
        <w:rPr>
          <w:rFonts w:hint="eastAsia" w:ascii="宋体" w:hAnsi="宋体" w:cs="宋体"/>
          <w:highlight w:val="none"/>
        </w:rPr>
        <w:t xml:space="preserve">  </w:t>
      </w:r>
      <w:r>
        <w:rPr>
          <w:rFonts w:hint="eastAsia" w:ascii="宋体" w:hAnsi="宋体"/>
          <w:highlight w:val="none"/>
        </w:rPr>
        <w:t>5.3.2  硬件设备技术要求</w:t>
      </w:r>
    </w:p>
    <w:p>
      <w:pPr>
        <w:pStyle w:val="6"/>
        <w:rPr>
          <w:rFonts w:hint="eastAsia" w:ascii="宋体" w:hAnsi="宋体"/>
          <w:highlight w:val="none"/>
        </w:rPr>
      </w:pPr>
      <w:r>
        <w:rPr>
          <w:rFonts w:hint="eastAsia" w:ascii="宋体" w:hAnsi="宋体"/>
          <w:highlight w:val="none"/>
        </w:rPr>
        <w:t>5.3.2.1  24口交换机</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49"/>
        <w:gridCol w:w="74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15"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技术指标</w:t>
            </w:r>
          </w:p>
        </w:tc>
        <w:tc>
          <w:tcPr>
            <w:tcW w:w="4185"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参数要求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15" w:type="pc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硬件要求</w:t>
            </w:r>
          </w:p>
        </w:tc>
        <w:tc>
          <w:tcPr>
            <w:tcW w:w="5000"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≥24个100/1000Base-X SFP光口、8个复用的10/100/1000Base-T以太网端口、4个万兆SFP+口、带SSH端口管理方式、支持ERPS环网协议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15" w:type="pc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性能要求</w:t>
            </w:r>
          </w:p>
        </w:tc>
        <w:tc>
          <w:tcPr>
            <w:tcW w:w="5000"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交换容量≥756Gbps/7.56Tbps、包转发率≥222Mpps/396Mpps；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15" w:type="pct"/>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资质认证</w:t>
            </w:r>
          </w:p>
        </w:tc>
        <w:tc>
          <w:tcPr>
            <w:tcW w:w="5000"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要求提供工信部入网证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15" w:type="pct"/>
            <w:vMerge w:val="continue"/>
            <w:tcBorders>
              <w:top w:val="nil"/>
              <w:left w:val="single" w:color="auto" w:sz="4" w:space="0"/>
              <w:bottom w:val="single" w:color="auto" w:sz="4" w:space="0"/>
              <w:right w:val="single" w:color="auto" w:sz="4" w:space="0"/>
            </w:tcBorders>
            <w:vAlign w:val="center"/>
          </w:tcPr>
          <w:p>
            <w:pPr>
              <w:rPr>
                <w:highlight w:val="none"/>
              </w:rPr>
            </w:pPr>
          </w:p>
        </w:tc>
        <w:tc>
          <w:tcPr>
            <w:tcW w:w="5000"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提供设备原厂对于本项目的授权函及3年售后服务承诺函</w:t>
            </w:r>
          </w:p>
        </w:tc>
      </w:tr>
    </w:tbl>
    <w:p>
      <w:pPr>
        <w:pStyle w:val="2"/>
        <w:ind w:left="0" w:firstLine="0" w:firstLineChars="0"/>
        <w:rPr>
          <w:rFonts w:hint="eastAsia" w:ascii="宋体" w:hAnsi="宋体"/>
          <w:highlight w:val="none"/>
        </w:rPr>
      </w:pPr>
    </w:p>
    <w:p>
      <w:pPr>
        <w:pStyle w:val="6"/>
        <w:rPr>
          <w:rFonts w:hint="eastAsia" w:ascii="宋体" w:hAnsi="宋体"/>
          <w:highlight w:val="none"/>
        </w:rPr>
      </w:pPr>
      <w:r>
        <w:rPr>
          <w:rFonts w:hint="eastAsia" w:ascii="宋体" w:hAnsi="宋体"/>
          <w:highlight w:val="none"/>
        </w:rPr>
        <w:t>5.3.2.2  8口交换机</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32"/>
        <w:gridCol w:w="68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3"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技术指标</w:t>
            </w:r>
          </w:p>
        </w:tc>
        <w:tc>
          <w:tcPr>
            <w:tcW w:w="3857"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参数要求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3" w:type="pc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硬件要求</w:t>
            </w:r>
          </w:p>
        </w:tc>
        <w:tc>
          <w:tcPr>
            <w:tcW w:w="5000"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≥8个千兆电口、2个千兆光口、光路bypass、带SSH端口管理方式、支持ERPS环网协议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3" w:type="pc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性能要求</w:t>
            </w:r>
          </w:p>
        </w:tc>
        <w:tc>
          <w:tcPr>
            <w:tcW w:w="5000"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交换容量≥20 Gbps 、包转发率≥14.88 Mpps；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3" w:type="pct"/>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资质认证</w:t>
            </w:r>
          </w:p>
        </w:tc>
        <w:tc>
          <w:tcPr>
            <w:tcW w:w="5000"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要求提供工信部入网证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3" w:type="pct"/>
            <w:vMerge w:val="continue"/>
            <w:tcBorders>
              <w:top w:val="nil"/>
              <w:left w:val="single" w:color="auto" w:sz="4" w:space="0"/>
              <w:bottom w:val="single" w:color="auto" w:sz="4" w:space="0"/>
              <w:right w:val="single" w:color="auto" w:sz="4" w:space="0"/>
            </w:tcBorders>
            <w:vAlign w:val="center"/>
          </w:tcPr>
          <w:p>
            <w:pPr>
              <w:rPr>
                <w:highlight w:val="none"/>
              </w:rPr>
            </w:pPr>
          </w:p>
        </w:tc>
        <w:tc>
          <w:tcPr>
            <w:tcW w:w="5000"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提供设备原厂对于本项目的授权函及3年售后服务承诺函</w:t>
            </w:r>
          </w:p>
        </w:tc>
      </w:tr>
    </w:tbl>
    <w:p>
      <w:pPr>
        <w:rPr>
          <w:rFonts w:hint="eastAsia" w:ascii="宋体" w:hAnsi="宋体"/>
          <w:highlight w:val="none"/>
        </w:rPr>
      </w:pPr>
    </w:p>
    <w:p>
      <w:pPr>
        <w:pStyle w:val="6"/>
        <w:rPr>
          <w:rFonts w:hint="eastAsia" w:ascii="宋体" w:hAnsi="宋体"/>
          <w:highlight w:val="none"/>
        </w:rPr>
      </w:pPr>
      <w:r>
        <w:rPr>
          <w:rFonts w:hint="eastAsia" w:ascii="宋体" w:hAnsi="宋体"/>
          <w:highlight w:val="none"/>
        </w:rPr>
        <w:t>5.3.2.3  400万像素智能球型摄像机</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6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基础参数</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传感器类型</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【全景】1/1.8＂ progressive scan CMOS,【细节】1/2.8" progressive scan CMOS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最低照度</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【全景】彩色：0.0005 Lux @（F1.0, AGC ON），0 Lux with Light；【细节】彩色：0.005 Lux @（F1.6，AGC ON )，黑白：0.001 Lux @（F1.6，AGC ON)，0 Lux with 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聚焦模式</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半自动/手动/自动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日夜转换模式</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 xml:space="preserve">自动ICR彩转黑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日夜转换方式</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白天、夜晚、自动、定时切换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图像参数切换</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【全景】支持；【细节】支持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数字变倍</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16倍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光学变倍</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23倍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隐私遮蔽</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支持马赛克,支持多种颜色设置,【全景】8块，【细节】24块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信噪比</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＞52dB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补光</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白光照射距离</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【细节】30 m；【全景】30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红外照射距离</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【细节】150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报警灯</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30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视频</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最大图像尺寸</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【全景】2560 ×1440，【细节】1920 ×1080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码流类型</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主码流、子码流、第三码流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智能</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人脸抓拍</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支持同时检查5张人脸，支持对运动人脸进行检查、跟踪、抓拍、评分、筛选，输出最优的人脸抓图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普通事件</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支持移动侦测、遮挡报警、报警输入、报警输出、设备异常检测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Smart事件</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支持区域入侵侦测、越界侦测、进入区域侦测、离开区域侦测、音频异常侦测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Smart跟踪</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支持手动跟踪,全景跟踪,事件跟踪,接管跟踪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Smart录像</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支持断网续传，智能后检索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报警联动</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支持联动跟踪,声音报警,闪光报警,预置点,巡航扫描,花样扫描,SD卡录像,报警输出,邮件,上传中心,上传FTP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警戒功能</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支持声光警戒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网络</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网络存储</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NAS (NFS，SMB/ CIFS), ANR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支持协议</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IPv4/IPv6,HTTP,HTTPS,802.1x,Qos,FTP,SMTP,UPnP,SNMP,DNS,DDNS,NTP,RTSP,RTCP,RTP,TCP/IP,UDP,IGMP,ICMP,DHCP,PPPoE,Bonjour,WebSocket,WebSockets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接口协议</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软件集成的开放式API,开放型网络视频接口,ISAPI,海康SDK,第三方管理平台接入,GB/T28181协议,支持视图库,支持萤石接入,ISUP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最大取流路数</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20路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接口</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网络接口</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不少于1个RJ45 10 M/100 M自适应以太网口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报警输入</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不少于</w:t>
            </w:r>
            <w:r>
              <w:rPr>
                <w:rFonts w:ascii="宋体" w:hAnsi="宋体"/>
                <w:highlight w:val="none"/>
              </w:rPr>
              <w:t>2路报警输入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报警输出</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不少于</w:t>
            </w:r>
            <w:r>
              <w:rPr>
                <w:rFonts w:ascii="宋体" w:hAnsi="宋体"/>
                <w:highlight w:val="none"/>
              </w:rPr>
              <w:t>1路报警输出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音频输入</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不少于</w:t>
            </w:r>
            <w:r>
              <w:rPr>
                <w:rFonts w:ascii="宋体" w:hAnsi="宋体"/>
                <w:highlight w:val="none"/>
              </w:rPr>
              <w:t>1路音频输入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音频输出</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不少于</w:t>
            </w:r>
            <w:r>
              <w:rPr>
                <w:rFonts w:ascii="宋体" w:hAnsi="宋体"/>
                <w:highlight w:val="none"/>
              </w:rPr>
              <w:t>1路音频输出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一般规范</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除雾</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应支持</w:t>
            </w:r>
            <w:r>
              <w:rPr>
                <w:rFonts w:ascii="宋体" w:hAnsi="宋体"/>
                <w:highlight w:val="none"/>
              </w:rPr>
              <w:t>加热玻璃除雾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认证</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防护</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不低于</w:t>
            </w:r>
            <w:r>
              <w:rPr>
                <w:rFonts w:ascii="宋体" w:hAnsi="宋体"/>
                <w:highlight w:val="none"/>
              </w:rPr>
              <w:t>IP66;抗干扰能力强，适用于严酷的电磁环境，符合GB/T17626.2/3/4/5/6四级标准</w:t>
            </w:r>
          </w:p>
        </w:tc>
      </w:tr>
    </w:tbl>
    <w:p>
      <w:pPr>
        <w:rPr>
          <w:rFonts w:hint="eastAsia" w:ascii="宋体" w:hAnsi="宋体"/>
          <w:highlight w:val="none"/>
        </w:rPr>
      </w:pPr>
    </w:p>
    <w:p>
      <w:pPr>
        <w:widowControl/>
        <w:spacing w:line="240" w:lineRule="auto"/>
        <w:ind w:left="0" w:right="0" w:firstLine="0" w:firstLineChars="0"/>
        <w:textAlignment w:val="auto"/>
        <w:rPr>
          <w:rFonts w:hint="eastAsia" w:ascii="宋体" w:hAnsi="宋体"/>
          <w:highlight w:val="none"/>
        </w:rPr>
      </w:pPr>
    </w:p>
    <w:p>
      <w:pPr>
        <w:pStyle w:val="6"/>
        <w:rPr>
          <w:rFonts w:hint="eastAsia" w:ascii="宋体" w:hAnsi="宋体"/>
          <w:highlight w:val="none"/>
        </w:rPr>
      </w:pPr>
      <w:r>
        <w:rPr>
          <w:rFonts w:hint="eastAsia" w:ascii="宋体" w:hAnsi="宋体"/>
          <w:highlight w:val="none"/>
        </w:rPr>
        <w:t>5.3.2.4 微距表计摄像机</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6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基础参数</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122"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传感器类型</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1/2.7" Progressive Scan CMOS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122"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最低照度</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彩色：0.005 Lux @（F1.2，AGC ON），0 Lux with Light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122"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焦距&amp;视场角</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4 mm @F2.0，水平视场角：79.6°，垂直视场角：63.8°，对角视场角：93.4°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补光</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122"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补光距离</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≥500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视频</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122"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最大图像尺寸</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2560 × 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认证</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122"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防护</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不低于</w:t>
            </w:r>
            <w:r>
              <w:rPr>
                <w:rFonts w:ascii="宋体" w:hAnsi="宋体"/>
                <w:highlight w:val="none"/>
              </w:rPr>
              <w:t>IP67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122" w:type="dxa"/>
            <w:vMerge w:val="restart"/>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b/>
                <w:bCs/>
                <w:highlight w:val="none"/>
              </w:rPr>
              <w:t>投标文件提供公安部检验报告证明</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通过镜头聚焦，可看清距离镜头5cm-50cm范围内的5号（10.5磅）宋体数字。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122" w:type="dxa"/>
            <w:vMerge w:val="continue"/>
            <w:tcBorders>
              <w:top w:val="single" w:color="auto" w:sz="4" w:space="0"/>
              <w:left w:val="single" w:color="auto" w:sz="4" w:space="0"/>
              <w:right w:val="single" w:color="auto" w:sz="4" w:space="0"/>
            </w:tcBorders>
            <w:vAlign w:val="center"/>
          </w:tcPr>
          <w:p>
            <w:pPr>
              <w:rPr>
                <w:highlight w:val="none"/>
              </w:rPr>
            </w:pP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具有光斑消除功能，开启白光灯正对表盘时，可消除表盘反射的光源光斑，可清晰显示表盘刻度或数字。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122" w:type="dxa"/>
            <w:vMerge w:val="continue"/>
            <w:tcBorders>
              <w:top w:val="single" w:color="auto" w:sz="4" w:space="0"/>
              <w:left w:val="single" w:color="auto" w:sz="4" w:space="0"/>
              <w:right w:val="single" w:color="auto" w:sz="4" w:space="0"/>
            </w:tcBorders>
            <w:vAlign w:val="center"/>
          </w:tcPr>
          <w:p>
            <w:pPr>
              <w:rPr>
                <w:highlight w:val="none"/>
              </w:rPr>
            </w:pP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具有低功耗模式，设备无操作时长达到30s后，自动进入低功耗模式，功耗不大于1W。</w:t>
            </w:r>
          </w:p>
        </w:tc>
      </w:tr>
    </w:tbl>
    <w:p>
      <w:pPr>
        <w:rPr>
          <w:rFonts w:hint="eastAsia" w:ascii="宋体" w:hAnsi="宋体"/>
          <w:highlight w:val="none"/>
        </w:rPr>
      </w:pPr>
    </w:p>
    <w:p>
      <w:pPr>
        <w:pStyle w:val="6"/>
        <w:rPr>
          <w:rFonts w:hint="eastAsia" w:ascii="宋体" w:hAnsi="宋体"/>
          <w:highlight w:val="none"/>
        </w:rPr>
      </w:pPr>
      <w:r>
        <w:rPr>
          <w:rFonts w:hint="eastAsia" w:ascii="宋体" w:hAnsi="宋体"/>
          <w:highlight w:val="none"/>
        </w:rPr>
        <w:t>5.3.2.5卡片式测温热像仪</w:t>
      </w:r>
    </w:p>
    <w:tbl>
      <w:tblPr>
        <w:tblStyle w:val="12"/>
        <w:tblW w:w="8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2"/>
        <w:gridCol w:w="72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00" w:hRule="atLeast"/>
        </w:trPr>
        <w:tc>
          <w:tcPr>
            <w:tcW w:w="1452" w:type="dxa"/>
            <w:shd w:val="clear" w:color="auto" w:fill="D0CECE"/>
            <w:noWrap/>
            <w:vAlign w:val="center"/>
          </w:tcPr>
          <w:p>
            <w:pPr>
              <w:widowControl/>
              <w:spacing w:line="240" w:lineRule="auto"/>
              <w:ind w:left="0" w:right="0" w:firstLine="0" w:firstLineChars="0"/>
              <w:jc w:val="both"/>
              <w:textAlignment w:val="auto"/>
              <w:rPr>
                <w:rFonts w:hint="eastAsia" w:ascii="宋体" w:hAnsi="宋体" w:cs="宋体"/>
                <w:color w:val="000000"/>
                <w:kern w:val="0"/>
                <w:sz w:val="22"/>
                <w:szCs w:val="22"/>
                <w:highlight w:val="none"/>
              </w:rPr>
            </w:pPr>
            <w:r>
              <w:rPr>
                <w:rFonts w:hint="eastAsia" w:ascii="宋体" w:hAnsi="宋体"/>
                <w:highlight w:val="none"/>
              </w:rPr>
              <w:t>技术参数（不低于）</w:t>
            </w:r>
            <w:r>
              <w:rPr>
                <w:rFonts w:hint="eastAsia" w:ascii="宋体" w:hAnsi="宋体"/>
                <w:b/>
                <w:bCs/>
                <w:highlight w:val="none"/>
              </w:rPr>
              <w:t>投标文件提供公安部检验报告证明</w:t>
            </w:r>
          </w:p>
        </w:tc>
        <w:tc>
          <w:tcPr>
            <w:tcW w:w="7248" w:type="dxa"/>
            <w:shd w:val="clear" w:color="auto" w:fill="auto"/>
            <w:vAlign w:val="bottom"/>
          </w:tcPr>
          <w:p>
            <w:pPr>
              <w:widowControl/>
              <w:spacing w:line="240" w:lineRule="auto"/>
              <w:ind w:left="0" w:right="0" w:firstLine="0" w:firstLineChars="0"/>
              <w:textAlignment w:val="auto"/>
              <w:rPr>
                <w:rFonts w:hint="eastAsia" w:ascii="宋体" w:hAnsi="宋体" w:cs="宋体"/>
                <w:color w:val="000000"/>
                <w:kern w:val="0"/>
                <w:sz w:val="22"/>
                <w:szCs w:val="22"/>
                <w:highlight w:val="none"/>
              </w:rPr>
            </w:pPr>
            <w:r>
              <w:rPr>
                <w:rFonts w:hint="eastAsia" w:ascii="宋体" w:hAnsi="宋体"/>
                <w:highlight w:val="none"/>
              </w:rPr>
              <w:t>最小成像距离0.1m</w:t>
            </w:r>
            <w:r>
              <w:rPr>
                <w:rFonts w:hint="eastAsia" w:ascii="宋体" w:hAnsi="宋体"/>
                <w:highlight w:val="none"/>
              </w:rPr>
              <w:br w:type="textWrapping"/>
            </w:r>
            <w:r>
              <w:rPr>
                <w:rFonts w:hint="eastAsia" w:ascii="宋体" w:hAnsi="宋体"/>
                <w:highlight w:val="none"/>
              </w:rPr>
              <w:t>分辨率256×192，高灵敏度探测器，支持对比度调节</w:t>
            </w:r>
            <w:r>
              <w:rPr>
                <w:rFonts w:hint="eastAsia" w:ascii="宋体" w:hAnsi="宋体"/>
                <w:highlight w:val="none"/>
              </w:rPr>
              <w:br w:type="textWrapping"/>
            </w:r>
            <w:r>
              <w:rPr>
                <w:rFonts w:hint="eastAsia" w:ascii="宋体" w:hAnsi="宋体"/>
                <w:highlight w:val="none"/>
              </w:rPr>
              <w:t>热成像视频图像噪声等效温差（NETD）≤16mK</w:t>
            </w:r>
            <w:r>
              <w:rPr>
                <w:rFonts w:hint="eastAsia" w:ascii="宋体" w:hAnsi="宋体"/>
                <w:highlight w:val="none"/>
              </w:rPr>
              <w:br w:type="textWrapping"/>
            </w:r>
            <w:r>
              <w:rPr>
                <w:rFonts w:hint="eastAsia" w:ascii="宋体" w:hAnsi="宋体"/>
                <w:highlight w:val="none"/>
              </w:rPr>
              <w:t>热成像镜头视场角90°x66.4°</w:t>
            </w:r>
            <w:r>
              <w:rPr>
                <w:rFonts w:hint="eastAsia" w:ascii="宋体" w:hAnsi="宋体"/>
                <w:highlight w:val="none"/>
              </w:rPr>
              <w:br w:type="textWrapping"/>
            </w:r>
            <w:r>
              <w:rPr>
                <w:rFonts w:hint="eastAsia" w:ascii="宋体" w:hAnsi="宋体"/>
                <w:highlight w:val="none"/>
              </w:rPr>
              <w:t>支持点、线、区域测温规则，可设置10个点，10个区域及1条线</w:t>
            </w:r>
            <w:r>
              <w:rPr>
                <w:rFonts w:hint="eastAsia" w:ascii="宋体" w:hAnsi="宋体"/>
                <w:highlight w:val="none"/>
              </w:rPr>
              <w:br w:type="textWrapping"/>
            </w:r>
            <w:r>
              <w:rPr>
                <w:rFonts w:hint="eastAsia" w:ascii="宋体" w:hAnsi="宋体"/>
                <w:highlight w:val="none"/>
              </w:rPr>
              <w:t>支持精确测温，测温精度：±2℃或者读数的±2%，取最大值</w:t>
            </w:r>
            <w:r>
              <w:rPr>
                <w:rFonts w:hint="eastAsia" w:ascii="宋体" w:hAnsi="宋体"/>
                <w:highlight w:val="none"/>
              </w:rPr>
              <w:br w:type="textWrapping"/>
            </w:r>
            <w:r>
              <w:rPr>
                <w:rFonts w:hint="eastAsia" w:ascii="宋体" w:hAnsi="宋体"/>
                <w:highlight w:val="none"/>
              </w:rPr>
              <w:t>支持POE供电</w:t>
            </w:r>
            <w:r>
              <w:rPr>
                <w:rFonts w:hint="eastAsia" w:ascii="宋体" w:hAnsi="宋体"/>
                <w:highlight w:val="none"/>
              </w:rPr>
              <w:br w:type="textWrapping"/>
            </w:r>
            <w:r>
              <w:rPr>
                <w:rFonts w:hint="eastAsia" w:ascii="宋体" w:hAnsi="宋体"/>
                <w:highlight w:val="none"/>
              </w:rPr>
              <w:t>体积小巧，易安装，易集成</w:t>
            </w:r>
            <w:r>
              <w:rPr>
                <w:rFonts w:hint="eastAsia" w:ascii="宋体" w:hAnsi="宋体"/>
                <w:highlight w:val="none"/>
              </w:rPr>
              <w:br w:type="textWrapping"/>
            </w:r>
            <w:r>
              <w:rPr>
                <w:rFonts w:hint="eastAsia" w:ascii="宋体" w:hAnsi="宋体"/>
                <w:highlight w:val="none"/>
              </w:rPr>
              <w:t>支持热成像图像与可见光图像双光融合，可设置图像融合比例</w:t>
            </w:r>
            <w:r>
              <w:rPr>
                <w:rFonts w:hint="eastAsia" w:ascii="宋体" w:hAnsi="宋体"/>
                <w:highlight w:val="none"/>
              </w:rPr>
              <w:br w:type="textWrapping"/>
            </w:r>
            <w:r>
              <w:rPr>
                <w:rFonts w:hint="eastAsia" w:ascii="宋体" w:hAnsi="宋体"/>
                <w:highlight w:val="none"/>
              </w:rPr>
              <w:t>热成像视频图像具有白热、黑热、彩虹、铁红、雨、冰火等16种显示模式</w:t>
            </w:r>
            <w:r>
              <w:rPr>
                <w:rFonts w:hint="eastAsia" w:ascii="宋体" w:hAnsi="宋体"/>
                <w:highlight w:val="none"/>
              </w:rPr>
              <w:br w:type="textWrapping"/>
            </w:r>
            <w:r>
              <w:rPr>
                <w:rFonts w:hint="eastAsia" w:ascii="宋体" w:hAnsi="宋体"/>
                <w:highlight w:val="none"/>
              </w:rPr>
              <w:t>支持磁吸、壁装、桌面、柱装、吊装等安装方式</w:t>
            </w:r>
            <w:r>
              <w:rPr>
                <w:rFonts w:hint="eastAsia" w:ascii="宋体" w:hAnsi="宋体"/>
                <w:highlight w:val="none"/>
              </w:rPr>
              <w:br w:type="textWrapping"/>
            </w:r>
            <w:r>
              <w:rPr>
                <w:rFonts w:hint="eastAsia" w:ascii="宋体" w:hAnsi="宋体"/>
                <w:highlight w:val="none"/>
              </w:rPr>
              <w:t>可触发声音报警、补光灯报警</w:t>
            </w:r>
            <w:r>
              <w:rPr>
                <w:rFonts w:hint="eastAsia" w:ascii="宋体" w:hAnsi="宋体"/>
                <w:highlight w:val="none"/>
              </w:rPr>
              <w:br w:type="textWrapping"/>
            </w:r>
            <w:r>
              <w:rPr>
                <w:rFonts w:hint="eastAsia" w:ascii="宋体" w:hAnsi="宋体"/>
                <w:highlight w:val="none"/>
              </w:rPr>
              <w:t>可将画面进行90°旋转、中心翻转</w:t>
            </w:r>
          </w:p>
        </w:tc>
      </w:tr>
    </w:tbl>
    <w:p>
      <w:pPr>
        <w:ind w:left="0" w:firstLine="0" w:firstLineChars="0"/>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6"/>
        <w:rPr>
          <w:rFonts w:hint="eastAsia" w:ascii="宋体" w:hAnsi="宋体"/>
          <w:highlight w:val="none"/>
        </w:rPr>
      </w:pPr>
      <w:r>
        <w:rPr>
          <w:rFonts w:hint="eastAsia" w:ascii="宋体" w:hAnsi="宋体"/>
          <w:highlight w:val="none"/>
        </w:rPr>
        <w:t>5.3.2.6表计巡检超脑</w:t>
      </w:r>
    </w:p>
    <w:tbl>
      <w:tblPr>
        <w:tblStyle w:val="12"/>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基础参数</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硬件要求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2U标准机架式结构</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≥2个HDMI，2个VGA，双异源输出，支持双4K输出</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≥8盘位，支持满配12TB硬盘（总容量可达96TB）</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≥2个10M/100M/1000Mbps网口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≥2个USB2.0接口、1个USB3.0接口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≥1个eSATA接口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≥报警IO接口：16路报警输入，4路报警输出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性能要求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输入带宽≥320Mbps</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输出带宽≥256Mbps</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接入能力≥32路H.264、H.265格式高清码流接入</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解码能力≥16×1080P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智能</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基础要求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设备内置2颗GPU（物理引擎）</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算法支持类型：集成表计，缺陷类变电站业务算法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表计</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支持【指针类】读数指针：SF6表，电流电压表，压力表，6L2功率因素表，6L2功率表，6L2频率表，计数器，油位计，泄漏电流读数表，主变油温表，有载调压表，FJZD压力温度表，状态指针/旋钮：旋转指针分合字符断路器， 平移指针分合字符断路器，旋钮开关</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应支持【数值类】机械数值表，LED数表，智能数表</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应支持【状态类】</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字符类：分合字符球状断路器，分合字符断路器</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颜色类：呼吸器，三色灯，指示灯</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开关类：双柱水平旋转隔离开关</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开合类：垂直伸缩隔离开关，三柱水平旋转隔离开关，柱状压板，一字压板，空开状态</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应支持【液位】液位：视窗液位，读数液位；尺子：直尺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缺陷类算法</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器件缺陷不少于10种：表计（表盘模糊，表盘外壳破损，表盘破损，表计读数异常），硅胶筒（硅胶变色，硅胶筒破损），呼吸器（油封异常），绝缘子（绝缘子破损），箱门（箱门闭合异常），压板（压板合）</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不少于环境缺陷识别（4种）：鸟巢，悬浮物，地面油污</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标定集的个数≥256个表盘标定</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分析能力≥图片流分析 2张/3秒/台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restart"/>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b/>
                <w:bCs/>
                <w:highlight w:val="none"/>
              </w:rPr>
              <w:t>投标文件提供公安部检验报告证明</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AI规则类型支持区域目标异常状态检测、跨线目标检测、区域交叠比异常检测、组合规则、全分析规则、跨线目标统计、区域目标数统计、区域交叠比统计。AI规则参数支持持续时间、报警间隔，最大报警数量、尺寸过滤、静止过滤、运动过滤、灵敏度、置信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配合接入的普通 IPC，支持对设定的检测区域内，人员是否佩戴安全帽进行自动侦测，同时检测出佩戴安全帽的颜色（红色、蓝色、黄色、橙色、白色）并根据设定条件触发报警联动。可设置最多16个多边形检测区域，通过客户端可以接受报警消息，查看报警图片，并回放关联录像。支持安全帽关联人脸报警，关联人脸库后，可对未佩戴或佩戴安全帽的人员进行人脸比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接入普通IPC，支持在预览画面中展示智能信息，支持实时展示目标对象，目标属性，目标置信度，目标ID，目标位置框信息，并且智能信息能够紧跟目标移动；预览画面中展示智能信息颜色可配置（常规时绿色，报警时变成红色），字体大小可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接入普通IPC，尺寸与面积检测，支持通过视频测量目标的实际尺寸和面积，目标误差±2%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支持摄像机识别表计缺陷检测，包括表盘模糊，表盘破损，绝缘子破损，硅胶筒破损，硅胶筒变色，箱门闭合异常，盖板异常等缺陷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支持摄像机识别室内主控室相关仪器状态，包括旋拧开关，室内仪器指示灯，指针表读数，数字表读数，压板状态，空开开关</w:t>
            </w:r>
          </w:p>
        </w:tc>
      </w:tr>
    </w:tbl>
    <w:p>
      <w:pPr>
        <w:pStyle w:val="6"/>
        <w:rPr>
          <w:rFonts w:hint="eastAsia" w:ascii="宋体" w:hAnsi="宋体"/>
          <w:highlight w:val="none"/>
        </w:rPr>
      </w:pPr>
    </w:p>
    <w:p>
      <w:pPr>
        <w:pStyle w:val="6"/>
        <w:ind w:left="0" w:firstLine="0" w:firstLineChars="0"/>
        <w:rPr>
          <w:highlight w:val="none"/>
        </w:rPr>
      </w:pPr>
      <w:r>
        <w:rPr>
          <w:rFonts w:hint="eastAsia" w:ascii="宋体" w:hAnsi="宋体"/>
          <w:highlight w:val="none"/>
        </w:rPr>
        <w:t>5.3.2.7行为巡检超脑</w:t>
      </w:r>
    </w:p>
    <w:tbl>
      <w:tblPr>
        <w:tblStyle w:val="12"/>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基础参数要求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硬件要求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3U标准机架式结构</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 xml:space="preserve">≥2个HDMI，1个VGA </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≥16盘位，支持满配20TB硬盘</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≥4个10M/100M/1000Mbps网口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≥2个USB2.0接口、2个USB3.0接口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≥1个eSATA接口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≥报警IO接口：16路报警输入，8路报警输出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性能要求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输入带宽≥512Mbps</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输出带宽≥512Mbps</w:t>
            </w:r>
          </w:p>
          <w:p>
            <w:pPr>
              <w:adjustRightInd w:val="0"/>
              <w:snapToGrid w:val="0"/>
              <w:spacing w:line="240" w:lineRule="auto"/>
              <w:ind w:left="0" w:right="0" w:firstLine="0" w:firstLineChars="0"/>
              <w:rPr>
                <w:rFonts w:hint="eastAsia" w:ascii="宋体" w:hAnsi="宋体"/>
                <w:highlight w:val="none"/>
              </w:rPr>
            </w:pPr>
            <w:bookmarkStart w:id="53" w:name="OLE_LINK3"/>
            <w:r>
              <w:rPr>
                <w:rFonts w:hint="eastAsia" w:ascii="宋体" w:hAnsi="宋体"/>
                <w:highlight w:val="none"/>
              </w:rPr>
              <w:t>接入能力≥128路H.264、H.265格式高清码流接入</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解码能力</w:t>
            </w:r>
            <w:bookmarkEnd w:id="53"/>
            <w:r>
              <w:rPr>
                <w:rFonts w:hint="eastAsia" w:ascii="宋体" w:hAnsi="宋体"/>
                <w:highlight w:val="none"/>
              </w:rPr>
              <w:t>≥24×1080P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智能要求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基础要求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设备内置8颗GPU（物理引擎），支持 5种引擎功能：人脸识别、周界防范、视频结构化、行为分析和AI算法引擎。支持GPU扩容，可动态扩容GPU数量，支持动态扩容1～7个GPU（以公安部检测报告为准）支持自定义行为自动弹窗。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人（不少于3种算法）</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1、人脸识别：人脸抓拍+人脸比对（64个名单库+50万张库容）</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2、人数统计：区域人数统计+倾斜客流统计</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3、安全帽反光衣：安全帽（颜色：红黄蓝白橙）+反光衣（颜色：绿橙）</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分析模式：实时视频分析、轮巡视频分析、大模型二次分析去误报、大模型定时抓图分析、大模型离线图片分析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行为（不少于4种算法）</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1、街面行为分析：人员倒地+人员聚集+快速移动（奔跑）</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分析模式：实时视频分析、轮巡视频分析、大模型二次分析去误报</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2、岗位行为分析：在离岗+睡岗（趴睡）+玩手机+人数异常+人员滞留</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分析模式：实时视频分析、轮巡视频分析、定时抓图分析、离线图片分析、大模型二次分析去误报、大模型定时抓图分析、大模型离线图片分析</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3、周界防范：区域入侵+越界侦测+进入区域侦测+离开区域侦测</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4、抽烟打电话：抽烟+打电话识别（支持二次检测）</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分析模式：实时视频分析、轮巡视频分析、定时抓图分析、离线图片分析、大模型二次分析去误报、大模型定时抓图分析、大模型离线图片分析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事件（不少于3种算法）</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烟雾火点：近距离烟火检测（室内）</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分析模式：实时视频分析、轮巡视频分析、大模型二次分析去误报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AIOP</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1、支持检测、分类、检测+分类、语义分割、实例分割、图像比对、算法编排等AI模型加载运行</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分析模式：实时视频分析、轮巡视频分析、定时抓图分析、离线图片分析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restart"/>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投标文件提供公安部检验报告证明</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支持导入视觉大模型进行分析，支持视频分析、图片分析、图片二次分析过滤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接入普通IPC，支持在预览画面中展示智能信息，支持实时展示目标对象，目标属性，目标置信度，目标ID，目标位置框信息，并且智能信息能够紧跟目标移动；预览画面中展示智能信息颜色可配置（常规时绿色，报警时变成红色），字体大小可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AI规则类型支持区域目标异常状态检测、跨线目标检测、区域交叠比异常检测、组合规则、全分析规则、跨线目标统计、区域目标数统计、区域交叠比统计。AI规则参数支持持续时间、报警间隔，最大报警数量、尺寸过滤、静止过滤、运动过滤、灵敏度、置信度</w:t>
            </w:r>
          </w:p>
        </w:tc>
      </w:tr>
    </w:tbl>
    <w:p>
      <w:pPr>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6"/>
        <w:rPr>
          <w:rFonts w:hint="eastAsia" w:ascii="宋体" w:hAnsi="宋体"/>
          <w:highlight w:val="none"/>
        </w:rPr>
      </w:pPr>
      <w:r>
        <w:rPr>
          <w:rFonts w:hint="eastAsia" w:ascii="宋体" w:hAnsi="宋体"/>
          <w:highlight w:val="none"/>
        </w:rPr>
        <w:t>5.3.2.8磁盘阵列</w:t>
      </w:r>
    </w:p>
    <w:tbl>
      <w:tblPr>
        <w:tblStyle w:val="12"/>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基础参数</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硬件要求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6U机架式48盘位网络存储设备</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≥2个HDMI，2个VGA，双异源输出，支持双4K输出</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处理器≥1颗64位多核处理器</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系统内存≥16GB（可扩展至128GB）</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系统盘≥1×240GB SSD（后置）</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 xml:space="preserve">存储接口支持硬盘热插拔 ≥ 48块16TB硬盘，总容量达768TB </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网络接口≥4个2.5G数据网口，1个千兆管理口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其他接口≥1×COM，2×USB2.0（前置），2×USB3.0（后置），1×VGA（前置），1×HDMI（后置）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性能要求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视频性能：最大支持接入1024路（最大接入带宽2048Mbps）</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图片性能：最大支持200张/S（单张图片300KB）</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回放性能：最大支持100路2Mbps</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事件录像：最大支持200路2Mbps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restart"/>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b/>
                <w:bCs/>
                <w:highlight w:val="none"/>
              </w:rPr>
              <w:t>需提供资质资料</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3C、公安部委托型式检验报告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国家版权局颁发的系统软件著作权登记证书</w:t>
            </w:r>
          </w:p>
        </w:tc>
      </w:tr>
    </w:tbl>
    <w:p>
      <w:pPr>
        <w:widowControl/>
        <w:spacing w:line="240" w:lineRule="auto"/>
        <w:ind w:left="0" w:right="0" w:firstLine="0" w:firstLineChars="0"/>
        <w:textAlignment w:val="auto"/>
        <w:rPr>
          <w:rFonts w:hint="eastAsia" w:ascii="宋体" w:hAnsi="宋体"/>
          <w:highlight w:val="none"/>
        </w:rPr>
      </w:pPr>
    </w:p>
    <w:p>
      <w:pPr>
        <w:pStyle w:val="6"/>
        <w:rPr>
          <w:rFonts w:hint="eastAsia" w:ascii="宋体" w:hAnsi="宋体"/>
          <w:highlight w:val="none"/>
        </w:rPr>
      </w:pPr>
      <w:r>
        <w:rPr>
          <w:rFonts w:hint="eastAsia" w:ascii="宋体" w:hAnsi="宋体"/>
          <w:highlight w:val="none"/>
        </w:rPr>
        <w:t>5.3.2.9服务器</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7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5000" w:type="pct"/>
            <w:gridSpan w:val="2"/>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基础要求：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733" w:type="pct"/>
            <w:tcBorders>
              <w:top w:val="single" w:color="auto" w:sz="4" w:space="0"/>
              <w:left w:val="single" w:color="auto" w:sz="4" w:space="0"/>
              <w:right w:val="single" w:color="auto" w:sz="4"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处理器</w:t>
            </w:r>
          </w:p>
        </w:tc>
        <w:tc>
          <w:tcPr>
            <w:tcW w:w="4267" w:type="pct"/>
            <w:tcBorders>
              <w:top w:val="single" w:color="auto" w:sz="4" w:space="0"/>
              <w:left w:val="single" w:color="auto" w:sz="4" w:space="0"/>
              <w:right w:val="single" w:color="auto" w:sz="4"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不少于2颗 C86架构HYGON 3350处理器，单处理器物理核心数≥8核，主频≥3.0 GHz，末级缓存容量≥16 MB，线程数≥16线程，热设计功耗≥90 W，支持内存的最高速率≥3200 MHz，通道数≥2，位宽≥64；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733" w:type="pct"/>
            <w:tcBorders>
              <w:top w:val="single" w:color="auto" w:sz="4" w:space="0"/>
              <w:left w:val="single" w:color="auto" w:sz="4" w:space="0"/>
              <w:right w:val="single" w:color="auto" w:sz="4"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内存</w:t>
            </w:r>
          </w:p>
        </w:tc>
        <w:tc>
          <w:tcPr>
            <w:tcW w:w="4267" w:type="pct"/>
            <w:tcBorders>
              <w:top w:val="single" w:color="auto" w:sz="4" w:space="0"/>
              <w:left w:val="single" w:color="auto" w:sz="4" w:space="0"/>
              <w:right w:val="single" w:color="auto" w:sz="4"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≥128G DDR4，8根内存插槽，最大可支持扩展至1TB；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pct"/>
            <w:tcBorders>
              <w:top w:val="single" w:color="auto" w:sz="4" w:space="0"/>
              <w:left w:val="single" w:color="auto" w:sz="4" w:space="0"/>
              <w:right w:val="single" w:color="auto" w:sz="4"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硬盘</w:t>
            </w:r>
          </w:p>
        </w:tc>
        <w:tc>
          <w:tcPr>
            <w:tcW w:w="4267" w:type="pct"/>
            <w:tcBorders>
              <w:top w:val="single" w:color="auto" w:sz="4" w:space="0"/>
              <w:left w:val="single" w:color="auto" w:sz="4" w:space="0"/>
              <w:right w:val="single" w:color="auto" w:sz="4"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≥2块600G 10K SAS HDD硬盘，前置最大可选支持12块3.5寸(兼容2.5寸)热插拔SATA/SAS硬盘，后置最大可选支持2块2.5寸热插拔SATA/SAS硬盘，内置最大可选支持2块2.5寸非热插拔SATA SSD硬盘，板载最大可选支持1个SATA M.2硬盘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33" w:type="pct"/>
            <w:tcBorders>
              <w:top w:val="single" w:color="auto" w:sz="4" w:space="0"/>
              <w:left w:val="single" w:color="auto" w:sz="4" w:space="0"/>
              <w:right w:val="single" w:color="auto" w:sz="4"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PCIE扩展</w:t>
            </w:r>
          </w:p>
        </w:tc>
        <w:tc>
          <w:tcPr>
            <w:tcW w:w="4267" w:type="pct"/>
            <w:tcBorders>
              <w:top w:val="single" w:color="auto" w:sz="4" w:space="0"/>
              <w:left w:val="single" w:color="auto" w:sz="4" w:space="0"/>
              <w:right w:val="single" w:color="auto" w:sz="4"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≥4个标准PCIE插槽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733" w:type="pct"/>
            <w:tcBorders>
              <w:top w:val="single" w:color="auto" w:sz="4" w:space="0"/>
              <w:left w:val="single" w:color="auto" w:sz="4" w:space="0"/>
              <w:right w:val="single" w:color="auto" w:sz="4"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网口</w:t>
            </w:r>
          </w:p>
        </w:tc>
        <w:tc>
          <w:tcPr>
            <w:tcW w:w="4267" w:type="pct"/>
            <w:tcBorders>
              <w:top w:val="single" w:color="auto" w:sz="4" w:space="0"/>
              <w:left w:val="single" w:color="auto" w:sz="4" w:space="0"/>
              <w:right w:val="single" w:color="auto" w:sz="4"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≥2个千兆电口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33" w:type="pct"/>
            <w:tcBorders>
              <w:top w:val="single" w:color="auto" w:sz="4" w:space="0"/>
              <w:left w:val="single" w:color="auto" w:sz="4" w:space="0"/>
              <w:right w:val="single" w:color="auto" w:sz="4"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其他接口</w:t>
            </w:r>
          </w:p>
        </w:tc>
        <w:tc>
          <w:tcPr>
            <w:tcW w:w="4267" w:type="pct"/>
            <w:tcBorders>
              <w:top w:val="single" w:color="auto" w:sz="4" w:space="0"/>
              <w:left w:val="single" w:color="auto" w:sz="4" w:space="0"/>
              <w:right w:val="single" w:color="auto" w:sz="4"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 xml:space="preserve">≥1个IPMI RJ-45管理接口；7个USB 3.0接口；2个VGA接口 </w:t>
            </w:r>
          </w:p>
        </w:tc>
      </w:tr>
    </w:tbl>
    <w:p>
      <w:pPr>
        <w:pStyle w:val="16"/>
        <w:rPr>
          <w:rFonts w:hint="eastAsia" w:ascii="宋体" w:hAnsi="宋体"/>
          <w:highlight w:val="none"/>
        </w:rPr>
      </w:pPr>
    </w:p>
    <w:p>
      <w:pPr>
        <w:pStyle w:val="6"/>
        <w:rPr>
          <w:rFonts w:hint="eastAsia" w:ascii="宋体" w:hAnsi="宋体"/>
          <w:highlight w:val="none"/>
        </w:rPr>
      </w:pPr>
      <w:r>
        <w:rPr>
          <w:rFonts w:hint="eastAsia" w:ascii="宋体" w:hAnsi="宋体"/>
          <w:highlight w:val="none"/>
        </w:rPr>
        <w:t>5.3.2.10  电线电缆要求</w:t>
      </w:r>
    </w:p>
    <w:p>
      <w:pPr>
        <w:pStyle w:val="16"/>
        <w:numPr>
          <w:ilvl w:val="1"/>
          <w:numId w:val="2"/>
        </w:numPr>
        <w:rPr>
          <w:rFonts w:hint="eastAsia" w:ascii="宋体" w:hAnsi="宋体"/>
          <w:highlight w:val="none"/>
        </w:rPr>
      </w:pPr>
      <w:r>
        <w:rPr>
          <w:rFonts w:hint="eastAsia" w:ascii="宋体" w:hAnsi="宋体"/>
          <w:highlight w:val="none"/>
        </w:rPr>
        <w:t>生产厂家注册资金不低于1000万元，通过ISO9000系列质量体系认证。 </w:t>
      </w:r>
    </w:p>
    <w:p>
      <w:pPr>
        <w:pStyle w:val="16"/>
        <w:numPr>
          <w:ilvl w:val="1"/>
          <w:numId w:val="2"/>
        </w:numPr>
        <w:rPr>
          <w:rFonts w:hint="eastAsia" w:ascii="宋体" w:hAnsi="宋体"/>
          <w:highlight w:val="none"/>
        </w:rPr>
      </w:pPr>
      <w:r>
        <w:rPr>
          <w:rFonts w:hint="eastAsia" w:ascii="宋体" w:hAnsi="宋体"/>
          <w:highlight w:val="none"/>
        </w:rPr>
        <w:t>符合GB/T12706、GB12666等中国国家标准。 </w:t>
      </w:r>
    </w:p>
    <w:p>
      <w:pPr>
        <w:pStyle w:val="16"/>
        <w:numPr>
          <w:ilvl w:val="1"/>
          <w:numId w:val="2"/>
        </w:numPr>
        <w:rPr>
          <w:rFonts w:hint="eastAsia" w:ascii="宋体" w:hAnsi="宋体"/>
          <w:highlight w:val="none"/>
        </w:rPr>
      </w:pPr>
      <w:r>
        <w:rPr>
          <w:rFonts w:hint="eastAsia" w:ascii="宋体" w:hAnsi="宋体"/>
          <w:highlight w:val="none"/>
        </w:rPr>
        <w:t>电线、电缆上必须有厂家名称、生产标准等标识。 </w:t>
      </w:r>
    </w:p>
    <w:p>
      <w:pPr>
        <w:pStyle w:val="16"/>
        <w:numPr>
          <w:ilvl w:val="1"/>
          <w:numId w:val="2"/>
        </w:numPr>
        <w:rPr>
          <w:rFonts w:hint="eastAsia" w:ascii="宋体" w:hAnsi="宋体"/>
          <w:highlight w:val="none"/>
        </w:rPr>
      </w:pPr>
      <w:r>
        <w:rPr>
          <w:rFonts w:hint="eastAsia" w:ascii="宋体" w:hAnsi="宋体"/>
          <w:highlight w:val="none"/>
        </w:rPr>
        <w:t>电线、电缆的生产厂应有主管部门颁发的全国工业产品生产许可证。 </w:t>
      </w:r>
    </w:p>
    <w:p>
      <w:pPr>
        <w:pStyle w:val="16"/>
        <w:numPr>
          <w:ilvl w:val="1"/>
          <w:numId w:val="2"/>
        </w:numPr>
        <w:rPr>
          <w:rFonts w:hint="eastAsia" w:ascii="宋体" w:hAnsi="宋体"/>
          <w:highlight w:val="none"/>
        </w:rPr>
      </w:pPr>
      <w:r>
        <w:rPr>
          <w:rFonts w:hint="eastAsia" w:ascii="宋体" w:hAnsi="宋体"/>
          <w:highlight w:val="none"/>
        </w:rPr>
        <w:t>电线电缆应有国家认可的质量检测机构的检验合格报告和“3C”认证。 </w:t>
      </w:r>
    </w:p>
    <w:p>
      <w:pPr>
        <w:pStyle w:val="16"/>
        <w:numPr>
          <w:ilvl w:val="1"/>
          <w:numId w:val="2"/>
        </w:numPr>
        <w:rPr>
          <w:rFonts w:hint="eastAsia" w:ascii="宋体" w:hAnsi="宋体"/>
          <w:highlight w:val="none"/>
        </w:rPr>
      </w:pPr>
      <w:r>
        <w:rPr>
          <w:rFonts w:hint="eastAsia" w:ascii="宋体" w:hAnsi="宋体"/>
          <w:highlight w:val="none"/>
        </w:rPr>
        <w:t>阻燃、耐火电缆应通过国家级相关质量监督检验机构的型式认可检验。 </w:t>
      </w:r>
    </w:p>
    <w:p>
      <w:pPr>
        <w:pStyle w:val="16"/>
        <w:rPr>
          <w:rFonts w:hint="eastAsia" w:ascii="宋体" w:hAnsi="宋体"/>
          <w:highlight w:val="none"/>
        </w:rPr>
      </w:pPr>
    </w:p>
    <w:p>
      <w:pPr>
        <w:pStyle w:val="5"/>
        <w:ind w:left="360" w:firstLine="0" w:firstLineChars="0"/>
        <w:rPr>
          <w:rFonts w:hint="eastAsia" w:ascii="宋体" w:hAnsi="宋体"/>
          <w:b/>
          <w:bCs/>
          <w:highlight w:val="none"/>
        </w:rPr>
      </w:pPr>
      <w:r>
        <w:rPr>
          <w:rFonts w:hint="eastAsia" w:ascii="宋体" w:hAnsi="宋体" w:eastAsia="宋体"/>
          <w:b/>
          <w:bCs/>
          <w:color w:val="auto"/>
          <w:sz w:val="24"/>
          <w:szCs w:val="24"/>
          <w:highlight w:val="none"/>
        </w:rPr>
        <w:t>5.4 网络安全要求</w:t>
      </w:r>
    </w:p>
    <w:p>
      <w:pPr>
        <w:rPr>
          <w:rFonts w:hint="eastAsia" w:ascii="宋体" w:hAnsi="宋体"/>
          <w:highlight w:val="none"/>
        </w:rPr>
      </w:pPr>
      <w:r>
        <w:rPr>
          <w:rFonts w:hint="eastAsia" w:ascii="宋体" w:hAnsi="宋体"/>
          <w:highlight w:val="none"/>
        </w:rPr>
        <w:t>遵守国家《网络安全法》及国家发改委2024年第27号令《电力监控系统安全防护规定》、国家能源局（国能发安全〔2024〕90号）《</w:t>
      </w:r>
      <w:r>
        <w:rPr>
          <w:rFonts w:ascii="宋体" w:hAnsi="宋体"/>
          <w:highlight w:val="none"/>
        </w:rPr>
        <w:t>国家能源局关于加强电力安全治理 以高水平安全保障新型电力系统高质量发展的意见</w:t>
      </w:r>
      <w:r>
        <w:rPr>
          <w:rFonts w:hint="eastAsia" w:ascii="宋体" w:hAnsi="宋体"/>
          <w:highlight w:val="none"/>
        </w:rPr>
        <w:t>》，（国能综通〔2025〕39号）《</w:t>
      </w:r>
      <w:r>
        <w:rPr>
          <w:rFonts w:ascii="宋体" w:hAnsi="宋体"/>
          <w:highlight w:val="none"/>
        </w:rPr>
        <w:t>国家能源局综合司关于开展电力安全治理体系建设专项行动的通知</w:t>
      </w:r>
      <w:r>
        <w:rPr>
          <w:rFonts w:hint="eastAsia" w:ascii="宋体" w:hAnsi="宋体"/>
          <w:highlight w:val="none"/>
        </w:rPr>
        <w:t>》、国家电力监管委员会（2024年第27号令）《</w:t>
      </w:r>
      <w:r>
        <w:rPr>
          <w:rFonts w:ascii="宋体" w:hAnsi="宋体"/>
          <w:highlight w:val="none"/>
        </w:rPr>
        <w:t>电力监控系统安全防护规定</w:t>
      </w:r>
      <w:r>
        <w:rPr>
          <w:rFonts w:hint="eastAsia" w:ascii="宋体" w:hAnsi="宋体"/>
          <w:highlight w:val="none"/>
        </w:rPr>
        <w:t>》、公安部2025年5月13日发布的《</w:t>
      </w:r>
      <w:r>
        <w:rPr>
          <w:rFonts w:ascii="宋体" w:hAnsi="宋体"/>
          <w:highlight w:val="none"/>
        </w:rPr>
        <w:t>信息安全等级保护管理办法</w:t>
      </w:r>
      <w:r>
        <w:rPr>
          <w:rFonts w:hint="eastAsia" w:ascii="宋体" w:hAnsi="宋体"/>
          <w:highlight w:val="none"/>
        </w:rPr>
        <w:t>》等多项文件或规定。</w:t>
      </w:r>
    </w:p>
    <w:p>
      <w:pPr>
        <w:ind w:left="360" w:firstLine="480" w:firstLineChars="0"/>
        <w:rPr>
          <w:rFonts w:hint="eastAsia" w:ascii="宋体" w:hAnsi="宋体"/>
          <w:b/>
          <w:bCs/>
          <w:highlight w:val="none"/>
        </w:rPr>
      </w:pPr>
      <w:r>
        <w:rPr>
          <w:rFonts w:hint="eastAsia" w:ascii="宋体" w:hAnsi="宋体"/>
          <w:highlight w:val="none"/>
        </w:rPr>
        <w:t>本次所有摄像机接入招标人原有三区视频监控网络系统，网络安全按原要求执行。</w:t>
      </w:r>
    </w:p>
    <w:p>
      <w:pPr>
        <w:pStyle w:val="16"/>
        <w:rPr>
          <w:rFonts w:hint="eastAsia" w:ascii="宋体" w:hAnsi="宋体"/>
          <w:highlight w:val="none"/>
        </w:rPr>
      </w:pPr>
    </w:p>
    <w:p>
      <w:pPr>
        <w:pStyle w:val="3"/>
        <w:spacing w:before="300" w:after="300"/>
        <w:ind w:left="0" w:right="0" w:firstLine="602" w:firstLineChars="0"/>
        <w:jc w:val="both"/>
        <w:textAlignment w:val="auto"/>
        <w:rPr>
          <w:rFonts w:hint="eastAsia" w:ascii="宋体" w:hAnsi="宋体"/>
          <w:b/>
          <w:bCs/>
          <w:sz w:val="30"/>
          <w:szCs w:val="30"/>
          <w:highlight w:val="none"/>
        </w:rPr>
      </w:pPr>
      <w:bookmarkStart w:id="54" w:name="_Toc60567002"/>
      <w:bookmarkStart w:id="55" w:name="_Toc496269570"/>
      <w:bookmarkStart w:id="56" w:name="_Toc18813691"/>
      <w:bookmarkStart w:id="57" w:name="_Toc492697268"/>
      <w:bookmarkStart w:id="58" w:name="_Toc96238081"/>
      <w:r>
        <w:rPr>
          <w:rFonts w:hint="eastAsia" w:ascii="宋体" w:hAnsi="宋体" w:eastAsia="宋体"/>
          <w:b/>
          <w:bCs/>
          <w:color w:val="auto"/>
          <w:sz w:val="30"/>
          <w:szCs w:val="30"/>
          <w:highlight w:val="none"/>
        </w:rPr>
        <w:t>附件2 供货范围</w:t>
      </w:r>
      <w:bookmarkEnd w:id="54"/>
      <w:bookmarkEnd w:id="55"/>
      <w:bookmarkEnd w:id="56"/>
      <w:bookmarkEnd w:id="57"/>
      <w:bookmarkEnd w:id="58"/>
    </w:p>
    <w:p>
      <w:pPr>
        <w:rPr>
          <w:rFonts w:hint="eastAsia" w:ascii="宋体" w:hAnsi="宋体"/>
          <w:highlight w:val="none"/>
        </w:rPr>
      </w:pPr>
      <w:bookmarkStart w:id="59" w:name="_Toc170462606"/>
      <w:bookmarkStart w:id="60" w:name="_Toc96238082"/>
      <w:bookmarkStart w:id="61" w:name="_Toc170270580"/>
      <w:r>
        <w:rPr>
          <w:rFonts w:hint="eastAsia" w:ascii="宋体" w:hAnsi="宋体"/>
          <w:highlight w:val="none"/>
        </w:rPr>
        <w:t>1 一般要求</w:t>
      </w:r>
      <w:bookmarkEnd w:id="59"/>
      <w:bookmarkEnd w:id="60"/>
      <w:bookmarkEnd w:id="61"/>
    </w:p>
    <w:p>
      <w:pPr>
        <w:rPr>
          <w:rFonts w:hint="eastAsia" w:ascii="宋体" w:hAnsi="宋体"/>
          <w:highlight w:val="none"/>
        </w:rPr>
      </w:pPr>
      <w:bookmarkStart w:id="62" w:name="_Toc470861328"/>
      <w:r>
        <w:rPr>
          <w:rFonts w:hint="eastAsia" w:ascii="宋体" w:hAnsi="宋体"/>
          <w:highlight w:val="none"/>
        </w:rPr>
        <w:t>1.1 本章节规定了合同设备的供货范围，投标人保证提供的设备为全新的、先进的、成熟的、完整的和安全可靠的，且设备的技术经济性能符合本技术规范书的要求。</w:t>
      </w:r>
      <w:bookmarkEnd w:id="62"/>
      <w:bookmarkStart w:id="63" w:name="_Toc470861329"/>
      <w:r>
        <w:rPr>
          <w:rFonts w:hint="eastAsia" w:ascii="宋体" w:hAnsi="宋体"/>
          <w:highlight w:val="none"/>
        </w:rPr>
        <w:t>投标人所提供设备的质量与服务必须得到原厂商的切实支持，提供原厂家供货证明，设备最终用户文件原件作为验收依据。</w:t>
      </w:r>
      <w:bookmarkEnd w:id="63"/>
      <w:r>
        <w:rPr>
          <w:rFonts w:hint="eastAsia" w:ascii="宋体" w:hAnsi="宋体"/>
          <w:highlight w:val="none"/>
        </w:rPr>
        <w:t>所供设备原厂质保三年和软件五年免费升级。</w:t>
      </w:r>
    </w:p>
    <w:p>
      <w:pPr>
        <w:rPr>
          <w:rFonts w:hint="eastAsia" w:ascii="宋体" w:hAnsi="宋体"/>
          <w:highlight w:val="none"/>
        </w:rPr>
      </w:pPr>
      <w:bookmarkStart w:id="64" w:name="_Toc470861330"/>
      <w:r>
        <w:rPr>
          <w:rFonts w:hint="eastAsia" w:ascii="宋体" w:hAnsi="宋体"/>
          <w:highlight w:val="none"/>
        </w:rPr>
        <w:t>1.2 投标人提供详细供货清单，清单中依此说明型号、数量、产地、生产厂家等内容。对于属于整套设备运行和实施所必需的部件，即使本合同附件未列出和/或数目不足，投标人仍须在执行的同时补足。</w:t>
      </w:r>
      <w:bookmarkEnd w:id="64"/>
    </w:p>
    <w:p>
      <w:pPr>
        <w:rPr>
          <w:rFonts w:hint="eastAsia" w:ascii="宋体" w:hAnsi="宋体"/>
          <w:highlight w:val="none"/>
        </w:rPr>
      </w:pPr>
      <w:bookmarkStart w:id="65" w:name="_Toc470861331"/>
      <w:r>
        <w:rPr>
          <w:rFonts w:hint="eastAsia" w:ascii="宋体" w:hAnsi="宋体"/>
          <w:highlight w:val="none"/>
        </w:rPr>
        <w:t>1.3 所有项目调试、投入正常运行所必须的各类附件及材料均包含在总价中。除有特别注明外，所列数量均为本次要用设备数量，在实施过程中招标人根据实际情况对设备数量进行增减。</w:t>
      </w:r>
      <w:bookmarkEnd w:id="65"/>
    </w:p>
    <w:p>
      <w:pPr>
        <w:rPr>
          <w:rFonts w:hint="eastAsia" w:ascii="宋体" w:hAnsi="宋体"/>
          <w:highlight w:val="none"/>
        </w:rPr>
      </w:pPr>
      <w:bookmarkStart w:id="66" w:name="_Toc470861332"/>
      <w:r>
        <w:rPr>
          <w:rFonts w:hint="eastAsia" w:ascii="宋体" w:hAnsi="宋体"/>
          <w:highlight w:val="none"/>
        </w:rPr>
        <w:t>1.4 提供运行所需备品备件，并在合同中给出具体清单。</w:t>
      </w:r>
      <w:bookmarkEnd w:id="66"/>
    </w:p>
    <w:p>
      <w:pPr>
        <w:rPr>
          <w:rFonts w:hint="eastAsia" w:ascii="宋体" w:hAnsi="宋体"/>
          <w:highlight w:val="none"/>
        </w:rPr>
      </w:pPr>
      <w:bookmarkStart w:id="67" w:name="_Toc470861333"/>
      <w:r>
        <w:rPr>
          <w:rFonts w:hint="eastAsia" w:ascii="宋体" w:hAnsi="宋体"/>
          <w:highlight w:val="none"/>
        </w:rPr>
        <w:t>1.5 投标人应列出各设备详细清单，并注明设备产地。</w:t>
      </w:r>
      <w:bookmarkEnd w:id="67"/>
    </w:p>
    <w:p>
      <w:pPr>
        <w:rPr>
          <w:rFonts w:hint="eastAsia" w:ascii="宋体" w:hAnsi="宋体"/>
          <w:highlight w:val="none"/>
        </w:rPr>
      </w:pPr>
      <w:bookmarkStart w:id="68" w:name="_Toc470861334"/>
      <w:r>
        <w:rPr>
          <w:rFonts w:hint="eastAsia" w:ascii="宋体" w:hAnsi="宋体"/>
          <w:highlight w:val="none"/>
        </w:rPr>
        <w:t>1.6 投标人必须对所供设备出示相应的原厂证明资料，保证相应设备为所注品牌的原厂生产。</w:t>
      </w:r>
      <w:bookmarkEnd w:id="68"/>
    </w:p>
    <w:p>
      <w:pPr>
        <w:rPr>
          <w:rFonts w:hint="eastAsia" w:ascii="宋体" w:hAnsi="宋体"/>
          <w:highlight w:val="none"/>
        </w:rPr>
      </w:pPr>
      <w:bookmarkStart w:id="69" w:name="_Toc470861335"/>
      <w:r>
        <w:rPr>
          <w:rFonts w:hint="eastAsia" w:ascii="宋体" w:hAnsi="宋体"/>
          <w:highlight w:val="none"/>
        </w:rPr>
        <w:t>1.7 设备不仅限于下表所列，投标人应根据技术要求确定实际设备。</w:t>
      </w:r>
      <w:bookmarkEnd w:id="69"/>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r>
        <w:rPr>
          <w:rFonts w:hint="eastAsia" w:ascii="宋体" w:hAnsi="宋体"/>
          <w:highlight w:val="none"/>
        </w:rPr>
        <w:t>2 硬件供货清单</w:t>
      </w:r>
    </w:p>
    <w:tbl>
      <w:tblPr>
        <w:tblStyle w:val="12"/>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843"/>
        <w:gridCol w:w="2126"/>
        <w:gridCol w:w="709"/>
        <w:gridCol w:w="709"/>
        <w:gridCol w:w="1417"/>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04"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序号</w:t>
            </w:r>
          </w:p>
        </w:tc>
        <w:tc>
          <w:tcPr>
            <w:tcW w:w="1843"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产品名称</w:t>
            </w:r>
          </w:p>
        </w:tc>
        <w:tc>
          <w:tcPr>
            <w:tcW w:w="2126" w:type="dxa"/>
            <w:shd w:val="clear" w:color="000000"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主要技术要求</w:t>
            </w:r>
          </w:p>
        </w:tc>
        <w:tc>
          <w:tcPr>
            <w:tcW w:w="709"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单位</w:t>
            </w:r>
          </w:p>
        </w:tc>
        <w:tc>
          <w:tcPr>
            <w:tcW w:w="709"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数量</w:t>
            </w:r>
          </w:p>
        </w:tc>
        <w:tc>
          <w:tcPr>
            <w:tcW w:w="1417"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推荐品牌</w:t>
            </w:r>
          </w:p>
        </w:tc>
        <w:tc>
          <w:tcPr>
            <w:tcW w:w="1559"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智能球型摄像机</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315</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海康、大华、</w:t>
            </w:r>
            <w:r>
              <w:rPr>
                <w:rFonts w:hint="eastAsia" w:ascii="宋体" w:hAnsi="宋体"/>
                <w:highlight w:val="none"/>
                <w:lang w:val="en-US" w:eastAsia="zh-CN"/>
              </w:rPr>
              <w:t>宇视</w:t>
            </w:r>
            <w:r>
              <w:rPr>
                <w:rFonts w:hint="eastAsia" w:ascii="宋体" w:hAnsi="宋体"/>
                <w:highlight w:val="none"/>
              </w:rPr>
              <w:t>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微距表计摄像机</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80</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海康、大华、</w:t>
            </w:r>
            <w:r>
              <w:rPr>
                <w:rFonts w:hint="eastAsia" w:ascii="宋体" w:hAnsi="宋体"/>
                <w:highlight w:val="none"/>
                <w:lang w:eastAsia="zh-CN"/>
              </w:rPr>
              <w:t>宇视</w:t>
            </w:r>
            <w:r>
              <w:rPr>
                <w:rFonts w:hint="eastAsia" w:ascii="宋体" w:hAnsi="宋体"/>
                <w:highlight w:val="none"/>
              </w:rPr>
              <w:t>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卡片式测温热像仪</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海康、大华、</w:t>
            </w:r>
            <w:r>
              <w:rPr>
                <w:rFonts w:hint="eastAsia" w:ascii="宋体" w:hAnsi="宋体"/>
                <w:highlight w:val="none"/>
                <w:lang w:eastAsia="zh-CN"/>
              </w:rPr>
              <w:t>宇视</w:t>
            </w:r>
            <w:r>
              <w:rPr>
                <w:rFonts w:hint="eastAsia" w:ascii="宋体" w:hAnsi="宋体"/>
                <w:highlight w:val="none"/>
              </w:rPr>
              <w:t>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4</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表计巡检超脑</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lang w:eastAsia="zh-CN"/>
              </w:rPr>
              <w:t>海康、大华、宇视</w:t>
            </w:r>
            <w:r>
              <w:rPr>
                <w:rFonts w:hint="eastAsia" w:ascii="宋体" w:hAnsi="宋体"/>
                <w:highlight w:val="none"/>
              </w:rPr>
              <w:t>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5</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行为巡检超脑</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lang w:eastAsia="zh-CN"/>
              </w:rPr>
              <w:t>海康、大华、宇视</w:t>
            </w:r>
            <w:r>
              <w:rPr>
                <w:rFonts w:hint="eastAsia" w:ascii="宋体" w:hAnsi="宋体"/>
                <w:highlight w:val="none"/>
              </w:rPr>
              <w:t>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6</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中心存储</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详见参数要求部分，含</w:t>
            </w:r>
            <w:r>
              <w:rPr>
                <w:rFonts w:hint="eastAsia" w:ascii="宋体" w:hAnsi="宋体"/>
                <w:highlight w:val="none"/>
                <w:lang w:val="en-US" w:eastAsia="zh-CN"/>
              </w:rPr>
              <w:t>16</w:t>
            </w:r>
            <w:r>
              <w:rPr>
                <w:rFonts w:hint="eastAsia" w:ascii="宋体" w:hAnsi="宋体"/>
                <w:highlight w:val="none"/>
              </w:rPr>
              <w:t>T企业级硬盘</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highlight w:val="none"/>
                <w:lang w:eastAsia="zh-CN"/>
              </w:rPr>
            </w:pPr>
            <w:r>
              <w:rPr>
                <w:rFonts w:hint="eastAsia" w:ascii="宋体" w:hAnsi="宋体"/>
                <w:highlight w:val="none"/>
                <w:lang w:val="en-US" w:eastAsia="zh-CN"/>
              </w:rPr>
              <w:t>2</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lang w:eastAsia="zh-CN"/>
              </w:rPr>
              <w:t>海康、大华、宇视</w:t>
            </w:r>
            <w:r>
              <w:rPr>
                <w:rFonts w:hint="eastAsia" w:ascii="宋体" w:hAnsi="宋体"/>
                <w:highlight w:val="none"/>
              </w:rPr>
              <w:t>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原有存储扩容、新增摄像机最大像素存储不少于90天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7</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机柜</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42U标准服务器机柜</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highlight w:val="none"/>
                <w:lang w:eastAsia="zh-CN"/>
              </w:rPr>
            </w:pPr>
            <w:r>
              <w:rPr>
                <w:rFonts w:hint="eastAsia" w:ascii="宋体" w:hAnsi="宋体"/>
                <w:highlight w:val="none"/>
                <w:lang w:val="en-US" w:eastAsia="zh-CN"/>
              </w:rPr>
              <w:t>2</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图腾、威图或相当于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8</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服务器</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华为、联想、华三或相当于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bookmarkStart w:id="70" w:name="_Hlk190431713"/>
            <w:r>
              <w:rPr>
                <w:rFonts w:hint="eastAsia" w:ascii="宋体" w:hAnsi="宋体"/>
                <w:highlight w:val="none"/>
              </w:rPr>
              <w:t>一台为智能驾驶舱平台、一台为主平台</w:t>
            </w:r>
            <w:bookmarkEnd w:id="7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9</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8口交换机</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74</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华为、光路、华三或相当于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10</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24口8光电复用交换机</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华为、华三或相当于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11</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就地箱、立杆</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采用316不锈钢，需满足设备使用环境防腐要求</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批</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国产优质</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现场实施情况优化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12</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网线、电源线</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配套用网线、电源线</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项</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国产优质</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满足现场防腐蚀要求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704"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13</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管材</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配套用管</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项</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w:t>
            </w:r>
          </w:p>
        </w:tc>
        <w:tc>
          <w:tcPr>
            <w:tcW w:w="1417"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国产优质</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满足现场防腐要求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704"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14</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设计、安装调试</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满足海事局出海要求、负责整套</w:t>
            </w:r>
            <w:r>
              <w:rPr>
                <w:rFonts w:hint="eastAsia" w:ascii="宋体" w:hAnsi="宋体"/>
                <w:highlight w:val="none"/>
                <w:lang w:val="en-US" w:eastAsia="zh-CN"/>
              </w:rPr>
              <w:t>系统</w:t>
            </w:r>
            <w:r>
              <w:rPr>
                <w:rFonts w:hint="eastAsia" w:ascii="宋体" w:hAnsi="宋体"/>
                <w:highlight w:val="none"/>
              </w:rPr>
              <w:t>的安装、埋管，电缆敷设、防火封堵及调试工作并提供相关的连接线缆及附件（船用）</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项</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w:t>
            </w:r>
          </w:p>
        </w:tc>
        <w:tc>
          <w:tcPr>
            <w:tcW w:w="1417"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国产优质</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满足现场要求</w:t>
            </w:r>
          </w:p>
        </w:tc>
      </w:tr>
    </w:tbl>
    <w:p>
      <w:pPr>
        <w:rPr>
          <w:rFonts w:hint="eastAsia" w:ascii="宋体" w:hAnsi="宋体"/>
          <w:highlight w:val="none"/>
        </w:rPr>
      </w:pPr>
    </w:p>
    <w:p>
      <w:pPr>
        <w:widowControl/>
        <w:spacing w:line="240" w:lineRule="auto"/>
        <w:ind w:left="0" w:right="0" w:firstLine="0" w:firstLineChars="0"/>
        <w:textAlignment w:val="auto"/>
        <w:rPr>
          <w:rFonts w:hint="eastAsia" w:ascii="宋体" w:hAnsi="宋体"/>
          <w:highlight w:val="none"/>
        </w:rPr>
      </w:pPr>
      <w:r>
        <w:rPr>
          <w:rFonts w:ascii="宋体" w:hAnsi="宋体"/>
          <w:highlight w:val="none"/>
        </w:rPr>
        <w:br w:type="page"/>
      </w:r>
    </w:p>
    <w:p>
      <w:pPr>
        <w:rPr>
          <w:rFonts w:hint="eastAsia" w:ascii="宋体" w:hAnsi="宋体"/>
          <w:highlight w:val="none"/>
        </w:rPr>
      </w:pPr>
      <w:r>
        <w:rPr>
          <w:rFonts w:hint="eastAsia" w:ascii="宋体" w:hAnsi="宋体"/>
          <w:highlight w:val="none"/>
        </w:rPr>
        <w:t>3 软件供货清单</w:t>
      </w:r>
    </w:p>
    <w:tbl>
      <w:tblPr>
        <w:tblStyle w:val="12"/>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2458"/>
        <w:gridCol w:w="1984"/>
        <w:gridCol w:w="709"/>
        <w:gridCol w:w="709"/>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序号</w:t>
            </w:r>
          </w:p>
        </w:tc>
        <w:tc>
          <w:tcPr>
            <w:tcW w:w="2458"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产品名称</w:t>
            </w:r>
          </w:p>
        </w:tc>
        <w:tc>
          <w:tcPr>
            <w:tcW w:w="1984" w:type="dxa"/>
            <w:shd w:val="clear" w:color="000000"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主要技术要求</w:t>
            </w:r>
          </w:p>
        </w:tc>
        <w:tc>
          <w:tcPr>
            <w:tcW w:w="709"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单位</w:t>
            </w:r>
          </w:p>
        </w:tc>
        <w:tc>
          <w:tcPr>
            <w:tcW w:w="709"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数量</w:t>
            </w:r>
          </w:p>
        </w:tc>
        <w:tc>
          <w:tcPr>
            <w:tcW w:w="2551"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w:t>
            </w:r>
          </w:p>
        </w:tc>
        <w:tc>
          <w:tcPr>
            <w:tcW w:w="2458"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智能驾驶舱平台</w:t>
            </w:r>
          </w:p>
        </w:tc>
        <w:tc>
          <w:tcPr>
            <w:tcW w:w="1984"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套</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highlight w:val="none"/>
              </w:rPr>
            </w:pPr>
            <w:r>
              <w:rPr>
                <w:rFonts w:hint="eastAsia" w:ascii="宋体" w:hAnsi="宋体"/>
                <w:highlight w:val="none"/>
              </w:rPr>
              <w:t>1</w:t>
            </w:r>
          </w:p>
        </w:tc>
        <w:tc>
          <w:tcPr>
            <w:tcW w:w="2551"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w:t>
            </w:r>
          </w:p>
        </w:tc>
        <w:tc>
          <w:tcPr>
            <w:tcW w:w="2458"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远程巡检</w:t>
            </w:r>
          </w:p>
        </w:tc>
        <w:tc>
          <w:tcPr>
            <w:tcW w:w="1984"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套</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highlight w:val="none"/>
              </w:rPr>
            </w:pPr>
            <w:r>
              <w:rPr>
                <w:rFonts w:hint="eastAsia" w:ascii="宋体" w:hAnsi="宋体"/>
                <w:highlight w:val="none"/>
              </w:rPr>
              <w:t>1</w:t>
            </w:r>
          </w:p>
        </w:tc>
        <w:tc>
          <w:tcPr>
            <w:tcW w:w="2551"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w:t>
            </w:r>
          </w:p>
        </w:tc>
        <w:tc>
          <w:tcPr>
            <w:tcW w:w="2458"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表计识别</w:t>
            </w:r>
          </w:p>
        </w:tc>
        <w:tc>
          <w:tcPr>
            <w:tcW w:w="1984"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套</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highlight w:val="none"/>
              </w:rPr>
            </w:pPr>
            <w:r>
              <w:rPr>
                <w:rFonts w:hint="eastAsia" w:ascii="宋体" w:hAnsi="宋体"/>
                <w:highlight w:val="none"/>
              </w:rPr>
              <w:t>1</w:t>
            </w:r>
          </w:p>
        </w:tc>
        <w:tc>
          <w:tcPr>
            <w:tcW w:w="2551"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4</w:t>
            </w:r>
          </w:p>
        </w:tc>
        <w:tc>
          <w:tcPr>
            <w:tcW w:w="2458"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违章行为识别</w:t>
            </w:r>
          </w:p>
        </w:tc>
        <w:tc>
          <w:tcPr>
            <w:tcW w:w="1984"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套</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highlight w:val="none"/>
              </w:rPr>
            </w:pPr>
            <w:r>
              <w:rPr>
                <w:rFonts w:hint="eastAsia" w:ascii="宋体" w:hAnsi="宋体"/>
                <w:highlight w:val="none"/>
              </w:rPr>
              <w:t>1</w:t>
            </w:r>
          </w:p>
        </w:tc>
        <w:tc>
          <w:tcPr>
            <w:tcW w:w="2551"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5</w:t>
            </w:r>
          </w:p>
        </w:tc>
        <w:tc>
          <w:tcPr>
            <w:tcW w:w="2458"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视频监控</w:t>
            </w:r>
          </w:p>
        </w:tc>
        <w:tc>
          <w:tcPr>
            <w:tcW w:w="1984"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套</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highlight w:val="none"/>
              </w:rPr>
            </w:pPr>
            <w:r>
              <w:rPr>
                <w:rFonts w:hint="eastAsia" w:ascii="宋体" w:hAnsi="宋体"/>
                <w:highlight w:val="none"/>
              </w:rPr>
              <w:t>1</w:t>
            </w:r>
          </w:p>
        </w:tc>
        <w:tc>
          <w:tcPr>
            <w:tcW w:w="2551"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新增500路监控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6</w:t>
            </w:r>
          </w:p>
        </w:tc>
        <w:tc>
          <w:tcPr>
            <w:tcW w:w="2458"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lang w:val="en-US" w:eastAsia="zh-CN"/>
              </w:rPr>
              <w:t>招标人原有视频监控</w:t>
            </w:r>
            <w:r>
              <w:rPr>
                <w:rFonts w:hint="eastAsia" w:ascii="宋体" w:hAnsi="宋体"/>
                <w:highlight w:val="none"/>
              </w:rPr>
              <w:t>管理应用平台升级改造</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highlight w:val="none"/>
              </w:rPr>
            </w:pPr>
            <w:r>
              <w:rPr>
                <w:rFonts w:hint="eastAsia" w:ascii="宋体" w:hAnsi="宋体"/>
                <w:highlight w:val="none"/>
              </w:rPr>
              <w:t>1</w:t>
            </w:r>
          </w:p>
        </w:tc>
        <w:tc>
          <w:tcPr>
            <w:tcW w:w="255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lang w:val="en-US" w:eastAsia="zh-CN"/>
              </w:rPr>
              <w:t>7</w:t>
            </w:r>
          </w:p>
        </w:tc>
        <w:tc>
          <w:tcPr>
            <w:tcW w:w="2458"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lang w:val="en-US" w:eastAsia="zh-CN"/>
              </w:rPr>
              <w:t>风场非作业人员入侵识别</w:t>
            </w:r>
            <w:r>
              <w:rPr>
                <w:rFonts w:hint="eastAsia" w:ascii="宋体" w:hAnsi="宋体"/>
                <w:highlight w:val="none"/>
              </w:rPr>
              <w:t>模块</w:t>
            </w:r>
          </w:p>
        </w:tc>
        <w:tc>
          <w:tcPr>
            <w:tcW w:w="1984"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套</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eastAsia="宋体" w:cs="Times New Roman"/>
                <w:kern w:val="2"/>
                <w:sz w:val="24"/>
                <w:szCs w:val="24"/>
                <w:highlight w:val="none"/>
                <w:lang w:val="en-US" w:eastAsia="zh-CN" w:bidi="ar-SA"/>
              </w:rPr>
            </w:pPr>
            <w:r>
              <w:rPr>
                <w:rFonts w:hint="eastAsia" w:ascii="宋体" w:hAnsi="宋体"/>
                <w:highlight w:val="none"/>
              </w:rPr>
              <w:t>1</w:t>
            </w:r>
          </w:p>
        </w:tc>
        <w:tc>
          <w:tcPr>
            <w:tcW w:w="2551"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对接登船识别系统</w:t>
            </w:r>
          </w:p>
        </w:tc>
      </w:tr>
    </w:tbl>
    <w:p>
      <w:pPr>
        <w:rPr>
          <w:rFonts w:hint="eastAsia" w:ascii="宋体" w:hAnsi="宋体"/>
          <w:highlight w:val="none"/>
        </w:rPr>
      </w:pPr>
    </w:p>
    <w:p>
      <w:pPr>
        <w:rPr>
          <w:rFonts w:hint="default" w:ascii="宋体" w:hAnsi="宋体"/>
          <w:highlight w:val="none"/>
        </w:rPr>
      </w:pPr>
      <w:r>
        <w:rPr>
          <w:rFonts w:hint="eastAsia" w:ascii="宋体" w:hAnsi="宋体"/>
          <w:b/>
          <w:bCs/>
          <w:highlight w:val="none"/>
        </w:rPr>
        <w:t>说明：投标人</w:t>
      </w:r>
      <w:r>
        <w:rPr>
          <w:rFonts w:hint="eastAsia" w:ascii="宋体" w:hAnsi="宋体"/>
          <w:b/>
          <w:bCs/>
          <w:highlight w:val="none"/>
          <w:lang w:val="en-US" w:eastAsia="zh-CN"/>
        </w:rPr>
        <w:t>投标时，</w:t>
      </w:r>
      <w:r>
        <w:rPr>
          <w:rFonts w:hint="eastAsia" w:ascii="宋体" w:hAnsi="宋体"/>
          <w:b/>
          <w:bCs/>
          <w:highlight w:val="none"/>
        </w:rPr>
        <w:t>需</w:t>
      </w:r>
      <w:r>
        <w:rPr>
          <w:rFonts w:hint="eastAsia" w:ascii="宋体" w:hAnsi="宋体"/>
          <w:b/>
          <w:bCs/>
          <w:highlight w:val="none"/>
          <w:lang w:val="en-US" w:eastAsia="zh-CN"/>
        </w:rPr>
        <w:t>提交承诺函，确保其提供的视频改造系统能够与招标人现有系统完全兼容</w:t>
      </w:r>
      <w:r>
        <w:rPr>
          <w:rFonts w:hint="eastAsia" w:ascii="宋体" w:hAnsi="宋体"/>
          <w:highlight w:val="none"/>
          <w:lang w:val="en-US" w:eastAsia="zh-CN"/>
        </w:rPr>
        <w:t>。</w:t>
      </w:r>
    </w:p>
    <w:p>
      <w:pPr>
        <w:widowControl/>
        <w:spacing w:line="240" w:lineRule="auto"/>
        <w:ind w:left="0" w:right="0" w:firstLine="0" w:firstLineChars="0"/>
        <w:textAlignment w:val="auto"/>
        <w:rPr>
          <w:rFonts w:hint="eastAsia" w:ascii="宋体" w:hAnsi="宋体"/>
          <w:highlight w:val="none"/>
        </w:rPr>
      </w:pPr>
      <w:r>
        <w:rPr>
          <w:rFonts w:ascii="宋体" w:hAnsi="宋体"/>
          <w:highlight w:val="none"/>
        </w:rPr>
        <w:br w:type="page"/>
      </w:r>
    </w:p>
    <w:p>
      <w:pPr>
        <w:ind w:left="718" w:firstLine="0" w:firstLineChars="0"/>
        <w:rPr>
          <w:rFonts w:hint="eastAsia" w:ascii="宋体" w:hAnsi="宋体"/>
          <w:highlight w:val="none"/>
        </w:rPr>
      </w:pPr>
    </w:p>
    <w:p>
      <w:pPr>
        <w:pStyle w:val="3"/>
        <w:spacing w:before="300" w:after="300"/>
        <w:ind w:left="0" w:right="0"/>
        <w:jc w:val="both"/>
        <w:textAlignment w:val="auto"/>
        <w:rPr>
          <w:rFonts w:hint="eastAsia" w:ascii="宋体" w:hAnsi="宋体" w:eastAsia="宋体"/>
          <w:b/>
          <w:bCs/>
          <w:color w:val="auto"/>
          <w:sz w:val="30"/>
          <w:szCs w:val="30"/>
          <w:highlight w:val="none"/>
        </w:rPr>
      </w:pPr>
      <w:bookmarkStart w:id="71" w:name="_Toc18813692"/>
      <w:bookmarkStart w:id="72" w:name="_Toc64705877"/>
      <w:bookmarkStart w:id="73" w:name="_Toc96238084"/>
      <w:bookmarkStart w:id="74" w:name="_Toc60567004"/>
      <w:bookmarkStart w:id="75" w:name="_Toc190301445"/>
      <w:r>
        <w:rPr>
          <w:rFonts w:hint="eastAsia" w:ascii="宋体" w:hAnsi="宋体" w:eastAsia="宋体"/>
          <w:b/>
          <w:bCs/>
          <w:color w:val="auto"/>
          <w:sz w:val="30"/>
          <w:szCs w:val="30"/>
          <w:highlight w:val="none"/>
        </w:rPr>
        <w:t>附件3 技术</w:t>
      </w:r>
      <w:bookmarkEnd w:id="71"/>
      <w:bookmarkEnd w:id="72"/>
      <w:bookmarkEnd w:id="73"/>
      <w:bookmarkEnd w:id="74"/>
      <w:r>
        <w:rPr>
          <w:rFonts w:hint="eastAsia" w:ascii="宋体" w:hAnsi="宋体" w:eastAsia="宋体"/>
          <w:b/>
          <w:bCs/>
          <w:color w:val="auto"/>
          <w:sz w:val="30"/>
          <w:szCs w:val="30"/>
          <w:highlight w:val="none"/>
        </w:rPr>
        <w:t>资料及交付进度</w:t>
      </w:r>
      <w:bookmarkEnd w:id="75"/>
    </w:p>
    <w:p>
      <w:pPr>
        <w:pStyle w:val="4"/>
        <w:spacing w:before="200" w:after="200"/>
        <w:ind w:left="0" w:right="0"/>
        <w:jc w:val="both"/>
        <w:textAlignment w:val="auto"/>
        <w:rPr>
          <w:rFonts w:hint="eastAsia" w:ascii="宋体" w:hAnsi="宋体" w:eastAsia="宋体"/>
          <w:b/>
          <w:color w:val="auto"/>
          <w:sz w:val="28"/>
          <w:szCs w:val="28"/>
          <w:highlight w:val="none"/>
        </w:rPr>
      </w:pPr>
      <w:bookmarkStart w:id="76" w:name="_Toc64705879"/>
      <w:bookmarkStart w:id="77" w:name="_Toc170270583"/>
      <w:bookmarkStart w:id="78" w:name="_Toc170462609"/>
      <w:bookmarkStart w:id="79" w:name="_Toc96238086"/>
      <w:bookmarkStart w:id="80" w:name="_Toc446244106"/>
      <w:bookmarkStart w:id="81" w:name="_Toc470861343"/>
      <w:r>
        <w:rPr>
          <w:rFonts w:hint="eastAsia" w:ascii="宋体" w:hAnsi="宋体" w:eastAsia="宋体"/>
          <w:b/>
          <w:color w:val="auto"/>
          <w:sz w:val="28"/>
          <w:szCs w:val="28"/>
          <w:highlight w:val="none"/>
        </w:rPr>
        <w:t>1一般要求</w:t>
      </w:r>
      <w:bookmarkEnd w:id="76"/>
      <w:bookmarkEnd w:id="77"/>
      <w:bookmarkEnd w:id="78"/>
      <w:bookmarkEnd w:id="79"/>
      <w:bookmarkEnd w:id="80"/>
      <w:bookmarkEnd w:id="81"/>
    </w:p>
    <w:p>
      <w:pPr>
        <w:rPr>
          <w:rFonts w:hint="eastAsia" w:ascii="宋体" w:hAnsi="宋体"/>
          <w:highlight w:val="none"/>
        </w:rPr>
      </w:pPr>
      <w:r>
        <w:rPr>
          <w:rFonts w:hint="eastAsia" w:ascii="宋体" w:hAnsi="宋体"/>
          <w:highlight w:val="none"/>
        </w:rPr>
        <w:t xml:space="preserve">1.1 </w:t>
      </w:r>
      <w:r>
        <w:rPr>
          <w:rFonts w:ascii="宋体" w:hAnsi="宋体"/>
          <w:highlight w:val="none"/>
        </w:rPr>
        <w:t>投标人提供的</w:t>
      </w:r>
      <w:r>
        <w:rPr>
          <w:rFonts w:hint="eastAsia" w:ascii="宋体" w:hAnsi="宋体"/>
          <w:highlight w:val="none"/>
        </w:rPr>
        <w:t>技术文件</w:t>
      </w:r>
      <w:r>
        <w:rPr>
          <w:rFonts w:ascii="宋体" w:hAnsi="宋体"/>
          <w:highlight w:val="none"/>
        </w:rPr>
        <w:t>应使用</w:t>
      </w:r>
      <w:r>
        <w:rPr>
          <w:rFonts w:hint="eastAsia" w:ascii="宋体" w:hAnsi="宋体"/>
          <w:highlight w:val="none"/>
        </w:rPr>
        <w:t>国际单位制（SI）</w:t>
      </w:r>
      <w:r>
        <w:rPr>
          <w:rFonts w:ascii="宋体" w:hAnsi="宋体"/>
          <w:highlight w:val="none"/>
        </w:rPr>
        <w:t>单位</w:t>
      </w:r>
      <w:r>
        <w:rPr>
          <w:rFonts w:hint="eastAsia" w:ascii="宋体" w:hAnsi="宋体"/>
          <w:highlight w:val="none"/>
        </w:rPr>
        <w:t>（语言为中文）</w:t>
      </w:r>
      <w:r>
        <w:rPr>
          <w:rFonts w:ascii="宋体" w:hAnsi="宋体"/>
          <w:highlight w:val="none"/>
        </w:rPr>
        <w:t>。</w:t>
      </w:r>
      <w:r>
        <w:rPr>
          <w:rFonts w:hint="eastAsia" w:ascii="宋体" w:hAnsi="宋体"/>
          <w:highlight w:val="none"/>
        </w:rPr>
        <w:t>进口部件的外文图纸及文件应由投标人免费翻译成中文并加盖投标人公章，同时，数字签名的说明书、质量证明文件、因故无原件的复印件也需加盖投标人公章，便于文件的追溯。其他外购部件技术文件的合法性、完整性、齐全性由投标人负责，应全部提供外购件原件，并提供外购件目录清单。</w:t>
      </w:r>
      <w:r>
        <w:rPr>
          <w:rFonts w:ascii="宋体" w:hAnsi="宋体"/>
          <w:highlight w:val="none"/>
        </w:rPr>
        <w:t>技术</w:t>
      </w:r>
      <w:r>
        <w:rPr>
          <w:rFonts w:hint="eastAsia" w:ascii="宋体" w:hAnsi="宋体"/>
          <w:highlight w:val="none"/>
        </w:rPr>
        <w:t>文件</w:t>
      </w:r>
      <w:r>
        <w:rPr>
          <w:rFonts w:ascii="宋体" w:hAnsi="宋体"/>
          <w:highlight w:val="none"/>
        </w:rPr>
        <w:t>和图纸的文种为中文。外方提供的</w:t>
      </w:r>
      <w:r>
        <w:rPr>
          <w:rFonts w:hint="eastAsia" w:ascii="宋体" w:hAnsi="宋体"/>
          <w:highlight w:val="none"/>
        </w:rPr>
        <w:t>技术文件</w:t>
      </w:r>
      <w:r>
        <w:rPr>
          <w:rFonts w:ascii="宋体" w:hAnsi="宋体"/>
          <w:highlight w:val="none"/>
        </w:rPr>
        <w:t>应翻译成中文随同原文一并提交招标人。</w:t>
      </w:r>
      <w:r>
        <w:rPr>
          <w:rFonts w:hint="eastAsia" w:ascii="宋体" w:hAnsi="宋体"/>
          <w:highlight w:val="none"/>
        </w:rPr>
        <w:t>技术文件</w:t>
      </w:r>
      <w:r>
        <w:rPr>
          <w:rFonts w:ascii="宋体" w:hAnsi="宋体"/>
          <w:highlight w:val="none"/>
        </w:rPr>
        <w:t>以中文为准，</w:t>
      </w:r>
      <w:r>
        <w:rPr>
          <w:rFonts w:hint="eastAsia" w:ascii="宋体" w:hAnsi="宋体"/>
          <w:highlight w:val="none"/>
        </w:rPr>
        <w:t>技术文件</w:t>
      </w:r>
      <w:r>
        <w:rPr>
          <w:rFonts w:ascii="宋体" w:hAnsi="宋体"/>
          <w:highlight w:val="none"/>
        </w:rPr>
        <w:t>除提供书面文件外还应提供</w:t>
      </w:r>
      <w:r>
        <w:rPr>
          <w:rFonts w:hint="eastAsia" w:ascii="宋体" w:hAnsi="宋体"/>
          <w:highlight w:val="none"/>
        </w:rPr>
        <w:t>U盘形式电子文件</w:t>
      </w:r>
      <w:r>
        <w:rPr>
          <w:rFonts w:ascii="宋体" w:hAnsi="宋体"/>
          <w:highlight w:val="none"/>
        </w:rPr>
        <w:t>。图纸应为AutoCAD</w:t>
      </w:r>
      <w:r>
        <w:rPr>
          <w:rFonts w:hint="eastAsia" w:ascii="宋体" w:hAnsi="宋体"/>
          <w:highlight w:val="none"/>
        </w:rPr>
        <w:t xml:space="preserve"> **版</w:t>
      </w:r>
      <w:r>
        <w:rPr>
          <w:rFonts w:ascii="宋体" w:hAnsi="宋体"/>
          <w:highlight w:val="none"/>
        </w:rPr>
        <w:t>格式，文本文件应Word/Excel</w:t>
      </w:r>
      <w:r>
        <w:rPr>
          <w:rFonts w:hint="eastAsia" w:ascii="宋体" w:hAnsi="宋体"/>
          <w:highlight w:val="none"/>
        </w:rPr>
        <w:t>**版</w:t>
      </w:r>
      <w:r>
        <w:rPr>
          <w:rFonts w:ascii="宋体" w:hAnsi="宋体"/>
          <w:highlight w:val="none"/>
        </w:rPr>
        <w:t>格式</w:t>
      </w:r>
      <w:r>
        <w:rPr>
          <w:rFonts w:hint="eastAsia" w:ascii="宋体" w:hAnsi="宋体" w:cs="Arial"/>
          <w:highlight w:val="none"/>
        </w:rPr>
        <w:t>，</w:t>
      </w:r>
      <w:r>
        <w:rPr>
          <w:rFonts w:hint="eastAsia" w:ascii="宋体" w:hAnsi="宋体"/>
          <w:highlight w:val="none"/>
        </w:rPr>
        <w:t>使用的字库文件应一同提交</w:t>
      </w:r>
      <w:r>
        <w:rPr>
          <w:rFonts w:ascii="宋体" w:hAnsi="宋体"/>
          <w:highlight w:val="none"/>
        </w:rPr>
        <w:t>。</w:t>
      </w:r>
    </w:p>
    <w:p>
      <w:pPr>
        <w:rPr>
          <w:rFonts w:hint="eastAsia" w:ascii="宋体" w:hAnsi="宋体"/>
          <w:highlight w:val="none"/>
        </w:rPr>
      </w:pPr>
      <w:r>
        <w:rPr>
          <w:rFonts w:hint="eastAsia" w:ascii="宋体" w:hAnsi="宋体"/>
          <w:highlight w:val="none"/>
        </w:rPr>
        <w:t>1.2 投标人资料的组织结构清晰、逻辑性强。资料内容正确、准确、一致、清晰完整，满足工程要求。</w:t>
      </w:r>
    </w:p>
    <w:p>
      <w:pPr>
        <w:rPr>
          <w:rFonts w:hint="eastAsia" w:ascii="宋体" w:hAnsi="宋体"/>
          <w:highlight w:val="none"/>
        </w:rPr>
      </w:pPr>
      <w:r>
        <w:rPr>
          <w:rFonts w:hint="eastAsia" w:ascii="宋体" w:hAnsi="宋体"/>
          <w:highlight w:val="none"/>
        </w:rPr>
        <w:t>1.3 投标人技术文件</w:t>
      </w:r>
      <w:r>
        <w:rPr>
          <w:rFonts w:ascii="宋体" w:hAnsi="宋体"/>
          <w:highlight w:val="none"/>
        </w:rPr>
        <w:t>的提交应及时、充分，正确，满足工程进度要求。在</w:t>
      </w:r>
      <w:r>
        <w:rPr>
          <w:rFonts w:hint="eastAsia" w:ascii="宋体" w:hAnsi="宋体"/>
          <w:highlight w:val="none"/>
        </w:rPr>
        <w:t>技术协议草签</w:t>
      </w:r>
      <w:r>
        <w:rPr>
          <w:rFonts w:ascii="宋体" w:hAnsi="宋体"/>
          <w:highlight w:val="none"/>
        </w:rPr>
        <w:t>后 5 天内给出配合工程设计的全部</w:t>
      </w:r>
      <w:r>
        <w:rPr>
          <w:rFonts w:hint="eastAsia" w:ascii="宋体" w:hAnsi="宋体"/>
          <w:highlight w:val="none"/>
        </w:rPr>
        <w:t>技术文件</w:t>
      </w:r>
      <w:r>
        <w:rPr>
          <w:rFonts w:ascii="宋体" w:hAnsi="宋体"/>
          <w:highlight w:val="none"/>
        </w:rPr>
        <w:t>和交付进度清单，并经</w:t>
      </w:r>
      <w:r>
        <w:rPr>
          <w:rFonts w:hint="eastAsia" w:ascii="宋体" w:hAnsi="宋体"/>
          <w:highlight w:val="none"/>
        </w:rPr>
        <w:t>招标人</w:t>
      </w:r>
      <w:r>
        <w:rPr>
          <w:rFonts w:ascii="宋体" w:hAnsi="宋体"/>
          <w:highlight w:val="none"/>
        </w:rPr>
        <w:t>确认。</w:t>
      </w:r>
    </w:p>
    <w:p>
      <w:pPr>
        <w:rPr>
          <w:rFonts w:hint="eastAsia" w:ascii="宋体" w:hAnsi="宋体"/>
          <w:highlight w:val="none"/>
        </w:rPr>
      </w:pPr>
      <w:r>
        <w:rPr>
          <w:rFonts w:hint="eastAsia" w:ascii="宋体" w:hAnsi="宋体"/>
          <w:highlight w:val="none"/>
        </w:rPr>
        <w:t>1.4 投标人提供的技术文件分为投标阶段，配合设计阶段，设备监造检验、实施调试试运、性能试验验收和运行维护等四个方面。投标人须满足以上四个方面的具体要求。</w:t>
      </w:r>
    </w:p>
    <w:p>
      <w:pPr>
        <w:rPr>
          <w:rFonts w:hint="eastAsia" w:ascii="宋体" w:hAnsi="宋体"/>
          <w:highlight w:val="none"/>
        </w:rPr>
      </w:pPr>
      <w:r>
        <w:rPr>
          <w:rFonts w:hint="eastAsia" w:ascii="宋体" w:hAnsi="宋体"/>
          <w:highlight w:val="none"/>
        </w:rPr>
        <w:t>1.5 对于其它没有列入合同技术文件清单，却是工程所必需技术文件，一经发现，投标人应及时免费提供。本期工程为多台设备构成，后续设备有改进时，投标人也应及时免费提供新的技术文件。</w:t>
      </w:r>
    </w:p>
    <w:p>
      <w:pPr>
        <w:rPr>
          <w:rFonts w:hint="eastAsia" w:ascii="宋体" w:hAnsi="宋体"/>
          <w:highlight w:val="none"/>
        </w:rPr>
      </w:pPr>
      <w:r>
        <w:rPr>
          <w:rFonts w:hint="eastAsia" w:ascii="宋体" w:hAnsi="宋体"/>
          <w:highlight w:val="none"/>
        </w:rPr>
        <w:t>1.6 投标人要及时提供与合同设备设计制造有关的技术文件。</w:t>
      </w:r>
    </w:p>
    <w:p>
      <w:pPr>
        <w:rPr>
          <w:rFonts w:hint="eastAsia" w:ascii="宋体" w:hAnsi="宋体"/>
          <w:highlight w:val="none"/>
        </w:rPr>
      </w:pPr>
      <w:r>
        <w:rPr>
          <w:rFonts w:hint="eastAsia" w:ascii="宋体" w:hAnsi="宋体"/>
          <w:highlight w:val="none"/>
        </w:rPr>
        <w:t>1.7 投标人</w:t>
      </w:r>
      <w:r>
        <w:rPr>
          <w:rFonts w:ascii="宋体" w:hAnsi="宋体"/>
          <w:highlight w:val="none"/>
        </w:rPr>
        <w:t>提供的安装、调试、验收等有关的</w:t>
      </w:r>
      <w:r>
        <w:rPr>
          <w:rFonts w:hint="eastAsia" w:ascii="宋体" w:hAnsi="宋体"/>
          <w:highlight w:val="none"/>
        </w:rPr>
        <w:t>正式的</w:t>
      </w:r>
      <w:r>
        <w:rPr>
          <w:rFonts w:ascii="宋体" w:hAnsi="宋体"/>
          <w:highlight w:val="none"/>
        </w:rPr>
        <w:t>技术</w:t>
      </w:r>
      <w:r>
        <w:rPr>
          <w:rFonts w:hint="eastAsia" w:ascii="宋体" w:hAnsi="宋体"/>
          <w:highlight w:val="none"/>
        </w:rPr>
        <w:t>文件</w:t>
      </w:r>
      <w:r>
        <w:rPr>
          <w:rFonts w:ascii="宋体" w:hAnsi="宋体"/>
          <w:highlight w:val="none"/>
        </w:rPr>
        <w:t>，</w:t>
      </w:r>
      <w:r>
        <w:rPr>
          <w:rFonts w:hint="eastAsia" w:ascii="宋体" w:hAnsi="宋体"/>
          <w:highlight w:val="none"/>
        </w:rPr>
        <w:t>书面</w:t>
      </w:r>
      <w:r>
        <w:rPr>
          <w:rFonts w:ascii="宋体" w:hAnsi="宋体"/>
          <w:highlight w:val="none"/>
        </w:rPr>
        <w:t>4套，电子版</w:t>
      </w:r>
      <w:r>
        <w:rPr>
          <w:rFonts w:hint="eastAsia" w:ascii="宋体" w:hAnsi="宋体"/>
          <w:highlight w:val="none"/>
        </w:rPr>
        <w:t>1套。</w:t>
      </w:r>
    </w:p>
    <w:p>
      <w:pPr>
        <w:rPr>
          <w:rFonts w:hint="eastAsia" w:ascii="宋体" w:hAnsi="宋体"/>
          <w:highlight w:val="none"/>
        </w:rPr>
      </w:pPr>
      <w:r>
        <w:rPr>
          <w:rFonts w:hint="eastAsia" w:ascii="宋体" w:hAnsi="宋体"/>
          <w:highlight w:val="none"/>
        </w:rPr>
        <w:t>1.8 招标人一经发现其它没有列入技术资料清单，却是项目所必需的文件和资料，也应免费提供给招标人。</w:t>
      </w:r>
    </w:p>
    <w:p>
      <w:pPr>
        <w:rPr>
          <w:rFonts w:hint="eastAsia" w:ascii="宋体" w:hAnsi="宋体"/>
          <w:highlight w:val="none"/>
        </w:rPr>
      </w:pPr>
      <w:r>
        <w:rPr>
          <w:rFonts w:hint="eastAsia" w:ascii="宋体" w:hAnsi="宋体"/>
          <w:highlight w:val="none"/>
        </w:rPr>
        <w:t>1.9投标人</w:t>
      </w:r>
      <w:r>
        <w:rPr>
          <w:rFonts w:ascii="宋体" w:hAnsi="宋体"/>
          <w:highlight w:val="none"/>
        </w:rPr>
        <w:t>提供运行和维护手册、培训手册</w:t>
      </w:r>
      <w:r>
        <w:rPr>
          <w:rFonts w:hint="eastAsia" w:ascii="宋体" w:hAnsi="宋体"/>
          <w:highlight w:val="none"/>
        </w:rPr>
        <w:t>4</w:t>
      </w:r>
      <w:r>
        <w:rPr>
          <w:rFonts w:ascii="宋体" w:hAnsi="宋体"/>
          <w:highlight w:val="none"/>
        </w:rPr>
        <w:t>套纸质文件，另加1套电子版。</w:t>
      </w:r>
    </w:p>
    <w:p>
      <w:pPr>
        <w:rPr>
          <w:rFonts w:hint="eastAsia" w:ascii="宋体" w:hAnsi="宋体"/>
          <w:highlight w:val="none"/>
        </w:rPr>
      </w:pPr>
      <w:r>
        <w:rPr>
          <w:rFonts w:hint="eastAsia" w:ascii="宋体" w:hAnsi="宋体"/>
          <w:highlight w:val="none"/>
        </w:rPr>
        <w:t>1.10投标人应负责协调并安排与其它承包商所供控制系统间的接口资料交换进度。</w:t>
      </w:r>
    </w:p>
    <w:p>
      <w:pPr>
        <w:rPr>
          <w:rFonts w:hint="eastAsia" w:ascii="宋体" w:hAnsi="宋体"/>
          <w:highlight w:val="none"/>
        </w:rPr>
      </w:pPr>
      <w:r>
        <w:rPr>
          <w:rFonts w:hint="eastAsia" w:ascii="宋体" w:hAnsi="宋体"/>
          <w:highlight w:val="none"/>
        </w:rPr>
        <w:t>1.11投标人按招标人的要求，编制所供设备的标识系统编码。</w:t>
      </w:r>
    </w:p>
    <w:p>
      <w:pPr>
        <w:pStyle w:val="4"/>
        <w:spacing w:before="200" w:after="200"/>
        <w:ind w:left="0" w:right="0"/>
        <w:jc w:val="both"/>
        <w:textAlignment w:val="auto"/>
        <w:rPr>
          <w:rFonts w:hint="eastAsia" w:ascii="宋体" w:hAnsi="宋体" w:eastAsia="宋体"/>
          <w:b/>
          <w:color w:val="auto"/>
          <w:sz w:val="28"/>
          <w:szCs w:val="28"/>
          <w:highlight w:val="none"/>
        </w:rPr>
      </w:pPr>
      <w:bookmarkStart w:id="82" w:name="_Toc446244107"/>
      <w:r>
        <w:rPr>
          <w:rFonts w:ascii="宋体" w:hAnsi="宋体" w:eastAsia="宋体"/>
          <w:b/>
          <w:color w:val="auto"/>
          <w:sz w:val="28"/>
          <w:szCs w:val="28"/>
          <w:highlight w:val="none"/>
        </w:rPr>
        <w:t xml:space="preserve">2 </w:t>
      </w:r>
      <w:bookmarkStart w:id="83" w:name="_Toc470861344"/>
      <w:r>
        <w:rPr>
          <w:rFonts w:hint="eastAsia" w:ascii="宋体" w:hAnsi="宋体" w:eastAsia="宋体"/>
          <w:b/>
          <w:color w:val="auto"/>
          <w:sz w:val="28"/>
          <w:szCs w:val="28"/>
          <w:highlight w:val="none"/>
        </w:rPr>
        <w:t>资料提交的基本要求</w:t>
      </w:r>
      <w:bookmarkEnd w:id="82"/>
      <w:bookmarkEnd w:id="83"/>
    </w:p>
    <w:p>
      <w:pPr>
        <w:rPr>
          <w:rFonts w:hint="eastAsia" w:ascii="宋体" w:hAnsi="宋体"/>
          <w:highlight w:val="none"/>
        </w:rPr>
      </w:pPr>
      <w:bookmarkStart w:id="84" w:name="_附件20__火检技术评标因数及量化标准"/>
      <w:bookmarkEnd w:id="84"/>
      <w:bookmarkStart w:id="85" w:name="_Toc470861345"/>
      <w:r>
        <w:rPr>
          <w:rFonts w:hint="eastAsia" w:ascii="宋体" w:hAnsi="宋体"/>
          <w:highlight w:val="none"/>
        </w:rPr>
        <w:t>2</w:t>
      </w:r>
      <w:r>
        <w:rPr>
          <w:rFonts w:ascii="宋体" w:hAnsi="宋体"/>
          <w:highlight w:val="none"/>
        </w:rPr>
        <w:t>.1</w:t>
      </w:r>
      <w:r>
        <w:rPr>
          <w:rFonts w:hint="eastAsia" w:ascii="宋体" w:hAnsi="宋体"/>
          <w:highlight w:val="none"/>
        </w:rPr>
        <w:t>在投标阶段必须提供的资料（投标人可自行细化）。</w:t>
      </w:r>
      <w:bookmarkEnd w:id="85"/>
    </w:p>
    <w:p>
      <w:pPr>
        <w:rPr>
          <w:rFonts w:hint="eastAsia" w:ascii="宋体" w:hAnsi="宋体"/>
          <w:highlight w:val="none"/>
        </w:rPr>
      </w:pPr>
      <w:bookmarkStart w:id="86" w:name="_Toc470861346"/>
      <w:r>
        <w:rPr>
          <w:rFonts w:ascii="宋体" w:hAnsi="宋体"/>
          <w:highlight w:val="none"/>
        </w:rPr>
        <w:t>2.1.1</w:t>
      </w:r>
      <w:r>
        <w:rPr>
          <w:rFonts w:hint="eastAsia" w:ascii="宋体" w:hAnsi="宋体"/>
          <w:highlight w:val="none"/>
        </w:rPr>
        <w:t xml:space="preserve"> 浙能嘉兴1号风电场监控提升改造生产性技术改造项目配套设备网络配置图。</w:t>
      </w:r>
      <w:bookmarkEnd w:id="86"/>
    </w:p>
    <w:p>
      <w:pPr>
        <w:rPr>
          <w:rFonts w:hint="eastAsia" w:ascii="宋体" w:hAnsi="宋体"/>
          <w:highlight w:val="none"/>
        </w:rPr>
      </w:pPr>
      <w:bookmarkStart w:id="87" w:name="_Toc470861348"/>
      <w:r>
        <w:rPr>
          <w:rFonts w:ascii="宋体" w:hAnsi="宋体"/>
          <w:highlight w:val="none"/>
        </w:rPr>
        <w:t xml:space="preserve">2.1.2 </w:t>
      </w:r>
      <w:r>
        <w:rPr>
          <w:rFonts w:hint="eastAsia" w:ascii="宋体" w:hAnsi="宋体"/>
          <w:highlight w:val="none"/>
        </w:rPr>
        <w:t>供货清单。</w:t>
      </w:r>
      <w:bookmarkEnd w:id="87"/>
    </w:p>
    <w:p>
      <w:pPr>
        <w:rPr>
          <w:rFonts w:hint="eastAsia" w:ascii="宋体" w:hAnsi="宋体"/>
          <w:highlight w:val="none"/>
        </w:rPr>
      </w:pPr>
      <w:bookmarkStart w:id="88" w:name="_Toc470861349"/>
      <w:r>
        <w:rPr>
          <w:rFonts w:ascii="宋体" w:hAnsi="宋体"/>
          <w:highlight w:val="none"/>
        </w:rPr>
        <w:t>2.1.3</w:t>
      </w:r>
      <w:r>
        <w:rPr>
          <w:rFonts w:hint="eastAsia" w:ascii="宋体" w:hAnsi="宋体"/>
          <w:highlight w:val="none"/>
        </w:rPr>
        <w:t xml:space="preserve"> 厂家产品说明书（包括各种参数表）。</w:t>
      </w:r>
      <w:bookmarkEnd w:id="88"/>
    </w:p>
    <w:p>
      <w:pPr>
        <w:rPr>
          <w:rFonts w:hint="eastAsia" w:ascii="宋体" w:hAnsi="宋体"/>
          <w:highlight w:val="none"/>
        </w:rPr>
      </w:pPr>
      <w:bookmarkStart w:id="89" w:name="_Toc470861353"/>
      <w:r>
        <w:rPr>
          <w:rFonts w:ascii="宋体" w:hAnsi="宋体"/>
          <w:highlight w:val="none"/>
        </w:rPr>
        <w:t>2.2</w:t>
      </w:r>
      <w:r>
        <w:rPr>
          <w:rFonts w:hint="eastAsia" w:ascii="宋体" w:hAnsi="宋体"/>
          <w:highlight w:val="none"/>
        </w:rPr>
        <w:t>安装、调试、试运、验收和运行维护所需的技术资料（招标人提供具体清单和要求，投标人细化，招标人确认）。包括但不限于：</w:t>
      </w:r>
      <w:bookmarkEnd w:id="89"/>
    </w:p>
    <w:p>
      <w:pPr>
        <w:rPr>
          <w:rFonts w:hint="eastAsia" w:ascii="宋体" w:hAnsi="宋体"/>
          <w:highlight w:val="none"/>
        </w:rPr>
      </w:pPr>
      <w:bookmarkStart w:id="90" w:name="_Toc470861354"/>
      <w:r>
        <w:rPr>
          <w:rFonts w:ascii="宋体" w:hAnsi="宋体"/>
          <w:highlight w:val="none"/>
        </w:rPr>
        <w:t xml:space="preserve">2.2.1 </w:t>
      </w:r>
      <w:r>
        <w:rPr>
          <w:rFonts w:hint="eastAsia" w:ascii="宋体" w:hAnsi="宋体"/>
          <w:highlight w:val="none"/>
        </w:rPr>
        <w:t>提供设备运行、调试和试运说明书。</w:t>
      </w:r>
      <w:bookmarkEnd w:id="90"/>
    </w:p>
    <w:p>
      <w:pPr>
        <w:rPr>
          <w:rFonts w:hint="eastAsia" w:ascii="宋体" w:hAnsi="宋体"/>
          <w:highlight w:val="none"/>
        </w:rPr>
      </w:pPr>
      <w:bookmarkStart w:id="91" w:name="_Toc470861355"/>
      <w:r>
        <w:rPr>
          <w:rFonts w:ascii="宋体" w:hAnsi="宋体"/>
          <w:highlight w:val="none"/>
        </w:rPr>
        <w:t xml:space="preserve">2.2.2 </w:t>
      </w:r>
      <w:r>
        <w:rPr>
          <w:rFonts w:hint="eastAsia" w:ascii="宋体" w:hAnsi="宋体"/>
          <w:highlight w:val="none"/>
        </w:rPr>
        <w:t>运行、维护、检修需详尽图纸和的技术资料（系统配置说明书、网络配置图、硬件配置图、设备清册</w:t>
      </w:r>
      <w:r>
        <w:rPr>
          <w:rFonts w:ascii="宋体" w:hAnsi="宋体"/>
          <w:highlight w:val="none"/>
        </w:rPr>
        <w:t>(</w:t>
      </w:r>
      <w:r>
        <w:rPr>
          <w:rFonts w:hint="eastAsia" w:ascii="宋体" w:hAnsi="宋体"/>
          <w:highlight w:val="none"/>
        </w:rPr>
        <w:t>包括名称、型号规范、安装地点、数量、生产厂家等)）。</w:t>
      </w:r>
      <w:bookmarkEnd w:id="91"/>
    </w:p>
    <w:p>
      <w:pPr>
        <w:rPr>
          <w:rFonts w:hint="eastAsia" w:ascii="宋体" w:hAnsi="宋体"/>
          <w:highlight w:val="none"/>
        </w:rPr>
      </w:pPr>
      <w:bookmarkStart w:id="92" w:name="_Toc470861356"/>
      <w:r>
        <w:rPr>
          <w:rFonts w:ascii="宋体" w:hAnsi="宋体"/>
          <w:highlight w:val="none"/>
        </w:rPr>
        <w:t xml:space="preserve">2.2.3 </w:t>
      </w:r>
      <w:r>
        <w:rPr>
          <w:rFonts w:hint="eastAsia" w:ascii="宋体" w:hAnsi="宋体"/>
          <w:highlight w:val="none"/>
        </w:rPr>
        <w:t>设备安装、运行、维护、检修说明书。</w:t>
      </w:r>
      <w:bookmarkEnd w:id="92"/>
    </w:p>
    <w:p>
      <w:pPr>
        <w:rPr>
          <w:rFonts w:hint="eastAsia" w:ascii="宋体" w:hAnsi="宋体"/>
          <w:highlight w:val="none"/>
        </w:rPr>
      </w:pPr>
      <w:bookmarkStart w:id="93" w:name="_Toc470861358"/>
      <w:r>
        <w:rPr>
          <w:rFonts w:ascii="宋体" w:hAnsi="宋体"/>
          <w:highlight w:val="none"/>
        </w:rPr>
        <w:t>2.3</w:t>
      </w:r>
      <w:r>
        <w:rPr>
          <w:rFonts w:hint="eastAsia" w:ascii="宋体" w:hAnsi="宋体"/>
          <w:highlight w:val="none"/>
        </w:rPr>
        <w:t>投标人提供的其它技术资料</w:t>
      </w:r>
      <w:r>
        <w:rPr>
          <w:rFonts w:ascii="宋体" w:hAnsi="宋体"/>
          <w:highlight w:val="none"/>
        </w:rPr>
        <w:t>(</w:t>
      </w:r>
      <w:r>
        <w:rPr>
          <w:rFonts w:hint="eastAsia" w:ascii="宋体" w:hAnsi="宋体"/>
          <w:highlight w:val="none"/>
        </w:rPr>
        <w:t>招标人提供具体清单和要求，投标人细化，招标人确认）。包括但不限于：</w:t>
      </w:r>
      <w:bookmarkEnd w:id="93"/>
    </w:p>
    <w:p>
      <w:pPr>
        <w:rPr>
          <w:rFonts w:hint="eastAsia" w:ascii="宋体" w:hAnsi="宋体"/>
          <w:highlight w:val="none"/>
        </w:rPr>
      </w:pPr>
      <w:r>
        <w:rPr>
          <w:rFonts w:ascii="宋体" w:hAnsi="宋体"/>
          <w:highlight w:val="none"/>
        </w:rPr>
        <w:t>2.3.1</w:t>
      </w:r>
      <w:bookmarkStart w:id="94" w:name="_Toc470861359"/>
      <w:r>
        <w:rPr>
          <w:rFonts w:hint="eastAsia" w:ascii="宋体" w:hAnsi="宋体"/>
          <w:highlight w:val="none"/>
        </w:rPr>
        <w:t xml:space="preserve"> 检查记录、试验报告及质量合格等出厂报告。</w:t>
      </w:r>
      <w:bookmarkEnd w:id="94"/>
    </w:p>
    <w:p>
      <w:pPr>
        <w:rPr>
          <w:rFonts w:hint="eastAsia" w:ascii="宋体" w:hAnsi="宋体"/>
          <w:highlight w:val="none"/>
        </w:rPr>
      </w:pPr>
      <w:r>
        <w:rPr>
          <w:rFonts w:hint="eastAsia" w:ascii="宋体" w:hAnsi="宋体"/>
          <w:highlight w:val="none"/>
        </w:rPr>
        <w:br w:type="page"/>
      </w:r>
    </w:p>
    <w:p>
      <w:pPr>
        <w:rPr>
          <w:rFonts w:hint="eastAsia" w:ascii="宋体" w:hAnsi="宋体"/>
          <w:highlight w:val="none"/>
        </w:rPr>
      </w:pPr>
    </w:p>
    <w:p>
      <w:pPr>
        <w:pStyle w:val="3"/>
        <w:spacing w:before="300" w:after="300"/>
        <w:ind w:left="0" w:right="0"/>
        <w:jc w:val="both"/>
        <w:textAlignment w:val="auto"/>
        <w:rPr>
          <w:rFonts w:hint="eastAsia" w:ascii="宋体" w:hAnsi="宋体" w:eastAsia="宋体"/>
          <w:b/>
          <w:bCs/>
          <w:color w:val="auto"/>
          <w:sz w:val="30"/>
          <w:szCs w:val="30"/>
          <w:highlight w:val="none"/>
        </w:rPr>
      </w:pPr>
      <w:bookmarkStart w:id="95" w:name="_Toc399326517"/>
      <w:bookmarkEnd w:id="95"/>
      <w:bookmarkStart w:id="96" w:name="_Toc478439473"/>
      <w:bookmarkEnd w:id="96"/>
      <w:bookmarkStart w:id="97" w:name="_Hlt515349389"/>
      <w:bookmarkEnd w:id="97"/>
      <w:bookmarkStart w:id="98" w:name="_Toc399318773"/>
      <w:bookmarkEnd w:id="98"/>
      <w:bookmarkStart w:id="99" w:name="_Toc505746939"/>
      <w:bookmarkEnd w:id="99"/>
      <w:bookmarkStart w:id="100" w:name="_Toc190301446"/>
      <w:bookmarkStart w:id="101" w:name="_Toc513014512"/>
      <w:bookmarkStart w:id="102" w:name="_Toc515785175"/>
      <w:bookmarkStart w:id="103" w:name="_Toc286159472"/>
      <w:r>
        <w:rPr>
          <w:rFonts w:hint="eastAsia" w:ascii="宋体" w:hAnsi="宋体" w:eastAsia="宋体"/>
          <w:b/>
          <w:bCs/>
          <w:color w:val="auto"/>
          <w:sz w:val="30"/>
          <w:szCs w:val="30"/>
          <w:highlight w:val="none"/>
        </w:rPr>
        <w:t>附件4 设备交货进度</w:t>
      </w:r>
      <w:bookmarkEnd w:id="100"/>
      <w:bookmarkEnd w:id="101"/>
      <w:bookmarkEnd w:id="102"/>
      <w:bookmarkEnd w:id="103"/>
    </w:p>
    <w:p>
      <w:pPr>
        <w:rPr>
          <w:rFonts w:hint="eastAsia" w:ascii="宋体" w:hAnsi="宋体"/>
          <w:highlight w:val="none"/>
        </w:rPr>
      </w:pPr>
      <w:r>
        <w:rPr>
          <w:rFonts w:hint="eastAsia" w:ascii="宋体" w:hAnsi="宋体"/>
          <w:highlight w:val="none"/>
        </w:rPr>
        <w:t>交货进度表</w:t>
      </w:r>
    </w:p>
    <w:tbl>
      <w:tblPr>
        <w:tblStyle w:val="12"/>
        <w:tblW w:w="8364" w:type="dxa"/>
        <w:jc w:val="center"/>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108" w:type="dxa"/>
          <w:bottom w:w="0" w:type="dxa"/>
          <w:right w:w="108" w:type="dxa"/>
        </w:tblCellMar>
      </w:tblPr>
      <w:tblGrid>
        <w:gridCol w:w="821"/>
        <w:gridCol w:w="2435"/>
        <w:gridCol w:w="2551"/>
        <w:gridCol w:w="2557"/>
      </w:tblGrid>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458" w:hRule="atLeast"/>
          <w:jc w:val="center"/>
        </w:trPr>
        <w:tc>
          <w:tcPr>
            <w:tcW w:w="821" w:type="dxa"/>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序号</w:t>
            </w:r>
          </w:p>
        </w:tc>
        <w:tc>
          <w:tcPr>
            <w:tcW w:w="2435" w:type="dxa"/>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设备/部件名称</w:t>
            </w:r>
          </w:p>
        </w:tc>
        <w:tc>
          <w:tcPr>
            <w:tcW w:w="2551" w:type="dxa"/>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交货地点</w:t>
            </w:r>
          </w:p>
        </w:tc>
        <w:tc>
          <w:tcPr>
            <w:tcW w:w="2557" w:type="dxa"/>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交货时间</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Height w:val="417" w:hRule="atLeast"/>
          <w:jc w:val="center"/>
        </w:trPr>
        <w:tc>
          <w:tcPr>
            <w:tcW w:w="821" w:type="dxa"/>
            <w:tcBorders>
              <w:top w:val="single" w:color="000000" w:sz="6" w:space="0"/>
              <w:left w:val="single" w:color="auto" w:sz="4" w:space="0"/>
              <w:right w:val="single" w:color="000000" w:sz="6" w:space="0"/>
            </w:tcBorders>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1</w:t>
            </w:r>
          </w:p>
        </w:tc>
        <w:tc>
          <w:tcPr>
            <w:tcW w:w="2435" w:type="dxa"/>
            <w:tcBorders>
              <w:top w:val="single" w:color="000000" w:sz="6" w:space="0"/>
              <w:left w:val="single" w:color="000000" w:sz="6" w:space="0"/>
              <w:right w:val="single" w:color="000000" w:sz="6"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设备本体</w:t>
            </w:r>
          </w:p>
        </w:tc>
        <w:tc>
          <w:tcPr>
            <w:tcW w:w="2551" w:type="dxa"/>
            <w:vMerge w:val="restart"/>
            <w:tcBorders>
              <w:top w:val="single" w:color="000000" w:sz="6" w:space="0"/>
              <w:left w:val="single" w:color="000000" w:sz="6" w:space="0"/>
              <w:right w:val="single" w:color="000000" w:sz="6"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浙江浙能嘉兴海上风力发电有限公司</w:t>
            </w:r>
          </w:p>
        </w:tc>
        <w:tc>
          <w:tcPr>
            <w:tcW w:w="2557" w:type="dxa"/>
            <w:vMerge w:val="restart"/>
            <w:tcBorders>
              <w:top w:val="single" w:color="000000" w:sz="6" w:space="0"/>
              <w:left w:val="single" w:color="000000" w:sz="6"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合同签订后6个月内完成设备供货、安装、调试和验收。</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821" w:type="dxa"/>
            <w:tcBorders>
              <w:top w:val="single" w:color="000000" w:sz="6" w:space="0"/>
              <w:left w:val="single" w:color="auto" w:sz="4" w:space="0"/>
              <w:right w:val="single" w:color="000000" w:sz="6" w:space="0"/>
            </w:tcBorders>
          </w:tcPr>
          <w:p>
            <w:pPr>
              <w:ind w:left="0" w:firstLine="0" w:firstLineChars="0"/>
              <w:rPr>
                <w:rFonts w:hint="eastAsia" w:ascii="宋体" w:hAnsi="宋体"/>
                <w:highlight w:val="none"/>
              </w:rPr>
            </w:pPr>
            <w:r>
              <w:rPr>
                <w:rFonts w:hint="eastAsia" w:ascii="宋体" w:hAnsi="宋体"/>
                <w:highlight w:val="none"/>
              </w:rPr>
              <w:t>2</w:t>
            </w:r>
          </w:p>
        </w:tc>
        <w:tc>
          <w:tcPr>
            <w:tcW w:w="2435" w:type="dxa"/>
            <w:tcBorders>
              <w:top w:val="single" w:color="000000" w:sz="6" w:space="0"/>
              <w:left w:val="single" w:color="000000" w:sz="6" w:space="0"/>
              <w:right w:val="single" w:color="000000" w:sz="6" w:space="0"/>
            </w:tcBorders>
            <w:vAlign w:val="center"/>
          </w:tcPr>
          <w:p>
            <w:pPr>
              <w:ind w:left="0" w:firstLine="0" w:firstLineChars="0"/>
              <w:rPr>
                <w:rFonts w:hint="eastAsia" w:ascii="宋体" w:hAnsi="宋体"/>
                <w:highlight w:val="none"/>
              </w:rPr>
            </w:pPr>
            <w:r>
              <w:rPr>
                <w:rFonts w:hint="eastAsia" w:ascii="宋体" w:hAnsi="宋体"/>
                <w:highlight w:val="none"/>
              </w:rPr>
              <w:t>备品备件</w:t>
            </w:r>
          </w:p>
        </w:tc>
        <w:tc>
          <w:tcPr>
            <w:tcW w:w="2551" w:type="dxa"/>
            <w:vMerge w:val="continue"/>
            <w:tcBorders>
              <w:top w:val="single" w:color="000000" w:sz="6" w:space="0"/>
              <w:left w:val="single" w:color="000000" w:sz="6" w:space="0"/>
              <w:right w:val="single" w:color="000000" w:sz="6" w:space="0"/>
            </w:tcBorders>
          </w:tcPr>
          <w:p>
            <w:pPr>
              <w:rPr>
                <w:highlight w:val="none"/>
              </w:rPr>
            </w:pPr>
          </w:p>
        </w:tc>
        <w:tc>
          <w:tcPr>
            <w:tcW w:w="2557" w:type="dxa"/>
            <w:vMerge w:val="continue"/>
            <w:tcBorders>
              <w:top w:val="single" w:color="000000" w:sz="6" w:space="0"/>
              <w:left w:val="single" w:color="000000" w:sz="6" w:space="0"/>
              <w:right w:val="single" w:color="auto" w:sz="4" w:space="0"/>
            </w:tcBorders>
          </w:tcPr>
          <w:p>
            <w:pPr>
              <w:rPr>
                <w:highlight w:val="none"/>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821" w:type="dxa"/>
            <w:tcBorders>
              <w:top w:val="single" w:color="000000" w:sz="6" w:space="0"/>
              <w:left w:val="single" w:color="auto" w:sz="4" w:space="0"/>
              <w:right w:val="single" w:color="000000" w:sz="6" w:space="0"/>
            </w:tcBorders>
          </w:tcPr>
          <w:p>
            <w:pPr>
              <w:ind w:left="0" w:firstLine="0" w:firstLineChars="0"/>
              <w:rPr>
                <w:rFonts w:hint="eastAsia" w:ascii="宋体" w:hAnsi="宋体"/>
                <w:highlight w:val="none"/>
              </w:rPr>
            </w:pPr>
            <w:r>
              <w:rPr>
                <w:rFonts w:hint="eastAsia" w:ascii="宋体" w:hAnsi="宋体"/>
                <w:highlight w:val="none"/>
              </w:rPr>
              <w:t>3</w:t>
            </w:r>
          </w:p>
        </w:tc>
        <w:tc>
          <w:tcPr>
            <w:tcW w:w="2435" w:type="dxa"/>
            <w:tcBorders>
              <w:top w:val="single" w:color="000000" w:sz="6" w:space="0"/>
              <w:left w:val="single" w:color="000000" w:sz="6" w:space="0"/>
              <w:right w:val="single" w:color="000000" w:sz="6" w:space="0"/>
            </w:tcBorders>
            <w:vAlign w:val="center"/>
          </w:tcPr>
          <w:p>
            <w:pPr>
              <w:ind w:left="0" w:firstLine="0" w:firstLineChars="0"/>
              <w:rPr>
                <w:rFonts w:hint="eastAsia" w:ascii="宋体" w:hAnsi="宋体"/>
                <w:highlight w:val="none"/>
              </w:rPr>
            </w:pPr>
            <w:r>
              <w:rPr>
                <w:rFonts w:hint="eastAsia" w:ascii="宋体" w:hAnsi="宋体"/>
                <w:highlight w:val="none"/>
              </w:rPr>
              <w:t>专用工具</w:t>
            </w:r>
          </w:p>
        </w:tc>
        <w:tc>
          <w:tcPr>
            <w:tcW w:w="2551" w:type="dxa"/>
            <w:vMerge w:val="continue"/>
            <w:tcBorders>
              <w:top w:val="single" w:color="000000" w:sz="6" w:space="0"/>
              <w:left w:val="single" w:color="000000" w:sz="6" w:space="0"/>
              <w:right w:val="single" w:color="000000" w:sz="6" w:space="0"/>
            </w:tcBorders>
          </w:tcPr>
          <w:p>
            <w:pPr>
              <w:rPr>
                <w:highlight w:val="none"/>
              </w:rPr>
            </w:pPr>
          </w:p>
        </w:tc>
        <w:tc>
          <w:tcPr>
            <w:tcW w:w="2557" w:type="dxa"/>
            <w:vMerge w:val="continue"/>
            <w:tcBorders>
              <w:top w:val="single" w:color="000000" w:sz="6" w:space="0"/>
              <w:left w:val="single" w:color="000000" w:sz="6" w:space="0"/>
              <w:right w:val="single" w:color="auto" w:sz="4" w:space="0"/>
            </w:tcBorders>
          </w:tcPr>
          <w:p>
            <w:pPr>
              <w:rPr>
                <w:highlight w:val="none"/>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821" w:type="dxa"/>
            <w:tcBorders>
              <w:top w:val="single" w:color="000000" w:sz="6" w:space="0"/>
              <w:left w:val="single" w:color="auto" w:sz="4" w:space="0"/>
              <w:right w:val="single" w:color="000000" w:sz="6" w:space="0"/>
            </w:tcBorders>
          </w:tcPr>
          <w:p>
            <w:pPr>
              <w:ind w:left="0" w:firstLine="0" w:firstLineChars="0"/>
              <w:rPr>
                <w:rFonts w:hint="eastAsia" w:ascii="宋体" w:hAnsi="宋体"/>
                <w:highlight w:val="none"/>
              </w:rPr>
            </w:pPr>
            <w:r>
              <w:rPr>
                <w:rFonts w:hint="eastAsia" w:ascii="宋体" w:hAnsi="宋体"/>
                <w:highlight w:val="none"/>
              </w:rPr>
              <w:t>4</w:t>
            </w:r>
          </w:p>
        </w:tc>
        <w:tc>
          <w:tcPr>
            <w:tcW w:w="2435" w:type="dxa"/>
            <w:tcBorders>
              <w:top w:val="single" w:color="000000" w:sz="6" w:space="0"/>
              <w:left w:val="single" w:color="000000" w:sz="6" w:space="0"/>
              <w:right w:val="single" w:color="000000" w:sz="6" w:space="0"/>
            </w:tcBorders>
            <w:vAlign w:val="center"/>
          </w:tcPr>
          <w:p>
            <w:pPr>
              <w:ind w:left="0" w:firstLine="0" w:firstLineChars="0"/>
              <w:rPr>
                <w:rFonts w:hint="eastAsia" w:ascii="宋体" w:hAnsi="宋体"/>
                <w:highlight w:val="none"/>
              </w:rPr>
            </w:pPr>
            <w:r>
              <w:rPr>
                <w:rFonts w:hint="eastAsia" w:ascii="宋体" w:hAnsi="宋体"/>
                <w:highlight w:val="none"/>
              </w:rPr>
              <w:t>其它</w:t>
            </w:r>
          </w:p>
        </w:tc>
        <w:tc>
          <w:tcPr>
            <w:tcW w:w="2551" w:type="dxa"/>
            <w:vMerge w:val="continue"/>
            <w:tcBorders>
              <w:top w:val="single" w:color="000000" w:sz="6" w:space="0"/>
              <w:left w:val="single" w:color="000000" w:sz="6" w:space="0"/>
              <w:right w:val="single" w:color="000000" w:sz="6" w:space="0"/>
            </w:tcBorders>
          </w:tcPr>
          <w:p>
            <w:pPr>
              <w:rPr>
                <w:highlight w:val="none"/>
              </w:rPr>
            </w:pPr>
          </w:p>
        </w:tc>
        <w:tc>
          <w:tcPr>
            <w:tcW w:w="2557" w:type="dxa"/>
            <w:vMerge w:val="continue"/>
            <w:tcBorders>
              <w:top w:val="single" w:color="000000" w:sz="6" w:space="0"/>
              <w:left w:val="single" w:color="000000" w:sz="6" w:space="0"/>
              <w:right w:val="single" w:color="auto" w:sz="4" w:space="0"/>
            </w:tcBorders>
          </w:tcPr>
          <w:p>
            <w:pPr>
              <w:rPr>
                <w:highlight w:val="none"/>
              </w:rPr>
            </w:pPr>
          </w:p>
        </w:tc>
      </w:tr>
    </w:tbl>
    <w:p>
      <w:pPr>
        <w:rPr>
          <w:rFonts w:hint="eastAsia" w:ascii="宋体" w:hAnsi="宋体"/>
          <w:highlight w:val="none"/>
        </w:rPr>
      </w:pPr>
    </w:p>
    <w:p>
      <w:pPr>
        <w:rPr>
          <w:rFonts w:hint="eastAsia" w:ascii="宋体" w:hAnsi="宋体"/>
          <w:highlight w:val="none"/>
        </w:rPr>
      </w:pPr>
      <w:bookmarkStart w:id="104" w:name="_Toc446244110"/>
      <w:r>
        <w:rPr>
          <w:rFonts w:hint="eastAsia" w:ascii="宋体" w:hAnsi="宋体"/>
          <w:highlight w:val="none"/>
        </w:rPr>
        <w:t>1）投标人应负责本系统相关设备的包装和运输，若因包装和运输过程中发生系统仪器设备的损坏，由投标人负完全责任。</w:t>
      </w:r>
      <w:bookmarkEnd w:id="104"/>
    </w:p>
    <w:p>
      <w:pPr>
        <w:rPr>
          <w:rFonts w:hint="eastAsia" w:ascii="宋体" w:hAnsi="宋体"/>
          <w:highlight w:val="none"/>
        </w:rPr>
      </w:pPr>
      <w:bookmarkStart w:id="105" w:name="_Toc446244112"/>
      <w:r>
        <w:rPr>
          <w:rFonts w:hint="eastAsia" w:ascii="宋体" w:hAnsi="宋体"/>
          <w:highlight w:val="none"/>
        </w:rPr>
        <w:t>2）设备到达现场，投标人派人到现场办理交接。</w:t>
      </w:r>
      <w:bookmarkEnd w:id="105"/>
    </w:p>
    <w:p>
      <w:pPr>
        <w:rPr>
          <w:rFonts w:hint="eastAsia" w:ascii="宋体" w:hAnsi="宋体"/>
          <w:highlight w:val="none"/>
        </w:rPr>
      </w:pPr>
      <w:bookmarkStart w:id="106" w:name="_Toc446244113"/>
      <w:r>
        <w:rPr>
          <w:rFonts w:hint="eastAsia" w:ascii="宋体" w:hAnsi="宋体"/>
          <w:highlight w:val="none"/>
        </w:rPr>
        <w:t xml:space="preserve">3）设备的交货顺序要满足工程安装进度和顺序的要求。 </w:t>
      </w:r>
      <w:bookmarkEnd w:id="106"/>
    </w:p>
    <w:p>
      <w:pPr>
        <w:rPr>
          <w:rFonts w:hint="eastAsia" w:ascii="宋体" w:hAnsi="宋体"/>
          <w:highlight w:val="none"/>
        </w:rPr>
      </w:pPr>
      <w:bookmarkStart w:id="107" w:name="_Toc446244114"/>
      <w:r>
        <w:rPr>
          <w:rFonts w:hint="eastAsia" w:ascii="宋体" w:hAnsi="宋体"/>
          <w:highlight w:val="none"/>
        </w:rPr>
        <w:t>4）表中交货进度为暂定时间，如有变动，招标人将提前两周以书面形式通知投标人，投标人应按招标人要求供货，并不发生任何费用。</w:t>
      </w:r>
      <w:bookmarkEnd w:id="107"/>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sectPr>
          <w:footerReference r:id="rId7" w:type="default"/>
          <w:pgSz w:w="11907" w:h="16840"/>
          <w:pgMar w:top="1418" w:right="1531" w:bottom="1418" w:left="1701" w:header="851" w:footer="1021" w:gutter="0"/>
          <w:cols w:space="720" w:num="1"/>
          <w:docGrid w:linePitch="326" w:charSpace="0"/>
        </w:sectPr>
      </w:pPr>
    </w:p>
    <w:p>
      <w:pPr>
        <w:pStyle w:val="3"/>
        <w:spacing w:before="300" w:after="300"/>
        <w:ind w:left="0" w:right="0"/>
        <w:jc w:val="both"/>
        <w:textAlignment w:val="auto"/>
        <w:rPr>
          <w:rFonts w:hint="eastAsia" w:ascii="宋体" w:hAnsi="宋体" w:eastAsia="宋体"/>
          <w:b/>
          <w:bCs/>
          <w:color w:val="auto"/>
          <w:sz w:val="30"/>
          <w:szCs w:val="30"/>
          <w:highlight w:val="none"/>
        </w:rPr>
      </w:pPr>
      <w:bookmarkStart w:id="108" w:name="_Toc286159473"/>
      <w:bookmarkStart w:id="109" w:name="_Toc515785176"/>
      <w:bookmarkStart w:id="110" w:name="_Toc513014514"/>
      <w:bookmarkStart w:id="111" w:name="_Toc501817570"/>
      <w:bookmarkStart w:id="112" w:name="_Toc190301447"/>
      <w:r>
        <w:rPr>
          <w:rFonts w:hint="eastAsia" w:ascii="宋体" w:hAnsi="宋体" w:eastAsia="宋体"/>
          <w:b/>
          <w:bCs/>
          <w:color w:val="auto"/>
          <w:sz w:val="30"/>
          <w:szCs w:val="30"/>
          <w:highlight w:val="none"/>
        </w:rPr>
        <w:t xml:space="preserve">附件5 </w:t>
      </w:r>
      <w:bookmarkEnd w:id="108"/>
      <w:bookmarkEnd w:id="109"/>
      <w:bookmarkEnd w:id="110"/>
      <w:bookmarkEnd w:id="111"/>
      <w:bookmarkStart w:id="113" w:name="_Toc513014515"/>
      <w:bookmarkStart w:id="114" w:name="_Toc515785177"/>
      <w:bookmarkStart w:id="115" w:name="_Toc501817571"/>
      <w:r>
        <w:rPr>
          <w:rFonts w:hint="eastAsia" w:ascii="宋体" w:hAnsi="宋体" w:eastAsia="宋体"/>
          <w:b/>
          <w:bCs/>
          <w:color w:val="auto"/>
          <w:sz w:val="30"/>
          <w:szCs w:val="30"/>
          <w:highlight w:val="none"/>
        </w:rPr>
        <w:t>验收</w:t>
      </w:r>
      <w:bookmarkEnd w:id="112"/>
    </w:p>
    <w:bookmarkEnd w:id="113"/>
    <w:bookmarkEnd w:id="114"/>
    <w:bookmarkEnd w:id="115"/>
    <w:p>
      <w:pPr>
        <w:rPr>
          <w:rFonts w:hint="eastAsia" w:ascii="宋体" w:hAnsi="宋体"/>
          <w:highlight w:val="none"/>
        </w:rPr>
      </w:pPr>
      <w:r>
        <w:rPr>
          <w:rFonts w:hint="eastAsia" w:ascii="宋体" w:hAnsi="宋体"/>
          <w:highlight w:val="none"/>
        </w:rPr>
        <w:t>1.</w:t>
      </w:r>
      <w:r>
        <w:rPr>
          <w:rFonts w:hint="eastAsia" w:ascii="宋体" w:hAnsi="宋体"/>
          <w:highlight w:val="none"/>
        </w:rPr>
        <w:tab/>
      </w:r>
      <w:r>
        <w:rPr>
          <w:rFonts w:hint="eastAsia" w:ascii="宋体" w:hAnsi="宋体"/>
          <w:highlight w:val="none"/>
        </w:rPr>
        <w:t>总体要求</w:t>
      </w:r>
    </w:p>
    <w:p>
      <w:pPr>
        <w:rPr>
          <w:rFonts w:hint="eastAsia" w:ascii="宋体" w:hAnsi="宋体"/>
          <w:highlight w:val="none"/>
        </w:rPr>
      </w:pPr>
      <w:r>
        <w:rPr>
          <w:rFonts w:hint="eastAsia" w:ascii="宋体" w:hAnsi="宋体"/>
          <w:highlight w:val="none"/>
        </w:rPr>
        <w:t>1)</w:t>
      </w:r>
      <w:r>
        <w:rPr>
          <w:rFonts w:hint="eastAsia" w:ascii="宋体" w:hAnsi="宋体"/>
          <w:highlight w:val="none"/>
        </w:rPr>
        <w:tab/>
      </w:r>
      <w:r>
        <w:rPr>
          <w:rFonts w:hint="eastAsia" w:ascii="宋体" w:hAnsi="宋体"/>
          <w:highlight w:val="none"/>
        </w:rPr>
        <w:t>本工程分为到货验收、初步验收、最终验收；</w:t>
      </w:r>
    </w:p>
    <w:p>
      <w:pPr>
        <w:rPr>
          <w:rFonts w:hint="eastAsia" w:ascii="宋体" w:hAnsi="宋体"/>
          <w:highlight w:val="none"/>
        </w:rPr>
      </w:pPr>
      <w:r>
        <w:rPr>
          <w:rFonts w:hint="eastAsia" w:ascii="宋体" w:hAnsi="宋体"/>
          <w:highlight w:val="none"/>
        </w:rPr>
        <w:t>2)</w:t>
      </w:r>
      <w:r>
        <w:rPr>
          <w:rFonts w:hint="eastAsia" w:ascii="宋体" w:hAnsi="宋体"/>
          <w:highlight w:val="none"/>
        </w:rPr>
        <w:tab/>
      </w:r>
      <w:r>
        <w:rPr>
          <w:rFonts w:hint="eastAsia" w:ascii="宋体" w:hAnsi="宋体"/>
          <w:highlight w:val="none"/>
        </w:rPr>
        <w:t>验收由双方共同参与；</w:t>
      </w:r>
    </w:p>
    <w:p>
      <w:pPr>
        <w:rPr>
          <w:rFonts w:hint="eastAsia" w:ascii="宋体" w:hAnsi="宋体"/>
          <w:highlight w:val="none"/>
        </w:rPr>
      </w:pPr>
      <w:r>
        <w:rPr>
          <w:rFonts w:ascii="宋体" w:hAnsi="宋体"/>
          <w:highlight w:val="none"/>
        </w:rPr>
        <w:t>3</w:t>
      </w:r>
      <w:r>
        <w:rPr>
          <w:rFonts w:hint="eastAsia" w:ascii="宋体" w:hAnsi="宋体"/>
          <w:highlight w:val="none"/>
        </w:rPr>
        <w:t>)</w:t>
      </w:r>
      <w:r>
        <w:rPr>
          <w:rFonts w:hint="eastAsia" w:ascii="宋体" w:hAnsi="宋体"/>
          <w:highlight w:val="none"/>
        </w:rPr>
        <w:tab/>
      </w:r>
      <w:r>
        <w:rPr>
          <w:rFonts w:hint="eastAsia" w:ascii="宋体" w:hAnsi="宋体"/>
          <w:highlight w:val="none"/>
        </w:rPr>
        <w:t>所有测试及验收费用包含在合同总价之中。</w:t>
      </w:r>
    </w:p>
    <w:p>
      <w:pPr>
        <w:rPr>
          <w:rFonts w:hint="eastAsia" w:ascii="宋体" w:hAnsi="宋体"/>
          <w:highlight w:val="none"/>
        </w:rPr>
      </w:pPr>
      <w:r>
        <w:rPr>
          <w:rFonts w:hint="eastAsia" w:ascii="宋体" w:hAnsi="宋体"/>
          <w:highlight w:val="none"/>
        </w:rPr>
        <w:t>2、到货验收</w:t>
      </w:r>
    </w:p>
    <w:p>
      <w:pPr>
        <w:rPr>
          <w:rFonts w:hint="eastAsia" w:ascii="宋体" w:hAnsi="宋体"/>
          <w:highlight w:val="none"/>
        </w:rPr>
      </w:pPr>
      <w:r>
        <w:rPr>
          <w:rFonts w:hint="eastAsia" w:ascii="宋体" w:hAnsi="宋体"/>
          <w:highlight w:val="none"/>
        </w:rPr>
        <w:t>1)</w:t>
      </w:r>
      <w:r>
        <w:rPr>
          <w:rFonts w:hint="eastAsia" w:ascii="宋体" w:hAnsi="宋体"/>
          <w:highlight w:val="none"/>
        </w:rPr>
        <w:tab/>
      </w:r>
      <w:r>
        <w:rPr>
          <w:rFonts w:hint="eastAsia" w:ascii="宋体" w:hAnsi="宋体"/>
          <w:highlight w:val="none"/>
        </w:rPr>
        <w:t>系统所需的主要设备到达招标人指定地点，提交相关到货资料并经过招标人确认后，可进行到货验收。</w:t>
      </w:r>
    </w:p>
    <w:p>
      <w:pPr>
        <w:rPr>
          <w:rFonts w:hint="eastAsia" w:ascii="宋体" w:hAnsi="宋体"/>
          <w:highlight w:val="none"/>
        </w:rPr>
      </w:pPr>
      <w:r>
        <w:rPr>
          <w:rFonts w:hint="eastAsia" w:ascii="宋体" w:hAnsi="宋体"/>
          <w:highlight w:val="none"/>
        </w:rPr>
        <w:t>2.</w:t>
      </w:r>
      <w:r>
        <w:rPr>
          <w:rFonts w:hint="eastAsia" w:ascii="宋体" w:hAnsi="宋体"/>
          <w:highlight w:val="none"/>
        </w:rPr>
        <w:tab/>
      </w:r>
      <w:r>
        <w:rPr>
          <w:rFonts w:hint="eastAsia" w:ascii="宋体" w:hAnsi="宋体"/>
          <w:highlight w:val="none"/>
        </w:rPr>
        <w:t>初步验收</w:t>
      </w:r>
    </w:p>
    <w:p>
      <w:pPr>
        <w:rPr>
          <w:rFonts w:hint="eastAsia" w:ascii="宋体" w:hAnsi="宋体"/>
          <w:highlight w:val="none"/>
        </w:rPr>
      </w:pPr>
      <w:r>
        <w:rPr>
          <w:rFonts w:hint="eastAsia" w:ascii="宋体" w:hAnsi="宋体"/>
          <w:highlight w:val="none"/>
        </w:rPr>
        <w:t>1)</w:t>
      </w:r>
      <w:r>
        <w:rPr>
          <w:rFonts w:hint="eastAsia" w:ascii="宋体" w:hAnsi="宋体"/>
          <w:highlight w:val="none"/>
        </w:rPr>
        <w:tab/>
      </w:r>
      <w:r>
        <w:rPr>
          <w:rFonts w:hint="eastAsia" w:ascii="宋体" w:hAnsi="宋体"/>
          <w:highlight w:val="none"/>
        </w:rPr>
        <w:t>初步验收在系统安装调试完成后，设备和系统的性能及技术指标达到技术协议书的要求、招标人得到技术协议书规定的资料后、进行初步验收。初验合格后，招标人即签发初步验收文件。</w:t>
      </w:r>
    </w:p>
    <w:p>
      <w:pPr>
        <w:rPr>
          <w:rFonts w:hint="eastAsia" w:ascii="宋体" w:hAnsi="宋体"/>
          <w:highlight w:val="none"/>
        </w:rPr>
      </w:pPr>
      <w:r>
        <w:rPr>
          <w:rFonts w:hint="eastAsia" w:ascii="宋体" w:hAnsi="宋体"/>
          <w:highlight w:val="none"/>
        </w:rPr>
        <w:t>3.</w:t>
      </w:r>
      <w:r>
        <w:rPr>
          <w:rFonts w:hint="eastAsia" w:ascii="宋体" w:hAnsi="宋体"/>
          <w:highlight w:val="none"/>
        </w:rPr>
        <w:tab/>
      </w:r>
      <w:r>
        <w:rPr>
          <w:rFonts w:hint="eastAsia" w:ascii="宋体" w:hAnsi="宋体"/>
          <w:highlight w:val="none"/>
        </w:rPr>
        <w:t>最终验收</w:t>
      </w:r>
    </w:p>
    <w:p>
      <w:pPr>
        <w:rPr>
          <w:rFonts w:hint="eastAsia" w:ascii="宋体" w:hAnsi="宋体"/>
          <w:highlight w:val="none"/>
        </w:rPr>
      </w:pPr>
      <w:r>
        <w:rPr>
          <w:rFonts w:hint="eastAsia" w:ascii="宋体" w:hAnsi="宋体"/>
          <w:highlight w:val="none"/>
        </w:rPr>
        <w:t>1)</w:t>
      </w:r>
      <w:r>
        <w:rPr>
          <w:rFonts w:hint="eastAsia" w:ascii="宋体" w:hAnsi="宋体"/>
          <w:highlight w:val="none"/>
        </w:rPr>
        <w:tab/>
      </w:r>
      <w:r>
        <w:rPr>
          <w:rFonts w:hint="eastAsia" w:ascii="宋体" w:hAnsi="宋体"/>
          <w:highlight w:val="none"/>
        </w:rPr>
        <w:t>当系统通过初步验收、系统运行正常并解决质保期内遗留问题后，可进行竣工验收，竣工验收合格后由招标人签发最终验收文件。</w:t>
      </w:r>
    </w:p>
    <w:p>
      <w:pPr>
        <w:rPr>
          <w:rFonts w:hint="eastAsia" w:ascii="宋体" w:hAnsi="宋体"/>
          <w:highlight w:val="none"/>
        </w:rPr>
      </w:pPr>
      <w:r>
        <w:rPr>
          <w:rFonts w:ascii="宋体" w:hAnsi="宋体"/>
          <w:highlight w:val="none"/>
        </w:rPr>
        <w:t>4</w:t>
      </w:r>
      <w:r>
        <w:rPr>
          <w:rFonts w:hint="eastAsia" w:ascii="宋体" w:hAnsi="宋体"/>
          <w:highlight w:val="none"/>
        </w:rPr>
        <w:t>.</w:t>
      </w:r>
      <w:r>
        <w:rPr>
          <w:rFonts w:hint="eastAsia" w:ascii="宋体" w:hAnsi="宋体"/>
          <w:highlight w:val="none"/>
        </w:rPr>
        <w:tab/>
      </w:r>
      <w:r>
        <w:rPr>
          <w:rFonts w:hint="eastAsia" w:ascii="宋体" w:hAnsi="宋体"/>
          <w:highlight w:val="none"/>
        </w:rPr>
        <w:t>测试及验收过程中出现任何系统故障，整个验收和诊断流程将重新开始。</w:t>
      </w:r>
    </w:p>
    <w:p>
      <w:pPr>
        <w:rPr>
          <w:rFonts w:hint="eastAsia" w:ascii="宋体" w:hAnsi="宋体"/>
          <w:highlight w:val="none"/>
        </w:rPr>
      </w:pPr>
    </w:p>
    <w:p>
      <w:pPr>
        <w:pStyle w:val="8"/>
        <w:rPr>
          <w:rFonts w:hint="eastAsia" w:hAnsi="宋体"/>
          <w:highlight w:val="none"/>
        </w:rPr>
        <w:sectPr>
          <w:pgSz w:w="11907" w:h="16840"/>
          <w:pgMar w:top="1418" w:right="1531" w:bottom="1418" w:left="1701" w:header="851" w:footer="1021" w:gutter="0"/>
          <w:cols w:space="720" w:num="1"/>
          <w:docGrid w:linePitch="326" w:charSpace="0"/>
        </w:sectPr>
      </w:pPr>
    </w:p>
    <w:p>
      <w:pPr>
        <w:pStyle w:val="3"/>
        <w:spacing w:before="300" w:after="300"/>
        <w:ind w:left="0" w:right="0"/>
        <w:jc w:val="both"/>
        <w:textAlignment w:val="auto"/>
        <w:rPr>
          <w:rFonts w:hint="eastAsia" w:ascii="宋体" w:hAnsi="宋体" w:eastAsia="宋体"/>
          <w:b/>
          <w:bCs/>
          <w:color w:val="auto"/>
          <w:sz w:val="30"/>
          <w:szCs w:val="30"/>
          <w:highlight w:val="none"/>
        </w:rPr>
      </w:pPr>
      <w:bookmarkStart w:id="116" w:name="_Toc488922627"/>
      <w:bookmarkStart w:id="117" w:name="_Toc515705620"/>
      <w:bookmarkStart w:id="118" w:name="_Toc515622054"/>
      <w:bookmarkStart w:id="119" w:name="_Toc515785184"/>
      <w:bookmarkStart w:id="120" w:name="_Toc190301448"/>
      <w:bookmarkStart w:id="121" w:name="_Toc286159474"/>
      <w:bookmarkStart w:id="122" w:name="_Toc515697899"/>
      <w:bookmarkStart w:id="123" w:name="_Toc515335072"/>
      <w:bookmarkStart w:id="124" w:name="_Toc515727599"/>
      <w:bookmarkStart w:id="125" w:name="_Toc515332013"/>
      <w:bookmarkStart w:id="126" w:name="_Toc515708315"/>
      <w:r>
        <w:rPr>
          <w:rFonts w:hint="eastAsia" w:ascii="宋体" w:hAnsi="宋体" w:eastAsia="宋体"/>
          <w:b/>
          <w:bCs/>
          <w:color w:val="auto"/>
          <w:sz w:val="30"/>
          <w:szCs w:val="30"/>
          <w:highlight w:val="none"/>
        </w:rPr>
        <w:t>附件</w:t>
      </w:r>
      <w:bookmarkEnd w:id="116"/>
      <w:bookmarkStart w:id="127" w:name="_Hlt515349331"/>
      <w:bookmarkEnd w:id="127"/>
      <w:r>
        <w:rPr>
          <w:rFonts w:hint="eastAsia" w:ascii="宋体" w:hAnsi="宋体" w:eastAsia="宋体"/>
          <w:b/>
          <w:bCs/>
          <w:color w:val="auto"/>
          <w:sz w:val="30"/>
          <w:szCs w:val="30"/>
          <w:highlight w:val="none"/>
        </w:rPr>
        <w:t>6 技术服务和联络</w:t>
      </w:r>
      <w:bookmarkEnd w:id="117"/>
      <w:bookmarkEnd w:id="118"/>
      <w:bookmarkEnd w:id="119"/>
      <w:bookmarkEnd w:id="120"/>
      <w:bookmarkEnd w:id="121"/>
      <w:bookmarkEnd w:id="122"/>
      <w:bookmarkEnd w:id="123"/>
      <w:bookmarkEnd w:id="124"/>
      <w:bookmarkEnd w:id="125"/>
      <w:bookmarkEnd w:id="126"/>
      <w:bookmarkStart w:id="128" w:name="_Toc515697900"/>
      <w:bookmarkStart w:id="129" w:name="_Toc515785185"/>
      <w:bookmarkStart w:id="130" w:name="_Toc515705621"/>
      <w:bookmarkStart w:id="131" w:name="_Toc515727600"/>
      <w:bookmarkStart w:id="132" w:name="_Toc515708316"/>
    </w:p>
    <w:bookmarkEnd w:id="128"/>
    <w:bookmarkEnd w:id="129"/>
    <w:bookmarkEnd w:id="130"/>
    <w:bookmarkEnd w:id="131"/>
    <w:bookmarkEnd w:id="132"/>
    <w:p>
      <w:pPr>
        <w:pStyle w:val="4"/>
        <w:spacing w:before="200" w:after="200"/>
        <w:ind w:left="0" w:right="0"/>
        <w:jc w:val="both"/>
        <w:textAlignment w:val="auto"/>
        <w:rPr>
          <w:rFonts w:hint="eastAsia" w:ascii="宋体" w:hAnsi="宋体" w:eastAsia="宋体"/>
          <w:b/>
          <w:color w:val="auto"/>
          <w:sz w:val="28"/>
          <w:szCs w:val="28"/>
          <w:highlight w:val="none"/>
        </w:rPr>
      </w:pPr>
      <w:bookmarkStart w:id="133" w:name="_Toc501817577"/>
      <w:bookmarkStart w:id="134" w:name="_Toc446244121"/>
      <w:bookmarkStart w:id="135" w:name="_Toc491761288"/>
      <w:bookmarkStart w:id="136" w:name="_Toc470861369"/>
      <w:bookmarkStart w:id="137" w:name="_Toc491669884"/>
      <w:bookmarkStart w:id="138" w:name="_Toc515332014"/>
      <w:bookmarkStart w:id="139" w:name="_Toc515622055"/>
      <w:bookmarkStart w:id="140" w:name="_Toc515697903"/>
      <w:bookmarkStart w:id="141" w:name="_Toc515335073"/>
      <w:bookmarkStart w:id="142" w:name="_Toc488922628"/>
      <w:r>
        <w:rPr>
          <w:rFonts w:ascii="宋体" w:hAnsi="宋体" w:eastAsia="宋体"/>
          <w:b/>
          <w:color w:val="auto"/>
          <w:sz w:val="28"/>
          <w:szCs w:val="28"/>
          <w:highlight w:val="none"/>
        </w:rPr>
        <w:t xml:space="preserve">1 </w:t>
      </w:r>
      <w:r>
        <w:rPr>
          <w:rFonts w:hint="eastAsia" w:ascii="宋体" w:hAnsi="宋体" w:eastAsia="宋体"/>
          <w:b/>
          <w:color w:val="auto"/>
          <w:sz w:val="28"/>
          <w:szCs w:val="28"/>
          <w:highlight w:val="none"/>
        </w:rPr>
        <w:t>投标人现场技术服务</w:t>
      </w:r>
      <w:bookmarkEnd w:id="133"/>
      <w:bookmarkEnd w:id="134"/>
      <w:bookmarkEnd w:id="135"/>
      <w:bookmarkEnd w:id="136"/>
      <w:bookmarkEnd w:id="137"/>
    </w:p>
    <w:p>
      <w:pPr>
        <w:rPr>
          <w:rFonts w:hint="eastAsia" w:ascii="宋体" w:hAnsi="宋体"/>
          <w:highlight w:val="none"/>
        </w:rPr>
      </w:pPr>
      <w:r>
        <w:rPr>
          <w:rFonts w:ascii="宋体" w:hAnsi="宋体"/>
          <w:highlight w:val="none"/>
        </w:rPr>
        <w:t>1.1</w:t>
      </w:r>
      <w:r>
        <w:rPr>
          <w:rFonts w:hint="eastAsia" w:ascii="宋体" w:hAnsi="宋体"/>
          <w:highlight w:val="none"/>
        </w:rPr>
        <w:t>投标人现场技术服务人员的目的是保证所提供的合同设备安全、正常投运。投标人要派出合格的、能独立解决问题的现场实施人员。投标人提供的现场服务应能满足项目实施需要。如果由于投标人的原因，人天数不能满足项目实施需要，招标人有权追加人天数，且发生的费用由投标人承担。</w:t>
      </w:r>
    </w:p>
    <w:p>
      <w:pPr>
        <w:rPr>
          <w:rFonts w:hint="eastAsia" w:ascii="宋体" w:hAnsi="宋体"/>
          <w:highlight w:val="none"/>
        </w:rPr>
      </w:pPr>
      <w:r>
        <w:rPr>
          <w:rFonts w:hint="eastAsia" w:ascii="宋体" w:hAnsi="宋体"/>
          <w:highlight w:val="none"/>
        </w:rPr>
        <w:t>1</w:t>
      </w:r>
      <w:r>
        <w:rPr>
          <w:rFonts w:ascii="宋体" w:hAnsi="宋体"/>
          <w:highlight w:val="none"/>
        </w:rPr>
        <w:t>.</w:t>
      </w:r>
      <w:r>
        <w:rPr>
          <w:rFonts w:hint="eastAsia" w:ascii="宋体" w:hAnsi="宋体"/>
          <w:highlight w:val="none"/>
        </w:rPr>
        <w:t>2投标人实施人员的一切费用已包含在合同总价中，它包括诸如服务人员的工资及各种补助、交通费、通讯费、食宿费、医疗费、各种保险费、各种税费，等等。</w:t>
      </w:r>
    </w:p>
    <w:p>
      <w:pPr>
        <w:rPr>
          <w:rFonts w:hint="eastAsia" w:ascii="宋体" w:hAnsi="宋体"/>
          <w:highlight w:val="none"/>
        </w:rPr>
      </w:pPr>
      <w:r>
        <w:rPr>
          <w:rFonts w:hint="eastAsia" w:ascii="宋体" w:hAnsi="宋体"/>
          <w:highlight w:val="none"/>
        </w:rPr>
        <w:t>1</w:t>
      </w:r>
      <w:r>
        <w:rPr>
          <w:rFonts w:ascii="宋体" w:hAnsi="宋体"/>
          <w:highlight w:val="none"/>
        </w:rPr>
        <w:t>.</w:t>
      </w:r>
      <w:r>
        <w:rPr>
          <w:rFonts w:hint="eastAsia" w:ascii="宋体" w:hAnsi="宋体"/>
          <w:highlight w:val="none"/>
        </w:rPr>
        <w:t>3现场实施人员的工作时间应与现场要求相一致，以满足现场安装、调试和试运行的要求。招标人不再因投标人现场实施人员的加班和节假日而另付费用。</w:t>
      </w:r>
    </w:p>
    <w:p>
      <w:pPr>
        <w:rPr>
          <w:rFonts w:hint="eastAsia" w:ascii="宋体" w:hAnsi="宋体"/>
          <w:highlight w:val="none"/>
        </w:rPr>
      </w:pPr>
      <w:r>
        <w:rPr>
          <w:rFonts w:hint="eastAsia" w:ascii="宋体" w:hAnsi="宋体"/>
          <w:highlight w:val="none"/>
        </w:rPr>
        <w:t>1.4未经招标人同意，投标人不得随意更换现场实施人员。同时，投标人须及时更换招标人认为不合格的投标人现场实施人员。</w:t>
      </w:r>
    </w:p>
    <w:p>
      <w:pPr>
        <w:pStyle w:val="4"/>
        <w:spacing w:before="200" w:after="200"/>
        <w:ind w:left="0" w:right="0"/>
        <w:jc w:val="both"/>
        <w:textAlignment w:val="auto"/>
        <w:rPr>
          <w:rFonts w:hint="eastAsia" w:ascii="宋体" w:hAnsi="宋体" w:eastAsia="宋体"/>
          <w:b/>
          <w:color w:val="auto"/>
          <w:sz w:val="28"/>
          <w:szCs w:val="28"/>
          <w:highlight w:val="none"/>
        </w:rPr>
      </w:pPr>
      <w:bookmarkStart w:id="143" w:name="_Toc446244122"/>
      <w:bookmarkStart w:id="144" w:name="_Toc491761289"/>
      <w:bookmarkStart w:id="145" w:name="_Toc470861370"/>
      <w:bookmarkStart w:id="146" w:name="_Toc501817578"/>
      <w:bookmarkStart w:id="147" w:name="_Toc491669885"/>
      <w:r>
        <w:rPr>
          <w:rFonts w:hint="eastAsia" w:ascii="宋体" w:hAnsi="宋体" w:eastAsia="宋体"/>
          <w:b/>
          <w:color w:val="auto"/>
          <w:sz w:val="28"/>
          <w:szCs w:val="28"/>
          <w:highlight w:val="none"/>
        </w:rPr>
        <w:t>2 质量保证与售后技术支持服务</w:t>
      </w:r>
    </w:p>
    <w:p>
      <w:pPr>
        <w:rPr>
          <w:rFonts w:hint="eastAsia" w:ascii="宋体" w:hAnsi="宋体"/>
          <w:highlight w:val="none"/>
        </w:rPr>
      </w:pPr>
      <w:r>
        <w:rPr>
          <w:rFonts w:ascii="宋体" w:hAnsi="宋体"/>
          <w:highlight w:val="none"/>
        </w:rPr>
        <w:t>2.1</w:t>
      </w:r>
      <w:r>
        <w:rPr>
          <w:rFonts w:hint="eastAsia" w:ascii="宋体" w:hAnsi="宋体"/>
          <w:highlight w:val="none"/>
        </w:rPr>
        <w:t>质保期自项目通过初步验收合格，并解决遗留问题通过复验后起算。</w:t>
      </w:r>
    </w:p>
    <w:p>
      <w:pPr>
        <w:rPr>
          <w:rFonts w:hint="eastAsia" w:ascii="宋体" w:hAnsi="宋体"/>
          <w:highlight w:val="none"/>
        </w:rPr>
      </w:pPr>
      <w:r>
        <w:rPr>
          <w:rFonts w:hint="eastAsia" w:ascii="宋体" w:hAnsi="宋体"/>
          <w:highlight w:val="none"/>
        </w:rPr>
        <w:t>2</w:t>
      </w:r>
      <w:r>
        <w:rPr>
          <w:rFonts w:ascii="宋体" w:hAnsi="宋体"/>
          <w:highlight w:val="none"/>
        </w:rPr>
        <w:t>.2</w:t>
      </w:r>
      <w:r>
        <w:rPr>
          <w:rFonts w:hint="eastAsia" w:ascii="宋体" w:hAnsi="宋体"/>
          <w:highlight w:val="none"/>
        </w:rPr>
        <w:t>在投标文件技术规范书中，投标人应就产品的保修年限与服务内容及方式进行阐述。所有设备提供原厂不少于三年的设备质保服务和五年内软件的免费升级。</w:t>
      </w:r>
    </w:p>
    <w:p>
      <w:pPr>
        <w:rPr>
          <w:rFonts w:hint="eastAsia" w:ascii="宋体" w:hAnsi="宋体"/>
          <w:highlight w:val="none"/>
        </w:rPr>
      </w:pPr>
      <w:r>
        <w:rPr>
          <w:rFonts w:ascii="宋体" w:hAnsi="宋体"/>
          <w:highlight w:val="none"/>
        </w:rPr>
        <w:t>2.3</w:t>
      </w:r>
      <w:r>
        <w:rPr>
          <w:rFonts w:hint="eastAsia" w:ascii="宋体" w:hAnsi="宋体"/>
          <w:highlight w:val="none"/>
        </w:rPr>
        <w:t>投标人应承诺服务响应时间及提供的服务。投标人应提供不低于5年7×24小时的服务响应。</w:t>
      </w:r>
    </w:p>
    <w:p>
      <w:pPr>
        <w:rPr>
          <w:rFonts w:hint="eastAsia" w:ascii="宋体" w:hAnsi="宋体"/>
          <w:highlight w:val="none"/>
        </w:rPr>
      </w:pPr>
      <w:r>
        <w:rPr>
          <w:rFonts w:ascii="宋体" w:hAnsi="宋体"/>
          <w:highlight w:val="none"/>
        </w:rPr>
        <w:t>2.4</w:t>
      </w:r>
      <w:r>
        <w:rPr>
          <w:rFonts w:hint="eastAsia" w:ascii="宋体" w:hAnsi="宋体"/>
          <w:highlight w:val="none"/>
        </w:rPr>
        <w:t>在质保期内如出现设备无法正常运行的情况，投标人必须保证在报修24小时内恢复。</w:t>
      </w: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4"/>
        <w:spacing w:before="200" w:after="200"/>
        <w:ind w:left="0" w:right="0"/>
        <w:jc w:val="both"/>
        <w:textAlignment w:val="auto"/>
        <w:rPr>
          <w:rFonts w:hint="eastAsia" w:ascii="宋体" w:hAnsi="宋体" w:eastAsia="宋体"/>
          <w:b/>
          <w:color w:val="auto"/>
          <w:sz w:val="28"/>
          <w:szCs w:val="28"/>
          <w:highlight w:val="none"/>
        </w:rPr>
      </w:pPr>
      <w:r>
        <w:rPr>
          <w:rFonts w:hint="eastAsia" w:ascii="宋体" w:hAnsi="宋体" w:eastAsia="宋体"/>
          <w:b/>
          <w:color w:val="auto"/>
          <w:sz w:val="28"/>
          <w:szCs w:val="28"/>
          <w:highlight w:val="none"/>
        </w:rPr>
        <w:t>3 培训</w:t>
      </w:r>
      <w:bookmarkEnd w:id="143"/>
      <w:bookmarkEnd w:id="144"/>
      <w:bookmarkEnd w:id="145"/>
      <w:bookmarkEnd w:id="146"/>
      <w:bookmarkEnd w:id="147"/>
    </w:p>
    <w:p>
      <w:pPr>
        <w:rPr>
          <w:rFonts w:hint="eastAsia" w:ascii="宋体" w:hAnsi="宋体"/>
          <w:highlight w:val="none"/>
        </w:rPr>
      </w:pPr>
      <w:r>
        <w:rPr>
          <w:rFonts w:ascii="宋体" w:hAnsi="宋体"/>
          <w:highlight w:val="none"/>
        </w:rPr>
        <w:t>3.1</w:t>
      </w:r>
      <w:r>
        <w:rPr>
          <w:rFonts w:hint="eastAsia" w:ascii="宋体" w:hAnsi="宋体"/>
          <w:highlight w:val="none"/>
        </w:rPr>
        <w:t>为使合同设备能正常安装、调试、运行、维护及检修，投标人有义务提供相应的技术培训。培训内容和时间应与工程进度相一致。</w:t>
      </w:r>
    </w:p>
    <w:p>
      <w:pPr>
        <w:rPr>
          <w:rFonts w:hint="eastAsia" w:ascii="宋体" w:hAnsi="宋体"/>
          <w:highlight w:val="none"/>
        </w:rPr>
      </w:pPr>
      <w:r>
        <w:rPr>
          <w:rFonts w:ascii="宋体" w:hAnsi="宋体"/>
          <w:highlight w:val="none"/>
        </w:rPr>
        <w:t>3.2</w:t>
      </w:r>
      <w:r>
        <w:rPr>
          <w:rFonts w:hint="eastAsia" w:ascii="宋体" w:hAnsi="宋体"/>
          <w:highlight w:val="none"/>
        </w:rPr>
        <w:t>培训计划和内容列出如下：</w:t>
      </w:r>
    </w:p>
    <w:p>
      <w:pPr>
        <w:rPr>
          <w:rFonts w:hint="eastAsia" w:ascii="宋体" w:hAnsi="宋体"/>
          <w:highlight w:val="none"/>
        </w:rPr>
      </w:pPr>
      <w:r>
        <w:rPr>
          <w:rFonts w:hint="eastAsia" w:ascii="宋体" w:hAnsi="宋体"/>
          <w:highlight w:val="none"/>
        </w:rPr>
        <w:t>培训计划表</w:t>
      </w:r>
    </w:p>
    <w:tbl>
      <w:tblPr>
        <w:tblStyle w:val="12"/>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656"/>
        <w:gridCol w:w="1412"/>
        <w:gridCol w:w="1560"/>
        <w:gridCol w:w="1080"/>
        <w:gridCol w:w="1200"/>
        <w:gridCol w:w="1560"/>
        <w:gridCol w:w="88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56" w:type="dxa"/>
            <w:vMerge w:val="restart"/>
            <w:tcBorders>
              <w:top w:val="single" w:color="auto" w:sz="6" w:space="0"/>
              <w:left w:val="single" w:color="auto" w:sz="6" w:space="0"/>
              <w:bottom w:val="nil"/>
              <w:right w:val="nil"/>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序号</w:t>
            </w:r>
          </w:p>
        </w:tc>
        <w:tc>
          <w:tcPr>
            <w:tcW w:w="1412" w:type="dxa"/>
            <w:vMerge w:val="restart"/>
            <w:tcBorders>
              <w:top w:val="single" w:color="auto" w:sz="6" w:space="0"/>
              <w:left w:val="single" w:color="auto" w:sz="6" w:space="0"/>
              <w:bottom w:val="nil"/>
              <w:right w:val="nil"/>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培训内容</w:t>
            </w:r>
          </w:p>
        </w:tc>
        <w:tc>
          <w:tcPr>
            <w:tcW w:w="1560" w:type="dxa"/>
            <w:vMerge w:val="restart"/>
            <w:tcBorders>
              <w:top w:val="single" w:color="auto" w:sz="6" w:space="0"/>
              <w:left w:val="single" w:color="auto" w:sz="6" w:space="0"/>
              <w:bottom w:val="nil"/>
              <w:right w:val="single" w:color="auto" w:sz="6"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计划人天数</w:t>
            </w:r>
          </w:p>
        </w:tc>
        <w:tc>
          <w:tcPr>
            <w:tcW w:w="2280" w:type="dxa"/>
            <w:gridSpan w:val="2"/>
            <w:tcBorders>
              <w:top w:val="single" w:color="auto" w:sz="6" w:space="0"/>
              <w:left w:val="nil"/>
              <w:bottom w:val="single" w:color="auto" w:sz="6" w:space="0"/>
              <w:right w:val="nil"/>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培训教师构成</w:t>
            </w:r>
          </w:p>
        </w:tc>
        <w:tc>
          <w:tcPr>
            <w:tcW w:w="1560" w:type="dxa"/>
            <w:vMerge w:val="restart"/>
            <w:tcBorders>
              <w:top w:val="single" w:color="auto" w:sz="6" w:space="0"/>
              <w:left w:val="single" w:color="auto" w:sz="6" w:space="0"/>
              <w:bottom w:val="nil"/>
              <w:right w:val="nil"/>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地点</w:t>
            </w:r>
          </w:p>
        </w:tc>
        <w:tc>
          <w:tcPr>
            <w:tcW w:w="888" w:type="dxa"/>
            <w:vMerge w:val="restart"/>
            <w:tcBorders>
              <w:top w:val="single" w:color="auto" w:sz="6" w:space="0"/>
              <w:left w:val="single" w:color="auto" w:sz="6" w:space="0"/>
              <w:bottom w:val="nil"/>
              <w:right w:val="single" w:color="auto" w:sz="6"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56" w:type="dxa"/>
            <w:vMerge w:val="continue"/>
            <w:tcBorders>
              <w:top w:val="nil"/>
              <w:left w:val="single" w:color="auto" w:sz="6" w:space="0"/>
              <w:bottom w:val="single" w:color="auto" w:sz="6" w:space="0"/>
              <w:right w:val="nil"/>
            </w:tcBorders>
          </w:tcPr>
          <w:p>
            <w:pPr>
              <w:rPr>
                <w:highlight w:val="none"/>
              </w:rPr>
            </w:pPr>
          </w:p>
        </w:tc>
        <w:tc>
          <w:tcPr>
            <w:tcW w:w="1412" w:type="dxa"/>
            <w:vMerge w:val="continue"/>
            <w:tcBorders>
              <w:top w:val="nil"/>
              <w:left w:val="single" w:color="auto" w:sz="6" w:space="0"/>
              <w:bottom w:val="single" w:color="auto" w:sz="6" w:space="0"/>
              <w:right w:val="nil"/>
            </w:tcBorders>
          </w:tcPr>
          <w:p>
            <w:pPr>
              <w:rPr>
                <w:highlight w:val="none"/>
              </w:rPr>
            </w:pPr>
          </w:p>
        </w:tc>
        <w:tc>
          <w:tcPr>
            <w:tcW w:w="1560" w:type="dxa"/>
            <w:vMerge w:val="continue"/>
            <w:tcBorders>
              <w:top w:val="nil"/>
              <w:left w:val="single" w:color="auto" w:sz="6" w:space="0"/>
              <w:bottom w:val="single" w:color="auto" w:sz="6" w:space="0"/>
              <w:right w:val="single" w:color="auto" w:sz="6" w:space="0"/>
            </w:tcBorders>
          </w:tcPr>
          <w:p>
            <w:pPr>
              <w:rPr>
                <w:highlight w:val="none"/>
              </w:rPr>
            </w:pPr>
          </w:p>
        </w:tc>
        <w:tc>
          <w:tcPr>
            <w:tcW w:w="1080" w:type="dxa"/>
            <w:tcBorders>
              <w:top w:val="nil"/>
              <w:left w:val="nil"/>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职称</w:t>
            </w:r>
          </w:p>
        </w:tc>
        <w:tc>
          <w:tcPr>
            <w:tcW w:w="1200" w:type="dxa"/>
            <w:tcBorders>
              <w:top w:val="nil"/>
              <w:right w:val="nil"/>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人数</w:t>
            </w:r>
          </w:p>
        </w:tc>
        <w:tc>
          <w:tcPr>
            <w:tcW w:w="1560" w:type="dxa"/>
            <w:vMerge w:val="continue"/>
            <w:tcBorders>
              <w:top w:val="nil"/>
              <w:left w:val="single" w:color="auto" w:sz="6" w:space="0"/>
              <w:bottom w:val="single" w:color="auto" w:sz="6" w:space="0"/>
              <w:right w:val="nil"/>
            </w:tcBorders>
          </w:tcPr>
          <w:p>
            <w:pPr>
              <w:rPr>
                <w:highlight w:val="none"/>
              </w:rPr>
            </w:pPr>
          </w:p>
        </w:tc>
        <w:tc>
          <w:tcPr>
            <w:tcW w:w="888" w:type="dxa"/>
            <w:vMerge w:val="continue"/>
            <w:tcBorders>
              <w:top w:val="nil"/>
              <w:left w:val="single" w:color="auto" w:sz="6" w:space="0"/>
              <w:bottom w:val="single" w:color="auto" w:sz="6" w:space="0"/>
              <w:right w:val="single" w:color="auto" w:sz="6" w:space="0"/>
            </w:tcBorders>
          </w:tcPr>
          <w:p>
            <w:pPr>
              <w:rPr>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56"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1412"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1560"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1080" w:type="dxa"/>
            <w:tcBorders>
              <w:top w:val="single" w:color="000000" w:sz="6" w:space="0"/>
              <w:left w:val="single" w:color="000000" w:sz="6" w:space="0"/>
              <w:right w:val="single" w:color="000000" w:sz="6" w:space="0"/>
            </w:tcBorders>
          </w:tcPr>
          <w:p>
            <w:pPr>
              <w:adjustRightInd w:val="0"/>
              <w:snapToGrid w:val="0"/>
              <w:spacing w:line="240" w:lineRule="auto"/>
              <w:ind w:left="0" w:right="0" w:firstLine="0" w:firstLineChars="0"/>
              <w:rPr>
                <w:rFonts w:hint="eastAsia" w:ascii="宋体" w:hAnsi="宋体"/>
                <w:highlight w:val="none"/>
              </w:rPr>
            </w:pPr>
          </w:p>
        </w:tc>
        <w:tc>
          <w:tcPr>
            <w:tcW w:w="1200" w:type="dxa"/>
            <w:tcBorders>
              <w:top w:val="single" w:color="000000" w:sz="6" w:space="0"/>
              <w:left w:val="single" w:color="000000" w:sz="6" w:space="0"/>
              <w:right w:val="single" w:color="000000" w:sz="6" w:space="0"/>
            </w:tcBorders>
          </w:tcPr>
          <w:p>
            <w:pPr>
              <w:adjustRightInd w:val="0"/>
              <w:snapToGrid w:val="0"/>
              <w:spacing w:line="240" w:lineRule="auto"/>
              <w:ind w:left="0" w:right="0" w:firstLine="0" w:firstLineChars="0"/>
              <w:rPr>
                <w:rFonts w:hint="eastAsia" w:ascii="宋体" w:hAnsi="宋体"/>
                <w:highlight w:val="none"/>
              </w:rPr>
            </w:pPr>
          </w:p>
        </w:tc>
        <w:tc>
          <w:tcPr>
            <w:tcW w:w="1560"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888" w:type="dxa"/>
            <w:tcBorders>
              <w:top w:val="nil"/>
            </w:tcBorders>
          </w:tcPr>
          <w:p>
            <w:pPr>
              <w:adjustRightInd w:val="0"/>
              <w:snapToGrid w:val="0"/>
              <w:spacing w:line="240" w:lineRule="auto"/>
              <w:ind w:left="0" w:right="0" w:firstLine="0" w:firstLineChars="0"/>
              <w:rPr>
                <w:rFonts w:hint="eastAsia" w:ascii="宋体" w:hAnsi="宋体"/>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56"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1412"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1560"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1080" w:type="dxa"/>
            <w:tcBorders>
              <w:top w:val="single" w:color="000000" w:sz="6" w:space="0"/>
              <w:left w:val="single" w:color="000000" w:sz="6" w:space="0"/>
              <w:right w:val="single" w:color="000000" w:sz="6" w:space="0"/>
            </w:tcBorders>
          </w:tcPr>
          <w:p>
            <w:pPr>
              <w:adjustRightInd w:val="0"/>
              <w:snapToGrid w:val="0"/>
              <w:spacing w:line="240" w:lineRule="auto"/>
              <w:ind w:left="0" w:right="0" w:firstLine="0" w:firstLineChars="0"/>
              <w:rPr>
                <w:rFonts w:hint="eastAsia" w:ascii="宋体" w:hAnsi="宋体"/>
                <w:highlight w:val="none"/>
              </w:rPr>
            </w:pPr>
          </w:p>
        </w:tc>
        <w:tc>
          <w:tcPr>
            <w:tcW w:w="1200" w:type="dxa"/>
            <w:tcBorders>
              <w:top w:val="single" w:color="000000" w:sz="6" w:space="0"/>
              <w:left w:val="single" w:color="000000" w:sz="6" w:space="0"/>
              <w:right w:val="single" w:color="000000" w:sz="6" w:space="0"/>
            </w:tcBorders>
          </w:tcPr>
          <w:p>
            <w:pPr>
              <w:adjustRightInd w:val="0"/>
              <w:snapToGrid w:val="0"/>
              <w:spacing w:line="240" w:lineRule="auto"/>
              <w:ind w:left="0" w:right="0" w:firstLine="0" w:firstLineChars="0"/>
              <w:rPr>
                <w:rFonts w:hint="eastAsia" w:ascii="宋体" w:hAnsi="宋体"/>
                <w:highlight w:val="none"/>
              </w:rPr>
            </w:pPr>
          </w:p>
        </w:tc>
        <w:tc>
          <w:tcPr>
            <w:tcW w:w="1560"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888" w:type="dxa"/>
            <w:tcBorders>
              <w:top w:val="nil"/>
            </w:tcBorders>
          </w:tcPr>
          <w:p>
            <w:pPr>
              <w:adjustRightInd w:val="0"/>
              <w:snapToGrid w:val="0"/>
              <w:spacing w:line="240" w:lineRule="auto"/>
              <w:ind w:left="0" w:right="0" w:firstLine="0" w:firstLineChars="0"/>
              <w:rPr>
                <w:rFonts w:hint="eastAsia" w:ascii="宋体" w:hAnsi="宋体"/>
                <w:highlight w:val="none"/>
              </w:rPr>
            </w:pPr>
          </w:p>
        </w:tc>
      </w:tr>
    </w:tbl>
    <w:p>
      <w:pPr>
        <w:rPr>
          <w:rFonts w:hint="eastAsia" w:ascii="宋体" w:hAnsi="宋体"/>
          <w:highlight w:val="none"/>
        </w:rPr>
      </w:pPr>
    </w:p>
    <w:p>
      <w:pPr>
        <w:rPr>
          <w:rFonts w:hint="eastAsia" w:ascii="宋体" w:hAnsi="宋体"/>
          <w:highlight w:val="none"/>
        </w:rPr>
      </w:pPr>
      <w:r>
        <w:rPr>
          <w:rFonts w:ascii="宋体" w:hAnsi="宋体"/>
          <w:highlight w:val="none"/>
        </w:rPr>
        <w:t>3.3</w:t>
      </w:r>
      <w:r>
        <w:rPr>
          <w:rFonts w:hint="eastAsia" w:ascii="宋体" w:hAnsi="宋体"/>
          <w:highlight w:val="none"/>
        </w:rPr>
        <w:t>培训的时间、人数、地点等具体内容由招、投标双方商定。</w:t>
      </w:r>
    </w:p>
    <w:p>
      <w:pPr>
        <w:ind w:left="0" w:firstLine="0" w:firstLineChars="0"/>
        <w:rPr>
          <w:rFonts w:hint="eastAsia" w:ascii="宋体" w:hAnsi="宋体"/>
          <w:snapToGrid w:val="0"/>
          <w:highlight w:val="none"/>
        </w:rPr>
        <w:sectPr>
          <w:pgSz w:w="11906" w:h="16838"/>
          <w:pgMar w:top="1247" w:right="1361" w:bottom="1247" w:left="1361" w:header="794" w:footer="794" w:gutter="0"/>
          <w:cols w:space="720" w:num="1"/>
          <w:docGrid w:type="lines" w:linePitch="312" w:charSpace="0"/>
        </w:sectPr>
      </w:pPr>
      <w:r>
        <w:rPr>
          <w:rFonts w:ascii="宋体" w:hAnsi="宋体"/>
          <w:highlight w:val="none"/>
        </w:rPr>
        <w:t>3.4</w:t>
      </w:r>
      <w:r>
        <w:rPr>
          <w:rFonts w:hint="eastAsia" w:ascii="宋体" w:hAnsi="宋体"/>
          <w:highlight w:val="none"/>
        </w:rPr>
        <w:t>投标人为招标人培训人员提供设备、场地、资料等培训条件，并提供食宿和交通方便。</w:t>
      </w:r>
      <w:bookmarkEnd w:id="138"/>
      <w:bookmarkEnd w:id="139"/>
      <w:bookmarkEnd w:id="140"/>
      <w:bookmarkEnd w:id="141"/>
      <w:bookmarkEnd w:id="142"/>
    </w:p>
    <w:p>
      <w:pPr>
        <w:pStyle w:val="3"/>
        <w:spacing w:before="300" w:after="300"/>
        <w:ind w:left="0" w:right="0"/>
        <w:jc w:val="both"/>
        <w:textAlignment w:val="auto"/>
        <w:rPr>
          <w:rFonts w:hint="eastAsia" w:ascii="宋体" w:hAnsi="宋体" w:eastAsia="宋体"/>
          <w:b/>
          <w:bCs/>
          <w:color w:val="auto"/>
          <w:sz w:val="30"/>
          <w:szCs w:val="30"/>
          <w:highlight w:val="none"/>
        </w:rPr>
      </w:pPr>
      <w:bookmarkStart w:id="148" w:name="_Toc399326523"/>
      <w:bookmarkStart w:id="149" w:name="_Toc396990284"/>
      <w:bookmarkStart w:id="150" w:name="_Toc397174654"/>
      <w:bookmarkStart w:id="151" w:name="_Toc501940892"/>
      <w:bookmarkStart w:id="152" w:name="_Toc396529293"/>
      <w:bookmarkStart w:id="153" w:name="_Toc517056038"/>
      <w:bookmarkStart w:id="154" w:name="_Toc190301449"/>
      <w:bookmarkStart w:id="155" w:name="_Toc399318779"/>
      <w:bookmarkStart w:id="156" w:name="_Toc397131869"/>
      <w:bookmarkStart w:id="157" w:name="_Toc397175925"/>
      <w:bookmarkStart w:id="158" w:name="_Toc396528500"/>
      <w:bookmarkStart w:id="159" w:name="_Toc396988670"/>
      <w:bookmarkStart w:id="160" w:name="_Toc286159478"/>
      <w:bookmarkStart w:id="161" w:name="_Toc396528069"/>
      <w:bookmarkStart w:id="162" w:name="_Toc396527854"/>
      <w:r>
        <w:rPr>
          <w:rFonts w:hint="eastAsia" w:ascii="宋体" w:hAnsi="宋体" w:eastAsia="宋体"/>
          <w:b/>
          <w:bCs/>
          <w:color w:val="auto"/>
          <w:sz w:val="30"/>
          <w:szCs w:val="30"/>
          <w:highlight w:val="none"/>
        </w:rPr>
        <w:t>附件7 技术差异表</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pPr>
        <w:rPr>
          <w:rFonts w:hint="eastAsia" w:ascii="宋体" w:hAnsi="宋体"/>
          <w:highlight w:val="none"/>
        </w:rPr>
      </w:pPr>
      <w:r>
        <w:rPr>
          <w:rFonts w:hint="eastAsia" w:ascii="宋体" w:hAnsi="宋体"/>
          <w:highlight w:val="none"/>
        </w:rPr>
        <w:t>投标人要将投标文件和技术规范书的差异之处汇集成表。技术部分和商务部分要单独列表。</w:t>
      </w:r>
    </w:p>
    <w:p>
      <w:pPr>
        <w:rPr>
          <w:rFonts w:hint="eastAsia" w:ascii="宋体" w:hAnsi="宋体"/>
          <w:highlight w:val="none"/>
        </w:rPr>
      </w:pPr>
      <w:r>
        <w:rPr>
          <w:rFonts w:hint="eastAsia" w:ascii="宋体" w:hAnsi="宋体"/>
          <w:highlight w:val="none"/>
        </w:rPr>
        <w:t>差  异  表</w:t>
      </w:r>
    </w:p>
    <w:tbl>
      <w:tblPr>
        <w:tblStyle w:val="12"/>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840"/>
        <w:gridCol w:w="965"/>
        <w:gridCol w:w="2995"/>
        <w:gridCol w:w="960"/>
        <w:gridCol w:w="24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vMerge w:val="restart"/>
            <w:tcBorders>
              <w:top w:val="single" w:color="auto" w:sz="6" w:space="0"/>
              <w:left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序号</w:t>
            </w:r>
          </w:p>
        </w:tc>
        <w:tc>
          <w:tcPr>
            <w:tcW w:w="3960" w:type="dxa"/>
            <w:gridSpan w:val="2"/>
            <w:tcBorders>
              <w:top w:val="single" w:color="auto" w:sz="6" w:space="0"/>
              <w:left w:val="nil"/>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技术规范书</w:t>
            </w:r>
          </w:p>
        </w:tc>
        <w:tc>
          <w:tcPr>
            <w:tcW w:w="3408" w:type="dxa"/>
            <w:gridSpan w:val="2"/>
            <w:tcBorders>
              <w:top w:val="single" w:color="auto" w:sz="6" w:space="0"/>
              <w:left w:val="nil"/>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投标文件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vMerge w:val="continue"/>
            <w:tcBorders>
              <w:left w:val="single" w:color="auto" w:sz="6" w:space="0"/>
              <w:right w:val="single" w:color="auto" w:sz="6" w:space="0"/>
            </w:tcBorders>
          </w:tcPr>
          <w:p>
            <w:pPr>
              <w:rPr>
                <w:highlight w:val="none"/>
              </w:rPr>
            </w:pPr>
          </w:p>
        </w:tc>
        <w:tc>
          <w:tcPr>
            <w:tcW w:w="965" w:type="dxa"/>
            <w:tcBorders>
              <w:top w:val="single" w:color="auto" w:sz="6" w:space="0"/>
              <w:left w:val="nil"/>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条目</w:t>
            </w:r>
          </w:p>
        </w:tc>
        <w:tc>
          <w:tcPr>
            <w:tcW w:w="2995" w:type="dxa"/>
            <w:tcBorders>
              <w:top w:val="single" w:color="auto" w:sz="6" w:space="0"/>
              <w:left w:val="nil"/>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简要内容</w:t>
            </w:r>
          </w:p>
        </w:tc>
        <w:tc>
          <w:tcPr>
            <w:tcW w:w="960" w:type="dxa"/>
            <w:tcBorders>
              <w:top w:val="single" w:color="auto" w:sz="6" w:space="0"/>
              <w:left w:val="nil"/>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条目</w:t>
            </w:r>
          </w:p>
        </w:tc>
        <w:tc>
          <w:tcPr>
            <w:tcW w:w="2448" w:type="dxa"/>
            <w:tcBorders>
              <w:top w:val="single" w:color="auto" w:sz="6" w:space="0"/>
              <w:left w:val="nil"/>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简要内容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bl>
    <w:p>
      <w:pPr>
        <w:rPr>
          <w:rFonts w:hint="eastAsia" w:ascii="宋体" w:hAnsi="宋体"/>
          <w:highlight w:val="none"/>
        </w:rPr>
      </w:pPr>
    </w:p>
    <w:p>
      <w:pPr>
        <w:tabs>
          <w:tab w:val="left" w:pos="1267"/>
        </w:tabs>
        <w:spacing w:before="300" w:after="300"/>
        <w:ind w:left="0" w:right="0" w:firstLine="480" w:firstLineChars="0"/>
        <w:jc w:val="both"/>
        <w:textAlignment w:val="auto"/>
        <w:rPr>
          <w:rFonts w:hint="eastAsia" w:ascii="宋体" w:hAnsi="宋体"/>
          <w:highlight w:val="none"/>
        </w:rPr>
      </w:pPr>
      <w:r>
        <w:rPr>
          <w:rFonts w:hint="eastAsia" w:ascii="宋体" w:hAnsi="宋体"/>
          <w:highlight w:val="none"/>
        </w:rPr>
        <w:tab/>
      </w:r>
      <w:bookmarkStart w:id="163" w:name="_Toc286159480"/>
      <w:bookmarkStart w:id="164" w:name="_Toc346199017"/>
      <w:r>
        <w:rPr>
          <w:rFonts w:ascii="宋体" w:hAnsi="宋体"/>
          <w:highlight w:val="none"/>
        </w:rPr>
        <w:br w:type="page"/>
      </w:r>
      <w:bookmarkStart w:id="165" w:name="_Toc190301450"/>
      <w:r>
        <w:rPr>
          <w:rFonts w:hint="eastAsia" w:ascii="宋体" w:hAnsi="宋体"/>
          <w:b/>
          <w:bCs/>
          <w:sz w:val="30"/>
          <w:szCs w:val="30"/>
          <w:highlight w:val="none"/>
        </w:rPr>
        <w:t>附件8  性能考核</w:t>
      </w:r>
      <w:bookmarkEnd w:id="163"/>
      <w:r>
        <w:rPr>
          <w:rFonts w:hint="eastAsia" w:ascii="宋体" w:hAnsi="宋体"/>
          <w:b/>
          <w:bCs/>
          <w:sz w:val="30"/>
          <w:szCs w:val="30"/>
          <w:highlight w:val="none"/>
        </w:rPr>
        <w:t>条款</w:t>
      </w:r>
      <w:bookmarkEnd w:id="164"/>
      <w:bookmarkEnd w:id="165"/>
    </w:p>
    <w:p>
      <w:pPr>
        <w:rPr>
          <w:rFonts w:hint="eastAsia" w:ascii="宋体" w:hAnsi="宋体"/>
          <w:highlight w:val="none"/>
        </w:rPr>
      </w:pPr>
      <w:bookmarkStart w:id="166" w:name="_Toc346199018"/>
      <w:r>
        <w:rPr>
          <w:rFonts w:ascii="宋体" w:hAnsi="宋体"/>
          <w:highlight w:val="none"/>
        </w:rPr>
        <w:t>1</w:t>
      </w:r>
      <w:r>
        <w:rPr>
          <w:rFonts w:hint="eastAsia" w:ascii="宋体" w:hAnsi="宋体"/>
          <w:highlight w:val="none"/>
        </w:rPr>
        <w:t>、投标人应按招标人要求提供合格的产品，并保证在规定的期限内完成本项目的实施，如果因投标人原因造成项目逾期未完工的，按</w:t>
      </w:r>
      <w:r>
        <w:rPr>
          <w:rFonts w:ascii="宋体" w:hAnsi="宋体"/>
          <w:highlight w:val="none"/>
        </w:rPr>
        <w:t>2000</w:t>
      </w:r>
      <w:r>
        <w:rPr>
          <w:rFonts w:hint="eastAsia" w:ascii="宋体" w:hAnsi="宋体"/>
          <w:highlight w:val="none"/>
        </w:rPr>
        <w:t>元</w:t>
      </w:r>
      <w:r>
        <w:rPr>
          <w:rFonts w:ascii="宋体" w:hAnsi="宋体"/>
          <w:highlight w:val="none"/>
        </w:rPr>
        <w:t>/</w:t>
      </w:r>
      <w:r>
        <w:rPr>
          <w:rFonts w:hint="eastAsia" w:ascii="宋体" w:hAnsi="宋体"/>
          <w:highlight w:val="none"/>
        </w:rPr>
        <w:t>天支付违约金。</w:t>
      </w:r>
    </w:p>
    <w:p>
      <w:pPr>
        <w:rPr>
          <w:rFonts w:ascii="宋体" w:hAnsi="宋体" w:eastAsia="宋体"/>
          <w:szCs w:val="20"/>
          <w:highlight w:val="none"/>
          <w:lang w:val="en-US" w:eastAsia="zh-CN"/>
        </w:rPr>
      </w:pPr>
      <w:bookmarkStart w:id="167" w:name="_Toc147113817"/>
      <w:r>
        <w:rPr>
          <w:rFonts w:ascii="宋体" w:hAnsi="宋体"/>
          <w:szCs w:val="28"/>
          <w:highlight w:val="none"/>
        </w:rPr>
        <w:t>2</w:t>
      </w:r>
      <w:r>
        <w:rPr>
          <w:rFonts w:hint="eastAsia" w:ascii="宋体" w:hAnsi="宋体"/>
          <w:szCs w:val="28"/>
          <w:highlight w:val="none"/>
        </w:rPr>
        <w:t>、</w:t>
      </w:r>
      <w:r>
        <w:rPr>
          <w:rFonts w:hint="eastAsia" w:ascii="宋体" w:hAnsi="宋体"/>
          <w:highlight w:val="none"/>
        </w:rPr>
        <w:t>投标人应保证系统运行可靠，经试验证实其符合本技术规范书规定的所有功能。若达不到本合同技术规范书规定的要求，则投标人必须在二周内予以整修或更换设备（修改软件），并承担所发生的一切费用，同时支付</w:t>
      </w:r>
      <w:r>
        <w:rPr>
          <w:rFonts w:hint="eastAsia" w:ascii="宋体" w:hAnsi="宋体"/>
          <w:highlight w:val="none"/>
          <w:lang w:eastAsia="zh-CN"/>
        </w:rPr>
        <w:t>5</w:t>
      </w:r>
      <w:r>
        <w:rPr>
          <w:rFonts w:hint="eastAsia" w:ascii="宋体" w:hAnsi="宋体"/>
          <w:highlight w:val="none"/>
          <w:lang w:val="en-US" w:eastAsia="zh-CN"/>
        </w:rPr>
        <w:t>万元</w:t>
      </w:r>
      <w:r>
        <w:rPr>
          <w:rFonts w:hint="eastAsia" w:ascii="宋体" w:hAnsi="宋体"/>
          <w:highlight w:val="none"/>
        </w:rPr>
        <w:t>的违约金。</w:t>
      </w:r>
    </w:p>
    <w:p>
      <w:pPr>
        <w:rPr>
          <w:rFonts w:hint="eastAsia" w:ascii="宋体" w:hAnsi="宋体"/>
          <w:highlight w:val="none"/>
        </w:rPr>
      </w:pPr>
      <w:r>
        <w:rPr>
          <w:rFonts w:ascii="宋体" w:hAnsi="宋体"/>
          <w:highlight w:val="none"/>
        </w:rPr>
        <w:t>3</w:t>
      </w:r>
      <w:r>
        <w:rPr>
          <w:rFonts w:hint="eastAsia" w:ascii="宋体" w:hAnsi="宋体"/>
          <w:highlight w:val="none"/>
        </w:rPr>
        <w:t>、在质保期内投标人所提供设备的稳定性、可靠性等性能不能满足标书要求，投标人应在接到招标人通知后三天内赶赴现场免费调试或免费更换，直至满足性能要求，否则按</w:t>
      </w:r>
      <w:r>
        <w:rPr>
          <w:rFonts w:ascii="宋体" w:hAnsi="宋体"/>
          <w:highlight w:val="none"/>
        </w:rPr>
        <w:t>1</w:t>
      </w:r>
      <w:r>
        <w:rPr>
          <w:rFonts w:hint="eastAsia" w:ascii="宋体" w:hAnsi="宋体"/>
          <w:highlight w:val="none"/>
        </w:rPr>
        <w:t>万元</w:t>
      </w:r>
      <w:r>
        <w:rPr>
          <w:rFonts w:ascii="宋体" w:hAnsi="宋体"/>
          <w:highlight w:val="none"/>
        </w:rPr>
        <w:t>/</w:t>
      </w:r>
      <w:r>
        <w:rPr>
          <w:rFonts w:hint="eastAsia" w:ascii="宋体" w:hAnsi="宋体"/>
          <w:highlight w:val="none"/>
        </w:rPr>
        <w:t>次支付违约金。</w:t>
      </w:r>
    </w:p>
    <w:bookmarkEnd w:id="167"/>
    <w:p>
      <w:pPr>
        <w:widowControl/>
        <w:spacing w:line="240" w:lineRule="auto"/>
        <w:ind w:left="0" w:right="0" w:firstLine="0" w:firstLineChars="0"/>
        <w:textAlignment w:val="auto"/>
        <w:rPr>
          <w:rFonts w:hint="eastAsia" w:ascii="宋体" w:hAnsi="宋体"/>
          <w:highlight w:val="none"/>
        </w:rPr>
      </w:pPr>
      <w:r>
        <w:rPr>
          <w:rFonts w:ascii="宋体" w:hAnsi="宋体"/>
          <w:highlight w:val="none"/>
        </w:rPr>
        <w:br w:type="page"/>
      </w:r>
    </w:p>
    <w:p>
      <w:pPr>
        <w:rPr>
          <w:rFonts w:hint="eastAsia" w:ascii="宋体" w:hAnsi="宋体"/>
          <w:highlight w:val="none"/>
        </w:rPr>
      </w:pPr>
    </w:p>
    <w:p>
      <w:pPr>
        <w:pStyle w:val="3"/>
        <w:spacing w:before="300" w:after="300"/>
        <w:ind w:left="0" w:right="0"/>
        <w:jc w:val="both"/>
        <w:textAlignment w:val="auto"/>
        <w:rPr>
          <w:rFonts w:hint="eastAsia" w:ascii="宋体" w:hAnsi="宋体" w:eastAsia="宋体"/>
          <w:b/>
          <w:bCs/>
          <w:color w:val="auto"/>
          <w:sz w:val="30"/>
          <w:szCs w:val="30"/>
          <w:highlight w:val="none"/>
        </w:rPr>
      </w:pPr>
      <w:bookmarkStart w:id="168" w:name="_Toc190301451"/>
      <w:r>
        <w:rPr>
          <w:rFonts w:hint="eastAsia" w:ascii="宋体" w:hAnsi="宋体" w:eastAsia="宋体"/>
          <w:b/>
          <w:bCs/>
          <w:color w:val="auto"/>
          <w:sz w:val="30"/>
          <w:szCs w:val="30"/>
          <w:highlight w:val="none"/>
        </w:rPr>
        <w:t>附件9 投标人需要说明的其他问题（技术特点、质保体系及售后服务承诺等）</w:t>
      </w:r>
      <w:bookmarkEnd w:id="168"/>
    </w:p>
    <w:bookmarkEnd w:id="166"/>
    <w:p>
      <w:pPr>
        <w:rPr>
          <w:rFonts w:hint="eastAsia" w:ascii="宋体" w:hAnsi="宋体"/>
          <w:highlight w:val="none"/>
        </w:rPr>
      </w:pPr>
      <w:bookmarkStart w:id="169" w:name="_Toc286159481"/>
      <w:bookmarkEnd w:id="169"/>
    </w:p>
    <w:p>
      <w:pPr>
        <w:rPr>
          <w:highlight w:val="none"/>
        </w:rPr>
      </w:pPr>
    </w:p>
    <w:bookmarkEnd w:id="17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Times New Roman Regular">
    <w:altName w:val="Times New Roman"/>
    <w:panose1 w:val="02020503050405090304"/>
    <w:charset w:val="00"/>
    <w:family w:val="auto"/>
    <w:pitch w:val="default"/>
    <w:sig w:usb0="00000000" w:usb1="00000000" w:usb2="00000001" w:usb3="00000000" w:csb0="400001BF" w:csb1="DF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3301836"/>
    </w:sdtPr>
    <w:sdtContent>
      <w:p>
        <w:pPr>
          <w:pStyle w:val="2"/>
          <w:ind w:right="958"/>
          <w:jc w:val="center"/>
        </w:pPr>
        <w:r>
          <w:fldChar w:fldCharType="begin"/>
        </w:r>
        <w:r>
          <w:instrText xml:space="preserve">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8154233"/>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46308E"/>
    <w:multiLevelType w:val="multilevel"/>
    <w:tmpl w:val="2846308E"/>
    <w:lvl w:ilvl="0" w:tentative="0">
      <w:start w:val="5"/>
      <w:numFmt w:val="decimal"/>
      <w:lvlText w:val="%1"/>
      <w:lvlJc w:val="left"/>
      <w:pPr>
        <w:ind w:left="598" w:hanging="360"/>
      </w:pPr>
      <w:rPr>
        <w:rFonts w:hint="default"/>
      </w:rPr>
    </w:lvl>
    <w:lvl w:ilvl="1" w:tentative="0">
      <w:start w:val="1"/>
      <w:numFmt w:val="lowerLetter"/>
      <w:lvlText w:val="%2)"/>
      <w:lvlJc w:val="left"/>
      <w:pPr>
        <w:ind w:left="1118" w:hanging="440"/>
      </w:pPr>
    </w:lvl>
    <w:lvl w:ilvl="2" w:tentative="0">
      <w:start w:val="1"/>
      <w:numFmt w:val="lowerRoman"/>
      <w:lvlText w:val="%3."/>
      <w:lvlJc w:val="right"/>
      <w:pPr>
        <w:ind w:left="1558" w:hanging="440"/>
      </w:pPr>
    </w:lvl>
    <w:lvl w:ilvl="3" w:tentative="0">
      <w:start w:val="1"/>
      <w:numFmt w:val="decimal"/>
      <w:lvlText w:val="%4."/>
      <w:lvlJc w:val="left"/>
      <w:pPr>
        <w:ind w:left="1998" w:hanging="440"/>
      </w:pPr>
    </w:lvl>
    <w:lvl w:ilvl="4" w:tentative="0">
      <w:start w:val="1"/>
      <w:numFmt w:val="lowerLetter"/>
      <w:lvlText w:val="%5)"/>
      <w:lvlJc w:val="left"/>
      <w:pPr>
        <w:ind w:left="2438" w:hanging="440"/>
      </w:pPr>
    </w:lvl>
    <w:lvl w:ilvl="5" w:tentative="0">
      <w:start w:val="1"/>
      <w:numFmt w:val="lowerRoman"/>
      <w:lvlText w:val="%6."/>
      <w:lvlJc w:val="right"/>
      <w:pPr>
        <w:ind w:left="2878" w:hanging="440"/>
      </w:pPr>
    </w:lvl>
    <w:lvl w:ilvl="6" w:tentative="0">
      <w:start w:val="1"/>
      <w:numFmt w:val="decimal"/>
      <w:lvlText w:val="%7."/>
      <w:lvlJc w:val="left"/>
      <w:pPr>
        <w:ind w:left="3318" w:hanging="440"/>
      </w:pPr>
    </w:lvl>
    <w:lvl w:ilvl="7" w:tentative="0">
      <w:start w:val="1"/>
      <w:numFmt w:val="lowerLetter"/>
      <w:lvlText w:val="%8)"/>
      <w:lvlJc w:val="left"/>
      <w:pPr>
        <w:ind w:left="3758" w:hanging="440"/>
      </w:pPr>
    </w:lvl>
    <w:lvl w:ilvl="8" w:tentative="0">
      <w:start w:val="1"/>
      <w:numFmt w:val="lowerRoman"/>
      <w:lvlText w:val="%9."/>
      <w:lvlJc w:val="right"/>
      <w:pPr>
        <w:ind w:left="4198" w:hanging="440"/>
      </w:pPr>
    </w:lvl>
  </w:abstractNum>
  <w:abstractNum w:abstractNumId="1">
    <w:nsid w:val="3DEB23C5"/>
    <w:multiLevelType w:val="multilevel"/>
    <w:tmpl w:val="3DEB23C5"/>
    <w:lvl w:ilvl="0" w:tentative="0">
      <w:start w:val="1"/>
      <w:numFmt w:val="decimal"/>
      <w:lvlText w:val="%1、"/>
      <w:lvlJc w:val="left"/>
      <w:pPr>
        <w:tabs>
          <w:tab w:val="left" w:pos="425"/>
        </w:tabs>
        <w:ind w:left="425" w:hanging="425"/>
      </w:pPr>
    </w:lvl>
    <w:lvl w:ilvl="1" w:tentative="0">
      <w:start w:val="1"/>
      <w:numFmt w:val="lowerLetter"/>
      <w:lvlText w:val="%2)"/>
      <w:lvlJc w:val="left"/>
      <w:pPr>
        <w:tabs>
          <w:tab w:val="left" w:pos="431"/>
        </w:tabs>
        <w:ind w:left="487" w:hanging="487"/>
      </w:pPr>
      <w:rPr>
        <w:sz w:val="24"/>
      </w:rPr>
    </w:lvl>
    <w:lvl w:ilvl="2" w:tentative="0">
      <w:start w:val="1"/>
      <w:numFmt w:val="decimal"/>
      <w:lvlText w:val="%1.%2.%3 "/>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0"/>
  </w:num>
  <w:num w:numId="2">
    <w:abstractNumId w:val="1"/>
    <w:lvlOverride w:ilvl="0">
      <w:startOverride w:val="1"/>
      <w:lvl w:ilvl="0" w:tentative="1">
        <w:start w:val="1"/>
        <w:numFmt w:val="decimal"/>
        <w:lvlText w:val="%1、"/>
        <w:lvlJc w:val="left"/>
        <w:pPr>
          <w:tabs>
            <w:tab w:val="left" w:pos="425"/>
          </w:tabs>
          <w:ind w:left="425" w:hanging="425"/>
        </w:pPr>
      </w:lvl>
    </w:lvlOverride>
    <w:lvlOverride w:ilvl="1">
      <w:startOverride w:val="1"/>
      <w:lvl w:ilvl="1" w:tentative="1">
        <w:start w:val="1"/>
        <w:numFmt w:val="lowerLetter"/>
        <w:lvlText w:val="%2)"/>
        <w:lvlJc w:val="left"/>
        <w:pPr>
          <w:tabs>
            <w:tab w:val="left" w:pos="431"/>
          </w:tabs>
          <w:ind w:left="487" w:hanging="487"/>
        </w:pPr>
        <w:rPr>
          <w:sz w:val="24"/>
        </w:rPr>
      </w:lvl>
    </w:lvlOverride>
    <w:lvlOverride w:ilvl="2">
      <w:startOverride w:val="1"/>
      <w:lvl w:ilvl="2" w:tentative="1">
        <w:start w:val="1"/>
        <w:numFmt w:val="decimal"/>
        <w:lvlText w:val="%1.%2.%3 "/>
        <w:lvlJc w:val="left"/>
        <w:pPr>
          <w:tabs>
            <w:tab w:val="left" w:pos="709"/>
          </w:tabs>
          <w:ind w:left="709" w:hanging="709"/>
        </w:pPr>
      </w:lvl>
    </w:lvlOverride>
    <w:lvlOverride w:ilvl="3">
      <w:startOverride w:val="1"/>
      <w:lvl w:ilvl="3" w:tentative="1">
        <w:start w:val="1"/>
        <w:numFmt w:val="decimal"/>
        <w:lvlText w:val="%1.%2.%3.%4"/>
        <w:lvlJc w:val="left"/>
        <w:pPr>
          <w:tabs>
            <w:tab w:val="left" w:pos="851"/>
          </w:tabs>
          <w:ind w:left="851" w:hanging="851"/>
        </w:pPr>
      </w:lvl>
    </w:lvlOverride>
    <w:lvlOverride w:ilvl="4">
      <w:startOverride w:val="1"/>
      <w:lvl w:ilvl="4" w:tentative="1">
        <w:start w:val="1"/>
        <w:numFmt w:val="decimal"/>
        <w:lvlText w:val="%1.%2.%3.%4.%5."/>
        <w:lvlJc w:val="left"/>
        <w:pPr>
          <w:tabs>
            <w:tab w:val="left" w:pos="992"/>
          </w:tabs>
          <w:ind w:left="992" w:hanging="992"/>
        </w:pPr>
      </w:lvl>
    </w:lvlOverride>
    <w:lvlOverride w:ilvl="5">
      <w:startOverride w:val="1"/>
      <w:lvl w:ilvl="5" w:tentative="1">
        <w:start w:val="1"/>
        <w:numFmt w:val="decimal"/>
        <w:lvlText w:val="%1.%2.%3.%4.%5.%6."/>
        <w:lvlJc w:val="left"/>
        <w:pPr>
          <w:tabs>
            <w:tab w:val="left" w:pos="1134"/>
          </w:tabs>
          <w:ind w:left="1134" w:hanging="1134"/>
        </w:pPr>
      </w:lvl>
    </w:lvlOverride>
    <w:lvlOverride w:ilvl="6">
      <w:startOverride w:val="1"/>
      <w:lvl w:ilvl="6" w:tentative="1">
        <w:start w:val="1"/>
        <w:numFmt w:val="decimal"/>
        <w:lvlText w:val="%1.%2.%3.%4.%5.%6.%7."/>
        <w:lvlJc w:val="left"/>
        <w:pPr>
          <w:tabs>
            <w:tab w:val="left" w:pos="1276"/>
          </w:tabs>
          <w:ind w:left="1276" w:hanging="1276"/>
        </w:pPr>
      </w:lvl>
    </w:lvlOverride>
    <w:lvlOverride w:ilvl="7">
      <w:startOverride w:val="1"/>
      <w:lvl w:ilvl="7" w:tentative="1">
        <w:start w:val="1"/>
        <w:numFmt w:val="decimal"/>
        <w:lvlText w:val="%1.%2.%3.%4.%5.%6.%7.%8."/>
        <w:lvlJc w:val="left"/>
        <w:pPr>
          <w:tabs>
            <w:tab w:val="left" w:pos="1418"/>
          </w:tabs>
          <w:ind w:left="1418" w:hanging="1418"/>
        </w:pPr>
      </w:lvl>
    </w:lvlOverride>
    <w:lvlOverride w:ilvl="8">
      <w:startOverride w:val="1"/>
      <w:lvl w:ilvl="8" w:tentative="1">
        <w:start w:val="1"/>
        <w:numFmt w:val="decimal"/>
        <w:lvlText w:val="%1.%2.%3.%4.%5.%6.%7.%8.%9."/>
        <w:lvlJc w:val="left"/>
        <w:pPr>
          <w:tabs>
            <w:tab w:val="left" w:pos="1559"/>
          </w:tabs>
          <w:ind w:left="1559" w:hanging="1559"/>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1D9D0A46"/>
    <w:rsid w:val="389B4E28"/>
    <w:rsid w:val="765F62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left="238" w:right="238" w:firstLine="200" w:firstLineChars="200"/>
      <w:textAlignment w:val="center"/>
    </w:pPr>
    <w:rPr>
      <w:rFonts w:ascii="Times New Roman" w:hAnsi="Times New Roman" w:eastAsia="宋体" w:cs="Times New Roman"/>
      <w:kern w:val="2"/>
      <w:sz w:val="24"/>
      <w:szCs w:val="24"/>
      <w:lang w:val="en-US" w:eastAsia="zh-CN" w:bidi="ar-SA"/>
    </w:rPr>
  </w:style>
  <w:style w:type="paragraph" w:styleId="3">
    <w:name w:val="heading 1"/>
    <w:basedOn w:val="1"/>
    <w:next w:val="1"/>
    <w:qFormat/>
    <w:uiPriority w:val="0"/>
    <w:pPr>
      <w:keepNext/>
      <w:keepLines/>
      <w:widowControl w:val="0"/>
      <w:spacing w:before="480" w:after="80"/>
      <w:outlineLvl w:val="0"/>
    </w:pPr>
    <w:rPr>
      <w:rFonts w:ascii="Calibri Light" w:hAnsi="Calibri Light" w:eastAsia="宋体" w:cs="Times New Roman"/>
      <w:color w:val="2E75B6"/>
      <w:sz w:val="48"/>
      <w:szCs w:val="48"/>
    </w:rPr>
  </w:style>
  <w:style w:type="paragraph" w:styleId="4">
    <w:name w:val="heading 2"/>
    <w:basedOn w:val="1"/>
    <w:next w:val="1"/>
    <w:uiPriority w:val="0"/>
    <w:pPr>
      <w:keepNext/>
      <w:keepLines/>
      <w:widowControl w:val="0"/>
      <w:spacing w:before="160" w:after="80"/>
      <w:outlineLvl w:val="1"/>
    </w:pPr>
    <w:rPr>
      <w:rFonts w:ascii="Calibri Light" w:hAnsi="Calibri Light" w:eastAsia="宋体" w:cs="Times New Roman"/>
      <w:color w:val="2E75B6"/>
      <w:sz w:val="40"/>
      <w:szCs w:val="40"/>
    </w:rPr>
  </w:style>
  <w:style w:type="paragraph" w:styleId="5">
    <w:name w:val="heading 3"/>
    <w:basedOn w:val="1"/>
    <w:next w:val="1"/>
    <w:link w:val="15"/>
    <w:qFormat/>
    <w:uiPriority w:val="0"/>
    <w:pPr>
      <w:keepNext/>
      <w:keepLines/>
      <w:widowControl w:val="0"/>
      <w:spacing w:before="160" w:after="80"/>
      <w:outlineLvl w:val="2"/>
    </w:pPr>
    <w:rPr>
      <w:rFonts w:ascii="Calibri Light" w:hAnsi="Calibri Light" w:eastAsia="宋体" w:cs="Times New Roman"/>
      <w:color w:val="2E75B6"/>
      <w:sz w:val="32"/>
      <w:szCs w:val="32"/>
    </w:rPr>
  </w:style>
  <w:style w:type="paragraph" w:styleId="6">
    <w:name w:val="heading 5"/>
    <w:basedOn w:val="1"/>
    <w:next w:val="1"/>
    <w:qFormat/>
    <w:uiPriority w:val="0"/>
    <w:pPr>
      <w:keepNext/>
      <w:keepLines/>
      <w:widowControl w:val="0"/>
      <w:spacing w:before="80" w:after="40"/>
      <w:ind w:firstLine="0" w:firstLineChars="0"/>
      <w:outlineLvl w:val="4"/>
    </w:pPr>
    <w:rPr>
      <w:rFonts w:cs="Times New Roman"/>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szCs w:val="18"/>
    </w:rPr>
  </w:style>
  <w:style w:type="paragraph" w:styleId="7">
    <w:name w:val="annotation text"/>
    <w:basedOn w:val="1"/>
    <w:qFormat/>
    <w:uiPriority w:val="0"/>
  </w:style>
  <w:style w:type="paragraph" w:styleId="8">
    <w:name w:val="Body Text Indent 2"/>
    <w:basedOn w:val="1"/>
    <w:qFormat/>
    <w:uiPriority w:val="0"/>
    <w:pPr>
      <w:adjustRightInd w:val="0"/>
      <w:spacing w:line="0" w:lineRule="atLeast"/>
      <w:ind w:right="202" w:firstLine="225" w:firstLineChars="225"/>
      <w:textAlignment w:val="baseline"/>
    </w:pPr>
    <w:rPr>
      <w:rFonts w:ascii="宋体"/>
      <w:spacing w:val="20"/>
      <w:kern w:val="0"/>
      <w:position w:val="20"/>
      <w:szCs w:val="20"/>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toc 1"/>
    <w:basedOn w:val="1"/>
    <w:next w:val="1"/>
    <w:qFormat/>
    <w:uiPriority w:val="0"/>
    <w:pPr>
      <w:tabs>
        <w:tab w:val="right" w:leader="dot" w:pos="8820"/>
      </w:tabs>
      <w:adjustRightInd w:val="0"/>
      <w:textAlignment w:val="baseline"/>
    </w:pPr>
    <w:rPr>
      <w:rFonts w:ascii="宋体" w:hAnsi="宋体"/>
      <w:b/>
      <w:kern w:val="0"/>
      <w:sz w:val="30"/>
      <w:szCs w:val="30"/>
    </w:rPr>
  </w:style>
  <w:style w:type="paragraph" w:styleId="11">
    <w:name w:val="Body Text Indent 3"/>
    <w:basedOn w:val="1"/>
    <w:qFormat/>
    <w:uiPriority w:val="0"/>
    <w:pPr>
      <w:adjustRightInd w:val="0"/>
      <w:ind w:firstLine="300" w:firstLineChars="300"/>
      <w:textAlignment w:val="baseline"/>
    </w:pPr>
    <w:rPr>
      <w:color w:val="FF0000"/>
      <w:spacing w:val="10"/>
      <w:kern w:val="0"/>
      <w:szCs w:val="20"/>
      <w:u w:val="single"/>
    </w:rPr>
  </w:style>
  <w:style w:type="character" w:styleId="14">
    <w:name w:val="Hyperlink"/>
    <w:qFormat/>
    <w:uiPriority w:val="0"/>
    <w:rPr>
      <w:color w:val="0000FF"/>
      <w:u w:val="single"/>
    </w:rPr>
  </w:style>
  <w:style w:type="character" w:customStyle="1" w:styleId="15">
    <w:name w:val="heading 3 Char"/>
    <w:basedOn w:val="13"/>
    <w:link w:val="5"/>
    <w:qFormat/>
    <w:uiPriority w:val="0"/>
    <w:rPr>
      <w:rFonts w:ascii="Calibri Light" w:hAnsi="Calibri Light" w:eastAsia="宋体" w:cs="Times New Roman"/>
      <w:color w:val="2E75B6"/>
      <w:kern w:val="2"/>
      <w:sz w:val="32"/>
      <w:szCs w:val="32"/>
      <w:lang w:val="en-US" w:eastAsia="zh-CN" w:bidi="ar-SA"/>
    </w:rPr>
  </w:style>
  <w:style w:type="paragraph" w:customStyle="1" w:styleId="16">
    <w:name w:val="Normal_1"/>
    <w:qFormat/>
    <w:uiPriority w:val="0"/>
    <w:pPr>
      <w:widowControl w:val="0"/>
      <w:jc w:val="both"/>
    </w:pPr>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sectPr/>
    <sectPr/>
    <sectPr/>
  </customProps>
</customData>
</file>

<file path=customXml/itemProps1.xml><?xml version="1.0" encoding="utf-8"?>
<ds:datastoreItem xmlns:ds="http://schemas.openxmlformats.org/officeDocument/2006/customXml" ds:itemID="{35EB563E-FCD3-4EAF-A307-8519F90FEC7B}">
  <ds:schemaRefs/>
</ds:datastoreItem>
</file>

<file path=docProps/app.xml><?xml version="1.0" encoding="utf-8"?>
<Properties xmlns="http://schemas.openxmlformats.org/officeDocument/2006/extended-properties" xmlns:vt="http://schemas.openxmlformats.org/officeDocument/2006/docPropsVTypes">
  <Template>Normal.eit</Template>
  <Pages>32</Pages>
  <Words>8608</Words>
  <Characters>9336</Characters>
  <Lines>0</Lines>
  <Paragraphs>338</Paragraphs>
  <TotalTime>308</TotalTime>
  <ScaleCrop>false</ScaleCrop>
  <LinksUpToDate>false</LinksUpToDate>
  <CharactersWithSpaces>9913</CharactersWithSpaces>
  <Application>WPS Office_11.8.6.11829_F1E327BC-269C-435d-A152-05C5408002CA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2025-04-23T00:46:00Z</dcterms:created>
  <dc:creator>championye</dc:creator>
  <cp:lastModifiedBy>申屠俊捷</cp:lastModifiedBy>
  <dcterms:modified xsi:type="dcterms:W3CDTF">2025-06-05T10:13:41Z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ICV">
    <vt:lpwstr>688A8A74DD994B3AAEECCAB93909923B</vt:lpwstr>
  </property>
  <property fmtid="{D5CDD505-2E9C-101B-9397-08002B2CF9AE}" pid="4" name="KSOTemplateDocerSaveRecord">
    <vt:lpwstr>eyJoZGlkIjoiNDA1YWI0OTdkNWIzYjU0ZGVjZWRjMDUyZDZjZGIyMjAiLCJ1c2VySWQiOiIxNjE3ODkwMjYwIn0=</vt:lpwstr>
  </property>
</Properties>
</file>