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F50F46">
      <w:pPr>
        <w:snapToGrid w:val="0"/>
        <w:spacing w:after="100" w:line="360" w:lineRule="auto"/>
        <w:jc w:val="center"/>
        <w:rPr>
          <w:rFonts w:ascii="宋体" w:hAnsi="宋体"/>
          <w:b/>
          <w:sz w:val="36"/>
          <w:szCs w:val="36"/>
        </w:rPr>
      </w:pPr>
      <w:bookmarkStart w:id="0" w:name="_Toc420335964"/>
      <w:bookmarkStart w:id="1" w:name="_Toc192315715"/>
      <w:bookmarkStart w:id="2" w:name="_Toc1048251"/>
    </w:p>
    <w:bookmarkEnd w:id="0"/>
    <w:p w14:paraId="7ED51F89"/>
    <w:p w14:paraId="5127C9B3"/>
    <w:p w14:paraId="7E71A679">
      <w:pPr>
        <w:jc w:val="center"/>
      </w:pPr>
      <w:r>
        <w:rPr>
          <w:rFonts w:hint="eastAsia"/>
          <w:b/>
          <w:sz w:val="52"/>
          <w:szCs w:val="52"/>
          <w:lang w:val="en-US" w:eastAsia="zh-CN"/>
        </w:rPr>
        <w:t>伊犁新天煤化工有限责任</w:t>
      </w:r>
      <w:r>
        <w:rPr>
          <w:rFonts w:hint="eastAsia"/>
          <w:b/>
          <w:sz w:val="52"/>
          <w:szCs w:val="52"/>
        </w:rPr>
        <w:t>公司</w:t>
      </w:r>
    </w:p>
    <w:p w14:paraId="690C76FA"/>
    <w:p w14:paraId="1E3D3AF3"/>
    <w:p w14:paraId="2E0B45DC">
      <w:pPr>
        <w:spacing w:line="360" w:lineRule="auto"/>
        <w:jc w:val="center"/>
        <w:rPr>
          <w:b/>
          <w:bCs/>
          <w:sz w:val="52"/>
          <w:szCs w:val="52"/>
        </w:rPr>
      </w:pPr>
    </w:p>
    <w:p w14:paraId="0183CAA3">
      <w:pPr>
        <w:spacing w:line="360" w:lineRule="auto"/>
        <w:jc w:val="center"/>
        <w:rPr>
          <w:b/>
          <w:bCs/>
          <w:sz w:val="52"/>
          <w:szCs w:val="52"/>
        </w:rPr>
      </w:pPr>
      <w:r>
        <w:rPr>
          <w:rFonts w:hint="eastAsia"/>
          <w:b/>
          <w:bCs/>
          <w:sz w:val="52"/>
          <w:szCs w:val="52"/>
        </w:rPr>
        <w:t>反渗透系统药剂采购</w:t>
      </w:r>
    </w:p>
    <w:p w14:paraId="38018E28">
      <w:pPr>
        <w:rPr>
          <w:b/>
          <w:sz w:val="52"/>
          <w:szCs w:val="52"/>
        </w:rPr>
      </w:pPr>
    </w:p>
    <w:p w14:paraId="2EB75E30">
      <w:pPr>
        <w:spacing w:line="360" w:lineRule="auto"/>
        <w:jc w:val="center"/>
        <w:rPr>
          <w:rFonts w:ascii="宋体" w:hAnsi="宋体"/>
          <w:b/>
          <w:sz w:val="48"/>
          <w:szCs w:val="48"/>
        </w:rPr>
      </w:pPr>
      <w:r>
        <w:rPr>
          <w:rFonts w:hint="eastAsia" w:ascii="宋体" w:hAnsi="宋体"/>
          <w:b/>
          <w:sz w:val="48"/>
          <w:szCs w:val="48"/>
        </w:rPr>
        <w:t>技术规范书</w:t>
      </w:r>
    </w:p>
    <w:p w14:paraId="4BA52B95">
      <w:pPr>
        <w:adjustRightInd/>
        <w:spacing w:line="360" w:lineRule="auto"/>
        <w:textAlignment w:val="auto"/>
        <w:rPr>
          <w:rFonts w:ascii="宋体"/>
          <w:kern w:val="2"/>
          <w:sz w:val="28"/>
        </w:rPr>
      </w:pPr>
    </w:p>
    <w:p w14:paraId="1A85CC4C"/>
    <w:p w14:paraId="19FB38EF">
      <w:pPr>
        <w:pStyle w:val="39"/>
        <w:jc w:val="center"/>
        <w:rPr>
          <w:b w:val="0"/>
          <w:sz w:val="36"/>
        </w:rPr>
      </w:pPr>
    </w:p>
    <w:p w14:paraId="49E366F1">
      <w:pPr>
        <w:rPr>
          <w:b w:val="0"/>
          <w:sz w:val="36"/>
        </w:rPr>
      </w:pPr>
    </w:p>
    <w:p w14:paraId="23077987">
      <w:pPr>
        <w:rPr>
          <w:b w:val="0"/>
          <w:sz w:val="36"/>
        </w:rPr>
      </w:pPr>
    </w:p>
    <w:p w14:paraId="090EB0ED">
      <w:pPr>
        <w:rPr>
          <w:b w:val="0"/>
          <w:sz w:val="36"/>
        </w:rPr>
      </w:pPr>
    </w:p>
    <w:p w14:paraId="3293848E">
      <w:pPr>
        <w:rPr>
          <w:b w:val="0"/>
          <w:sz w:val="36"/>
        </w:rPr>
      </w:pPr>
    </w:p>
    <w:p w14:paraId="0343F958">
      <w:pPr>
        <w:rPr>
          <w:b w:val="0"/>
          <w:sz w:val="36"/>
        </w:rPr>
      </w:pPr>
    </w:p>
    <w:p w14:paraId="55C3DA93">
      <w:pPr>
        <w:rPr>
          <w:sz w:val="18"/>
        </w:rPr>
      </w:pPr>
    </w:p>
    <w:p w14:paraId="55A52A9E">
      <w:pPr>
        <w:pStyle w:val="39"/>
        <w:ind w:left="1260" w:leftChars="600" w:firstLine="2142" w:firstLineChars="595"/>
        <w:rPr>
          <w:b w:val="0"/>
          <w:sz w:val="36"/>
        </w:rPr>
      </w:pPr>
      <w:r>
        <w:rPr>
          <w:rFonts w:hint="eastAsia"/>
          <w:b w:val="0"/>
          <w:sz w:val="36"/>
          <w:lang w:val="en-US" w:eastAsia="zh-CN"/>
        </w:rPr>
        <w:t>2025</w:t>
      </w:r>
      <w:r>
        <w:rPr>
          <w:rFonts w:hint="eastAsia"/>
          <w:b w:val="0"/>
          <w:sz w:val="36"/>
        </w:rPr>
        <w:t>年</w:t>
      </w:r>
      <w:r>
        <w:rPr>
          <w:rFonts w:hint="eastAsia"/>
          <w:b w:val="0"/>
          <w:sz w:val="36"/>
          <w:lang w:val="en-US" w:eastAsia="zh-CN"/>
        </w:rPr>
        <w:t>07</w:t>
      </w:r>
      <w:r>
        <w:rPr>
          <w:rFonts w:hint="eastAsia"/>
          <w:b w:val="0"/>
          <w:sz w:val="36"/>
        </w:rPr>
        <w:t>月</w:t>
      </w:r>
    </w:p>
    <w:p w14:paraId="3C60DAD9">
      <w:pPr>
        <w:spacing w:line="360" w:lineRule="auto"/>
        <w:rPr>
          <w:rFonts w:ascii="宋体"/>
          <w:sz w:val="36"/>
        </w:rPr>
      </w:pPr>
    </w:p>
    <w:p w14:paraId="6AB87C70">
      <w:pPr>
        <w:spacing w:line="360" w:lineRule="auto"/>
        <w:rPr>
          <w:rFonts w:ascii="宋体"/>
          <w:sz w:val="36"/>
        </w:rPr>
      </w:pPr>
    </w:p>
    <w:p w14:paraId="26D68329">
      <w:pPr>
        <w:spacing w:line="360" w:lineRule="auto"/>
        <w:jc w:val="center"/>
        <w:rPr>
          <w:rFonts w:ascii="宋体"/>
          <w:b/>
          <w:bCs/>
          <w:sz w:val="36"/>
        </w:rPr>
      </w:pPr>
      <w:r>
        <w:rPr>
          <w:rFonts w:hint="eastAsia" w:ascii="宋体"/>
          <w:b/>
          <w:bCs/>
          <w:sz w:val="36"/>
        </w:rPr>
        <w:t>目    录</w:t>
      </w:r>
    </w:p>
    <w:p w14:paraId="4B461AF3">
      <w:pPr>
        <w:pStyle w:val="12"/>
        <w:tabs>
          <w:tab w:val="right" w:leader="dot" w:pos="9638"/>
        </w:tabs>
        <w:rPr>
          <w:rFonts w:hint="eastAsia" w:eastAsiaTheme="minorEastAsia"/>
          <w:lang w:eastAsia="zh-CN"/>
        </w:rPr>
      </w:pPr>
      <w:r>
        <w:rPr>
          <w:rStyle w:val="16"/>
          <w:b w:val="0"/>
          <w:color w:val="auto"/>
        </w:rPr>
        <w:fldChar w:fldCharType="begin"/>
      </w:r>
      <w:r>
        <w:rPr>
          <w:rStyle w:val="16"/>
          <w:b w:val="0"/>
          <w:caps w:val="0"/>
          <w:color w:val="auto"/>
        </w:rPr>
        <w:instrText xml:space="preserve"> TOC \t "标题 1,1,标题,1,样式4,1" </w:instrText>
      </w:r>
      <w:r>
        <w:rPr>
          <w:rStyle w:val="16"/>
          <w:b w:val="0"/>
          <w:color w:val="auto"/>
        </w:rPr>
        <w:fldChar w:fldCharType="separate"/>
      </w:r>
      <w:r>
        <w:rPr>
          <w:rFonts w:hint="eastAsia"/>
        </w:rPr>
        <w:t>附件1技术规范</w:t>
      </w:r>
      <w:r>
        <w:tab/>
      </w:r>
      <w:r>
        <w:rPr>
          <w:rFonts w:hint="eastAsia"/>
          <w:lang w:val="en-US" w:eastAsia="zh-CN"/>
        </w:rPr>
        <w:t>3</w:t>
      </w:r>
    </w:p>
    <w:p w14:paraId="19C4A0D3">
      <w:pPr>
        <w:pStyle w:val="12"/>
        <w:tabs>
          <w:tab w:val="right" w:leader="dot" w:pos="9638"/>
        </w:tabs>
        <w:rPr>
          <w:rFonts w:hint="default" w:eastAsiaTheme="minorEastAsia"/>
          <w:lang w:val="en-US" w:eastAsia="zh-CN"/>
        </w:rPr>
      </w:pPr>
      <w:r>
        <w:rPr>
          <w:rFonts w:hint="eastAsia"/>
        </w:rPr>
        <w:t>附件2供货范围</w:t>
      </w:r>
      <w:r>
        <w:tab/>
      </w:r>
      <w:r>
        <w:rPr>
          <w:rFonts w:hint="eastAsia"/>
          <w:lang w:val="en-US" w:eastAsia="zh-CN"/>
        </w:rPr>
        <w:t>11</w:t>
      </w:r>
    </w:p>
    <w:p w14:paraId="56BCD388">
      <w:pPr>
        <w:pStyle w:val="12"/>
        <w:tabs>
          <w:tab w:val="right" w:leader="dot" w:pos="9638"/>
        </w:tabs>
        <w:rPr>
          <w:rFonts w:hint="default" w:eastAsiaTheme="minorEastAsia"/>
          <w:lang w:val="en-US" w:eastAsia="zh-CN"/>
        </w:rPr>
      </w:pPr>
      <w:r>
        <w:rPr>
          <w:rFonts w:hint="eastAsia"/>
        </w:rPr>
        <w:t>附件3技术资料</w:t>
      </w:r>
      <w:r>
        <w:tab/>
      </w:r>
      <w:r>
        <w:rPr>
          <w:rFonts w:hint="eastAsia"/>
          <w:lang w:val="en-US" w:eastAsia="zh-CN"/>
        </w:rPr>
        <w:t>12</w:t>
      </w:r>
    </w:p>
    <w:p w14:paraId="30525AAB">
      <w:pPr>
        <w:pStyle w:val="12"/>
        <w:tabs>
          <w:tab w:val="right" w:leader="dot" w:pos="9638"/>
        </w:tabs>
        <w:rPr>
          <w:rFonts w:hint="default" w:eastAsiaTheme="minorEastAsia"/>
          <w:lang w:val="en-US" w:eastAsia="zh-CN"/>
        </w:rPr>
      </w:pPr>
      <w:r>
        <w:rPr>
          <w:rFonts w:hint="eastAsia" w:ascii="宋体"/>
        </w:rPr>
        <w:t>附件4交货进度</w:t>
      </w:r>
      <w:r>
        <w:tab/>
      </w:r>
      <w:r>
        <w:rPr>
          <w:rFonts w:hint="eastAsia"/>
          <w:lang w:val="en-US" w:eastAsia="zh-CN"/>
        </w:rPr>
        <w:t>14</w:t>
      </w:r>
    </w:p>
    <w:p w14:paraId="6EC930BF">
      <w:pPr>
        <w:pStyle w:val="12"/>
        <w:tabs>
          <w:tab w:val="right" w:leader="dot" w:pos="9638"/>
        </w:tabs>
        <w:rPr>
          <w:rFonts w:hint="default" w:eastAsiaTheme="minorEastAsia"/>
          <w:lang w:val="en-US" w:eastAsia="zh-CN"/>
        </w:rPr>
      </w:pPr>
      <w:r>
        <w:rPr>
          <w:rFonts w:hint="eastAsia"/>
        </w:rPr>
        <w:t>附件5检验和性能验收试验</w:t>
      </w:r>
      <w:r>
        <w:tab/>
      </w:r>
      <w:r>
        <w:rPr>
          <w:rFonts w:hint="eastAsia"/>
          <w:lang w:val="en-US" w:eastAsia="zh-CN"/>
        </w:rPr>
        <w:t>15</w:t>
      </w:r>
    </w:p>
    <w:p w14:paraId="2613081A">
      <w:pPr>
        <w:pStyle w:val="12"/>
        <w:tabs>
          <w:tab w:val="right" w:leader="dot" w:pos="9638"/>
        </w:tabs>
        <w:rPr>
          <w:rFonts w:hint="default" w:eastAsiaTheme="minorEastAsia"/>
          <w:lang w:val="en-US" w:eastAsia="zh-CN"/>
        </w:rPr>
      </w:pPr>
      <w:r>
        <w:rPr>
          <w:rFonts w:hint="eastAsia"/>
        </w:rPr>
        <w:t>附件6培训</w:t>
      </w:r>
      <w:r>
        <w:tab/>
      </w:r>
      <w:r>
        <w:rPr>
          <w:rFonts w:hint="eastAsia"/>
          <w:lang w:val="en-US" w:eastAsia="zh-CN"/>
        </w:rPr>
        <w:t>18</w:t>
      </w:r>
    </w:p>
    <w:p w14:paraId="6DFA896B">
      <w:pPr>
        <w:pStyle w:val="12"/>
        <w:tabs>
          <w:tab w:val="right" w:leader="dot" w:pos="9638"/>
        </w:tabs>
        <w:rPr>
          <w:rFonts w:hint="default" w:eastAsiaTheme="minorEastAsia"/>
          <w:lang w:val="en-US" w:eastAsia="zh-CN"/>
        </w:rPr>
      </w:pPr>
      <w:r>
        <w:rPr>
          <w:rFonts w:ascii="Times New Roman"/>
        </w:rPr>
        <w:t>附件7 分包与外购</w:t>
      </w:r>
      <w:r>
        <w:tab/>
      </w:r>
      <w:r>
        <w:rPr>
          <w:rFonts w:hint="eastAsia"/>
          <w:lang w:val="en-US" w:eastAsia="zh-CN"/>
        </w:rPr>
        <w:t>19</w:t>
      </w:r>
    </w:p>
    <w:p w14:paraId="444D687C">
      <w:pPr>
        <w:pStyle w:val="12"/>
        <w:tabs>
          <w:tab w:val="right" w:leader="dot" w:pos="9638"/>
        </w:tabs>
        <w:rPr>
          <w:rFonts w:hint="default" w:eastAsiaTheme="minorEastAsia"/>
          <w:lang w:val="en-US" w:eastAsia="zh-CN"/>
        </w:rPr>
      </w:pPr>
      <w:r>
        <w:rPr>
          <w:rFonts w:ascii="Times New Roman"/>
        </w:rPr>
        <w:t>附件8 运行维护手册</w:t>
      </w:r>
      <w:r>
        <w:tab/>
      </w:r>
      <w:r>
        <w:rPr>
          <w:rFonts w:hint="eastAsia"/>
          <w:lang w:val="en-US" w:eastAsia="zh-CN"/>
        </w:rPr>
        <w:t>20</w:t>
      </w:r>
    </w:p>
    <w:p w14:paraId="592D99FF">
      <w:pPr>
        <w:pStyle w:val="12"/>
        <w:tabs>
          <w:tab w:val="right" w:leader="dot" w:pos="9638"/>
        </w:tabs>
        <w:rPr>
          <w:rFonts w:hint="default" w:eastAsiaTheme="minorEastAsia"/>
          <w:lang w:val="en-US" w:eastAsia="zh-CN"/>
        </w:rPr>
      </w:pPr>
      <w:r>
        <w:rPr>
          <w:rFonts w:ascii="Times New Roman"/>
        </w:rPr>
        <w:t>附件</w:t>
      </w:r>
      <w:r>
        <w:rPr>
          <w:rFonts w:hint="eastAsia" w:ascii="Times New Roman"/>
        </w:rPr>
        <w:t>9</w:t>
      </w:r>
      <w:r>
        <w:rPr>
          <w:rFonts w:ascii="Times New Roman"/>
        </w:rPr>
        <w:t>技术差异表</w:t>
      </w:r>
      <w:r>
        <w:tab/>
      </w:r>
      <w:r>
        <w:rPr>
          <w:rFonts w:hint="eastAsia"/>
          <w:lang w:val="en-US" w:eastAsia="zh-CN"/>
        </w:rPr>
        <w:t>21</w:t>
      </w:r>
    </w:p>
    <w:p w14:paraId="2B30879B">
      <w:pPr>
        <w:pStyle w:val="12"/>
        <w:tabs>
          <w:tab w:val="right" w:leader="dot" w:pos="9638"/>
        </w:tabs>
        <w:rPr>
          <w:rFonts w:hint="default" w:eastAsiaTheme="minorEastAsia"/>
          <w:lang w:val="en-US" w:eastAsia="zh-CN"/>
        </w:rPr>
      </w:pPr>
      <w:r>
        <w:rPr>
          <w:rFonts w:ascii="Times New Roman"/>
        </w:rPr>
        <w:t>附件1</w:t>
      </w:r>
      <w:r>
        <w:rPr>
          <w:rFonts w:hint="eastAsia" w:ascii="Times New Roman"/>
        </w:rPr>
        <w:t>0</w:t>
      </w:r>
      <w:r>
        <w:rPr>
          <w:rFonts w:ascii="Times New Roman"/>
        </w:rPr>
        <w:t>附图</w:t>
      </w:r>
      <w:r>
        <w:tab/>
      </w:r>
      <w:r>
        <w:rPr>
          <w:rFonts w:hint="eastAsia"/>
          <w:lang w:val="en-US" w:eastAsia="zh-CN"/>
        </w:rPr>
        <w:t>22</w:t>
      </w:r>
    </w:p>
    <w:p w14:paraId="0FE2A42C">
      <w:pPr>
        <w:pStyle w:val="12"/>
        <w:tabs>
          <w:tab w:val="right" w:leader="dot" w:pos="9638"/>
        </w:tabs>
        <w:rPr>
          <w:rFonts w:hint="default" w:eastAsiaTheme="minorEastAsia"/>
          <w:lang w:val="en-US" w:eastAsia="zh-CN"/>
        </w:rPr>
      </w:pPr>
      <w:r>
        <w:rPr>
          <w:rFonts w:ascii="Times New Roman"/>
        </w:rPr>
        <w:t>附件1</w:t>
      </w:r>
      <w:r>
        <w:rPr>
          <w:rFonts w:hint="eastAsia" w:ascii="Times New Roman"/>
        </w:rPr>
        <w:t>1</w:t>
      </w:r>
      <w:r>
        <w:rPr>
          <w:rFonts w:ascii="Times New Roman"/>
        </w:rPr>
        <w:t>性能考核条款</w:t>
      </w:r>
      <w:r>
        <w:tab/>
      </w:r>
      <w:r>
        <w:rPr>
          <w:rFonts w:hint="eastAsia"/>
          <w:lang w:val="en-US" w:eastAsia="zh-CN"/>
        </w:rPr>
        <w:t>23</w:t>
      </w:r>
    </w:p>
    <w:p w14:paraId="2B72E1FB">
      <w:pPr>
        <w:pStyle w:val="12"/>
        <w:tabs>
          <w:tab w:val="right" w:leader="dot" w:pos="9638"/>
        </w:tabs>
        <w:rPr>
          <w:rFonts w:hint="default" w:ascii="Times New Roman" w:eastAsiaTheme="minorEastAsia"/>
          <w:lang w:val="en-US" w:eastAsia="zh-CN"/>
        </w:rPr>
      </w:pPr>
      <w:r>
        <w:rPr>
          <w:rFonts w:ascii="Times New Roman"/>
        </w:rPr>
        <w:t>附件1</w:t>
      </w:r>
      <w:r>
        <w:rPr>
          <w:rFonts w:hint="eastAsia" w:ascii="Times New Roman"/>
          <w:lang w:val="en-US" w:eastAsia="zh-CN"/>
        </w:rPr>
        <w:t>2</w:t>
      </w:r>
      <w:r>
        <w:rPr>
          <w:rFonts w:hint="eastAsia" w:ascii="Times New Roman"/>
        </w:rPr>
        <w:t>报价人需要说明的其他问题</w:t>
      </w:r>
      <w:r>
        <w:tab/>
      </w:r>
      <w:r>
        <w:rPr>
          <w:rFonts w:hint="eastAsia"/>
          <w:lang w:val="en-US" w:eastAsia="zh-CN"/>
        </w:rPr>
        <w:t>25</w:t>
      </w:r>
    </w:p>
    <w:p w14:paraId="1223818D">
      <w:pPr>
        <w:pStyle w:val="12"/>
        <w:tabs>
          <w:tab w:val="right" w:leader="dot" w:pos="9638"/>
        </w:tabs>
        <w:rPr>
          <w:rFonts w:hint="default" w:eastAsiaTheme="minorEastAsia"/>
          <w:lang w:val="en-US" w:eastAsia="zh-CN"/>
        </w:rPr>
      </w:pPr>
      <w:r>
        <w:rPr>
          <w:rFonts w:ascii="Times New Roman"/>
        </w:rPr>
        <w:t>附件1</w:t>
      </w:r>
      <w:r>
        <w:rPr>
          <w:rFonts w:hint="eastAsia" w:ascii="Times New Roman"/>
        </w:rPr>
        <w:t>3</w:t>
      </w:r>
      <w:r>
        <w:rPr>
          <w:rFonts w:ascii="Times New Roman"/>
        </w:rPr>
        <w:t>业绩及用户评价</w:t>
      </w:r>
      <w:r>
        <w:tab/>
      </w:r>
      <w:r>
        <w:rPr>
          <w:rFonts w:hint="eastAsia"/>
          <w:lang w:val="en-US" w:eastAsia="zh-CN"/>
        </w:rPr>
        <w:t>25</w:t>
      </w:r>
    </w:p>
    <w:p w14:paraId="1233B447">
      <w:pPr>
        <w:pStyle w:val="33"/>
        <w:tabs>
          <w:tab w:val="left" w:pos="5295"/>
        </w:tabs>
        <w:spacing w:before="120" w:after="120" w:line="440" w:lineRule="atLeast"/>
        <w:rPr>
          <w:caps w:val="0"/>
        </w:rPr>
      </w:pPr>
      <w:r>
        <w:rPr>
          <w:caps w:val="0"/>
        </w:rPr>
        <w:fldChar w:fldCharType="end"/>
      </w:r>
    </w:p>
    <w:p w14:paraId="26D4F801">
      <w:pPr>
        <w:pStyle w:val="33"/>
        <w:tabs>
          <w:tab w:val="left" w:pos="5295"/>
        </w:tabs>
        <w:spacing w:before="120" w:after="120" w:line="440" w:lineRule="atLeast"/>
        <w:rPr>
          <w:caps w:val="0"/>
        </w:rPr>
      </w:pPr>
    </w:p>
    <w:p w14:paraId="53FD350A">
      <w:pPr>
        <w:pStyle w:val="33"/>
        <w:tabs>
          <w:tab w:val="left" w:pos="5295"/>
        </w:tabs>
        <w:spacing w:before="120" w:after="120" w:line="440" w:lineRule="atLeast"/>
        <w:rPr>
          <w:caps w:val="0"/>
        </w:rPr>
      </w:pPr>
    </w:p>
    <w:p w14:paraId="7B67F5AE">
      <w:pPr>
        <w:pStyle w:val="33"/>
        <w:tabs>
          <w:tab w:val="left" w:pos="5295"/>
        </w:tabs>
        <w:spacing w:before="120" w:after="120" w:line="440" w:lineRule="atLeast"/>
        <w:rPr>
          <w:caps w:val="0"/>
        </w:rPr>
      </w:pPr>
    </w:p>
    <w:p w14:paraId="7F1F8178">
      <w:pPr>
        <w:pStyle w:val="33"/>
        <w:tabs>
          <w:tab w:val="left" w:pos="5295"/>
        </w:tabs>
        <w:spacing w:before="120" w:after="120" w:line="440" w:lineRule="atLeast"/>
        <w:jc w:val="left"/>
        <w:rPr>
          <w:rFonts w:hint="eastAsia"/>
          <w:caps w:val="0"/>
        </w:rPr>
      </w:pPr>
    </w:p>
    <w:p w14:paraId="2C9D4308">
      <w:pPr>
        <w:bidi w:val="0"/>
        <w:rPr>
          <w:rFonts w:hint="eastAsia"/>
          <w:b/>
          <w:bCs/>
        </w:rPr>
      </w:pPr>
    </w:p>
    <w:p w14:paraId="31A644D5">
      <w:pPr>
        <w:bidi w:val="0"/>
        <w:rPr>
          <w:rFonts w:hint="eastAsia"/>
          <w:b/>
          <w:bCs/>
        </w:rPr>
      </w:pPr>
    </w:p>
    <w:p w14:paraId="7C1E002C">
      <w:pPr>
        <w:bidi w:val="0"/>
        <w:rPr>
          <w:rFonts w:hint="eastAsia"/>
          <w:b/>
          <w:bCs/>
        </w:rPr>
      </w:pPr>
    </w:p>
    <w:p w14:paraId="58F42501">
      <w:pPr>
        <w:bidi w:val="0"/>
        <w:rPr>
          <w:b/>
          <w:bCs/>
        </w:rPr>
      </w:pPr>
      <w:r>
        <w:rPr>
          <w:rFonts w:hint="eastAsia"/>
          <w:b/>
          <w:bCs/>
        </w:rPr>
        <w:t>附件1</w:t>
      </w:r>
      <w:bookmarkEnd w:id="1"/>
      <w:r>
        <w:rPr>
          <w:rFonts w:hint="eastAsia"/>
          <w:b/>
          <w:bCs/>
          <w:lang w:val="en-US" w:eastAsia="zh-CN"/>
        </w:rPr>
        <w:t xml:space="preserve"> </w:t>
      </w:r>
      <w:r>
        <w:rPr>
          <w:rFonts w:hint="eastAsia"/>
          <w:b/>
          <w:bCs/>
        </w:rPr>
        <w:t>技术规范</w:t>
      </w:r>
      <w:bookmarkEnd w:id="2"/>
      <w:r>
        <w:rPr>
          <w:rFonts w:hint="eastAsia"/>
          <w:b/>
          <w:bCs/>
        </w:rPr>
        <w:tab/>
      </w:r>
    </w:p>
    <w:p w14:paraId="72D645E1">
      <w:pPr>
        <w:pStyle w:val="29"/>
        <w:spacing w:line="440" w:lineRule="atLeast"/>
        <w:ind w:left="426" w:hanging="424" w:hangingChars="177"/>
        <w:outlineLvl w:val="1"/>
        <w:rPr>
          <w:rFonts w:ascii="宋体" w:hAnsi="宋体"/>
          <w:sz w:val="24"/>
          <w:szCs w:val="24"/>
        </w:rPr>
      </w:pPr>
      <w:r>
        <w:rPr>
          <w:rFonts w:hint="eastAsia" w:ascii="宋体" w:hAnsi="宋体"/>
          <w:sz w:val="24"/>
          <w:szCs w:val="24"/>
        </w:rPr>
        <w:t>总的要求</w:t>
      </w:r>
    </w:p>
    <w:p w14:paraId="6527C1F9">
      <w:pPr>
        <w:pStyle w:val="30"/>
        <w:tabs>
          <w:tab w:val="clear" w:pos="360"/>
        </w:tabs>
        <w:snapToGrid w:val="0"/>
        <w:outlineLvl w:val="9"/>
        <w:rPr>
          <w:rFonts w:ascii="宋体" w:hAnsi="宋体"/>
          <w:b w:val="0"/>
        </w:rPr>
      </w:pPr>
      <w:bookmarkStart w:id="3" w:name="_Toc189304226"/>
      <w:r>
        <w:rPr>
          <w:rFonts w:hint="eastAsia" w:ascii="宋体" w:hAnsi="宋体"/>
          <w:b w:val="0"/>
        </w:rPr>
        <w:t>本技术规范适用于浙能集团水务平台伊犁新天煤化工有限责任公司水处理车间普通化学品（反渗透系统药品）的年度采购招标工作。</w:t>
      </w:r>
    </w:p>
    <w:p w14:paraId="5D520643">
      <w:pPr>
        <w:pStyle w:val="30"/>
        <w:tabs>
          <w:tab w:val="clear" w:pos="360"/>
        </w:tabs>
        <w:snapToGrid w:val="0"/>
        <w:outlineLvl w:val="9"/>
        <w:rPr>
          <w:rFonts w:ascii="宋体" w:hAnsi="宋体"/>
          <w:b w:val="0"/>
        </w:rPr>
      </w:pPr>
      <w:r>
        <w:rPr>
          <w:rFonts w:hint="eastAsia" w:ascii="宋体" w:hAnsi="宋体"/>
          <w:b w:val="0"/>
        </w:rPr>
        <w:t>采购人在本技术规范书中提出了最低限度的技术要求，并未对一切技术细节做出规定，也未充分引述有关标准和规范的条文，报价人应保证提供符合本规范书和工业标准的优质产品。若是系统运行所必需的而未在本技术规范书中列出的设备，一经发现报价人也应负责免费提供。</w:t>
      </w:r>
    </w:p>
    <w:p w14:paraId="0256ABD7">
      <w:pPr>
        <w:pStyle w:val="30"/>
        <w:tabs>
          <w:tab w:val="clear" w:pos="360"/>
        </w:tabs>
        <w:snapToGrid w:val="0"/>
        <w:outlineLvl w:val="9"/>
        <w:rPr>
          <w:rFonts w:ascii="宋体" w:hAnsi="宋体"/>
          <w:b w:val="0"/>
        </w:rPr>
      </w:pPr>
      <w:r>
        <w:rPr>
          <w:rFonts w:hint="eastAsia" w:ascii="宋体" w:hAnsi="宋体"/>
          <w:b w:val="0"/>
        </w:rPr>
        <w:t>报价人如对本技术规范书有偏差</w:t>
      </w:r>
      <w:r>
        <w:rPr>
          <w:rFonts w:ascii="宋体" w:hAnsi="宋体"/>
          <w:b w:val="0"/>
        </w:rPr>
        <w:t>(</w:t>
      </w:r>
      <w:r>
        <w:rPr>
          <w:rFonts w:hint="eastAsia" w:ascii="宋体" w:hAnsi="宋体"/>
          <w:b w:val="0"/>
        </w:rPr>
        <w:t>无论多少或微小</w:t>
      </w:r>
      <w:r>
        <w:rPr>
          <w:rFonts w:ascii="宋体" w:hAnsi="宋体"/>
          <w:b w:val="0"/>
        </w:rPr>
        <w:t>)</w:t>
      </w:r>
      <w:r>
        <w:rPr>
          <w:rFonts w:hint="eastAsia" w:ascii="宋体" w:hAnsi="宋体"/>
          <w:b w:val="0"/>
        </w:rPr>
        <w:t>都必须清楚地表示在本技术规范书中的“技术偏差表”中。否则采购人将认为报价人完全接受和同意本技术规范书的要求。报价人如有优于本招标文件基本要求的条款，也应在投标文件中特殊说明，并以书面形式提出并做详细说明。</w:t>
      </w:r>
    </w:p>
    <w:p w14:paraId="629EA419">
      <w:pPr>
        <w:pStyle w:val="30"/>
        <w:tabs>
          <w:tab w:val="clear" w:pos="360"/>
        </w:tabs>
        <w:snapToGrid w:val="0"/>
        <w:outlineLvl w:val="9"/>
        <w:rPr>
          <w:rFonts w:ascii="宋体" w:hAnsi="宋体"/>
          <w:b w:val="0"/>
        </w:rPr>
      </w:pPr>
      <w:r>
        <w:rPr>
          <w:rFonts w:hint="eastAsia" w:ascii="宋体" w:hAnsi="宋体"/>
          <w:b w:val="0"/>
        </w:rPr>
        <w:t>药剂采用的专利涉及到的全部费用均被认为已包含在药剂投标中，报价人应保证采购人不承担有关设备专利的一切责任。</w:t>
      </w:r>
    </w:p>
    <w:p w14:paraId="6E4EE47D">
      <w:pPr>
        <w:pStyle w:val="30"/>
        <w:tabs>
          <w:tab w:val="clear" w:pos="360"/>
        </w:tabs>
        <w:snapToGrid w:val="0"/>
        <w:outlineLvl w:val="9"/>
        <w:rPr>
          <w:rFonts w:ascii="宋体" w:hAnsi="宋体"/>
          <w:b w:val="0"/>
        </w:rPr>
      </w:pPr>
      <w:r>
        <w:rPr>
          <w:rFonts w:hint="eastAsia" w:ascii="宋体" w:hAnsi="宋体"/>
          <w:b w:val="0"/>
        </w:rPr>
        <w:t>本技术规范书经采购人和报价人双方确认后作为订货合同的附件，与合同正文具有同等法律效力。如报价人不遵守本规范书，采购人有权拒受货，拒付款。</w:t>
      </w:r>
    </w:p>
    <w:p w14:paraId="65BDF834">
      <w:pPr>
        <w:pStyle w:val="30"/>
        <w:tabs>
          <w:tab w:val="clear" w:pos="360"/>
        </w:tabs>
        <w:snapToGrid w:val="0"/>
        <w:outlineLvl w:val="9"/>
        <w:rPr>
          <w:rFonts w:ascii="宋体" w:hAnsi="宋体"/>
          <w:b w:val="0"/>
        </w:rPr>
      </w:pPr>
      <w:r>
        <w:rPr>
          <w:rFonts w:hint="eastAsia" w:ascii="宋体" w:hAnsi="宋体"/>
          <w:b w:val="0"/>
        </w:rPr>
        <w:t>报价人提供的进口药剂应提供有关证书、药剂原产地证明、海关报关证明复印件，必要的时候，报价人应配合提供原件，并在包装上标有正确的标识（耐磨、防腐蚀等措施要求内容齐全）。</w:t>
      </w:r>
    </w:p>
    <w:p w14:paraId="1EACE9F9">
      <w:pPr>
        <w:pStyle w:val="30"/>
        <w:tabs>
          <w:tab w:val="clear" w:pos="360"/>
        </w:tabs>
        <w:snapToGrid w:val="0"/>
        <w:outlineLvl w:val="9"/>
        <w:rPr>
          <w:rFonts w:ascii="宋体" w:hAnsi="宋体"/>
          <w:b w:val="0"/>
        </w:rPr>
      </w:pPr>
      <w:r>
        <w:rPr>
          <w:rFonts w:hint="eastAsia" w:ascii="宋体" w:hAnsi="宋体"/>
          <w:b w:val="0"/>
        </w:rPr>
        <w:t>报价人提供的文件，包括图纸、计算、说明、使用手册等，均使用国际单位制（</w:t>
      </w:r>
      <w:r>
        <w:rPr>
          <w:rFonts w:ascii="宋体" w:hAnsi="宋体"/>
          <w:b w:val="0"/>
        </w:rPr>
        <w:t>SI</w:t>
      </w:r>
      <w:r>
        <w:rPr>
          <w:rFonts w:hint="eastAsia" w:ascii="宋体" w:hAnsi="宋体"/>
          <w:b w:val="0"/>
        </w:rPr>
        <w:t>）。所有文件、工程图纸及相互通讯，均使用中文。不论在合同谈判及签约后的工程建设期间，中文是主要的工作语言。若文件为英文，同时附中文说明。</w:t>
      </w:r>
    </w:p>
    <w:p w14:paraId="37A192F9">
      <w:pPr>
        <w:pStyle w:val="30"/>
        <w:tabs>
          <w:tab w:val="clear" w:pos="360"/>
        </w:tabs>
        <w:snapToGrid w:val="0"/>
        <w:outlineLvl w:val="9"/>
        <w:rPr>
          <w:rFonts w:ascii="宋体" w:hAnsi="宋体"/>
          <w:b w:val="0"/>
        </w:rPr>
      </w:pPr>
      <w:r>
        <w:rPr>
          <w:rFonts w:hint="eastAsia" w:ascii="宋体" w:hAnsi="宋体"/>
          <w:b w:val="0"/>
        </w:rPr>
        <w:t>在签订合同之后，采购人有权提出因国家或行业规范、标准及用户工况、水质条件变化而产生的一些补充修改要求，报价人必须遵守这个要求，具体条款内容由双方共同商定，而报价人不得提出商务价格修改要求。且不论采购人知道与否，报价人有责任及时书面通知采购人有关国家或行业规范、标准发生的变化。</w:t>
      </w:r>
    </w:p>
    <w:p w14:paraId="7712CAE7">
      <w:pPr>
        <w:pStyle w:val="30"/>
        <w:tabs>
          <w:tab w:val="clear" w:pos="360"/>
        </w:tabs>
        <w:snapToGrid w:val="0"/>
        <w:outlineLvl w:val="9"/>
        <w:rPr>
          <w:rFonts w:ascii="宋体" w:hAnsi="宋体"/>
          <w:b w:val="0"/>
        </w:rPr>
      </w:pPr>
      <w:r>
        <w:rPr>
          <w:rFonts w:hint="eastAsia" w:ascii="宋体" w:hAnsi="宋体"/>
          <w:b w:val="0"/>
        </w:rPr>
        <w:t>所有有效文件的内容如有不一致，以有利于采购人的解释为准。</w:t>
      </w:r>
    </w:p>
    <w:p w14:paraId="5115EF53">
      <w:pPr>
        <w:pStyle w:val="30"/>
        <w:tabs>
          <w:tab w:val="clear" w:pos="360"/>
        </w:tabs>
        <w:snapToGrid w:val="0"/>
        <w:outlineLvl w:val="9"/>
        <w:rPr>
          <w:rFonts w:ascii="宋体" w:hAnsi="宋体"/>
          <w:b w:val="0"/>
        </w:rPr>
      </w:pPr>
      <w:r>
        <w:rPr>
          <w:rFonts w:hint="eastAsia" w:ascii="宋体" w:hAnsi="宋体"/>
          <w:b w:val="0"/>
        </w:rPr>
        <w:t>所有与采购人有关的资料和信息仅限于报价人用于此次投标工作，未经采购人允许，报价人不得向第三方提供。</w:t>
      </w:r>
    </w:p>
    <w:p w14:paraId="0AAFFC2B">
      <w:pPr>
        <w:widowControl/>
        <w:rPr>
          <w:rFonts w:ascii="宋体" w:hAnsi="宋体" w:eastAsia="宋体" w:cs="Arial"/>
          <w:bCs/>
          <w:sz w:val="24"/>
          <w:szCs w:val="24"/>
        </w:rPr>
      </w:pPr>
      <w:r>
        <w:rPr>
          <w:rFonts w:ascii="宋体" w:hAnsi="宋体" w:eastAsia="宋体"/>
          <w:b/>
          <w:sz w:val="24"/>
          <w:szCs w:val="24"/>
        </w:rPr>
        <w:br w:type="page"/>
      </w:r>
    </w:p>
    <w:p w14:paraId="5D1FE1E7">
      <w:pPr>
        <w:pStyle w:val="29"/>
        <w:spacing w:line="440" w:lineRule="atLeast"/>
        <w:ind w:left="426" w:hanging="424" w:hangingChars="177"/>
        <w:outlineLvl w:val="1"/>
        <w:rPr>
          <w:rFonts w:ascii="宋体" w:hAnsi="宋体"/>
          <w:sz w:val="24"/>
          <w:szCs w:val="24"/>
        </w:rPr>
      </w:pPr>
      <w:bookmarkStart w:id="4" w:name="_Toc515705600"/>
      <w:bookmarkStart w:id="5" w:name="_Toc399149764"/>
      <w:bookmarkStart w:id="6" w:name="_Toc512332294"/>
      <w:bookmarkStart w:id="7" w:name="_Toc501817560"/>
      <w:bookmarkStart w:id="8" w:name="_Toc527917810"/>
      <w:r>
        <w:rPr>
          <w:rFonts w:hint="eastAsia" w:ascii="宋体" w:hAnsi="宋体"/>
          <w:sz w:val="24"/>
          <w:szCs w:val="24"/>
        </w:rPr>
        <w:t>工程概况</w:t>
      </w:r>
      <w:bookmarkEnd w:id="4"/>
      <w:bookmarkEnd w:id="5"/>
      <w:bookmarkEnd w:id="6"/>
      <w:bookmarkEnd w:id="7"/>
      <w:bookmarkEnd w:id="8"/>
    </w:p>
    <w:p w14:paraId="43E32480">
      <w:pPr>
        <w:pStyle w:val="30"/>
        <w:tabs>
          <w:tab w:val="clear" w:pos="360"/>
        </w:tabs>
        <w:snapToGrid w:val="0"/>
        <w:spacing w:before="60" w:after="60" w:line="440" w:lineRule="atLeast"/>
        <w:ind w:left="992" w:hanging="567"/>
        <w:outlineLvl w:val="2"/>
        <w:rPr>
          <w:rFonts w:ascii="宋体" w:hAnsi="宋体"/>
          <w:color w:val="000000"/>
        </w:rPr>
      </w:pPr>
      <w:bookmarkStart w:id="9" w:name="_Toc399149765"/>
      <w:bookmarkStart w:id="10" w:name="_Toc216232459"/>
      <w:bookmarkStart w:id="11" w:name="_Toc191373535"/>
      <w:bookmarkStart w:id="12" w:name="_Toc527917811"/>
      <w:r>
        <w:rPr>
          <w:rFonts w:hint="eastAsia" w:ascii="宋体" w:hAnsi="宋体"/>
          <w:color w:val="000000"/>
        </w:rPr>
        <w:t>场地条件和自然条件</w:t>
      </w:r>
    </w:p>
    <w:p w14:paraId="1F300221">
      <w:pPr>
        <w:pStyle w:val="26"/>
        <w:numPr>
          <w:ilvl w:val="0"/>
          <w:numId w:val="2"/>
        </w:numPr>
        <w:spacing w:line="360" w:lineRule="auto"/>
        <w:ind w:firstLineChars="0"/>
        <w:rPr>
          <w:rFonts w:ascii="宋体" w:hAnsi="宋体"/>
          <w:color w:val="000000"/>
          <w:szCs w:val="24"/>
        </w:rPr>
      </w:pPr>
      <w:bookmarkStart w:id="13" w:name="_Toc170462599"/>
      <w:bookmarkStart w:id="14" w:name="_Toc96238074"/>
      <w:bookmarkStart w:id="15" w:name="_Toc170270573"/>
      <w:r>
        <w:rPr>
          <w:rFonts w:hint="eastAsia" w:ascii="宋体" w:hAnsi="宋体"/>
          <w:color w:val="000000"/>
          <w:szCs w:val="24"/>
        </w:rPr>
        <w:t>工程名称：伊犁新天</w:t>
      </w:r>
      <w:r>
        <w:fldChar w:fldCharType="begin"/>
      </w:r>
      <w:r>
        <w:instrText xml:space="preserve"> HYPERLINK "http://baike.sogou.com/lemma/ShowInnerLink.htm?lemmaId=362601&amp;ss_c=ssc.citiao.link" \t "_blank" </w:instrText>
      </w:r>
      <w:r>
        <w:fldChar w:fldCharType="separate"/>
      </w:r>
      <w:r>
        <w:rPr>
          <w:rStyle w:val="16"/>
          <w:rFonts w:hint="eastAsia" w:ascii="宋体" w:hAnsi="宋体"/>
          <w:color w:val="000000"/>
          <w:szCs w:val="24"/>
        </w:rPr>
        <w:t>煤化工</w:t>
      </w:r>
      <w:r>
        <w:rPr>
          <w:rStyle w:val="16"/>
          <w:rFonts w:hint="eastAsia" w:ascii="宋体" w:hAnsi="宋体"/>
          <w:color w:val="000000"/>
          <w:szCs w:val="24"/>
        </w:rPr>
        <w:fldChar w:fldCharType="end"/>
      </w:r>
      <w:r>
        <w:rPr>
          <w:rFonts w:hint="eastAsia" w:ascii="宋体" w:hAnsi="宋体"/>
          <w:color w:val="000000"/>
          <w:szCs w:val="24"/>
        </w:rPr>
        <w:t>有限责任公司（年产20亿Nm3 /a煤制天然气项目）。</w:t>
      </w:r>
    </w:p>
    <w:p w14:paraId="6A3CA79A">
      <w:pPr>
        <w:pStyle w:val="26"/>
        <w:numPr>
          <w:ilvl w:val="0"/>
          <w:numId w:val="2"/>
        </w:numPr>
        <w:spacing w:line="360" w:lineRule="auto"/>
        <w:ind w:firstLineChars="0"/>
        <w:rPr>
          <w:rFonts w:ascii="宋体" w:hAnsi="宋体"/>
          <w:color w:val="000000"/>
          <w:szCs w:val="24"/>
        </w:rPr>
      </w:pPr>
      <w:r>
        <w:rPr>
          <w:rFonts w:hint="eastAsia" w:ascii="宋体" w:hAnsi="宋体"/>
          <w:color w:val="000000"/>
          <w:szCs w:val="24"/>
        </w:rPr>
        <w:t>地理位置：地处新疆伊犁伊宁市巴颜岱镇火龙洞，距市区25公里。</w:t>
      </w:r>
    </w:p>
    <w:p w14:paraId="0F9072E3">
      <w:pPr>
        <w:pStyle w:val="26"/>
        <w:numPr>
          <w:ilvl w:val="0"/>
          <w:numId w:val="2"/>
        </w:numPr>
        <w:spacing w:line="360" w:lineRule="auto"/>
        <w:ind w:firstLineChars="0"/>
        <w:rPr>
          <w:rFonts w:ascii="宋体" w:hAnsi="宋体"/>
          <w:color w:val="000000"/>
          <w:szCs w:val="24"/>
        </w:rPr>
      </w:pPr>
      <w:r>
        <w:rPr>
          <w:rFonts w:hint="eastAsia" w:ascii="宋体" w:hAnsi="宋体"/>
          <w:color w:val="000000"/>
          <w:szCs w:val="24"/>
        </w:rPr>
        <w:t>工程性质及规模：公司筹建年产20亿Nm</w:t>
      </w:r>
      <w:r>
        <w:rPr>
          <w:rFonts w:hint="eastAsia" w:ascii="宋体" w:hAnsi="宋体"/>
          <w:color w:val="000000"/>
          <w:szCs w:val="24"/>
          <w:vertAlign w:val="superscript"/>
        </w:rPr>
        <w:t>3</w:t>
      </w:r>
      <w:r>
        <w:fldChar w:fldCharType="begin"/>
      </w:r>
      <w:r>
        <w:instrText xml:space="preserve"> HYPERLINK "http://baike.sogou.com/lemma/ShowInnerLink.htm?lemmaId=7793417&amp;ss_c=ssc.citiao.link" \t "_blank" </w:instrText>
      </w:r>
      <w:r>
        <w:fldChar w:fldCharType="separate"/>
      </w:r>
      <w:r>
        <w:rPr>
          <w:rStyle w:val="16"/>
          <w:rFonts w:hint="eastAsia" w:ascii="宋体" w:hAnsi="宋体"/>
          <w:color w:val="000000"/>
          <w:szCs w:val="24"/>
        </w:rPr>
        <w:t>煤制天然气</w:t>
      </w:r>
      <w:r>
        <w:rPr>
          <w:rStyle w:val="16"/>
          <w:rFonts w:hint="eastAsia" w:ascii="宋体" w:hAnsi="宋体"/>
          <w:color w:val="000000"/>
          <w:szCs w:val="24"/>
        </w:rPr>
        <w:fldChar w:fldCharType="end"/>
      </w:r>
      <w:r>
        <w:rPr>
          <w:rFonts w:hint="eastAsia" w:ascii="宋体" w:hAnsi="宋体"/>
          <w:color w:val="000000"/>
          <w:szCs w:val="24"/>
        </w:rPr>
        <w:t>项目，公司占地面积3000亩，投资170亿元，以煤制天然气为主，副产焦油、中油、</w:t>
      </w:r>
      <w:r>
        <w:fldChar w:fldCharType="begin"/>
      </w:r>
      <w:r>
        <w:instrText xml:space="preserve"> HYPERLINK "http://baike.sogou.com/lemma/ShowInnerLink.htm?lemmaId=379291&amp;ss_c=ssc.citiao.link" \t "_blank" </w:instrText>
      </w:r>
      <w:r>
        <w:fldChar w:fldCharType="separate"/>
      </w:r>
      <w:r>
        <w:rPr>
          <w:rStyle w:val="16"/>
          <w:rFonts w:hint="eastAsia" w:ascii="宋体" w:hAnsi="宋体"/>
          <w:color w:val="000000"/>
          <w:szCs w:val="24"/>
        </w:rPr>
        <w:t>石脑油</w:t>
      </w:r>
      <w:r>
        <w:rPr>
          <w:rStyle w:val="16"/>
          <w:rFonts w:hint="eastAsia" w:ascii="宋体" w:hAnsi="宋体"/>
          <w:color w:val="000000"/>
          <w:szCs w:val="24"/>
        </w:rPr>
        <w:fldChar w:fldCharType="end"/>
      </w:r>
      <w:r>
        <w:rPr>
          <w:rFonts w:hint="eastAsia" w:ascii="宋体" w:hAnsi="宋体"/>
          <w:color w:val="000000"/>
          <w:szCs w:val="24"/>
        </w:rPr>
        <w:t>、硫铵、粗酚等产品，采用世界先进成熟可靠的碎煤加压气化技术、</w:t>
      </w:r>
      <w:r>
        <w:fldChar w:fldCharType="begin"/>
      </w:r>
      <w:r>
        <w:instrText xml:space="preserve"> HYPERLINK "http://baike.sogou.com/lemma/ShowInnerLink.htm?lemmaId=10914091&amp;ss_c=ssc.citiao.link" \t "_blank" </w:instrText>
      </w:r>
      <w:r>
        <w:fldChar w:fldCharType="separate"/>
      </w:r>
      <w:r>
        <w:rPr>
          <w:rStyle w:val="16"/>
          <w:rFonts w:hint="eastAsia" w:ascii="宋体" w:hAnsi="宋体"/>
          <w:color w:val="000000"/>
          <w:szCs w:val="24"/>
        </w:rPr>
        <w:t>低温甲醇洗</w:t>
      </w:r>
      <w:r>
        <w:rPr>
          <w:rStyle w:val="16"/>
          <w:rFonts w:hint="eastAsia" w:ascii="宋体" w:hAnsi="宋体"/>
          <w:color w:val="000000"/>
          <w:szCs w:val="24"/>
        </w:rPr>
        <w:fldChar w:fldCharType="end"/>
      </w:r>
      <w:r>
        <w:rPr>
          <w:rFonts w:hint="eastAsia" w:ascii="宋体" w:hAnsi="宋体"/>
          <w:color w:val="000000"/>
          <w:szCs w:val="24"/>
        </w:rPr>
        <w:t>工艺和甲烷化技术，“三废”排放指标全部达到国家指标要求，是一个洁净、环保的煤炭资源转化项目。</w:t>
      </w:r>
    </w:p>
    <w:p w14:paraId="65DFA8A5">
      <w:pPr>
        <w:pStyle w:val="26"/>
        <w:numPr>
          <w:ilvl w:val="0"/>
          <w:numId w:val="2"/>
        </w:numPr>
        <w:spacing w:line="360" w:lineRule="auto"/>
        <w:ind w:firstLineChars="0"/>
        <w:rPr>
          <w:rFonts w:ascii="宋体" w:hAnsi="宋体"/>
          <w:color w:val="000000"/>
          <w:szCs w:val="24"/>
        </w:rPr>
      </w:pPr>
      <w:r>
        <w:rPr>
          <w:rFonts w:hint="eastAsia" w:ascii="宋体" w:hAnsi="宋体"/>
          <w:color w:val="000000"/>
          <w:szCs w:val="24"/>
        </w:rPr>
        <w:t>交通条件</w:t>
      </w:r>
      <w:bookmarkEnd w:id="13"/>
      <w:bookmarkEnd w:id="14"/>
      <w:bookmarkEnd w:id="15"/>
      <w:r>
        <w:rPr>
          <w:rFonts w:hint="eastAsia" w:ascii="宋体" w:hAnsi="宋体"/>
          <w:color w:val="000000"/>
          <w:szCs w:val="24"/>
        </w:rPr>
        <w:t>：伊宁市是新疆西部</w:t>
      </w:r>
      <w:r>
        <w:fldChar w:fldCharType="begin"/>
      </w:r>
      <w:r>
        <w:instrText xml:space="preserve"> HYPERLINK "http://baike.sogou.com/lemma/ShowInnerLink.htm?lemmaId=91056" \t "_blank" </w:instrText>
      </w:r>
      <w:r>
        <w:fldChar w:fldCharType="separate"/>
      </w:r>
      <w:r>
        <w:rPr>
          <w:rStyle w:val="16"/>
          <w:rFonts w:hint="eastAsia" w:ascii="宋体" w:hAnsi="宋体"/>
          <w:color w:val="000000"/>
          <w:szCs w:val="24"/>
        </w:rPr>
        <w:t>交通枢纽</w:t>
      </w:r>
      <w:r>
        <w:rPr>
          <w:rStyle w:val="16"/>
          <w:rFonts w:hint="eastAsia" w:ascii="宋体" w:hAnsi="宋体"/>
          <w:color w:val="000000"/>
          <w:szCs w:val="24"/>
        </w:rPr>
        <w:fldChar w:fldCharType="end"/>
      </w:r>
      <w:r>
        <w:rPr>
          <w:rFonts w:hint="eastAsia" w:ascii="宋体" w:hAnsi="宋体"/>
          <w:color w:val="000000"/>
          <w:szCs w:val="24"/>
        </w:rPr>
        <w:t>，被国家列为全国</w:t>
      </w:r>
      <w:r>
        <w:fldChar w:fldCharType="begin"/>
      </w:r>
      <w:r>
        <w:instrText xml:space="preserve"> HYPERLINK "http://baike.sogou.com/lemma/ShowInnerLink.htm?lemmaId=10729184" \t "_blank" </w:instrText>
      </w:r>
      <w:r>
        <w:fldChar w:fldCharType="separate"/>
      </w:r>
      <w:r>
        <w:rPr>
          <w:rStyle w:val="16"/>
          <w:rFonts w:hint="eastAsia" w:ascii="宋体" w:hAnsi="宋体"/>
          <w:color w:val="000000"/>
          <w:szCs w:val="24"/>
        </w:rPr>
        <w:t>公路枢纽</w:t>
      </w:r>
      <w:r>
        <w:rPr>
          <w:rStyle w:val="16"/>
          <w:rFonts w:hint="eastAsia" w:ascii="宋体" w:hAnsi="宋体"/>
          <w:color w:val="000000"/>
          <w:szCs w:val="24"/>
        </w:rPr>
        <w:fldChar w:fldCharType="end"/>
      </w:r>
      <w:r>
        <w:rPr>
          <w:rFonts w:hint="eastAsia" w:ascii="宋体" w:hAnsi="宋体"/>
          <w:color w:val="000000"/>
          <w:szCs w:val="24"/>
        </w:rPr>
        <w:t>之一。现已形成铁路航空公路为主的立体交通网络。</w:t>
      </w:r>
      <w:r>
        <w:fldChar w:fldCharType="begin"/>
      </w:r>
      <w:r>
        <w:instrText xml:space="preserve"> HYPERLINK "http://baike.sogou.com/lemma/ShowInnerLink.htm?lemmaId=9562931" \t "_blank" </w:instrText>
      </w:r>
      <w:r>
        <w:fldChar w:fldCharType="separate"/>
      </w:r>
      <w:r>
        <w:rPr>
          <w:rStyle w:val="16"/>
          <w:rFonts w:hint="eastAsia" w:ascii="宋体" w:hAnsi="宋体"/>
          <w:color w:val="000000"/>
          <w:szCs w:val="24"/>
        </w:rPr>
        <w:t>伊宁火车站</w:t>
      </w:r>
      <w:r>
        <w:rPr>
          <w:rStyle w:val="16"/>
          <w:rFonts w:hint="eastAsia" w:ascii="宋体" w:hAnsi="宋体"/>
          <w:color w:val="000000"/>
          <w:szCs w:val="24"/>
        </w:rPr>
        <w:fldChar w:fldCharType="end"/>
      </w:r>
      <w:r>
        <w:rPr>
          <w:rFonts w:hint="eastAsia" w:ascii="宋体" w:hAnsi="宋体"/>
          <w:color w:val="000000"/>
          <w:szCs w:val="24"/>
        </w:rPr>
        <w:t>是新疆第二大火车站，全疆唯一按空港理念设计的车站。</w:t>
      </w:r>
    </w:p>
    <w:p w14:paraId="1E499A3E">
      <w:pPr>
        <w:pStyle w:val="30"/>
        <w:tabs>
          <w:tab w:val="clear" w:pos="360"/>
        </w:tabs>
        <w:snapToGrid w:val="0"/>
        <w:spacing w:before="60" w:after="60" w:line="440" w:lineRule="atLeast"/>
        <w:ind w:left="992" w:hanging="567"/>
        <w:outlineLvl w:val="2"/>
        <w:rPr>
          <w:rFonts w:ascii="宋体" w:hAnsi="宋体"/>
          <w:color w:val="000000"/>
        </w:rPr>
      </w:pPr>
      <w:r>
        <w:rPr>
          <w:rFonts w:hint="eastAsia" w:ascii="宋体" w:hAnsi="宋体"/>
          <w:color w:val="000000"/>
        </w:rPr>
        <w:t>气象条件</w:t>
      </w:r>
    </w:p>
    <w:p w14:paraId="3E499BED">
      <w:pPr>
        <w:pStyle w:val="34"/>
        <w:rPr>
          <w:rFonts w:ascii="宋体" w:hAnsi="宋体"/>
          <w:color w:val="000000"/>
          <w:szCs w:val="24"/>
        </w:rPr>
      </w:pPr>
      <w:r>
        <w:rPr>
          <w:rFonts w:hint="eastAsia" w:ascii="宋体" w:hAnsi="宋体"/>
          <w:color w:val="000000"/>
          <w:szCs w:val="24"/>
        </w:rPr>
        <w:t>伊宁市的气候属大陆性北温带和干旱性气候，由于远离海洋，地处亚欧大陆中心，伊犁河谷盆地中部，东、南、北三面有天山山脉的天然屏障，西部地势开阔，易受北冰洋气流影响，因而气候比较温和湿润，具有大陆性北温带温和干旱气候的特点。阳光充足，四季分明，夏季炎热，冬季寒冷，昼夜温差大，春末夏初多雨，冬季和初春多霜雪。</w:t>
      </w:r>
    </w:p>
    <w:p w14:paraId="3EC7D7B1">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●气温</w:t>
      </w:r>
    </w:p>
    <w:p w14:paraId="7D67ECCD">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多年平均气温：</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10.4</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w:t>
      </w:r>
    </w:p>
    <w:p w14:paraId="0E27BCF3">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多年平均最高气温：</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23.1</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w:t>
      </w:r>
    </w:p>
    <w:p w14:paraId="56F66B0E">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累年最热月平均最高气温： 31 ℃</w:t>
      </w:r>
    </w:p>
    <w:p w14:paraId="6AEFF1FB">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相应月平均相对湿度：</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68    %</w:t>
      </w:r>
    </w:p>
    <w:p w14:paraId="11509F73">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累年平均最低气温：</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5.2 </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w:t>
      </w:r>
    </w:p>
    <w:p w14:paraId="4414050C">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极端最高气温：</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39.2</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w:t>
      </w:r>
    </w:p>
    <w:p w14:paraId="4111F5E6">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极端最低气温：</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-33.6</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w:t>
      </w:r>
    </w:p>
    <w:p w14:paraId="3B1107A4">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●湿度</w:t>
      </w:r>
    </w:p>
    <w:p w14:paraId="2B135EE6">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多年平均相对湿度：</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72</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p>
    <w:p w14:paraId="7155341F">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累年最小相对湿度：</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w:t>
      </w:r>
    </w:p>
    <w:p w14:paraId="702F9BA7">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多年平均水气压：</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14.9</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hPa</w:t>
      </w:r>
    </w:p>
    <w:p w14:paraId="67BCA9BB">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●降水、蒸发</w:t>
      </w:r>
    </w:p>
    <w:p w14:paraId="0E922025">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403.5    mm</w:t>
      </w:r>
    </w:p>
    <w:p w14:paraId="6742B07A">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最大年降水量：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928.5</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mm</w:t>
      </w:r>
    </w:p>
    <w:p w14:paraId="0C86BEFD">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最小年降水量：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207.8</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mm</w:t>
      </w:r>
    </w:p>
    <w:p w14:paraId="02BCC2F4">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最大一日降水量：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218.7</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mm </w:t>
      </w:r>
    </w:p>
    <w:p w14:paraId="57943D20">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最大1小时降水量：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50.6</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mm  </w:t>
      </w:r>
    </w:p>
    <w:p w14:paraId="56428642">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最大10分钟降水量：</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8.4</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mm  </w:t>
      </w:r>
    </w:p>
    <w:p w14:paraId="091287B9">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●雪、雷暴、雾</w:t>
      </w:r>
    </w:p>
    <w:p w14:paraId="73E296B5">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最大积雪深度：</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51</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cm</w:t>
      </w:r>
    </w:p>
    <w:p w14:paraId="71CA7AEF">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多年平均雷暴日数：</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27.2</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d</w:t>
      </w:r>
    </w:p>
    <w:p w14:paraId="057CACB0">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最多年雷暴日数：</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51.4</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d</w:t>
      </w:r>
    </w:p>
    <w:p w14:paraId="4482C269">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最少年雷暴日数：</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22.5</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d</w:t>
      </w:r>
    </w:p>
    <w:p w14:paraId="74616D7C">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多年平均雾日数：</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18</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d</w:t>
      </w:r>
    </w:p>
    <w:p w14:paraId="799C3149">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●风</w:t>
      </w:r>
    </w:p>
    <w:p w14:paraId="4136898B">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多年平均风速：</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1.8</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m/s</w:t>
      </w:r>
    </w:p>
    <w:p w14:paraId="3FFB0F11">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最大风速：</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19.0</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m/s </w:t>
      </w:r>
    </w:p>
    <w:p w14:paraId="1CF435D0">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瞬时最大风速：</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48.9</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 xml:space="preserve">     m/s </w:t>
      </w:r>
    </w:p>
    <w:p w14:paraId="64BDE428">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全年主导风向：</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西风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14:paraId="64C0CBE2">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夏季主导风向：</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东南风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p w14:paraId="2BAF162B">
      <w:pPr>
        <w:spacing w:line="360" w:lineRule="auto"/>
        <w:ind w:firstLine="480" w:firstLineChars="200"/>
        <w:rPr>
          <w:rFonts w:ascii="宋体" w:hAnsi="宋体" w:eastAsia="宋体"/>
          <w:color w:val="000000"/>
          <w:sz w:val="24"/>
          <w:szCs w:val="24"/>
          <w:u w:val="single"/>
        </w:rPr>
      </w:pPr>
      <w:r>
        <w:rPr>
          <w:rFonts w:hint="eastAsia" w:ascii="宋体" w:hAnsi="宋体" w:eastAsia="宋体"/>
          <w:color w:val="000000"/>
          <w:sz w:val="24"/>
          <w:szCs w:val="24"/>
          <w:u w:val="single"/>
        </w:rPr>
        <w:t>冬季主导风向：</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西风</w:t>
      </w:r>
      <w:r>
        <w:rPr>
          <w:rFonts w:hint="eastAsia" w:ascii="宋体" w:hAnsi="宋体" w:eastAsia="宋体"/>
          <w:color w:val="000000"/>
          <w:sz w:val="24"/>
          <w:szCs w:val="24"/>
          <w:u w:val="single"/>
        </w:rPr>
        <w:tab/>
      </w:r>
      <w:r>
        <w:rPr>
          <w:rFonts w:hint="eastAsia" w:ascii="宋体" w:hAnsi="宋体" w:eastAsia="宋体"/>
          <w:color w:val="000000"/>
          <w:sz w:val="24"/>
          <w:szCs w:val="24"/>
          <w:u w:val="single"/>
        </w:rPr>
        <w:tab/>
      </w:r>
    </w:p>
    <w:bookmarkEnd w:id="9"/>
    <w:bookmarkEnd w:id="10"/>
    <w:bookmarkEnd w:id="11"/>
    <w:bookmarkEnd w:id="12"/>
    <w:p w14:paraId="2BE01562">
      <w:pPr>
        <w:pStyle w:val="29"/>
        <w:spacing w:line="440" w:lineRule="atLeast"/>
        <w:ind w:left="426" w:hanging="424" w:hangingChars="177"/>
        <w:outlineLvl w:val="1"/>
        <w:rPr>
          <w:rFonts w:ascii="宋体" w:hAnsi="宋体"/>
          <w:sz w:val="24"/>
          <w:szCs w:val="24"/>
        </w:rPr>
      </w:pPr>
      <w:bookmarkStart w:id="16" w:name="_Toc399149768"/>
      <w:bookmarkStart w:id="17" w:name="_Toc527917814"/>
      <w:r>
        <w:rPr>
          <w:rFonts w:hint="eastAsia" w:ascii="宋体" w:hAnsi="宋体"/>
          <w:sz w:val="24"/>
          <w:szCs w:val="24"/>
        </w:rPr>
        <w:t>标准和规范</w:t>
      </w:r>
      <w:bookmarkEnd w:id="16"/>
      <w:bookmarkEnd w:id="17"/>
    </w:p>
    <w:p w14:paraId="56F4CDF7">
      <w:pPr>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报价人提供的药品，其生产、材料、技术指标、质量和性能应符合下列标准、规范规定的最新版本要求，但不仅限于此：</w:t>
      </w:r>
    </w:p>
    <w:p w14:paraId="341D833D">
      <w:pPr>
        <w:snapToGrid w:val="0"/>
        <w:spacing w:line="36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）《药品生产商关于生产、产品质量管控等方面的相关企业标准规定》</w:t>
      </w:r>
    </w:p>
    <w:p w14:paraId="47C7ADF4">
      <w:pPr>
        <w:snapToGrid w:val="0"/>
        <w:spacing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）《药品生产商官方产品手册</w:t>
      </w:r>
      <w:r>
        <w:rPr>
          <w:rFonts w:ascii="宋体" w:hAnsi="宋体" w:eastAsia="宋体"/>
          <w:sz w:val="24"/>
          <w:szCs w:val="24"/>
        </w:rPr>
        <w:t>/</w:t>
      </w:r>
      <w:r>
        <w:rPr>
          <w:rFonts w:hint="eastAsia" w:ascii="宋体" w:hAnsi="宋体" w:eastAsia="宋体"/>
          <w:sz w:val="24"/>
          <w:szCs w:val="24"/>
        </w:rPr>
        <w:t>说明上标明的技术指标和性能》</w:t>
      </w:r>
    </w:p>
    <w:p w14:paraId="250240D1">
      <w:pPr>
        <w:snapToGrid w:val="0"/>
        <w:spacing w:line="360" w:lineRule="auto"/>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w:t>
      </w:r>
      <w:r>
        <w:rPr>
          <w:rFonts w:ascii="宋体" w:hAnsi="宋体" w:eastAsia="宋体"/>
          <w:sz w:val="24"/>
          <w:szCs w:val="24"/>
        </w:rPr>
        <w:t xml:space="preserve">GB/T 19249   </w:t>
      </w:r>
      <w:r>
        <w:rPr>
          <w:rFonts w:hint="eastAsia" w:ascii="宋体" w:hAnsi="宋体" w:eastAsia="宋体"/>
          <w:sz w:val="24"/>
          <w:szCs w:val="24"/>
        </w:rPr>
        <w:t>《反渗透水处理设备》</w:t>
      </w:r>
    </w:p>
    <w:p w14:paraId="1C0EB55E">
      <w:pPr>
        <w:snapToGrid w:val="0"/>
        <w:spacing w:line="36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w:t>
      </w:r>
      <w:r>
        <w:rPr>
          <w:rFonts w:ascii="宋体" w:hAnsi="宋体" w:eastAsia="宋体"/>
          <w:sz w:val="24"/>
          <w:szCs w:val="24"/>
        </w:rPr>
        <w:t xml:space="preserve">DL/T 1261   </w:t>
      </w:r>
      <w:r>
        <w:rPr>
          <w:rFonts w:hint="eastAsia" w:ascii="宋体" w:hAnsi="宋体" w:eastAsia="宋体"/>
          <w:sz w:val="24"/>
          <w:szCs w:val="24"/>
        </w:rPr>
        <w:t>《火电厂用反渗透阻垢剂性能评价试验导则》</w:t>
      </w:r>
    </w:p>
    <w:p w14:paraId="6FCDF4E7">
      <w:pPr>
        <w:snapToGrid w:val="0"/>
        <w:spacing w:line="360" w:lineRule="auto"/>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sz w:val="24"/>
          <w:szCs w:val="24"/>
        </w:rPr>
        <w:t xml:space="preserve">GB/T 23954  </w:t>
      </w:r>
      <w:r>
        <w:rPr>
          <w:rFonts w:hint="eastAsia" w:ascii="宋体" w:hAnsi="宋体" w:eastAsia="宋体"/>
          <w:sz w:val="24"/>
          <w:szCs w:val="24"/>
        </w:rPr>
        <w:t>《反渗透系统膜元件清洗技术规范》</w:t>
      </w:r>
    </w:p>
    <w:p w14:paraId="185E2188">
      <w:pPr>
        <w:spacing w:line="360" w:lineRule="auto"/>
        <w:ind w:firstLine="480" w:firstLineChars="200"/>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w:t>
      </w:r>
      <w:r>
        <w:rPr>
          <w:rFonts w:ascii="宋体" w:hAnsi="宋体" w:eastAsia="宋体"/>
          <w:sz w:val="24"/>
          <w:szCs w:val="24"/>
        </w:rPr>
        <w:t xml:space="preserve">GB 8978 </w:t>
      </w:r>
      <w:r>
        <w:rPr>
          <w:rFonts w:hint="eastAsia" w:ascii="宋体" w:hAnsi="宋体" w:eastAsia="宋体"/>
          <w:sz w:val="24"/>
          <w:szCs w:val="24"/>
        </w:rPr>
        <w:t>《污水综合排放标准》</w:t>
      </w:r>
    </w:p>
    <w:p w14:paraId="0F578D0D">
      <w:pPr>
        <w:snapToGrid w:val="0"/>
        <w:spacing w:line="360" w:lineRule="auto"/>
        <w:ind w:firstLine="480" w:firstLineChars="200"/>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）《美国国家</w:t>
      </w:r>
      <w:r>
        <w:rPr>
          <w:rFonts w:ascii="宋体" w:hAnsi="宋体" w:eastAsia="宋体"/>
          <w:sz w:val="24"/>
          <w:szCs w:val="24"/>
        </w:rPr>
        <w:t>ANSI/NSF60</w:t>
      </w:r>
      <w:r>
        <w:rPr>
          <w:rFonts w:hint="eastAsia" w:ascii="宋体" w:hAnsi="宋体" w:eastAsia="宋体"/>
          <w:sz w:val="24"/>
          <w:szCs w:val="24"/>
        </w:rPr>
        <w:t>标准》</w:t>
      </w:r>
    </w:p>
    <w:p w14:paraId="6EFACCB6">
      <w:pPr>
        <w:snapToGrid w:val="0"/>
        <w:spacing w:line="360" w:lineRule="auto"/>
        <w:ind w:firstLine="480" w:firstLineChars="200"/>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w:t>
      </w:r>
      <w:r>
        <w:rPr>
          <w:rFonts w:ascii="宋体" w:hAnsi="宋体" w:eastAsia="宋体"/>
          <w:sz w:val="24"/>
          <w:szCs w:val="24"/>
        </w:rPr>
        <w:t xml:space="preserve">GB/T 6680  </w:t>
      </w:r>
      <w:r>
        <w:rPr>
          <w:rFonts w:hint="eastAsia" w:ascii="宋体" w:hAnsi="宋体" w:eastAsia="宋体"/>
          <w:sz w:val="24"/>
          <w:szCs w:val="24"/>
        </w:rPr>
        <w:t>《液体化工产品采样通则》</w:t>
      </w:r>
    </w:p>
    <w:p w14:paraId="58329F50">
      <w:pPr>
        <w:snapToGrid w:val="0"/>
        <w:spacing w:line="360" w:lineRule="auto"/>
        <w:ind w:firstLine="480" w:firstLineChars="200"/>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）《定量包装商品计量监督规定》</w:t>
      </w:r>
    </w:p>
    <w:p w14:paraId="42E5E5CB">
      <w:pPr>
        <w:pStyle w:val="34"/>
        <w:rPr>
          <w:rFonts w:ascii="宋体" w:hAnsi="宋体"/>
          <w:color w:val="000000"/>
          <w:szCs w:val="24"/>
        </w:rPr>
      </w:pPr>
      <w:r>
        <w:rPr>
          <w:rFonts w:hint="eastAsia" w:ascii="宋体" w:hAnsi="宋体"/>
          <w:color w:val="000000"/>
          <w:szCs w:val="24"/>
        </w:rPr>
        <w:t>如果报价人有其它标准取代上述标准，需呈交采购人，经认可后方能采用并附于投标书后。</w:t>
      </w:r>
      <w:r>
        <w:rPr>
          <w:rStyle w:val="36"/>
          <w:rFonts w:hint="default"/>
        </w:rPr>
        <w:t>未充分地详述有关标准和规范的条文，投标方保证提供满足本规范文件和所列标准要求的高质量的设计、 设备及其相应的服务。 必须满足国家有关安全、消防、环保、劳动卫生等强制性标准。本技术规范书中未提及的内容均应满足国家标准、化工行业标准和有关国际标准。有矛盾时， 按较高标准执行。</w:t>
      </w:r>
    </w:p>
    <w:p w14:paraId="7AC30E4A">
      <w:pPr>
        <w:pStyle w:val="29"/>
        <w:spacing w:line="440" w:lineRule="atLeast"/>
        <w:ind w:hangingChars="177"/>
        <w:outlineLvl w:val="1"/>
        <w:rPr>
          <w:rFonts w:ascii="宋体" w:hAnsi="宋体"/>
          <w:sz w:val="24"/>
          <w:szCs w:val="24"/>
        </w:rPr>
      </w:pPr>
      <w:r>
        <w:rPr>
          <w:rFonts w:ascii="宋体" w:hAnsi="宋体"/>
          <w:b w:val="0"/>
          <w:bCs w:val="0"/>
          <w:sz w:val="24"/>
          <w:szCs w:val="24"/>
        </w:rPr>
        <w:br w:type="page"/>
      </w:r>
      <w:bookmarkStart w:id="18" w:name="_Toc399149769"/>
      <w:bookmarkStart w:id="19" w:name="_Toc527917815"/>
      <w:r>
        <w:rPr>
          <w:rFonts w:hint="eastAsia" w:ascii="宋体" w:hAnsi="宋体"/>
          <w:sz w:val="24"/>
          <w:szCs w:val="24"/>
        </w:rPr>
        <w:t>技术规范</w:t>
      </w:r>
      <w:bookmarkEnd w:id="18"/>
      <w:bookmarkEnd w:id="19"/>
    </w:p>
    <w:p w14:paraId="081C41A8">
      <w:pPr>
        <w:pStyle w:val="30"/>
        <w:tabs>
          <w:tab w:val="clear" w:pos="360"/>
        </w:tabs>
        <w:snapToGrid w:val="0"/>
        <w:spacing w:before="60" w:after="60" w:line="440" w:lineRule="atLeast"/>
        <w:ind w:left="992" w:hanging="567"/>
        <w:outlineLvl w:val="2"/>
        <w:rPr>
          <w:rFonts w:ascii="宋体" w:hAnsi="宋体"/>
          <w:color w:val="000000"/>
        </w:rPr>
      </w:pPr>
      <w:bookmarkStart w:id="20" w:name="_Toc527917816"/>
      <w:bookmarkStart w:id="21" w:name="_Toc399149770"/>
      <w:bookmarkStart w:id="22" w:name="_Toc216232464"/>
      <w:r>
        <w:rPr>
          <w:rFonts w:hint="eastAsia" w:ascii="宋体" w:hAnsi="宋体"/>
          <w:color w:val="000000"/>
        </w:rPr>
        <w:t>设计和运行条件</w:t>
      </w:r>
      <w:bookmarkEnd w:id="20"/>
      <w:bookmarkEnd w:id="21"/>
      <w:bookmarkEnd w:id="22"/>
    </w:p>
    <w:p w14:paraId="4106B33B">
      <w:pPr>
        <w:snapToGrid w:val="0"/>
        <w:spacing w:line="360" w:lineRule="auto"/>
        <w:rPr>
          <w:rFonts w:ascii="宋体" w:hAnsi="宋体" w:eastAsia="宋体"/>
          <w:sz w:val="24"/>
          <w:szCs w:val="24"/>
        </w:rPr>
      </w:pPr>
      <w:r>
        <w:rPr>
          <w:rFonts w:hint="eastAsia" w:ascii="宋体" w:hAnsi="宋体" w:eastAsia="宋体"/>
          <w:sz w:val="24"/>
          <w:szCs w:val="24"/>
        </w:rPr>
        <w:t>报价人负责向采购人提供适用于浙能集团所属的</w:t>
      </w:r>
      <w:r>
        <w:rPr>
          <w:rFonts w:hint="eastAsia" w:ascii="宋体" w:hAnsi="宋体" w:eastAsia="宋体"/>
          <w:b/>
          <w:bCs/>
          <w:sz w:val="24"/>
          <w:szCs w:val="24"/>
        </w:rPr>
        <w:t>伊犁新天煤化工有限责任公司</w:t>
      </w:r>
      <w:r>
        <w:rPr>
          <w:rFonts w:hint="eastAsia" w:ascii="宋体" w:hAnsi="宋体" w:eastAsia="宋体"/>
          <w:sz w:val="24"/>
          <w:szCs w:val="24"/>
        </w:rPr>
        <w:t>（以下简称用户）的反渗透及纳滤系统用的药品，</w:t>
      </w:r>
      <w:r>
        <w:rPr>
          <w:rFonts w:hint="eastAsia" w:ascii="宋体" w:hAnsi="宋体" w:eastAsia="宋体"/>
          <w:b/>
          <w:sz w:val="24"/>
          <w:szCs w:val="24"/>
        </w:rPr>
        <w:t>包括膜阻垢剂、非氧化性杀菌剂两类</w:t>
      </w:r>
      <w:r>
        <w:rPr>
          <w:rFonts w:hint="eastAsia" w:ascii="宋体" w:hAnsi="宋体" w:eastAsia="宋体"/>
          <w:sz w:val="24"/>
          <w:szCs w:val="24"/>
        </w:rPr>
        <w:t>，以及相应的完整而全面的加药方案（非氧化性杀菌剂加药方案应与用户膜清洗方案兼容）。</w:t>
      </w:r>
    </w:p>
    <w:p w14:paraId="3EE2221C">
      <w:pPr>
        <w:snapToGrid w:val="0"/>
        <w:spacing w:line="360" w:lineRule="auto"/>
        <w:rPr>
          <w:rFonts w:ascii="宋体" w:hAnsi="宋体" w:eastAsia="宋体"/>
          <w:sz w:val="24"/>
          <w:szCs w:val="24"/>
        </w:rPr>
      </w:pPr>
      <w:r>
        <w:rPr>
          <w:rFonts w:ascii="宋体" w:hAnsi="宋体" w:eastAsia="宋体"/>
          <w:sz w:val="24"/>
          <w:szCs w:val="24"/>
        </w:rPr>
        <w:t>2.2</w:t>
      </w:r>
      <w:r>
        <w:rPr>
          <w:rFonts w:hint="eastAsia" w:ascii="宋体" w:hAnsi="宋体" w:eastAsia="宋体"/>
          <w:sz w:val="24"/>
          <w:szCs w:val="24"/>
        </w:rPr>
        <w:t>用户膜处理系统共分为</w:t>
      </w:r>
      <w:r>
        <w:rPr>
          <w:rFonts w:hint="eastAsia" w:ascii="宋体" w:hAnsi="宋体" w:eastAsia="宋体"/>
          <w:sz w:val="24"/>
          <w:szCs w:val="24"/>
          <w:lang w:val="en-US" w:eastAsia="zh-CN"/>
        </w:rPr>
        <w:t>五</w:t>
      </w:r>
      <w:r>
        <w:rPr>
          <w:rFonts w:hint="eastAsia" w:ascii="宋体" w:hAnsi="宋体" w:eastAsia="宋体"/>
          <w:sz w:val="24"/>
          <w:szCs w:val="24"/>
        </w:rPr>
        <w:t>个系统，包括新水制备系统、生化污水回用系统、含盐污水回用系统</w:t>
      </w:r>
      <w:r>
        <w:rPr>
          <w:rFonts w:hint="eastAsia" w:ascii="宋体" w:hAnsi="宋体" w:eastAsia="宋体"/>
          <w:sz w:val="24"/>
          <w:szCs w:val="24"/>
          <w:lang w:eastAsia="zh-CN"/>
        </w:rPr>
        <w:t>、</w:t>
      </w:r>
      <w:r>
        <w:rPr>
          <w:rFonts w:hint="eastAsia" w:ascii="宋体" w:hAnsi="宋体" w:eastAsia="宋体"/>
          <w:sz w:val="24"/>
          <w:szCs w:val="24"/>
          <w:lang w:val="en-US" w:eastAsia="zh-CN"/>
        </w:rPr>
        <w:t>含盐回用海淡及</w:t>
      </w:r>
      <w:r>
        <w:rPr>
          <w:rFonts w:hint="eastAsia" w:ascii="宋体" w:hAnsi="宋体" w:eastAsia="宋体"/>
          <w:sz w:val="24"/>
          <w:szCs w:val="24"/>
        </w:rPr>
        <w:t>多效蒸发预处理系统。因用户</w:t>
      </w:r>
      <w:r>
        <w:rPr>
          <w:rFonts w:hint="eastAsia" w:ascii="宋体" w:hAnsi="宋体" w:eastAsia="宋体"/>
          <w:sz w:val="24"/>
          <w:szCs w:val="24"/>
          <w:lang w:val="en-US" w:eastAsia="zh-CN"/>
        </w:rPr>
        <w:t>五</w:t>
      </w:r>
      <w:r>
        <w:rPr>
          <w:rFonts w:hint="eastAsia" w:ascii="宋体" w:hAnsi="宋体" w:eastAsia="宋体"/>
          <w:sz w:val="24"/>
          <w:szCs w:val="24"/>
        </w:rPr>
        <w:t>套系统的原水来源与水质情况与膜元件种类的选取各不相同，因此报价人必须充分而全面地考虑可能的影响因素和药品的适用性、经济性。</w:t>
      </w:r>
    </w:p>
    <w:p w14:paraId="044055FD">
      <w:pPr>
        <w:snapToGrid w:val="0"/>
        <w:spacing w:line="360" w:lineRule="auto"/>
        <w:jc w:val="center"/>
        <w:rPr>
          <w:rFonts w:ascii="宋体" w:hAnsi="宋体" w:eastAsia="宋体"/>
          <w:sz w:val="24"/>
          <w:szCs w:val="24"/>
        </w:rPr>
      </w:pPr>
      <w:r>
        <w:rPr>
          <w:rFonts w:hint="eastAsia" w:ascii="宋体" w:hAnsi="宋体" w:eastAsia="宋体"/>
          <w:sz w:val="24"/>
          <w:szCs w:val="24"/>
        </w:rPr>
        <w:t>表</w:t>
      </w:r>
      <w:r>
        <w:rPr>
          <w:rFonts w:ascii="宋体" w:hAnsi="宋体" w:eastAsia="宋体"/>
          <w:sz w:val="24"/>
          <w:szCs w:val="24"/>
        </w:rPr>
        <w:t xml:space="preserve">4-1 </w:t>
      </w:r>
      <w:r>
        <w:rPr>
          <w:rFonts w:hint="eastAsia" w:ascii="宋体" w:hAnsi="宋体" w:eastAsia="宋体"/>
          <w:sz w:val="24"/>
          <w:szCs w:val="24"/>
        </w:rPr>
        <w:t>用户膜系统概况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2647"/>
        <w:gridCol w:w="2132"/>
        <w:gridCol w:w="2133"/>
      </w:tblGrid>
      <w:tr w14:paraId="53C4E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380230FC">
            <w:pPr>
              <w:adjustRightInd w:val="0"/>
              <w:snapToGrid w:val="0"/>
              <w:jc w:val="center"/>
              <w:rPr>
                <w:rFonts w:ascii="宋体" w:hAnsi="宋体" w:eastAsia="宋体"/>
                <w:b/>
                <w:bCs/>
                <w:sz w:val="24"/>
                <w:szCs w:val="24"/>
              </w:rPr>
            </w:pPr>
            <w:r>
              <w:rPr>
                <w:rFonts w:hint="eastAsia" w:ascii="宋体" w:hAnsi="宋体" w:eastAsia="宋体"/>
                <w:b/>
                <w:bCs/>
                <w:sz w:val="24"/>
                <w:szCs w:val="24"/>
              </w:rPr>
              <w:t>序号</w:t>
            </w:r>
          </w:p>
        </w:tc>
        <w:tc>
          <w:tcPr>
            <w:tcW w:w="2647" w:type="dxa"/>
            <w:tcBorders>
              <w:top w:val="single" w:color="auto" w:sz="4" w:space="0"/>
              <w:left w:val="single" w:color="auto" w:sz="4" w:space="0"/>
              <w:bottom w:val="single" w:color="auto" w:sz="4" w:space="0"/>
              <w:right w:val="single" w:color="auto" w:sz="4" w:space="0"/>
            </w:tcBorders>
            <w:vAlign w:val="center"/>
          </w:tcPr>
          <w:p w14:paraId="32BE254C">
            <w:pPr>
              <w:adjustRightInd w:val="0"/>
              <w:snapToGrid w:val="0"/>
              <w:jc w:val="center"/>
              <w:rPr>
                <w:rFonts w:ascii="宋体" w:hAnsi="宋体" w:eastAsia="宋体"/>
                <w:b/>
                <w:bCs/>
                <w:sz w:val="24"/>
                <w:szCs w:val="24"/>
              </w:rPr>
            </w:pPr>
            <w:r>
              <w:rPr>
                <w:rFonts w:hint="eastAsia" w:ascii="宋体" w:hAnsi="宋体" w:eastAsia="宋体"/>
                <w:b/>
                <w:bCs/>
                <w:sz w:val="24"/>
                <w:szCs w:val="24"/>
              </w:rPr>
              <w:t>膜系统</w:t>
            </w:r>
          </w:p>
        </w:tc>
        <w:tc>
          <w:tcPr>
            <w:tcW w:w="2132" w:type="dxa"/>
            <w:tcBorders>
              <w:top w:val="single" w:color="auto" w:sz="4" w:space="0"/>
              <w:left w:val="single" w:color="auto" w:sz="4" w:space="0"/>
              <w:bottom w:val="single" w:color="auto" w:sz="4" w:space="0"/>
              <w:right w:val="single" w:color="auto" w:sz="4" w:space="0"/>
            </w:tcBorders>
            <w:vAlign w:val="center"/>
          </w:tcPr>
          <w:p w14:paraId="01427960">
            <w:pPr>
              <w:adjustRightInd w:val="0"/>
              <w:snapToGrid w:val="0"/>
              <w:jc w:val="center"/>
              <w:rPr>
                <w:rFonts w:ascii="宋体" w:hAnsi="宋体" w:eastAsia="宋体"/>
                <w:b/>
                <w:bCs/>
                <w:sz w:val="24"/>
                <w:szCs w:val="24"/>
              </w:rPr>
            </w:pPr>
            <w:r>
              <w:rPr>
                <w:rFonts w:hint="eastAsia" w:ascii="宋体" w:hAnsi="宋体" w:eastAsia="宋体"/>
                <w:b/>
                <w:bCs/>
                <w:sz w:val="24"/>
                <w:szCs w:val="24"/>
              </w:rPr>
              <w:t>进水量</w:t>
            </w:r>
          </w:p>
        </w:tc>
        <w:tc>
          <w:tcPr>
            <w:tcW w:w="2133" w:type="dxa"/>
            <w:tcBorders>
              <w:top w:val="single" w:color="auto" w:sz="4" w:space="0"/>
              <w:left w:val="single" w:color="auto" w:sz="4" w:space="0"/>
              <w:bottom w:val="single" w:color="auto" w:sz="4" w:space="0"/>
              <w:right w:val="single" w:color="auto" w:sz="4" w:space="0"/>
            </w:tcBorders>
            <w:vAlign w:val="center"/>
          </w:tcPr>
          <w:p w14:paraId="049E385E">
            <w:pPr>
              <w:adjustRightInd w:val="0"/>
              <w:snapToGrid w:val="0"/>
              <w:jc w:val="center"/>
              <w:rPr>
                <w:rFonts w:ascii="宋体" w:hAnsi="宋体" w:eastAsia="宋体"/>
                <w:b/>
                <w:bCs/>
                <w:sz w:val="24"/>
                <w:szCs w:val="24"/>
              </w:rPr>
            </w:pPr>
            <w:r>
              <w:rPr>
                <w:rFonts w:hint="eastAsia" w:ascii="宋体" w:hAnsi="宋体" w:eastAsia="宋体"/>
                <w:b/>
                <w:bCs/>
                <w:sz w:val="24"/>
                <w:szCs w:val="24"/>
              </w:rPr>
              <w:t>年运行时间</w:t>
            </w:r>
          </w:p>
        </w:tc>
      </w:tr>
      <w:tr w14:paraId="7751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11F54D41">
            <w:pPr>
              <w:adjustRightInd w:val="0"/>
              <w:snapToGrid w:val="0"/>
              <w:jc w:val="center"/>
              <w:rPr>
                <w:rFonts w:ascii="宋体" w:hAnsi="宋体" w:eastAsia="宋体"/>
                <w:sz w:val="24"/>
                <w:szCs w:val="24"/>
              </w:rPr>
            </w:pPr>
            <w:r>
              <w:rPr>
                <w:rFonts w:ascii="宋体" w:hAnsi="宋体" w:eastAsia="宋体"/>
                <w:sz w:val="24"/>
                <w:szCs w:val="24"/>
              </w:rPr>
              <w:t>1</w:t>
            </w:r>
          </w:p>
        </w:tc>
        <w:tc>
          <w:tcPr>
            <w:tcW w:w="2647" w:type="dxa"/>
            <w:tcBorders>
              <w:top w:val="single" w:color="auto" w:sz="4" w:space="0"/>
              <w:left w:val="single" w:color="auto" w:sz="4" w:space="0"/>
              <w:bottom w:val="single" w:color="auto" w:sz="4" w:space="0"/>
              <w:right w:val="single" w:color="auto" w:sz="4" w:space="0"/>
            </w:tcBorders>
            <w:vAlign w:val="center"/>
          </w:tcPr>
          <w:p w14:paraId="0D0286D7">
            <w:pPr>
              <w:adjustRightInd w:val="0"/>
              <w:snapToGrid w:val="0"/>
              <w:jc w:val="center"/>
              <w:rPr>
                <w:rFonts w:ascii="宋体" w:hAnsi="宋体" w:eastAsia="宋体"/>
                <w:sz w:val="24"/>
                <w:szCs w:val="24"/>
              </w:rPr>
            </w:pPr>
            <w:r>
              <w:rPr>
                <w:rFonts w:hint="eastAsia" w:ascii="宋体" w:hAnsi="宋体" w:eastAsia="宋体"/>
                <w:sz w:val="24"/>
                <w:szCs w:val="24"/>
              </w:rPr>
              <w:t>新水制备系统</w:t>
            </w:r>
          </w:p>
        </w:tc>
        <w:tc>
          <w:tcPr>
            <w:tcW w:w="2132" w:type="dxa"/>
            <w:tcBorders>
              <w:top w:val="single" w:color="auto" w:sz="4" w:space="0"/>
              <w:left w:val="single" w:color="auto" w:sz="4" w:space="0"/>
              <w:bottom w:val="single" w:color="auto" w:sz="4" w:space="0"/>
              <w:right w:val="single" w:color="auto" w:sz="4" w:space="0"/>
            </w:tcBorders>
            <w:vAlign w:val="center"/>
          </w:tcPr>
          <w:p w14:paraId="3638B34A">
            <w:pPr>
              <w:adjustRightInd w:val="0"/>
              <w:snapToGrid w:val="0"/>
              <w:jc w:val="center"/>
              <w:rPr>
                <w:rFonts w:ascii="宋体" w:hAnsi="宋体" w:eastAsia="宋体"/>
                <w:sz w:val="24"/>
                <w:szCs w:val="24"/>
              </w:rPr>
            </w:pPr>
            <w:r>
              <w:rPr>
                <w:rFonts w:ascii="宋体" w:hAnsi="宋体" w:eastAsia="宋体"/>
                <w:sz w:val="24"/>
                <w:szCs w:val="24"/>
              </w:rPr>
              <w:t>1300t/h</w:t>
            </w:r>
          </w:p>
        </w:tc>
        <w:tc>
          <w:tcPr>
            <w:tcW w:w="2133" w:type="dxa"/>
            <w:tcBorders>
              <w:top w:val="single" w:color="auto" w:sz="4" w:space="0"/>
              <w:left w:val="single" w:color="auto" w:sz="4" w:space="0"/>
              <w:bottom w:val="single" w:color="auto" w:sz="4" w:space="0"/>
              <w:right w:val="single" w:color="auto" w:sz="4" w:space="0"/>
            </w:tcBorders>
            <w:vAlign w:val="center"/>
          </w:tcPr>
          <w:p w14:paraId="49E8F3B9">
            <w:pPr>
              <w:adjustRightInd w:val="0"/>
              <w:snapToGrid w:val="0"/>
              <w:jc w:val="center"/>
              <w:rPr>
                <w:rFonts w:ascii="宋体" w:hAnsi="宋体" w:eastAsia="宋体"/>
                <w:sz w:val="24"/>
                <w:szCs w:val="24"/>
              </w:rPr>
            </w:pPr>
            <w:r>
              <w:rPr>
                <w:rFonts w:ascii="宋体" w:hAnsi="宋体" w:eastAsia="宋体"/>
                <w:sz w:val="24"/>
                <w:szCs w:val="24"/>
              </w:rPr>
              <w:t>8000h</w:t>
            </w:r>
          </w:p>
        </w:tc>
      </w:tr>
      <w:tr w14:paraId="2321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66CB77DC">
            <w:pPr>
              <w:adjustRightInd w:val="0"/>
              <w:snapToGrid w:val="0"/>
              <w:jc w:val="center"/>
              <w:rPr>
                <w:rFonts w:ascii="宋体" w:hAnsi="宋体" w:eastAsia="宋体"/>
                <w:sz w:val="24"/>
                <w:szCs w:val="24"/>
              </w:rPr>
            </w:pPr>
            <w:r>
              <w:rPr>
                <w:rFonts w:ascii="宋体" w:hAnsi="宋体" w:eastAsia="宋体"/>
                <w:sz w:val="24"/>
                <w:szCs w:val="24"/>
              </w:rPr>
              <w:t>2</w:t>
            </w:r>
          </w:p>
        </w:tc>
        <w:tc>
          <w:tcPr>
            <w:tcW w:w="2647" w:type="dxa"/>
            <w:tcBorders>
              <w:top w:val="single" w:color="auto" w:sz="4" w:space="0"/>
              <w:left w:val="single" w:color="auto" w:sz="4" w:space="0"/>
              <w:bottom w:val="single" w:color="auto" w:sz="4" w:space="0"/>
              <w:right w:val="single" w:color="auto" w:sz="4" w:space="0"/>
            </w:tcBorders>
            <w:vAlign w:val="center"/>
          </w:tcPr>
          <w:p w14:paraId="188E24F3">
            <w:pPr>
              <w:adjustRightInd w:val="0"/>
              <w:snapToGrid w:val="0"/>
              <w:jc w:val="center"/>
              <w:rPr>
                <w:rFonts w:ascii="宋体" w:hAnsi="宋体" w:eastAsia="宋体"/>
                <w:sz w:val="24"/>
                <w:szCs w:val="24"/>
              </w:rPr>
            </w:pPr>
            <w:r>
              <w:rPr>
                <w:rFonts w:hint="eastAsia" w:ascii="宋体" w:hAnsi="宋体" w:eastAsia="宋体"/>
                <w:sz w:val="24"/>
                <w:szCs w:val="24"/>
              </w:rPr>
              <w:t>生化污水回用系统</w:t>
            </w:r>
          </w:p>
        </w:tc>
        <w:tc>
          <w:tcPr>
            <w:tcW w:w="2132" w:type="dxa"/>
            <w:tcBorders>
              <w:top w:val="single" w:color="auto" w:sz="4" w:space="0"/>
              <w:left w:val="single" w:color="auto" w:sz="4" w:space="0"/>
              <w:bottom w:val="single" w:color="auto" w:sz="4" w:space="0"/>
              <w:right w:val="single" w:color="auto" w:sz="4" w:space="0"/>
            </w:tcBorders>
            <w:vAlign w:val="center"/>
          </w:tcPr>
          <w:p w14:paraId="77BFE654">
            <w:pPr>
              <w:adjustRightInd w:val="0"/>
              <w:snapToGrid w:val="0"/>
              <w:jc w:val="center"/>
              <w:rPr>
                <w:rFonts w:ascii="宋体" w:hAnsi="宋体" w:eastAsia="宋体"/>
                <w:sz w:val="24"/>
                <w:szCs w:val="24"/>
              </w:rPr>
            </w:pPr>
            <w:r>
              <w:rPr>
                <w:rFonts w:ascii="宋体" w:hAnsi="宋体" w:eastAsia="宋体"/>
                <w:sz w:val="24"/>
                <w:szCs w:val="24"/>
              </w:rPr>
              <w:t>1200t/h</w:t>
            </w:r>
          </w:p>
        </w:tc>
        <w:tc>
          <w:tcPr>
            <w:tcW w:w="2133" w:type="dxa"/>
            <w:tcBorders>
              <w:top w:val="single" w:color="auto" w:sz="4" w:space="0"/>
              <w:left w:val="single" w:color="auto" w:sz="4" w:space="0"/>
              <w:bottom w:val="single" w:color="auto" w:sz="4" w:space="0"/>
              <w:right w:val="single" w:color="auto" w:sz="4" w:space="0"/>
            </w:tcBorders>
            <w:vAlign w:val="center"/>
          </w:tcPr>
          <w:p w14:paraId="17C10D3D">
            <w:pPr>
              <w:adjustRightInd w:val="0"/>
              <w:snapToGrid w:val="0"/>
              <w:jc w:val="center"/>
              <w:rPr>
                <w:rFonts w:ascii="宋体" w:hAnsi="宋体" w:eastAsia="宋体"/>
                <w:sz w:val="24"/>
                <w:szCs w:val="24"/>
              </w:rPr>
            </w:pPr>
            <w:r>
              <w:rPr>
                <w:rFonts w:ascii="宋体" w:hAnsi="宋体" w:eastAsia="宋体"/>
                <w:sz w:val="24"/>
                <w:szCs w:val="24"/>
              </w:rPr>
              <w:t>8000h</w:t>
            </w:r>
          </w:p>
        </w:tc>
      </w:tr>
      <w:tr w14:paraId="4E530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402866A1">
            <w:pPr>
              <w:adjustRightInd w:val="0"/>
              <w:snapToGrid w:val="0"/>
              <w:jc w:val="center"/>
              <w:rPr>
                <w:rFonts w:ascii="宋体" w:hAnsi="宋体" w:eastAsia="宋体"/>
                <w:sz w:val="24"/>
                <w:szCs w:val="24"/>
              </w:rPr>
            </w:pPr>
            <w:r>
              <w:rPr>
                <w:rFonts w:ascii="宋体" w:hAnsi="宋体" w:eastAsia="宋体"/>
                <w:sz w:val="24"/>
                <w:szCs w:val="24"/>
              </w:rPr>
              <w:t>3</w:t>
            </w:r>
          </w:p>
        </w:tc>
        <w:tc>
          <w:tcPr>
            <w:tcW w:w="2647" w:type="dxa"/>
            <w:tcBorders>
              <w:top w:val="single" w:color="auto" w:sz="4" w:space="0"/>
              <w:left w:val="single" w:color="auto" w:sz="4" w:space="0"/>
              <w:bottom w:val="single" w:color="auto" w:sz="4" w:space="0"/>
              <w:right w:val="single" w:color="auto" w:sz="4" w:space="0"/>
            </w:tcBorders>
            <w:vAlign w:val="center"/>
          </w:tcPr>
          <w:p w14:paraId="3C76699F">
            <w:pPr>
              <w:adjustRightInd w:val="0"/>
              <w:snapToGrid w:val="0"/>
              <w:jc w:val="center"/>
              <w:rPr>
                <w:rFonts w:ascii="宋体" w:hAnsi="宋体" w:eastAsia="宋体"/>
                <w:sz w:val="24"/>
                <w:szCs w:val="24"/>
              </w:rPr>
            </w:pPr>
            <w:r>
              <w:rPr>
                <w:rFonts w:hint="eastAsia" w:ascii="宋体" w:hAnsi="宋体" w:eastAsia="宋体"/>
                <w:sz w:val="24"/>
                <w:szCs w:val="24"/>
              </w:rPr>
              <w:t>含盐污水回用系统</w:t>
            </w:r>
          </w:p>
        </w:tc>
        <w:tc>
          <w:tcPr>
            <w:tcW w:w="2132" w:type="dxa"/>
            <w:tcBorders>
              <w:top w:val="single" w:color="auto" w:sz="4" w:space="0"/>
              <w:left w:val="single" w:color="auto" w:sz="4" w:space="0"/>
              <w:bottom w:val="single" w:color="auto" w:sz="4" w:space="0"/>
              <w:right w:val="single" w:color="auto" w:sz="4" w:space="0"/>
            </w:tcBorders>
            <w:vAlign w:val="center"/>
          </w:tcPr>
          <w:p w14:paraId="301AA751">
            <w:pPr>
              <w:adjustRightInd w:val="0"/>
              <w:snapToGrid w:val="0"/>
              <w:jc w:val="center"/>
              <w:rPr>
                <w:rFonts w:ascii="宋体" w:hAnsi="宋体" w:eastAsia="宋体"/>
                <w:sz w:val="24"/>
                <w:szCs w:val="24"/>
              </w:rPr>
            </w:pPr>
            <w:r>
              <w:rPr>
                <w:rFonts w:hint="eastAsia" w:ascii="宋体" w:hAnsi="宋体" w:eastAsia="宋体"/>
                <w:sz w:val="24"/>
                <w:szCs w:val="24"/>
                <w:lang w:val="en-US" w:eastAsia="zh-CN"/>
              </w:rPr>
              <w:t>90</w:t>
            </w:r>
            <w:r>
              <w:rPr>
                <w:rFonts w:ascii="宋体" w:hAnsi="宋体" w:eastAsia="宋体"/>
                <w:sz w:val="24"/>
                <w:szCs w:val="24"/>
              </w:rPr>
              <w:t>0t/h</w:t>
            </w:r>
          </w:p>
        </w:tc>
        <w:tc>
          <w:tcPr>
            <w:tcW w:w="2133" w:type="dxa"/>
            <w:tcBorders>
              <w:top w:val="single" w:color="auto" w:sz="4" w:space="0"/>
              <w:left w:val="single" w:color="auto" w:sz="4" w:space="0"/>
              <w:bottom w:val="single" w:color="auto" w:sz="4" w:space="0"/>
              <w:right w:val="single" w:color="auto" w:sz="4" w:space="0"/>
            </w:tcBorders>
            <w:vAlign w:val="center"/>
          </w:tcPr>
          <w:p w14:paraId="1E867108">
            <w:pPr>
              <w:adjustRightInd w:val="0"/>
              <w:snapToGrid w:val="0"/>
              <w:jc w:val="center"/>
              <w:rPr>
                <w:rFonts w:ascii="宋体" w:hAnsi="宋体" w:eastAsia="宋体"/>
                <w:sz w:val="24"/>
                <w:szCs w:val="24"/>
              </w:rPr>
            </w:pPr>
            <w:r>
              <w:rPr>
                <w:rFonts w:ascii="宋体" w:hAnsi="宋体" w:eastAsia="宋体"/>
                <w:sz w:val="24"/>
                <w:szCs w:val="24"/>
              </w:rPr>
              <w:t>8000h</w:t>
            </w:r>
          </w:p>
        </w:tc>
      </w:tr>
      <w:tr w14:paraId="1D5B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608DFF77">
            <w:pPr>
              <w:adjustRightInd w:val="0"/>
              <w:snapToGrid w:val="0"/>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4</w:t>
            </w:r>
          </w:p>
        </w:tc>
        <w:tc>
          <w:tcPr>
            <w:tcW w:w="2647" w:type="dxa"/>
            <w:tcBorders>
              <w:top w:val="single" w:color="auto" w:sz="4" w:space="0"/>
              <w:left w:val="single" w:color="auto" w:sz="4" w:space="0"/>
              <w:bottom w:val="single" w:color="auto" w:sz="4" w:space="0"/>
              <w:right w:val="single" w:color="auto" w:sz="4" w:space="0"/>
            </w:tcBorders>
            <w:vAlign w:val="center"/>
          </w:tcPr>
          <w:p w14:paraId="6E1CD021">
            <w:pPr>
              <w:adjustRightInd w:val="0"/>
              <w:snapToGrid w:val="0"/>
              <w:jc w:val="center"/>
              <w:rPr>
                <w:rFonts w:hint="default" w:ascii="宋体" w:hAnsi="宋体" w:eastAsia="宋体"/>
                <w:sz w:val="24"/>
                <w:szCs w:val="24"/>
                <w:lang w:val="en-US" w:eastAsia="zh-CN"/>
              </w:rPr>
            </w:pPr>
            <w:r>
              <w:rPr>
                <w:rFonts w:hint="eastAsia" w:ascii="宋体" w:hAnsi="宋体" w:eastAsia="宋体"/>
                <w:sz w:val="24"/>
                <w:szCs w:val="24"/>
                <w:lang w:val="en-US" w:eastAsia="zh-CN"/>
              </w:rPr>
              <w:t>含盐回用海淡反渗透</w:t>
            </w:r>
          </w:p>
        </w:tc>
        <w:tc>
          <w:tcPr>
            <w:tcW w:w="2132" w:type="dxa"/>
            <w:tcBorders>
              <w:top w:val="single" w:color="auto" w:sz="4" w:space="0"/>
              <w:left w:val="single" w:color="auto" w:sz="4" w:space="0"/>
              <w:bottom w:val="single" w:color="auto" w:sz="4" w:space="0"/>
              <w:right w:val="single" w:color="auto" w:sz="4" w:space="0"/>
            </w:tcBorders>
            <w:vAlign w:val="center"/>
          </w:tcPr>
          <w:p w14:paraId="01295F0A">
            <w:pPr>
              <w:adjustRightInd w:val="0"/>
              <w:snapToGrid w:val="0"/>
              <w:jc w:val="center"/>
              <w:rPr>
                <w:rFonts w:ascii="宋体" w:hAnsi="宋体" w:eastAsia="宋体"/>
                <w:sz w:val="24"/>
                <w:szCs w:val="24"/>
              </w:rPr>
            </w:pPr>
            <w:r>
              <w:rPr>
                <w:rFonts w:hint="eastAsia" w:ascii="宋体" w:hAnsi="宋体" w:eastAsia="宋体"/>
                <w:sz w:val="24"/>
                <w:szCs w:val="24"/>
                <w:lang w:val="en-US" w:eastAsia="zh-CN"/>
              </w:rPr>
              <w:t>300</w:t>
            </w:r>
            <w:r>
              <w:rPr>
                <w:rFonts w:ascii="宋体" w:hAnsi="宋体" w:eastAsia="宋体"/>
                <w:sz w:val="24"/>
                <w:szCs w:val="24"/>
              </w:rPr>
              <w:t>t/h</w:t>
            </w:r>
          </w:p>
        </w:tc>
        <w:tc>
          <w:tcPr>
            <w:tcW w:w="2133" w:type="dxa"/>
            <w:tcBorders>
              <w:top w:val="single" w:color="auto" w:sz="4" w:space="0"/>
              <w:left w:val="single" w:color="auto" w:sz="4" w:space="0"/>
              <w:bottom w:val="single" w:color="auto" w:sz="4" w:space="0"/>
              <w:right w:val="single" w:color="auto" w:sz="4" w:space="0"/>
            </w:tcBorders>
            <w:vAlign w:val="center"/>
          </w:tcPr>
          <w:p w14:paraId="7D3F05EE">
            <w:pPr>
              <w:adjustRightInd w:val="0"/>
              <w:snapToGrid w:val="0"/>
              <w:jc w:val="center"/>
              <w:rPr>
                <w:rFonts w:ascii="宋体" w:hAnsi="宋体" w:eastAsia="宋体"/>
                <w:sz w:val="24"/>
                <w:szCs w:val="24"/>
              </w:rPr>
            </w:pPr>
            <w:r>
              <w:rPr>
                <w:rFonts w:ascii="宋体" w:hAnsi="宋体" w:eastAsia="宋体"/>
                <w:sz w:val="24"/>
                <w:szCs w:val="24"/>
              </w:rPr>
              <w:t>8000h</w:t>
            </w:r>
          </w:p>
        </w:tc>
      </w:tr>
      <w:tr w14:paraId="4209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617" w:type="dxa"/>
            <w:tcBorders>
              <w:top w:val="single" w:color="auto" w:sz="4" w:space="0"/>
              <w:left w:val="single" w:color="auto" w:sz="4" w:space="0"/>
              <w:bottom w:val="single" w:color="auto" w:sz="4" w:space="0"/>
              <w:right w:val="single" w:color="auto" w:sz="4" w:space="0"/>
            </w:tcBorders>
            <w:vAlign w:val="center"/>
          </w:tcPr>
          <w:p w14:paraId="3854788B">
            <w:pPr>
              <w:adjustRightInd w:val="0"/>
              <w:snapToGrid w:val="0"/>
              <w:jc w:val="center"/>
              <w:rPr>
                <w:rFonts w:hint="eastAsia" w:ascii="宋体" w:hAnsi="宋体" w:eastAsia="宋体"/>
                <w:sz w:val="24"/>
                <w:szCs w:val="24"/>
                <w:lang w:eastAsia="zh-CN"/>
              </w:rPr>
            </w:pPr>
            <w:r>
              <w:rPr>
                <w:rFonts w:hint="eastAsia" w:ascii="宋体" w:hAnsi="宋体" w:eastAsia="宋体"/>
                <w:sz w:val="24"/>
                <w:szCs w:val="24"/>
                <w:lang w:val="en-US" w:eastAsia="zh-CN"/>
              </w:rPr>
              <w:t>5</w:t>
            </w:r>
          </w:p>
        </w:tc>
        <w:tc>
          <w:tcPr>
            <w:tcW w:w="2647" w:type="dxa"/>
            <w:tcBorders>
              <w:top w:val="single" w:color="auto" w:sz="4" w:space="0"/>
              <w:left w:val="single" w:color="auto" w:sz="4" w:space="0"/>
              <w:bottom w:val="single" w:color="auto" w:sz="4" w:space="0"/>
              <w:right w:val="single" w:color="auto" w:sz="4" w:space="0"/>
            </w:tcBorders>
            <w:vAlign w:val="center"/>
          </w:tcPr>
          <w:p w14:paraId="1E754F0C">
            <w:pPr>
              <w:adjustRightInd w:val="0"/>
              <w:snapToGrid w:val="0"/>
              <w:jc w:val="center"/>
              <w:rPr>
                <w:rFonts w:ascii="宋体" w:hAnsi="宋体" w:eastAsia="宋体"/>
                <w:sz w:val="24"/>
                <w:szCs w:val="24"/>
              </w:rPr>
            </w:pPr>
            <w:r>
              <w:rPr>
                <w:rFonts w:hint="eastAsia" w:ascii="宋体" w:hAnsi="宋体" w:eastAsia="宋体"/>
                <w:sz w:val="24"/>
                <w:szCs w:val="24"/>
              </w:rPr>
              <w:t>多效蒸发预处理系统</w:t>
            </w:r>
          </w:p>
        </w:tc>
        <w:tc>
          <w:tcPr>
            <w:tcW w:w="2132" w:type="dxa"/>
            <w:tcBorders>
              <w:top w:val="single" w:color="auto" w:sz="4" w:space="0"/>
              <w:left w:val="single" w:color="auto" w:sz="4" w:space="0"/>
              <w:bottom w:val="single" w:color="auto" w:sz="4" w:space="0"/>
              <w:right w:val="single" w:color="auto" w:sz="4" w:space="0"/>
            </w:tcBorders>
            <w:vAlign w:val="center"/>
          </w:tcPr>
          <w:p w14:paraId="37212348">
            <w:pPr>
              <w:adjustRightInd w:val="0"/>
              <w:snapToGrid w:val="0"/>
              <w:jc w:val="center"/>
              <w:rPr>
                <w:rFonts w:ascii="宋体" w:hAnsi="宋体" w:eastAsia="宋体"/>
                <w:sz w:val="24"/>
                <w:szCs w:val="24"/>
              </w:rPr>
            </w:pPr>
            <w:r>
              <w:rPr>
                <w:rFonts w:ascii="宋体" w:hAnsi="宋体" w:eastAsia="宋体"/>
                <w:sz w:val="24"/>
                <w:szCs w:val="24"/>
              </w:rPr>
              <w:t>300t/h</w:t>
            </w:r>
          </w:p>
        </w:tc>
        <w:tc>
          <w:tcPr>
            <w:tcW w:w="2133" w:type="dxa"/>
            <w:tcBorders>
              <w:top w:val="single" w:color="auto" w:sz="4" w:space="0"/>
              <w:left w:val="single" w:color="auto" w:sz="4" w:space="0"/>
              <w:bottom w:val="single" w:color="auto" w:sz="4" w:space="0"/>
              <w:right w:val="single" w:color="auto" w:sz="4" w:space="0"/>
            </w:tcBorders>
            <w:vAlign w:val="center"/>
          </w:tcPr>
          <w:p w14:paraId="404677E4">
            <w:pPr>
              <w:adjustRightInd w:val="0"/>
              <w:snapToGrid w:val="0"/>
              <w:jc w:val="center"/>
              <w:rPr>
                <w:rFonts w:ascii="宋体" w:hAnsi="宋体" w:eastAsia="宋体"/>
                <w:b/>
                <w:bCs/>
                <w:sz w:val="24"/>
                <w:szCs w:val="24"/>
              </w:rPr>
            </w:pPr>
            <w:r>
              <w:rPr>
                <w:rFonts w:ascii="宋体" w:hAnsi="宋体" w:eastAsia="宋体"/>
                <w:sz w:val="24"/>
                <w:szCs w:val="24"/>
              </w:rPr>
              <w:t>8000h</w:t>
            </w:r>
          </w:p>
        </w:tc>
      </w:tr>
    </w:tbl>
    <w:p w14:paraId="2A2657BC">
      <w:pPr>
        <w:pStyle w:val="30"/>
        <w:tabs>
          <w:tab w:val="clear" w:pos="360"/>
        </w:tabs>
        <w:snapToGrid w:val="0"/>
        <w:spacing w:before="60" w:after="60" w:line="440" w:lineRule="atLeast"/>
        <w:ind w:left="992" w:hanging="567"/>
        <w:outlineLvl w:val="2"/>
        <w:rPr>
          <w:rFonts w:ascii="宋体" w:hAnsi="宋体"/>
          <w:color w:val="000000"/>
        </w:rPr>
      </w:pPr>
      <w:r>
        <w:rPr>
          <w:rFonts w:hint="eastAsia" w:ascii="宋体" w:hAnsi="宋体"/>
          <w:color w:val="000000"/>
        </w:rPr>
        <w:t>技术要求</w:t>
      </w:r>
    </w:p>
    <w:bookmarkEnd w:id="3"/>
    <w:p w14:paraId="596FCBDE">
      <w:pPr>
        <w:snapToGrid w:val="0"/>
        <w:spacing w:line="360" w:lineRule="auto"/>
        <w:rPr>
          <w:rFonts w:ascii="宋体" w:hAnsi="宋体" w:eastAsia="宋体"/>
          <w:sz w:val="24"/>
          <w:szCs w:val="24"/>
        </w:rPr>
      </w:pPr>
      <w:r>
        <w:rPr>
          <w:rFonts w:ascii="宋体" w:hAnsi="宋体" w:eastAsia="宋体"/>
          <w:sz w:val="24"/>
          <w:szCs w:val="24"/>
        </w:rPr>
        <w:t>4.2.1</w:t>
      </w:r>
      <w:r>
        <w:rPr>
          <w:rFonts w:hint="eastAsia" w:ascii="宋体" w:hAnsi="宋体" w:eastAsia="宋体"/>
          <w:sz w:val="24"/>
          <w:szCs w:val="24"/>
        </w:rPr>
        <w:t>报价人应负责解决采购人和用户在药品使用过程中发生的与药品有关的一切问题，负责主动提供与药品相关的一切书面材料，对所提供的药品在用户膜系统的处理效果负全部责任。</w:t>
      </w:r>
    </w:p>
    <w:p w14:paraId="13BF7620">
      <w:pPr>
        <w:snapToGrid w:val="0"/>
        <w:spacing w:line="360" w:lineRule="auto"/>
        <w:rPr>
          <w:rFonts w:ascii="宋体" w:hAnsi="宋体" w:eastAsia="宋体"/>
          <w:sz w:val="24"/>
          <w:szCs w:val="24"/>
        </w:rPr>
      </w:pPr>
      <w:r>
        <w:rPr>
          <w:rFonts w:ascii="宋体" w:hAnsi="宋体" w:eastAsia="宋体"/>
          <w:sz w:val="24"/>
          <w:szCs w:val="24"/>
        </w:rPr>
        <w:t>4.2.2</w:t>
      </w:r>
      <w:r>
        <w:rPr>
          <w:rFonts w:hint="eastAsia" w:ascii="宋体" w:hAnsi="宋体" w:eastAsia="宋体"/>
          <w:sz w:val="24"/>
          <w:szCs w:val="24"/>
        </w:rPr>
        <w:t>报价人应提前对用户膜系统情况展开调研，充分了解膜系统运行情况、水质参数（</w:t>
      </w:r>
      <w:r>
        <w:rPr>
          <w:rFonts w:hint="eastAsia" w:ascii="宋体" w:hAnsi="宋体" w:eastAsia="宋体"/>
          <w:b/>
          <w:bCs/>
          <w:sz w:val="24"/>
          <w:szCs w:val="24"/>
        </w:rPr>
        <w:t>具有代表性的水质全分析结果应随技术文件一同提供</w:t>
      </w:r>
      <w:r>
        <w:rPr>
          <w:rFonts w:hint="eastAsia" w:ascii="宋体" w:hAnsi="宋体" w:eastAsia="宋体"/>
          <w:sz w:val="24"/>
          <w:szCs w:val="24"/>
        </w:rPr>
        <w:t>）等，作为加药方案依据。</w:t>
      </w:r>
    </w:p>
    <w:p w14:paraId="6F6AAA94">
      <w:pPr>
        <w:snapToGrid w:val="0"/>
        <w:spacing w:line="360" w:lineRule="auto"/>
        <w:rPr>
          <w:rFonts w:ascii="宋体" w:hAnsi="宋体" w:eastAsia="宋体"/>
          <w:sz w:val="24"/>
          <w:szCs w:val="24"/>
        </w:rPr>
      </w:pPr>
      <w:r>
        <w:rPr>
          <w:rFonts w:ascii="宋体" w:hAnsi="宋体" w:eastAsia="宋体"/>
          <w:sz w:val="24"/>
          <w:szCs w:val="24"/>
        </w:rPr>
        <w:t xml:space="preserve">4.2.3 </w:t>
      </w:r>
      <w:r>
        <w:rPr>
          <w:rFonts w:hint="eastAsia" w:ascii="宋体" w:hAnsi="宋体" w:eastAsia="宋体"/>
          <w:sz w:val="24"/>
          <w:szCs w:val="24"/>
        </w:rPr>
        <w:t>报价人的技术文件必须包含以下内容，但不仅限于此：</w:t>
      </w:r>
    </w:p>
    <w:p w14:paraId="45456346">
      <w:pPr>
        <w:snapToGrid w:val="0"/>
        <w:spacing w:line="360" w:lineRule="auto"/>
        <w:rPr>
          <w:rFonts w:ascii="宋体" w:hAnsi="宋体" w:eastAsia="宋体"/>
          <w:sz w:val="24"/>
          <w:szCs w:val="24"/>
        </w:rPr>
      </w:pPr>
      <w:r>
        <w:rPr>
          <w:rFonts w:ascii="宋体" w:hAnsi="宋体" w:eastAsia="宋体"/>
          <w:sz w:val="24"/>
          <w:szCs w:val="24"/>
        </w:rPr>
        <w:t>4.2.3.1</w:t>
      </w:r>
      <w:r>
        <w:rPr>
          <w:rFonts w:hint="eastAsia" w:ascii="宋体" w:hAnsi="宋体" w:eastAsia="宋体"/>
          <w:sz w:val="24"/>
          <w:szCs w:val="24"/>
        </w:rPr>
        <w:t>报价人根据到用户现场的调研结果，对膜系统进水进行水质全分析，并根据水质分析结果，进行药剂筛选试验，选择最佳药剂种类。水质全分析结果、药剂筛选试验过程、数据及结果随技术文件一同提供。</w:t>
      </w:r>
    </w:p>
    <w:p w14:paraId="09768E7D">
      <w:pPr>
        <w:spacing w:line="360" w:lineRule="auto"/>
        <w:rPr>
          <w:rFonts w:ascii="宋体" w:hAnsi="宋体" w:eastAsia="宋体"/>
          <w:sz w:val="24"/>
          <w:szCs w:val="24"/>
        </w:rPr>
      </w:pPr>
      <w:r>
        <w:rPr>
          <w:rFonts w:ascii="宋体" w:hAnsi="宋体" w:eastAsia="宋体"/>
          <w:sz w:val="24"/>
          <w:szCs w:val="24"/>
        </w:rPr>
        <w:t xml:space="preserve">4.2.3.2 </w:t>
      </w:r>
      <w:r>
        <w:rPr>
          <w:rFonts w:hint="eastAsia" w:ascii="宋体" w:hAnsi="宋体" w:eastAsia="宋体"/>
          <w:sz w:val="24"/>
          <w:szCs w:val="24"/>
        </w:rPr>
        <w:t>投标药品的详细加药方案。</w:t>
      </w:r>
      <w:r>
        <w:rPr>
          <w:rFonts w:hint="eastAsia" w:ascii="宋体" w:hAnsi="宋体" w:eastAsia="宋体"/>
          <w:b/>
          <w:bCs/>
          <w:sz w:val="24"/>
          <w:szCs w:val="24"/>
        </w:rPr>
        <w:t>报价人应根据药剂配方为无磷，提供加药方案。</w:t>
      </w:r>
      <w:r>
        <w:rPr>
          <w:rFonts w:hint="eastAsia" w:ascii="宋体" w:hAnsi="宋体" w:eastAsia="宋体"/>
          <w:sz w:val="24"/>
          <w:szCs w:val="24"/>
        </w:rPr>
        <w:t>方案至少包括投标药品介绍：名称、型号、包装及净重、主要成分及其含量、特性、建议投加量和加药频次、</w:t>
      </w:r>
      <w:r>
        <w:rPr>
          <w:rFonts w:hint="eastAsia" w:ascii="宋体" w:hAnsi="宋体" w:eastAsia="宋体"/>
          <w:b/>
          <w:bCs/>
          <w:sz w:val="24"/>
          <w:szCs w:val="24"/>
        </w:rPr>
        <w:t>吨水用量</w:t>
      </w:r>
      <w:r>
        <w:rPr>
          <w:rFonts w:hint="eastAsia" w:ascii="宋体" w:hAnsi="宋体" w:eastAsia="宋体"/>
          <w:sz w:val="24"/>
          <w:szCs w:val="24"/>
        </w:rPr>
        <w:t>、</w:t>
      </w:r>
      <w:r>
        <w:rPr>
          <w:rFonts w:hint="eastAsia" w:ascii="宋体" w:hAnsi="宋体" w:eastAsia="宋体"/>
          <w:b/>
          <w:bCs/>
          <w:sz w:val="24"/>
          <w:szCs w:val="24"/>
        </w:rPr>
        <w:t>吨水药剂成本</w:t>
      </w:r>
      <w:r>
        <w:rPr>
          <w:rFonts w:hint="eastAsia" w:ascii="宋体" w:hAnsi="宋体" w:eastAsia="宋体"/>
          <w:b/>
          <w:bCs/>
          <w:sz w:val="24"/>
          <w:szCs w:val="24"/>
          <w:vertAlign w:val="superscript"/>
        </w:rPr>
        <w:t>注</w:t>
      </w:r>
      <w:r>
        <w:rPr>
          <w:rFonts w:hint="eastAsia" w:ascii="宋体" w:hAnsi="宋体" w:eastAsia="宋体"/>
          <w:b/>
          <w:bCs/>
          <w:sz w:val="24"/>
          <w:szCs w:val="24"/>
        </w:rPr>
        <w:t>（药剂包括阻垢剂、</w:t>
      </w:r>
      <w:r>
        <w:rPr>
          <w:rFonts w:hint="eastAsia" w:ascii="宋体" w:hAnsi="宋体" w:eastAsia="宋体"/>
          <w:b/>
          <w:sz w:val="24"/>
          <w:szCs w:val="24"/>
        </w:rPr>
        <w:t>非氧化性</w:t>
      </w:r>
      <w:r>
        <w:rPr>
          <w:rFonts w:hint="eastAsia" w:ascii="宋体" w:hAnsi="宋体" w:eastAsia="宋体"/>
          <w:b/>
          <w:bCs/>
          <w:sz w:val="24"/>
          <w:szCs w:val="24"/>
        </w:rPr>
        <w:t>杀菌剂等）</w:t>
      </w:r>
      <w:r>
        <w:rPr>
          <w:rFonts w:hint="eastAsia" w:ascii="宋体" w:hAnsi="宋体" w:eastAsia="宋体"/>
          <w:sz w:val="24"/>
          <w:szCs w:val="24"/>
        </w:rPr>
        <w:t>以及其它技术性能指标等、全年加药量计算（必须提供计算公式）、运行异常时加药方案调整及应急预案、运行时药品浓度检测方法、药品质量检验方法、建议清洗周期或清洗预警指标等。</w:t>
      </w:r>
    </w:p>
    <w:p w14:paraId="013DEC1C">
      <w:pPr>
        <w:spacing w:line="360" w:lineRule="auto"/>
        <w:rPr>
          <w:rFonts w:ascii="宋体" w:hAnsi="宋体" w:eastAsia="宋体"/>
          <w:sz w:val="24"/>
          <w:szCs w:val="24"/>
        </w:rPr>
      </w:pPr>
      <w:r>
        <w:rPr>
          <w:rFonts w:hint="eastAsia" w:ascii="宋体" w:hAnsi="宋体" w:eastAsia="宋体"/>
          <w:sz w:val="24"/>
          <w:szCs w:val="24"/>
        </w:rPr>
        <w:t>其中药品加药量的计算需提供</w:t>
      </w:r>
      <w:r>
        <w:rPr>
          <w:rFonts w:ascii="宋体" w:hAnsi="宋体" w:eastAsia="宋体"/>
          <w:sz w:val="24"/>
          <w:szCs w:val="24"/>
        </w:rPr>
        <w:t>EXCEL</w:t>
      </w:r>
      <w:r>
        <w:rPr>
          <w:rFonts w:hint="eastAsia" w:ascii="宋体" w:hAnsi="宋体" w:eastAsia="宋体"/>
          <w:sz w:val="24"/>
          <w:szCs w:val="24"/>
        </w:rPr>
        <w:t>表格，格式可参照下表</w:t>
      </w:r>
      <w:r>
        <w:rPr>
          <w:rFonts w:ascii="宋体" w:hAnsi="宋体" w:eastAsia="宋体"/>
          <w:sz w:val="24"/>
          <w:szCs w:val="24"/>
        </w:rPr>
        <w:t>2-2</w:t>
      </w:r>
      <w:r>
        <w:rPr>
          <w:rFonts w:hint="eastAsia" w:ascii="宋体" w:hAnsi="宋体" w:eastAsia="宋体"/>
          <w:sz w:val="24"/>
          <w:szCs w:val="24"/>
        </w:rPr>
        <w:t>：</w:t>
      </w:r>
    </w:p>
    <w:p w14:paraId="3D6C4ABC">
      <w:pPr>
        <w:spacing w:line="360" w:lineRule="auto"/>
        <w:jc w:val="center"/>
        <w:rPr>
          <w:rFonts w:ascii="宋体" w:hAnsi="宋体" w:eastAsia="宋体"/>
          <w:sz w:val="24"/>
          <w:szCs w:val="24"/>
        </w:rPr>
      </w:pPr>
      <w:r>
        <w:rPr>
          <w:rFonts w:hint="eastAsia" w:ascii="宋体" w:hAnsi="宋体" w:eastAsia="宋体"/>
          <w:sz w:val="24"/>
          <w:szCs w:val="24"/>
        </w:rPr>
        <w:t>表</w:t>
      </w:r>
      <w:r>
        <w:rPr>
          <w:rFonts w:ascii="宋体" w:hAnsi="宋体" w:eastAsia="宋体"/>
          <w:sz w:val="24"/>
          <w:szCs w:val="24"/>
        </w:rPr>
        <w:t xml:space="preserve">4-2 </w:t>
      </w:r>
      <w:r>
        <w:rPr>
          <w:rFonts w:hint="eastAsia" w:ascii="宋体" w:hAnsi="宋体" w:eastAsia="宋体"/>
          <w:sz w:val="24"/>
          <w:szCs w:val="24"/>
        </w:rPr>
        <w:t>药品加药量计算表格示例</w:t>
      </w:r>
    </w:p>
    <w:tbl>
      <w:tblPr>
        <w:tblStyle w:val="14"/>
        <w:tblW w:w="0" w:type="auto"/>
        <w:jc w:val="center"/>
        <w:tblLayout w:type="fixed"/>
        <w:tblCellMar>
          <w:top w:w="0" w:type="dxa"/>
          <w:left w:w="108" w:type="dxa"/>
          <w:bottom w:w="0" w:type="dxa"/>
          <w:right w:w="108" w:type="dxa"/>
        </w:tblCellMar>
      </w:tblPr>
      <w:tblGrid>
        <w:gridCol w:w="729"/>
        <w:gridCol w:w="825"/>
        <w:gridCol w:w="930"/>
        <w:gridCol w:w="741"/>
        <w:gridCol w:w="1200"/>
        <w:gridCol w:w="840"/>
        <w:gridCol w:w="1080"/>
        <w:gridCol w:w="1329"/>
        <w:gridCol w:w="1329"/>
      </w:tblGrid>
      <w:tr w14:paraId="6565C2A5">
        <w:tblPrEx>
          <w:tblCellMar>
            <w:top w:w="0" w:type="dxa"/>
            <w:left w:w="108" w:type="dxa"/>
            <w:bottom w:w="0" w:type="dxa"/>
            <w:right w:w="108" w:type="dxa"/>
          </w:tblCellMar>
        </w:tblPrEx>
        <w:trPr>
          <w:trHeight w:val="397" w:hRule="atLeast"/>
          <w:jc w:val="center"/>
        </w:trPr>
        <w:tc>
          <w:tcPr>
            <w:tcW w:w="9003" w:type="dxa"/>
            <w:gridSpan w:val="9"/>
            <w:tcBorders>
              <w:top w:val="single" w:color="auto" w:sz="4" w:space="0"/>
              <w:left w:val="single" w:color="auto" w:sz="4" w:space="0"/>
              <w:bottom w:val="single" w:color="auto" w:sz="4" w:space="0"/>
              <w:right w:val="single" w:color="auto" w:sz="4" w:space="0"/>
            </w:tcBorders>
            <w:vAlign w:val="center"/>
          </w:tcPr>
          <w:p w14:paraId="4C24A1C9">
            <w:pPr>
              <w:widowControl/>
              <w:adjustRightInd w:val="0"/>
              <w:spacing w:line="360" w:lineRule="atLeast"/>
              <w:jc w:val="center"/>
              <w:rPr>
                <w:rFonts w:ascii="宋体" w:hAnsi="宋体" w:eastAsia="宋体" w:cs="Arial"/>
                <w:sz w:val="24"/>
                <w:szCs w:val="24"/>
              </w:rPr>
            </w:pPr>
            <w:r>
              <w:rPr>
                <w:rFonts w:ascii="宋体" w:hAnsi="宋体" w:eastAsia="宋体" w:cs="Arial"/>
                <w:sz w:val="24"/>
                <w:szCs w:val="24"/>
              </w:rPr>
              <w:t>XX</w:t>
            </w:r>
            <w:r>
              <w:rPr>
                <w:rFonts w:hint="eastAsia" w:ascii="宋体" w:hAnsi="宋体" w:eastAsia="宋体" w:cs="Arial"/>
                <w:sz w:val="24"/>
                <w:szCs w:val="24"/>
              </w:rPr>
              <w:t>膜</w:t>
            </w:r>
            <w:r>
              <w:rPr>
                <w:rFonts w:hint="eastAsia" w:ascii="宋体" w:hAnsi="宋体" w:eastAsia="宋体"/>
                <w:sz w:val="24"/>
                <w:szCs w:val="24"/>
              </w:rPr>
              <w:t>系统</w:t>
            </w:r>
          </w:p>
        </w:tc>
      </w:tr>
      <w:tr w14:paraId="53E1696B">
        <w:tblPrEx>
          <w:tblCellMar>
            <w:top w:w="0" w:type="dxa"/>
            <w:left w:w="108" w:type="dxa"/>
            <w:bottom w:w="0" w:type="dxa"/>
            <w:right w:w="108" w:type="dxa"/>
          </w:tblCellMar>
        </w:tblPrEx>
        <w:trPr>
          <w:trHeight w:val="397"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14:paraId="7A20DADD">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序号</w:t>
            </w:r>
          </w:p>
        </w:tc>
        <w:tc>
          <w:tcPr>
            <w:tcW w:w="825" w:type="dxa"/>
            <w:tcBorders>
              <w:top w:val="single" w:color="auto" w:sz="4" w:space="0"/>
              <w:left w:val="nil"/>
              <w:bottom w:val="single" w:color="auto" w:sz="4" w:space="0"/>
              <w:right w:val="single" w:color="auto" w:sz="4" w:space="0"/>
            </w:tcBorders>
            <w:vAlign w:val="center"/>
          </w:tcPr>
          <w:p w14:paraId="0C5B19BF">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名称</w:t>
            </w:r>
          </w:p>
        </w:tc>
        <w:tc>
          <w:tcPr>
            <w:tcW w:w="930" w:type="dxa"/>
            <w:tcBorders>
              <w:top w:val="single" w:color="auto" w:sz="4" w:space="0"/>
              <w:left w:val="nil"/>
              <w:bottom w:val="single" w:color="auto" w:sz="4" w:space="0"/>
              <w:right w:val="single" w:color="auto" w:sz="4" w:space="0"/>
            </w:tcBorders>
            <w:vAlign w:val="center"/>
          </w:tcPr>
          <w:p w14:paraId="509703D6">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型号</w:t>
            </w:r>
          </w:p>
        </w:tc>
        <w:tc>
          <w:tcPr>
            <w:tcW w:w="741" w:type="dxa"/>
            <w:tcBorders>
              <w:top w:val="single" w:color="auto" w:sz="4" w:space="0"/>
              <w:left w:val="nil"/>
              <w:bottom w:val="single" w:color="auto" w:sz="4" w:space="0"/>
              <w:right w:val="single" w:color="auto" w:sz="4" w:space="0"/>
            </w:tcBorders>
            <w:vAlign w:val="center"/>
          </w:tcPr>
          <w:p w14:paraId="777E4539">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包装规格</w:t>
            </w:r>
          </w:p>
        </w:tc>
        <w:tc>
          <w:tcPr>
            <w:tcW w:w="1200" w:type="dxa"/>
            <w:tcBorders>
              <w:top w:val="single" w:color="auto" w:sz="4" w:space="0"/>
              <w:left w:val="nil"/>
              <w:bottom w:val="single" w:color="auto" w:sz="4" w:space="0"/>
              <w:right w:val="single" w:color="auto" w:sz="4" w:space="0"/>
            </w:tcBorders>
            <w:vAlign w:val="center"/>
          </w:tcPr>
          <w:p w14:paraId="0E8AB7CD">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投加剂量</w:t>
            </w:r>
            <w:r>
              <w:rPr>
                <w:rFonts w:ascii="宋体" w:hAnsi="宋体" w:eastAsia="宋体" w:cs="Arial"/>
                <w:sz w:val="24"/>
                <w:szCs w:val="24"/>
              </w:rPr>
              <w:t>(ppm)</w:t>
            </w:r>
          </w:p>
        </w:tc>
        <w:tc>
          <w:tcPr>
            <w:tcW w:w="840" w:type="dxa"/>
            <w:tcBorders>
              <w:top w:val="single" w:color="auto" w:sz="4" w:space="0"/>
              <w:left w:val="nil"/>
              <w:bottom w:val="single" w:color="auto" w:sz="4" w:space="0"/>
              <w:right w:val="single" w:color="auto" w:sz="4" w:space="0"/>
            </w:tcBorders>
            <w:vAlign w:val="center"/>
          </w:tcPr>
          <w:p w14:paraId="7F0B2678">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投加频次</w:t>
            </w:r>
          </w:p>
        </w:tc>
        <w:tc>
          <w:tcPr>
            <w:tcW w:w="1080" w:type="dxa"/>
            <w:tcBorders>
              <w:top w:val="single" w:color="auto" w:sz="4" w:space="0"/>
              <w:left w:val="nil"/>
              <w:bottom w:val="single" w:color="auto" w:sz="4" w:space="0"/>
              <w:right w:val="single" w:color="auto" w:sz="4" w:space="0"/>
            </w:tcBorders>
            <w:vAlign w:val="center"/>
          </w:tcPr>
          <w:p w14:paraId="7B1BE091">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年用量</w:t>
            </w:r>
          </w:p>
        </w:tc>
        <w:tc>
          <w:tcPr>
            <w:tcW w:w="1329" w:type="dxa"/>
            <w:tcBorders>
              <w:top w:val="single" w:color="auto" w:sz="4" w:space="0"/>
              <w:left w:val="nil"/>
              <w:bottom w:val="single" w:color="auto" w:sz="4" w:space="0"/>
              <w:right w:val="single" w:color="auto" w:sz="4" w:space="0"/>
            </w:tcBorders>
            <w:vAlign w:val="center"/>
          </w:tcPr>
          <w:p w14:paraId="31F2C4A6">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吨水成本</w:t>
            </w:r>
          </w:p>
        </w:tc>
        <w:tc>
          <w:tcPr>
            <w:tcW w:w="1329" w:type="dxa"/>
            <w:tcBorders>
              <w:top w:val="single" w:color="auto" w:sz="4" w:space="0"/>
              <w:left w:val="nil"/>
              <w:bottom w:val="single" w:color="auto" w:sz="4" w:space="0"/>
              <w:right w:val="single" w:color="auto" w:sz="4" w:space="0"/>
            </w:tcBorders>
            <w:vAlign w:val="center"/>
          </w:tcPr>
          <w:p w14:paraId="0EE2F6B6">
            <w:pPr>
              <w:widowControl/>
              <w:adjustRightInd w:val="0"/>
              <w:spacing w:line="360" w:lineRule="atLeast"/>
              <w:jc w:val="center"/>
              <w:rPr>
                <w:rFonts w:ascii="宋体" w:hAnsi="宋体" w:eastAsia="宋体" w:cs="Arial"/>
                <w:sz w:val="24"/>
                <w:szCs w:val="24"/>
              </w:rPr>
            </w:pPr>
            <w:r>
              <w:rPr>
                <w:rFonts w:hint="eastAsia" w:ascii="宋体" w:hAnsi="宋体" w:eastAsia="宋体" w:cs="Arial"/>
                <w:sz w:val="24"/>
                <w:szCs w:val="24"/>
              </w:rPr>
              <w:t>备注</w:t>
            </w:r>
          </w:p>
        </w:tc>
      </w:tr>
      <w:tr w14:paraId="24EEAA26">
        <w:tblPrEx>
          <w:tblCellMar>
            <w:top w:w="0" w:type="dxa"/>
            <w:left w:w="108" w:type="dxa"/>
            <w:bottom w:w="0" w:type="dxa"/>
            <w:right w:w="108" w:type="dxa"/>
          </w:tblCellMar>
        </w:tblPrEx>
        <w:trPr>
          <w:trHeight w:val="397"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14:paraId="2BE847B2">
            <w:pPr>
              <w:widowControl/>
              <w:adjustRightInd w:val="0"/>
              <w:spacing w:line="360" w:lineRule="atLeast"/>
              <w:jc w:val="center"/>
              <w:rPr>
                <w:rFonts w:ascii="宋体" w:hAnsi="宋体" w:eastAsia="宋体" w:cs="Arial"/>
                <w:sz w:val="24"/>
                <w:szCs w:val="24"/>
              </w:rPr>
            </w:pPr>
          </w:p>
        </w:tc>
        <w:tc>
          <w:tcPr>
            <w:tcW w:w="825" w:type="dxa"/>
            <w:tcBorders>
              <w:top w:val="single" w:color="auto" w:sz="4" w:space="0"/>
              <w:left w:val="nil"/>
              <w:bottom w:val="single" w:color="auto" w:sz="4" w:space="0"/>
              <w:right w:val="single" w:color="auto" w:sz="4" w:space="0"/>
            </w:tcBorders>
            <w:vAlign w:val="center"/>
          </w:tcPr>
          <w:p w14:paraId="2F768F15">
            <w:pPr>
              <w:widowControl/>
              <w:adjustRightInd w:val="0"/>
              <w:spacing w:line="360" w:lineRule="atLeast"/>
              <w:jc w:val="center"/>
              <w:rPr>
                <w:rFonts w:ascii="宋体" w:hAnsi="宋体" w:eastAsia="宋体" w:cs="Arial"/>
                <w:sz w:val="24"/>
                <w:szCs w:val="24"/>
              </w:rPr>
            </w:pPr>
          </w:p>
        </w:tc>
        <w:tc>
          <w:tcPr>
            <w:tcW w:w="930" w:type="dxa"/>
            <w:tcBorders>
              <w:top w:val="single" w:color="auto" w:sz="4" w:space="0"/>
              <w:left w:val="nil"/>
              <w:bottom w:val="single" w:color="auto" w:sz="4" w:space="0"/>
              <w:right w:val="single" w:color="auto" w:sz="4" w:space="0"/>
            </w:tcBorders>
            <w:vAlign w:val="center"/>
          </w:tcPr>
          <w:p w14:paraId="1D310BD0">
            <w:pPr>
              <w:widowControl/>
              <w:adjustRightInd w:val="0"/>
              <w:spacing w:line="360" w:lineRule="atLeast"/>
              <w:jc w:val="center"/>
              <w:rPr>
                <w:rFonts w:ascii="宋体" w:hAnsi="宋体" w:eastAsia="宋体" w:cs="Arial"/>
                <w:sz w:val="24"/>
                <w:szCs w:val="24"/>
              </w:rPr>
            </w:pPr>
          </w:p>
        </w:tc>
        <w:tc>
          <w:tcPr>
            <w:tcW w:w="741" w:type="dxa"/>
            <w:tcBorders>
              <w:top w:val="single" w:color="auto" w:sz="4" w:space="0"/>
              <w:left w:val="nil"/>
              <w:bottom w:val="single" w:color="auto" w:sz="4" w:space="0"/>
              <w:right w:val="single" w:color="auto" w:sz="4" w:space="0"/>
            </w:tcBorders>
            <w:vAlign w:val="center"/>
          </w:tcPr>
          <w:p w14:paraId="0A424CF8">
            <w:pPr>
              <w:widowControl/>
              <w:adjustRightInd w:val="0"/>
              <w:spacing w:line="360" w:lineRule="atLeast"/>
              <w:jc w:val="center"/>
              <w:rPr>
                <w:rFonts w:ascii="宋体" w:hAnsi="宋体" w:eastAsia="宋体" w:cs="Arial"/>
                <w:sz w:val="24"/>
                <w:szCs w:val="24"/>
              </w:rPr>
            </w:pPr>
          </w:p>
        </w:tc>
        <w:tc>
          <w:tcPr>
            <w:tcW w:w="1200" w:type="dxa"/>
            <w:tcBorders>
              <w:top w:val="single" w:color="auto" w:sz="4" w:space="0"/>
              <w:left w:val="nil"/>
              <w:bottom w:val="single" w:color="auto" w:sz="4" w:space="0"/>
              <w:right w:val="single" w:color="auto" w:sz="4" w:space="0"/>
            </w:tcBorders>
            <w:vAlign w:val="center"/>
          </w:tcPr>
          <w:p w14:paraId="40F44B60">
            <w:pPr>
              <w:widowControl/>
              <w:adjustRightInd w:val="0"/>
              <w:spacing w:line="360" w:lineRule="atLeast"/>
              <w:jc w:val="center"/>
              <w:rPr>
                <w:rFonts w:ascii="宋体" w:hAnsi="宋体" w:eastAsia="宋体" w:cs="Arial"/>
                <w:sz w:val="24"/>
                <w:szCs w:val="24"/>
              </w:rPr>
            </w:pPr>
          </w:p>
        </w:tc>
        <w:tc>
          <w:tcPr>
            <w:tcW w:w="840" w:type="dxa"/>
            <w:tcBorders>
              <w:top w:val="single" w:color="auto" w:sz="4" w:space="0"/>
              <w:left w:val="nil"/>
              <w:bottom w:val="single" w:color="auto" w:sz="4" w:space="0"/>
              <w:right w:val="single" w:color="auto" w:sz="4" w:space="0"/>
            </w:tcBorders>
            <w:vAlign w:val="center"/>
          </w:tcPr>
          <w:p w14:paraId="76080535">
            <w:pPr>
              <w:widowControl/>
              <w:adjustRightInd w:val="0"/>
              <w:spacing w:line="360" w:lineRule="atLeast"/>
              <w:jc w:val="center"/>
              <w:rPr>
                <w:rFonts w:ascii="宋体" w:hAnsi="宋体" w:eastAsia="宋体" w:cs="Arial"/>
                <w:sz w:val="24"/>
                <w:szCs w:val="24"/>
              </w:rPr>
            </w:pPr>
          </w:p>
        </w:tc>
        <w:tc>
          <w:tcPr>
            <w:tcW w:w="1080" w:type="dxa"/>
            <w:tcBorders>
              <w:top w:val="single" w:color="auto" w:sz="4" w:space="0"/>
              <w:left w:val="nil"/>
              <w:bottom w:val="single" w:color="auto" w:sz="4" w:space="0"/>
              <w:right w:val="single" w:color="auto" w:sz="4" w:space="0"/>
            </w:tcBorders>
            <w:vAlign w:val="center"/>
          </w:tcPr>
          <w:p w14:paraId="1BFD10B8">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5DEF50CB">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4C45565B">
            <w:pPr>
              <w:widowControl/>
              <w:adjustRightInd w:val="0"/>
              <w:spacing w:line="360" w:lineRule="atLeast"/>
              <w:jc w:val="center"/>
              <w:rPr>
                <w:rFonts w:ascii="宋体" w:hAnsi="宋体" w:eastAsia="宋体" w:cs="Arial"/>
                <w:sz w:val="24"/>
                <w:szCs w:val="24"/>
              </w:rPr>
            </w:pPr>
          </w:p>
        </w:tc>
      </w:tr>
      <w:tr w14:paraId="14DBB387">
        <w:tblPrEx>
          <w:tblCellMar>
            <w:top w:w="0" w:type="dxa"/>
            <w:left w:w="108" w:type="dxa"/>
            <w:bottom w:w="0" w:type="dxa"/>
            <w:right w:w="108" w:type="dxa"/>
          </w:tblCellMar>
        </w:tblPrEx>
        <w:trPr>
          <w:trHeight w:val="397"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14:paraId="21E370BA">
            <w:pPr>
              <w:widowControl/>
              <w:adjustRightInd w:val="0"/>
              <w:spacing w:line="360" w:lineRule="atLeast"/>
              <w:jc w:val="center"/>
              <w:rPr>
                <w:rFonts w:ascii="宋体" w:hAnsi="宋体" w:eastAsia="宋体" w:cs="Arial"/>
                <w:sz w:val="24"/>
                <w:szCs w:val="24"/>
              </w:rPr>
            </w:pPr>
          </w:p>
        </w:tc>
        <w:tc>
          <w:tcPr>
            <w:tcW w:w="825" w:type="dxa"/>
            <w:tcBorders>
              <w:top w:val="single" w:color="auto" w:sz="4" w:space="0"/>
              <w:left w:val="nil"/>
              <w:bottom w:val="single" w:color="auto" w:sz="4" w:space="0"/>
              <w:right w:val="single" w:color="auto" w:sz="4" w:space="0"/>
            </w:tcBorders>
            <w:vAlign w:val="center"/>
          </w:tcPr>
          <w:p w14:paraId="0257768F">
            <w:pPr>
              <w:widowControl/>
              <w:adjustRightInd w:val="0"/>
              <w:spacing w:line="360" w:lineRule="atLeast"/>
              <w:jc w:val="center"/>
              <w:rPr>
                <w:rFonts w:ascii="宋体" w:hAnsi="宋体" w:eastAsia="宋体" w:cs="Arial"/>
                <w:sz w:val="24"/>
                <w:szCs w:val="24"/>
              </w:rPr>
            </w:pPr>
          </w:p>
        </w:tc>
        <w:tc>
          <w:tcPr>
            <w:tcW w:w="930" w:type="dxa"/>
            <w:tcBorders>
              <w:top w:val="single" w:color="auto" w:sz="4" w:space="0"/>
              <w:left w:val="nil"/>
              <w:bottom w:val="single" w:color="auto" w:sz="4" w:space="0"/>
              <w:right w:val="single" w:color="auto" w:sz="4" w:space="0"/>
            </w:tcBorders>
            <w:vAlign w:val="center"/>
          </w:tcPr>
          <w:p w14:paraId="74606594">
            <w:pPr>
              <w:widowControl/>
              <w:adjustRightInd w:val="0"/>
              <w:spacing w:line="360" w:lineRule="atLeast"/>
              <w:jc w:val="center"/>
              <w:rPr>
                <w:rFonts w:ascii="宋体" w:hAnsi="宋体" w:eastAsia="宋体" w:cs="Arial"/>
                <w:sz w:val="24"/>
                <w:szCs w:val="24"/>
              </w:rPr>
            </w:pPr>
          </w:p>
        </w:tc>
        <w:tc>
          <w:tcPr>
            <w:tcW w:w="741" w:type="dxa"/>
            <w:tcBorders>
              <w:top w:val="single" w:color="auto" w:sz="4" w:space="0"/>
              <w:left w:val="nil"/>
              <w:bottom w:val="single" w:color="auto" w:sz="4" w:space="0"/>
              <w:right w:val="single" w:color="auto" w:sz="4" w:space="0"/>
            </w:tcBorders>
            <w:vAlign w:val="center"/>
          </w:tcPr>
          <w:p w14:paraId="48AEFBC6">
            <w:pPr>
              <w:widowControl/>
              <w:adjustRightInd w:val="0"/>
              <w:spacing w:line="360" w:lineRule="atLeast"/>
              <w:jc w:val="center"/>
              <w:rPr>
                <w:rFonts w:ascii="宋体" w:hAnsi="宋体" w:eastAsia="宋体" w:cs="Arial"/>
                <w:sz w:val="24"/>
                <w:szCs w:val="24"/>
              </w:rPr>
            </w:pPr>
          </w:p>
        </w:tc>
        <w:tc>
          <w:tcPr>
            <w:tcW w:w="1200" w:type="dxa"/>
            <w:tcBorders>
              <w:top w:val="single" w:color="auto" w:sz="4" w:space="0"/>
              <w:left w:val="nil"/>
              <w:bottom w:val="single" w:color="auto" w:sz="4" w:space="0"/>
              <w:right w:val="single" w:color="auto" w:sz="4" w:space="0"/>
            </w:tcBorders>
            <w:vAlign w:val="center"/>
          </w:tcPr>
          <w:p w14:paraId="0DC5B419">
            <w:pPr>
              <w:widowControl/>
              <w:adjustRightInd w:val="0"/>
              <w:spacing w:line="360" w:lineRule="atLeast"/>
              <w:jc w:val="center"/>
              <w:rPr>
                <w:rFonts w:ascii="宋体" w:hAnsi="宋体" w:eastAsia="宋体" w:cs="Arial"/>
                <w:sz w:val="24"/>
                <w:szCs w:val="24"/>
              </w:rPr>
            </w:pPr>
          </w:p>
        </w:tc>
        <w:tc>
          <w:tcPr>
            <w:tcW w:w="840" w:type="dxa"/>
            <w:tcBorders>
              <w:top w:val="single" w:color="auto" w:sz="4" w:space="0"/>
              <w:left w:val="nil"/>
              <w:bottom w:val="single" w:color="auto" w:sz="4" w:space="0"/>
              <w:right w:val="single" w:color="auto" w:sz="4" w:space="0"/>
            </w:tcBorders>
            <w:vAlign w:val="center"/>
          </w:tcPr>
          <w:p w14:paraId="6DA3C4EB">
            <w:pPr>
              <w:widowControl/>
              <w:adjustRightInd w:val="0"/>
              <w:spacing w:line="360" w:lineRule="atLeast"/>
              <w:jc w:val="center"/>
              <w:rPr>
                <w:rFonts w:ascii="宋体" w:hAnsi="宋体" w:eastAsia="宋体" w:cs="Arial"/>
                <w:sz w:val="24"/>
                <w:szCs w:val="24"/>
              </w:rPr>
            </w:pPr>
          </w:p>
        </w:tc>
        <w:tc>
          <w:tcPr>
            <w:tcW w:w="1080" w:type="dxa"/>
            <w:tcBorders>
              <w:top w:val="single" w:color="auto" w:sz="4" w:space="0"/>
              <w:left w:val="nil"/>
              <w:bottom w:val="single" w:color="auto" w:sz="4" w:space="0"/>
              <w:right w:val="single" w:color="auto" w:sz="4" w:space="0"/>
            </w:tcBorders>
            <w:vAlign w:val="center"/>
          </w:tcPr>
          <w:p w14:paraId="6FE82B79">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7F80DAC9">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3367DD32">
            <w:pPr>
              <w:widowControl/>
              <w:adjustRightInd w:val="0"/>
              <w:spacing w:line="360" w:lineRule="atLeast"/>
              <w:jc w:val="center"/>
              <w:rPr>
                <w:rFonts w:ascii="宋体" w:hAnsi="宋体" w:eastAsia="宋体" w:cs="Arial"/>
                <w:sz w:val="24"/>
                <w:szCs w:val="24"/>
              </w:rPr>
            </w:pPr>
          </w:p>
        </w:tc>
      </w:tr>
      <w:tr w14:paraId="0281ED9D">
        <w:tblPrEx>
          <w:tblCellMar>
            <w:top w:w="0" w:type="dxa"/>
            <w:left w:w="108" w:type="dxa"/>
            <w:bottom w:w="0" w:type="dxa"/>
            <w:right w:w="108" w:type="dxa"/>
          </w:tblCellMar>
        </w:tblPrEx>
        <w:trPr>
          <w:trHeight w:val="397" w:hRule="atLeast"/>
          <w:jc w:val="center"/>
        </w:trPr>
        <w:tc>
          <w:tcPr>
            <w:tcW w:w="729" w:type="dxa"/>
            <w:tcBorders>
              <w:top w:val="single" w:color="auto" w:sz="4" w:space="0"/>
              <w:left w:val="single" w:color="auto" w:sz="4" w:space="0"/>
              <w:bottom w:val="single" w:color="auto" w:sz="4" w:space="0"/>
              <w:right w:val="single" w:color="auto" w:sz="4" w:space="0"/>
            </w:tcBorders>
            <w:vAlign w:val="center"/>
          </w:tcPr>
          <w:p w14:paraId="611438E2">
            <w:pPr>
              <w:widowControl/>
              <w:adjustRightInd w:val="0"/>
              <w:spacing w:line="360" w:lineRule="atLeast"/>
              <w:jc w:val="center"/>
              <w:rPr>
                <w:rFonts w:ascii="宋体" w:hAnsi="宋体" w:eastAsia="宋体" w:cs="Arial"/>
                <w:sz w:val="24"/>
                <w:szCs w:val="24"/>
              </w:rPr>
            </w:pPr>
          </w:p>
        </w:tc>
        <w:tc>
          <w:tcPr>
            <w:tcW w:w="825" w:type="dxa"/>
            <w:tcBorders>
              <w:top w:val="single" w:color="auto" w:sz="4" w:space="0"/>
              <w:left w:val="nil"/>
              <w:bottom w:val="single" w:color="auto" w:sz="4" w:space="0"/>
              <w:right w:val="single" w:color="auto" w:sz="4" w:space="0"/>
            </w:tcBorders>
            <w:vAlign w:val="center"/>
          </w:tcPr>
          <w:p w14:paraId="53327D31">
            <w:pPr>
              <w:widowControl/>
              <w:adjustRightInd w:val="0"/>
              <w:spacing w:line="360" w:lineRule="atLeast"/>
              <w:jc w:val="center"/>
              <w:rPr>
                <w:rFonts w:ascii="宋体" w:hAnsi="宋体" w:eastAsia="宋体" w:cs="Arial"/>
                <w:sz w:val="24"/>
                <w:szCs w:val="24"/>
              </w:rPr>
            </w:pPr>
          </w:p>
        </w:tc>
        <w:tc>
          <w:tcPr>
            <w:tcW w:w="930" w:type="dxa"/>
            <w:tcBorders>
              <w:top w:val="single" w:color="auto" w:sz="4" w:space="0"/>
              <w:left w:val="nil"/>
              <w:bottom w:val="single" w:color="auto" w:sz="4" w:space="0"/>
              <w:right w:val="single" w:color="auto" w:sz="4" w:space="0"/>
            </w:tcBorders>
            <w:vAlign w:val="center"/>
          </w:tcPr>
          <w:p w14:paraId="44844926">
            <w:pPr>
              <w:widowControl/>
              <w:adjustRightInd w:val="0"/>
              <w:spacing w:line="360" w:lineRule="atLeast"/>
              <w:jc w:val="center"/>
              <w:rPr>
                <w:rFonts w:ascii="宋体" w:hAnsi="宋体" w:eastAsia="宋体" w:cs="Arial"/>
                <w:sz w:val="24"/>
                <w:szCs w:val="24"/>
              </w:rPr>
            </w:pPr>
          </w:p>
        </w:tc>
        <w:tc>
          <w:tcPr>
            <w:tcW w:w="741" w:type="dxa"/>
            <w:tcBorders>
              <w:top w:val="single" w:color="auto" w:sz="4" w:space="0"/>
              <w:left w:val="nil"/>
              <w:bottom w:val="single" w:color="auto" w:sz="4" w:space="0"/>
              <w:right w:val="single" w:color="auto" w:sz="4" w:space="0"/>
            </w:tcBorders>
            <w:vAlign w:val="center"/>
          </w:tcPr>
          <w:p w14:paraId="5B593AF7">
            <w:pPr>
              <w:widowControl/>
              <w:adjustRightInd w:val="0"/>
              <w:spacing w:line="360" w:lineRule="atLeast"/>
              <w:jc w:val="center"/>
              <w:rPr>
                <w:rFonts w:ascii="宋体" w:hAnsi="宋体" w:eastAsia="宋体" w:cs="Arial"/>
                <w:sz w:val="24"/>
                <w:szCs w:val="24"/>
              </w:rPr>
            </w:pPr>
          </w:p>
        </w:tc>
        <w:tc>
          <w:tcPr>
            <w:tcW w:w="1200" w:type="dxa"/>
            <w:tcBorders>
              <w:top w:val="single" w:color="auto" w:sz="4" w:space="0"/>
              <w:left w:val="nil"/>
              <w:bottom w:val="single" w:color="auto" w:sz="4" w:space="0"/>
              <w:right w:val="single" w:color="auto" w:sz="4" w:space="0"/>
            </w:tcBorders>
            <w:vAlign w:val="center"/>
          </w:tcPr>
          <w:p w14:paraId="368BAC05">
            <w:pPr>
              <w:widowControl/>
              <w:adjustRightInd w:val="0"/>
              <w:spacing w:line="360" w:lineRule="atLeast"/>
              <w:jc w:val="center"/>
              <w:rPr>
                <w:rFonts w:ascii="宋体" w:hAnsi="宋体" w:eastAsia="宋体" w:cs="Arial"/>
                <w:sz w:val="24"/>
                <w:szCs w:val="24"/>
              </w:rPr>
            </w:pPr>
          </w:p>
        </w:tc>
        <w:tc>
          <w:tcPr>
            <w:tcW w:w="840" w:type="dxa"/>
            <w:tcBorders>
              <w:top w:val="single" w:color="auto" w:sz="4" w:space="0"/>
              <w:left w:val="nil"/>
              <w:bottom w:val="single" w:color="auto" w:sz="4" w:space="0"/>
              <w:right w:val="single" w:color="auto" w:sz="4" w:space="0"/>
            </w:tcBorders>
            <w:vAlign w:val="center"/>
          </w:tcPr>
          <w:p w14:paraId="18EB495B">
            <w:pPr>
              <w:widowControl/>
              <w:adjustRightInd w:val="0"/>
              <w:spacing w:line="360" w:lineRule="atLeast"/>
              <w:jc w:val="center"/>
              <w:rPr>
                <w:rFonts w:ascii="宋体" w:hAnsi="宋体" w:eastAsia="宋体" w:cs="Arial"/>
                <w:sz w:val="24"/>
                <w:szCs w:val="24"/>
              </w:rPr>
            </w:pPr>
          </w:p>
        </w:tc>
        <w:tc>
          <w:tcPr>
            <w:tcW w:w="1080" w:type="dxa"/>
            <w:tcBorders>
              <w:top w:val="single" w:color="auto" w:sz="4" w:space="0"/>
              <w:left w:val="nil"/>
              <w:bottom w:val="single" w:color="auto" w:sz="4" w:space="0"/>
              <w:right w:val="single" w:color="auto" w:sz="4" w:space="0"/>
            </w:tcBorders>
            <w:vAlign w:val="center"/>
          </w:tcPr>
          <w:p w14:paraId="13BDBBDE">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739C9395">
            <w:pPr>
              <w:widowControl/>
              <w:adjustRightInd w:val="0"/>
              <w:spacing w:line="360" w:lineRule="atLeast"/>
              <w:jc w:val="center"/>
              <w:rPr>
                <w:rFonts w:ascii="宋体" w:hAnsi="宋体" w:eastAsia="宋体" w:cs="Arial"/>
                <w:sz w:val="24"/>
                <w:szCs w:val="24"/>
              </w:rPr>
            </w:pPr>
          </w:p>
        </w:tc>
        <w:tc>
          <w:tcPr>
            <w:tcW w:w="1329" w:type="dxa"/>
            <w:tcBorders>
              <w:top w:val="single" w:color="auto" w:sz="4" w:space="0"/>
              <w:left w:val="nil"/>
              <w:bottom w:val="single" w:color="auto" w:sz="4" w:space="0"/>
              <w:right w:val="single" w:color="auto" w:sz="4" w:space="0"/>
            </w:tcBorders>
            <w:vAlign w:val="center"/>
          </w:tcPr>
          <w:p w14:paraId="26A8C5D2">
            <w:pPr>
              <w:widowControl/>
              <w:adjustRightInd w:val="0"/>
              <w:spacing w:line="360" w:lineRule="atLeast"/>
              <w:jc w:val="center"/>
              <w:rPr>
                <w:rFonts w:ascii="宋体" w:hAnsi="宋体" w:eastAsia="宋体" w:cs="Arial"/>
                <w:sz w:val="24"/>
                <w:szCs w:val="24"/>
              </w:rPr>
            </w:pPr>
          </w:p>
        </w:tc>
      </w:tr>
    </w:tbl>
    <w:p w14:paraId="39142AF9">
      <w:pPr>
        <w:rPr>
          <w:rFonts w:ascii="宋体" w:hAnsi="宋体" w:eastAsia="宋体"/>
          <w:sz w:val="24"/>
          <w:szCs w:val="24"/>
        </w:rPr>
      </w:pPr>
      <w:r>
        <w:rPr>
          <w:rFonts w:hint="eastAsia" w:ascii="宋体" w:hAnsi="宋体" w:eastAsia="宋体"/>
          <w:sz w:val="24"/>
          <w:szCs w:val="24"/>
        </w:rPr>
        <w:t>注：阻垢剂年总量A=阻垢剂加药量X年总水量</w:t>
      </w:r>
    </w:p>
    <w:p w14:paraId="4167A3D9">
      <w:pPr>
        <w:ind w:firstLine="480" w:firstLineChars="200"/>
        <w:rPr>
          <w:rFonts w:ascii="宋体" w:hAnsi="宋体" w:eastAsia="宋体"/>
          <w:sz w:val="24"/>
          <w:szCs w:val="24"/>
        </w:rPr>
      </w:pPr>
      <w:r>
        <w:rPr>
          <w:rFonts w:hint="eastAsia" w:ascii="宋体" w:hAnsi="宋体" w:eastAsia="宋体"/>
          <w:sz w:val="24"/>
          <w:szCs w:val="24"/>
        </w:rPr>
        <w:t>非氧化杀菌剂年总量B=非氧化杀菌剂加药量X年总水量X频率</w:t>
      </w:r>
    </w:p>
    <w:p w14:paraId="44DD76DD">
      <w:pPr>
        <w:ind w:firstLine="480" w:firstLineChars="200"/>
        <w:rPr>
          <w:rFonts w:ascii="宋体" w:hAnsi="宋体" w:eastAsia="宋体"/>
          <w:sz w:val="24"/>
          <w:szCs w:val="24"/>
        </w:rPr>
      </w:pPr>
      <w:r>
        <w:rPr>
          <w:rFonts w:hint="eastAsia" w:ascii="宋体" w:hAnsi="宋体" w:eastAsia="宋体"/>
          <w:sz w:val="24"/>
          <w:szCs w:val="24"/>
        </w:rPr>
        <w:t>吨水总成本=(A*单价+B*单价)/年总水量</w:t>
      </w:r>
    </w:p>
    <w:p w14:paraId="78D35C8D">
      <w:pPr>
        <w:ind w:firstLine="360" w:firstLineChars="150"/>
        <w:rPr>
          <w:rFonts w:ascii="宋体" w:hAnsi="宋体" w:eastAsia="宋体"/>
          <w:sz w:val="24"/>
          <w:szCs w:val="24"/>
        </w:rPr>
      </w:pPr>
      <w:r>
        <w:rPr>
          <w:rFonts w:hint="eastAsia" w:ascii="宋体" w:hAnsi="宋体" w:eastAsia="宋体"/>
          <w:sz w:val="24"/>
          <w:szCs w:val="24"/>
        </w:rPr>
        <w:t>说明1、年总水量=反渗透进水量/小时X</w:t>
      </w:r>
      <w:r>
        <w:rPr>
          <w:rFonts w:hint="eastAsia" w:ascii="宋体" w:hAnsi="宋体" w:eastAsia="宋体"/>
          <w:sz w:val="24"/>
          <w:szCs w:val="24"/>
          <w:lang w:val="en-US" w:eastAsia="zh-CN"/>
        </w:rPr>
        <w:t xml:space="preserve"> </w:t>
      </w:r>
      <w:r>
        <w:rPr>
          <w:rFonts w:hint="eastAsia" w:ascii="宋体" w:hAnsi="宋体" w:eastAsia="宋体"/>
          <w:sz w:val="24"/>
          <w:szCs w:val="24"/>
        </w:rPr>
        <w:t>8000</w:t>
      </w:r>
    </w:p>
    <w:p w14:paraId="095A7231">
      <w:pPr>
        <w:spacing w:line="360" w:lineRule="auto"/>
        <w:ind w:firstLine="960" w:firstLineChars="400"/>
        <w:rPr>
          <w:rFonts w:ascii="宋体" w:hAnsi="宋体" w:eastAsia="宋体"/>
          <w:sz w:val="24"/>
          <w:szCs w:val="24"/>
        </w:rPr>
      </w:pPr>
      <w:r>
        <w:rPr>
          <w:rFonts w:hint="eastAsia" w:ascii="宋体" w:hAnsi="宋体" w:eastAsia="宋体"/>
          <w:sz w:val="24"/>
          <w:szCs w:val="24"/>
        </w:rPr>
        <w:t>2、吨水成本保持小数点后面4位数。</w:t>
      </w:r>
    </w:p>
    <w:p w14:paraId="248A0042">
      <w:pPr>
        <w:spacing w:line="360" w:lineRule="auto"/>
        <w:rPr>
          <w:rFonts w:ascii="宋体" w:hAnsi="宋体" w:eastAsia="宋体"/>
          <w:sz w:val="24"/>
          <w:szCs w:val="24"/>
        </w:rPr>
      </w:pPr>
      <w:r>
        <w:rPr>
          <w:rFonts w:ascii="宋体" w:hAnsi="宋体" w:eastAsia="宋体"/>
          <w:sz w:val="24"/>
          <w:szCs w:val="24"/>
        </w:rPr>
        <w:t>4.2.3.3</w:t>
      </w:r>
      <w:r>
        <w:rPr>
          <w:rFonts w:hint="eastAsia" w:ascii="宋体" w:hAnsi="宋体" w:eastAsia="宋体"/>
          <w:sz w:val="24"/>
          <w:szCs w:val="24"/>
        </w:rPr>
        <w:t>投标药品的现场试用方案。方案至少包括预期目标、组织计划、进度安排、试用内容与操作步骤、安全注意事项、异常情况处理、危险源辨识措施表和验收方法等内容。</w:t>
      </w:r>
    </w:p>
    <w:p w14:paraId="2314642A">
      <w:pPr>
        <w:snapToGrid w:val="0"/>
        <w:spacing w:line="360" w:lineRule="auto"/>
        <w:rPr>
          <w:rFonts w:ascii="宋体" w:hAnsi="宋体" w:eastAsia="宋体"/>
          <w:sz w:val="24"/>
          <w:szCs w:val="24"/>
        </w:rPr>
      </w:pPr>
      <w:r>
        <w:rPr>
          <w:rFonts w:ascii="宋体" w:hAnsi="宋体" w:eastAsia="宋体"/>
          <w:sz w:val="24"/>
          <w:szCs w:val="24"/>
        </w:rPr>
        <w:t>4.2.4</w:t>
      </w:r>
      <w:r>
        <w:rPr>
          <w:rFonts w:hint="eastAsia" w:ascii="宋体" w:hAnsi="宋体" w:eastAsia="宋体"/>
          <w:sz w:val="24"/>
          <w:szCs w:val="24"/>
        </w:rPr>
        <w:t>报价人提供的药品，其性能至少要达到以下要求，但不限于此：</w:t>
      </w:r>
    </w:p>
    <w:p w14:paraId="34AEE47F">
      <w:pPr>
        <w:snapToGrid w:val="0"/>
        <w:spacing w:line="360" w:lineRule="auto"/>
        <w:rPr>
          <w:rFonts w:ascii="宋体" w:hAnsi="宋体" w:eastAsia="宋体"/>
          <w:sz w:val="24"/>
          <w:szCs w:val="24"/>
        </w:rPr>
      </w:pPr>
      <w:r>
        <w:rPr>
          <w:rFonts w:ascii="宋体" w:hAnsi="宋体" w:eastAsia="宋体"/>
          <w:sz w:val="24"/>
          <w:szCs w:val="24"/>
        </w:rPr>
        <w:t xml:space="preserve">4.2.4.1 </w:t>
      </w:r>
      <w:r>
        <w:rPr>
          <w:rFonts w:hint="eastAsia" w:ascii="宋体" w:hAnsi="宋体" w:eastAsia="宋体"/>
          <w:sz w:val="24"/>
          <w:szCs w:val="24"/>
        </w:rPr>
        <w:t>总的要求：</w:t>
      </w:r>
    </w:p>
    <w:p w14:paraId="12997547">
      <w:pPr>
        <w:snapToGrid w:val="0"/>
        <w:spacing w:line="360" w:lineRule="auto"/>
        <w:ind w:firstLine="465"/>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）必须能适用于各品牌不同材质的反渗透膜系统，能满足保障反渗透系统安全稳定运行、对膜元件无损害、延长膜使用寿命的要求。</w:t>
      </w:r>
    </w:p>
    <w:p w14:paraId="01250148">
      <w:pPr>
        <w:snapToGrid w:val="0"/>
        <w:spacing w:line="360" w:lineRule="auto"/>
        <w:ind w:firstLine="465"/>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）必须有美国</w:t>
      </w:r>
      <w:r>
        <w:rPr>
          <w:rFonts w:ascii="宋体" w:hAnsi="宋体" w:eastAsia="宋体"/>
          <w:sz w:val="24"/>
          <w:szCs w:val="24"/>
        </w:rPr>
        <w:t>ANSI/NSF</w:t>
      </w:r>
      <w:r>
        <w:rPr>
          <w:rFonts w:hint="eastAsia" w:ascii="宋体" w:hAnsi="宋体" w:eastAsia="宋体"/>
          <w:sz w:val="24"/>
          <w:szCs w:val="24"/>
        </w:rPr>
        <w:t>标准</w:t>
      </w:r>
      <w:r>
        <w:rPr>
          <w:rFonts w:ascii="宋体" w:hAnsi="宋体" w:eastAsia="宋体"/>
          <w:sz w:val="24"/>
          <w:szCs w:val="24"/>
        </w:rPr>
        <w:t>60</w:t>
      </w:r>
      <w:r>
        <w:rPr>
          <w:rFonts w:hint="eastAsia" w:ascii="宋体" w:hAnsi="宋体" w:eastAsia="宋体"/>
          <w:sz w:val="24"/>
          <w:szCs w:val="24"/>
        </w:rPr>
        <w:t>认证或主要膜生产商（如陶氏、海德能、东丽等公司）的兼容认证。</w:t>
      </w:r>
    </w:p>
    <w:p w14:paraId="740A9BBF">
      <w:pPr>
        <w:snapToGrid w:val="0"/>
        <w:spacing w:line="360" w:lineRule="auto"/>
        <w:ind w:firstLine="465"/>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）对不同的水源和水质的适应性广泛。</w:t>
      </w:r>
    </w:p>
    <w:p w14:paraId="0B38B7F0">
      <w:pPr>
        <w:snapToGrid w:val="0"/>
        <w:spacing w:line="360" w:lineRule="auto"/>
        <w:ind w:firstLine="465"/>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）加药量小，可完全溶于水，使用方便，与反渗透系统中需使用的其它药品互不干扰。</w:t>
      </w:r>
    </w:p>
    <w:p w14:paraId="2BC91C79">
      <w:pPr>
        <w:spacing w:line="360" w:lineRule="auto"/>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）对人体安全友好，浓水排放不会造成环境污染，满足《污水综合排放标准》（</w:t>
      </w:r>
      <w:r>
        <w:rPr>
          <w:rFonts w:ascii="宋体" w:hAnsi="宋体" w:eastAsia="宋体"/>
          <w:sz w:val="24"/>
          <w:szCs w:val="24"/>
        </w:rPr>
        <w:t>GB 8978</w:t>
      </w:r>
      <w:r>
        <w:rPr>
          <w:rFonts w:hint="eastAsia" w:ascii="宋体" w:hAnsi="宋体" w:eastAsia="宋体"/>
          <w:sz w:val="24"/>
          <w:szCs w:val="24"/>
        </w:rPr>
        <w:t>）一级标准。</w:t>
      </w:r>
    </w:p>
    <w:p w14:paraId="4D8D9DD1">
      <w:pPr>
        <w:snapToGrid w:val="0"/>
        <w:spacing w:line="360" w:lineRule="auto"/>
        <w:ind w:firstLine="465"/>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）能适应用户现有的加药系统（如报价人所供的药剂与现有的加药系统有差异，由报价人免费提供或改造加药系统）。</w:t>
      </w:r>
    </w:p>
    <w:p w14:paraId="477D8DE5">
      <w:pPr>
        <w:snapToGrid w:val="0"/>
        <w:spacing w:line="360" w:lineRule="auto"/>
        <w:ind w:firstLine="465"/>
        <w:rPr>
          <w:rFonts w:ascii="宋体" w:hAnsi="宋体" w:eastAsia="宋体"/>
          <w:sz w:val="24"/>
          <w:szCs w:val="24"/>
        </w:rPr>
      </w:pPr>
      <w:r>
        <w:rPr>
          <w:rFonts w:ascii="宋体" w:hAnsi="宋体" w:eastAsia="宋体"/>
          <w:sz w:val="24"/>
          <w:szCs w:val="24"/>
        </w:rPr>
        <w:t>7</w:t>
      </w:r>
      <w:r>
        <w:rPr>
          <w:rFonts w:ascii="宋体" w:hAnsi="宋体" w:eastAsia="宋体"/>
          <w:b/>
          <w:bCs/>
          <w:sz w:val="24"/>
          <w:szCs w:val="24"/>
        </w:rPr>
        <w:t xml:space="preserve">) </w:t>
      </w:r>
      <w:r>
        <w:rPr>
          <w:b/>
          <w:bCs/>
          <w:kern w:val="2"/>
          <w:sz w:val="24"/>
          <w:szCs w:val="24"/>
        </w:rPr>
        <w:t>反渗透系统药剂品牌采用</w:t>
      </w:r>
      <w:r>
        <w:rPr>
          <w:rFonts w:hint="eastAsia"/>
          <w:b/>
          <w:bCs/>
          <w:iCs/>
          <w:sz w:val="24"/>
          <w:szCs w:val="20"/>
        </w:rPr>
        <w:t>陶氏、宝莱尔、栗田、威立雅（原苏伊士）、</w:t>
      </w:r>
      <w:bookmarkStart w:id="23" w:name="_Hlk132808275"/>
      <w:r>
        <w:rPr>
          <w:rFonts w:hint="eastAsia"/>
          <w:b/>
          <w:bCs/>
          <w:iCs/>
          <w:sz w:val="24"/>
          <w:szCs w:val="20"/>
        </w:rPr>
        <w:t>清力、P</w:t>
      </w:r>
      <w:r>
        <w:rPr>
          <w:b/>
          <w:bCs/>
          <w:iCs/>
          <w:sz w:val="24"/>
          <w:szCs w:val="20"/>
        </w:rPr>
        <w:t>WT</w:t>
      </w:r>
      <w:bookmarkEnd w:id="23"/>
      <w:r>
        <w:rPr>
          <w:rFonts w:hint="eastAsia"/>
          <w:b/>
          <w:bCs/>
          <w:iCs/>
          <w:sz w:val="24"/>
          <w:szCs w:val="20"/>
        </w:rPr>
        <w:t>或相当于的产品</w:t>
      </w:r>
      <w:r>
        <w:rPr>
          <w:rFonts w:hint="eastAsia" w:ascii="宋体" w:hAnsi="宋体" w:eastAsia="宋体" w:cs="宋体"/>
          <w:b/>
          <w:bCs/>
          <w:iCs/>
          <w:sz w:val="24"/>
          <w:szCs w:val="24"/>
        </w:rPr>
        <w:t>。</w:t>
      </w:r>
    </w:p>
    <w:p w14:paraId="6AE785D5">
      <w:pPr>
        <w:snapToGrid w:val="0"/>
        <w:spacing w:line="360" w:lineRule="auto"/>
        <w:rPr>
          <w:rFonts w:ascii="宋体" w:hAnsi="宋体" w:eastAsia="宋体"/>
          <w:sz w:val="24"/>
          <w:szCs w:val="24"/>
        </w:rPr>
      </w:pPr>
      <w:r>
        <w:rPr>
          <w:rFonts w:ascii="宋体" w:hAnsi="宋体" w:eastAsia="宋体"/>
          <w:sz w:val="24"/>
          <w:szCs w:val="24"/>
        </w:rPr>
        <w:t xml:space="preserve">4.2.4.2 </w:t>
      </w:r>
      <w:r>
        <w:rPr>
          <w:rFonts w:hint="eastAsia" w:ascii="宋体" w:hAnsi="宋体" w:eastAsia="宋体"/>
          <w:sz w:val="24"/>
          <w:szCs w:val="24"/>
        </w:rPr>
        <w:t>阻垢剂的要求：</w:t>
      </w:r>
    </w:p>
    <w:p w14:paraId="5A2CC40F">
      <w:pPr>
        <w:spacing w:line="360" w:lineRule="auto"/>
        <w:ind w:firstLine="465"/>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）可有效控制碳酸盐、硫酸盐、磷酸盐以及氧化铁的沉积或结垢，对水中的铁、硅、有机物等具有很好的兼容及分散能力，不促使菌藻滋生，无自身沉淀和自身水解现象。</w:t>
      </w:r>
    </w:p>
    <w:p w14:paraId="39332945">
      <w:pPr>
        <w:spacing w:line="360" w:lineRule="auto"/>
        <w:ind w:firstLine="465"/>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）在用户正确使用阻垢剂的情况下，报价人应保证至少一年之内反渗透膜由于无机盐结垢所导致的平均运行压力、产水量、脱盐率在排除温度干扰后偏差不超过</w:t>
      </w:r>
      <w:r>
        <w:rPr>
          <w:rFonts w:ascii="宋体" w:hAnsi="宋体" w:eastAsia="宋体"/>
          <w:sz w:val="24"/>
          <w:szCs w:val="24"/>
        </w:rPr>
        <w:t>15%</w:t>
      </w:r>
      <w:r>
        <w:rPr>
          <w:rFonts w:hint="eastAsia" w:ascii="宋体" w:hAnsi="宋体" w:eastAsia="宋体"/>
          <w:sz w:val="24"/>
          <w:szCs w:val="24"/>
        </w:rPr>
        <w:t>（其比较的依据为反渗透系统清洗前后一周内平均运行压力、产水量、脱盐率的对比）。提供药剂应充分考虑浓水系统实用性。</w:t>
      </w:r>
    </w:p>
    <w:p w14:paraId="33A9FDA8">
      <w:pPr>
        <w:snapToGrid w:val="0"/>
        <w:spacing w:line="360" w:lineRule="auto"/>
        <w:rPr>
          <w:rFonts w:ascii="宋体" w:hAnsi="宋体" w:eastAsia="宋体"/>
          <w:sz w:val="24"/>
          <w:szCs w:val="24"/>
        </w:rPr>
      </w:pPr>
      <w:r>
        <w:rPr>
          <w:rFonts w:ascii="宋体" w:hAnsi="宋体" w:eastAsia="宋体"/>
          <w:sz w:val="24"/>
          <w:szCs w:val="24"/>
        </w:rPr>
        <w:t xml:space="preserve">4.2.4.3 </w:t>
      </w:r>
      <w:r>
        <w:rPr>
          <w:rFonts w:hint="eastAsia" w:ascii="宋体" w:hAnsi="宋体" w:eastAsia="宋体"/>
          <w:sz w:val="24"/>
          <w:szCs w:val="24"/>
        </w:rPr>
        <w:t>非氧化性杀菌剂的要求：</w:t>
      </w:r>
    </w:p>
    <w:p w14:paraId="7755A89E">
      <w:pPr>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能快速有效杀灭各种需氧型和厌氧性微生物，控制微生物在反渗透系统内生长代谢，药品不透过膜元件进入产水，对菌藻不产生耐药性，无氧化性。</w:t>
      </w:r>
    </w:p>
    <w:p w14:paraId="46ADDBA1">
      <w:pPr>
        <w:snapToGrid w:val="0"/>
        <w:spacing w:line="360" w:lineRule="auto"/>
        <w:rPr>
          <w:rFonts w:ascii="宋体" w:hAnsi="宋体" w:eastAsia="宋体"/>
          <w:sz w:val="24"/>
          <w:szCs w:val="24"/>
        </w:rPr>
      </w:pPr>
      <w:r>
        <w:rPr>
          <w:rFonts w:ascii="宋体" w:hAnsi="宋体" w:eastAsia="宋体"/>
          <w:sz w:val="24"/>
          <w:szCs w:val="24"/>
        </w:rPr>
        <w:t>4.2.5</w:t>
      </w:r>
      <w:r>
        <w:rPr>
          <w:rFonts w:hint="eastAsia" w:ascii="宋体" w:hAnsi="宋体" w:eastAsia="宋体"/>
          <w:sz w:val="24"/>
          <w:szCs w:val="24"/>
        </w:rPr>
        <w:t>报价人必须随报价文件一并提供与报价药品相关的产品手册</w:t>
      </w:r>
      <w:r>
        <w:rPr>
          <w:rFonts w:ascii="宋体" w:hAnsi="宋体" w:eastAsia="宋体"/>
          <w:sz w:val="24"/>
          <w:szCs w:val="24"/>
        </w:rPr>
        <w:t>/</w:t>
      </w:r>
      <w:r>
        <w:rPr>
          <w:rFonts w:hint="eastAsia" w:ascii="宋体" w:hAnsi="宋体" w:eastAsia="宋体"/>
          <w:sz w:val="24"/>
          <w:szCs w:val="24"/>
        </w:rPr>
        <w:t>说明、</w:t>
      </w:r>
      <w:r>
        <w:rPr>
          <w:rFonts w:ascii="宋体" w:hAnsi="宋体" w:eastAsia="宋体"/>
          <w:sz w:val="24"/>
          <w:szCs w:val="24"/>
        </w:rPr>
        <w:t>MSDS</w:t>
      </w:r>
      <w:r>
        <w:rPr>
          <w:rFonts w:hint="eastAsia" w:ascii="宋体" w:hAnsi="宋体" w:eastAsia="宋体"/>
          <w:sz w:val="24"/>
          <w:szCs w:val="24"/>
        </w:rPr>
        <w:t>、美国</w:t>
      </w:r>
      <w:r>
        <w:rPr>
          <w:rFonts w:ascii="宋体" w:hAnsi="宋体" w:eastAsia="宋体"/>
          <w:sz w:val="24"/>
          <w:szCs w:val="24"/>
        </w:rPr>
        <w:t>ANSI/NSF</w:t>
      </w:r>
      <w:r>
        <w:rPr>
          <w:rFonts w:hint="eastAsia" w:ascii="宋体" w:hAnsi="宋体" w:eastAsia="宋体"/>
          <w:sz w:val="24"/>
          <w:szCs w:val="24"/>
        </w:rPr>
        <w:t>标准</w:t>
      </w:r>
      <w:r>
        <w:rPr>
          <w:rFonts w:ascii="宋体" w:hAnsi="宋体" w:eastAsia="宋体"/>
          <w:sz w:val="24"/>
          <w:szCs w:val="24"/>
        </w:rPr>
        <w:t>60</w:t>
      </w:r>
      <w:r>
        <w:rPr>
          <w:rFonts w:hint="eastAsia" w:ascii="宋体" w:hAnsi="宋体" w:eastAsia="宋体"/>
          <w:sz w:val="24"/>
          <w:szCs w:val="24"/>
        </w:rPr>
        <w:t>认证</w:t>
      </w:r>
      <w:r>
        <w:rPr>
          <w:rFonts w:hint="eastAsia" w:ascii="宋体" w:hAnsi="宋体" w:eastAsia="宋体"/>
          <w:sz w:val="24"/>
          <w:szCs w:val="24"/>
          <w:lang w:val="en-US" w:eastAsia="zh-CN"/>
        </w:rPr>
        <w:t>或</w:t>
      </w:r>
      <w:r>
        <w:rPr>
          <w:rFonts w:hint="eastAsia" w:ascii="宋体" w:hAnsi="宋体" w:eastAsia="宋体"/>
          <w:sz w:val="24"/>
          <w:szCs w:val="24"/>
        </w:rPr>
        <w:t>主要膜生产商的兼容认证、药品进出口证明及第三方检测机构出具的质量检测报告等材料。如果药剂为进口，则还需提供报关单和原产地证明文件。</w:t>
      </w:r>
    </w:p>
    <w:p w14:paraId="0791D4A7">
      <w:pPr>
        <w:spacing w:line="360" w:lineRule="auto"/>
        <w:rPr>
          <w:rFonts w:ascii="宋体" w:hAnsi="宋体" w:eastAsia="宋体"/>
          <w:sz w:val="24"/>
          <w:szCs w:val="24"/>
        </w:rPr>
      </w:pPr>
      <w:r>
        <w:rPr>
          <w:rFonts w:ascii="宋体" w:hAnsi="宋体" w:eastAsia="宋体"/>
          <w:sz w:val="24"/>
          <w:szCs w:val="24"/>
        </w:rPr>
        <w:t>4.2.6</w:t>
      </w:r>
      <w:r>
        <w:rPr>
          <w:rFonts w:hint="eastAsia" w:ascii="宋体" w:hAnsi="宋体" w:eastAsia="宋体"/>
          <w:sz w:val="24"/>
          <w:szCs w:val="24"/>
        </w:rPr>
        <w:t>报价人提出的关于药品的使用建议不应与膜元件生产商技术服务公告中推荐的运行或清洗参数和限定的化学药剂种类相冲突。</w:t>
      </w:r>
    </w:p>
    <w:p w14:paraId="57FF26D2">
      <w:pPr>
        <w:spacing w:line="360" w:lineRule="auto"/>
        <w:rPr>
          <w:rFonts w:ascii="宋体" w:hAnsi="宋体" w:eastAsia="宋体"/>
          <w:sz w:val="24"/>
          <w:szCs w:val="24"/>
        </w:rPr>
      </w:pPr>
      <w:r>
        <w:rPr>
          <w:rFonts w:ascii="宋体" w:hAnsi="宋体" w:eastAsia="宋体"/>
          <w:sz w:val="24"/>
          <w:szCs w:val="24"/>
        </w:rPr>
        <w:t>4.2.7</w:t>
      </w:r>
      <w:r>
        <w:rPr>
          <w:rFonts w:hint="eastAsia" w:ascii="宋体" w:hAnsi="宋体" w:eastAsia="宋体"/>
          <w:sz w:val="24"/>
          <w:szCs w:val="24"/>
        </w:rPr>
        <w:t>报价人如采用上述要求以外的标准</w:t>
      </w:r>
      <w:r>
        <w:rPr>
          <w:rFonts w:ascii="宋体" w:hAnsi="宋体" w:eastAsia="宋体"/>
          <w:sz w:val="24"/>
          <w:szCs w:val="24"/>
        </w:rPr>
        <w:t>/</w:t>
      </w:r>
      <w:r>
        <w:rPr>
          <w:rFonts w:hint="eastAsia" w:ascii="宋体" w:hAnsi="宋体" w:eastAsia="宋体"/>
          <w:sz w:val="24"/>
          <w:szCs w:val="24"/>
        </w:rPr>
        <w:t>规范，有责任说明所推荐的标准和规范相当于或优于以上的要求，并提供该标准</w:t>
      </w:r>
      <w:r>
        <w:rPr>
          <w:rFonts w:ascii="宋体" w:hAnsi="宋体" w:eastAsia="宋体"/>
          <w:sz w:val="24"/>
          <w:szCs w:val="24"/>
        </w:rPr>
        <w:t>/</w:t>
      </w:r>
      <w:r>
        <w:rPr>
          <w:rFonts w:hint="eastAsia" w:ascii="宋体" w:hAnsi="宋体" w:eastAsia="宋体"/>
          <w:sz w:val="24"/>
          <w:szCs w:val="24"/>
        </w:rPr>
        <w:t>规范。</w:t>
      </w:r>
      <w:bookmarkStart w:id="24" w:name="_Toc328484521"/>
    </w:p>
    <w:p w14:paraId="73994E2C">
      <w:pPr>
        <w:pStyle w:val="30"/>
        <w:tabs>
          <w:tab w:val="clear" w:pos="360"/>
        </w:tabs>
        <w:snapToGrid w:val="0"/>
        <w:spacing w:before="60" w:after="60" w:line="440" w:lineRule="atLeast"/>
        <w:ind w:left="992" w:hanging="567"/>
        <w:outlineLvl w:val="2"/>
        <w:rPr>
          <w:rFonts w:ascii="宋体" w:hAnsi="宋体"/>
          <w:color w:val="000000"/>
        </w:rPr>
      </w:pPr>
      <w:r>
        <w:rPr>
          <w:rFonts w:hint="eastAsia" w:ascii="宋体" w:hAnsi="宋体"/>
          <w:color w:val="000000"/>
        </w:rPr>
        <w:t>产品技术参数要求（由报价人填写）</w:t>
      </w:r>
      <w:bookmarkEnd w:id="24"/>
    </w:p>
    <w:p w14:paraId="1B5FC929">
      <w:pPr>
        <w:spacing w:line="360" w:lineRule="auto"/>
        <w:rPr>
          <w:rFonts w:ascii="宋体" w:hAnsi="宋体" w:eastAsia="宋体"/>
          <w:sz w:val="24"/>
          <w:szCs w:val="24"/>
        </w:rPr>
      </w:pPr>
      <w:r>
        <w:rPr>
          <w:rFonts w:ascii="宋体" w:hAnsi="宋体" w:eastAsia="宋体"/>
          <w:sz w:val="24"/>
          <w:szCs w:val="24"/>
        </w:rPr>
        <w:t>3.1</w:t>
      </w:r>
      <w:r>
        <w:rPr>
          <w:rFonts w:hint="eastAsia" w:ascii="宋体" w:hAnsi="宋体" w:eastAsia="宋体"/>
          <w:sz w:val="24"/>
          <w:szCs w:val="24"/>
        </w:rPr>
        <w:t>报价人需根据自身产品特点，将常用的、具有优势的产品的技术指标一一列出，建议表格如下表</w:t>
      </w:r>
      <w:r>
        <w:rPr>
          <w:rFonts w:ascii="宋体" w:hAnsi="宋体" w:eastAsia="宋体"/>
          <w:sz w:val="24"/>
          <w:szCs w:val="24"/>
        </w:rPr>
        <w:t>1~3</w:t>
      </w:r>
      <w:r>
        <w:rPr>
          <w:rFonts w:hint="eastAsia" w:ascii="宋体" w:hAnsi="宋体" w:eastAsia="宋体"/>
          <w:sz w:val="24"/>
          <w:szCs w:val="24"/>
        </w:rPr>
        <w:t>（报价人可继续补充）。</w:t>
      </w:r>
    </w:p>
    <w:p w14:paraId="0408F6A0">
      <w:pPr>
        <w:spacing w:line="360" w:lineRule="auto"/>
        <w:rPr>
          <w:rFonts w:ascii="宋体" w:hAnsi="宋体" w:eastAsia="宋体"/>
          <w:sz w:val="24"/>
          <w:szCs w:val="24"/>
        </w:rPr>
      </w:pPr>
    </w:p>
    <w:p w14:paraId="586F81CE">
      <w:pPr>
        <w:widowControl/>
        <w:autoSpaceDE w:val="0"/>
        <w:autoSpaceDN w:val="0"/>
        <w:spacing w:line="360" w:lineRule="auto"/>
        <w:jc w:val="center"/>
        <w:textAlignment w:val="bottom"/>
        <w:rPr>
          <w:rFonts w:ascii="宋体" w:hAnsi="宋体" w:eastAsia="宋体"/>
          <w:sz w:val="24"/>
          <w:szCs w:val="24"/>
        </w:rPr>
      </w:pPr>
      <w:r>
        <w:rPr>
          <w:rFonts w:hint="eastAsia" w:ascii="宋体" w:hAnsi="宋体" w:eastAsia="宋体"/>
          <w:sz w:val="24"/>
          <w:szCs w:val="24"/>
        </w:rPr>
        <w:t>表</w:t>
      </w:r>
      <w:r>
        <w:rPr>
          <w:rFonts w:ascii="宋体" w:hAnsi="宋体" w:eastAsia="宋体"/>
          <w:sz w:val="24"/>
          <w:szCs w:val="24"/>
        </w:rPr>
        <w:t xml:space="preserve">4.3-1 </w:t>
      </w:r>
      <w:r>
        <w:rPr>
          <w:rFonts w:hint="eastAsia" w:ascii="宋体" w:hAnsi="宋体" w:eastAsia="宋体"/>
          <w:sz w:val="24"/>
          <w:szCs w:val="24"/>
        </w:rPr>
        <w:t>报价人提供的反渗透阻垢剂的技术指标</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17"/>
        <w:gridCol w:w="2114"/>
        <w:gridCol w:w="2744"/>
      </w:tblGrid>
      <w:tr w14:paraId="774DB0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2617" w:type="dxa"/>
            <w:tcBorders>
              <w:top w:val="single" w:color="auto" w:sz="12" w:space="0"/>
              <w:left w:val="single" w:color="auto" w:sz="12" w:space="0"/>
              <w:bottom w:val="single" w:color="auto" w:sz="6" w:space="0"/>
              <w:right w:val="single" w:color="auto" w:sz="6" w:space="0"/>
            </w:tcBorders>
            <w:vAlign w:val="center"/>
          </w:tcPr>
          <w:p w14:paraId="35A5D0AE">
            <w:pPr>
              <w:adjustRightInd w:val="0"/>
              <w:jc w:val="center"/>
              <w:rPr>
                <w:rFonts w:ascii="宋体" w:hAnsi="宋体" w:eastAsia="宋体"/>
                <w:b/>
                <w:bCs/>
                <w:sz w:val="24"/>
                <w:szCs w:val="24"/>
              </w:rPr>
            </w:pPr>
            <w:r>
              <w:rPr>
                <w:rFonts w:hint="eastAsia" w:ascii="宋体" w:hAnsi="宋体" w:eastAsia="宋体"/>
                <w:b/>
                <w:bCs/>
                <w:sz w:val="24"/>
                <w:szCs w:val="24"/>
              </w:rPr>
              <w:t>型号</w:t>
            </w:r>
          </w:p>
        </w:tc>
        <w:tc>
          <w:tcPr>
            <w:tcW w:w="2114" w:type="dxa"/>
            <w:tcBorders>
              <w:top w:val="single" w:color="auto" w:sz="12" w:space="0"/>
              <w:left w:val="single" w:color="auto" w:sz="6" w:space="0"/>
              <w:bottom w:val="single" w:color="auto" w:sz="6" w:space="0"/>
              <w:right w:val="single" w:color="auto" w:sz="6" w:space="0"/>
            </w:tcBorders>
            <w:vAlign w:val="center"/>
          </w:tcPr>
          <w:p w14:paraId="126DDFD8">
            <w:pPr>
              <w:adjustRightInd w:val="0"/>
              <w:jc w:val="center"/>
              <w:rPr>
                <w:rFonts w:ascii="宋体" w:hAnsi="宋体" w:eastAsia="宋体"/>
                <w:b/>
                <w:bCs/>
                <w:sz w:val="24"/>
                <w:szCs w:val="24"/>
              </w:rPr>
            </w:pPr>
            <w:r>
              <w:rPr>
                <w:rFonts w:hint="eastAsia" w:ascii="宋体" w:hAnsi="宋体" w:eastAsia="宋体"/>
                <w:b/>
                <w:bCs/>
                <w:sz w:val="24"/>
                <w:szCs w:val="24"/>
              </w:rPr>
              <w:t>型号：</w:t>
            </w:r>
          </w:p>
        </w:tc>
        <w:tc>
          <w:tcPr>
            <w:tcW w:w="2744" w:type="dxa"/>
            <w:tcBorders>
              <w:top w:val="single" w:color="auto" w:sz="12" w:space="0"/>
              <w:left w:val="single" w:color="auto" w:sz="6" w:space="0"/>
              <w:bottom w:val="single" w:color="auto" w:sz="6" w:space="0"/>
              <w:right w:val="single" w:color="auto" w:sz="12" w:space="0"/>
            </w:tcBorders>
            <w:vAlign w:val="center"/>
          </w:tcPr>
          <w:p w14:paraId="68C922A9">
            <w:pPr>
              <w:adjustRightInd w:val="0"/>
              <w:jc w:val="center"/>
              <w:rPr>
                <w:rFonts w:ascii="宋体" w:hAnsi="宋体" w:eastAsia="宋体"/>
                <w:b/>
                <w:bCs/>
                <w:sz w:val="24"/>
                <w:szCs w:val="24"/>
              </w:rPr>
            </w:pPr>
            <w:r>
              <w:rPr>
                <w:rFonts w:hint="eastAsia" w:ascii="宋体" w:hAnsi="宋体" w:eastAsia="宋体"/>
                <w:b/>
                <w:bCs/>
                <w:sz w:val="24"/>
                <w:szCs w:val="24"/>
              </w:rPr>
              <w:t>备注</w:t>
            </w:r>
          </w:p>
        </w:tc>
      </w:tr>
      <w:tr w14:paraId="6A1043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75A3B4B4">
            <w:pPr>
              <w:adjustRightInd w:val="0"/>
              <w:jc w:val="center"/>
              <w:rPr>
                <w:rFonts w:ascii="宋体" w:hAnsi="宋体" w:eastAsia="宋体"/>
                <w:b/>
                <w:bCs/>
                <w:sz w:val="24"/>
                <w:szCs w:val="24"/>
              </w:rPr>
            </w:pPr>
            <w:r>
              <w:rPr>
                <w:rFonts w:hint="eastAsia" w:ascii="宋体" w:hAnsi="宋体" w:eastAsia="宋体"/>
                <w:sz w:val="24"/>
                <w:szCs w:val="24"/>
              </w:rPr>
              <w:t>用户</w:t>
            </w:r>
          </w:p>
        </w:tc>
        <w:tc>
          <w:tcPr>
            <w:tcW w:w="2114" w:type="dxa"/>
            <w:tcBorders>
              <w:top w:val="single" w:color="auto" w:sz="6" w:space="0"/>
              <w:left w:val="single" w:color="auto" w:sz="6" w:space="0"/>
              <w:bottom w:val="single" w:color="auto" w:sz="6" w:space="0"/>
              <w:right w:val="single" w:color="auto" w:sz="6" w:space="0"/>
            </w:tcBorders>
            <w:vAlign w:val="center"/>
          </w:tcPr>
          <w:p w14:paraId="306E6B18">
            <w:pPr>
              <w:adjustRightInd w:val="0"/>
              <w:jc w:val="center"/>
              <w:rPr>
                <w:rFonts w:ascii="宋体" w:hAnsi="宋体" w:eastAsia="宋体"/>
                <w:b/>
                <w:bCs/>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61A03555">
            <w:pPr>
              <w:adjustRightInd w:val="0"/>
              <w:jc w:val="center"/>
              <w:rPr>
                <w:rFonts w:ascii="宋体" w:hAnsi="宋体" w:eastAsia="宋体"/>
                <w:b/>
                <w:bCs/>
                <w:sz w:val="24"/>
                <w:szCs w:val="24"/>
              </w:rPr>
            </w:pPr>
            <w:r>
              <w:rPr>
                <w:rFonts w:hint="eastAsia" w:ascii="宋体" w:hAnsi="宋体" w:eastAsia="宋体"/>
                <w:bCs/>
                <w:sz w:val="24"/>
                <w:szCs w:val="24"/>
              </w:rPr>
              <w:t>作为试用时的主要评审依据</w:t>
            </w:r>
          </w:p>
        </w:tc>
      </w:tr>
      <w:tr w14:paraId="4CD2A8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07B0CAE3">
            <w:pPr>
              <w:adjustRightInd w:val="0"/>
              <w:jc w:val="center"/>
              <w:rPr>
                <w:rFonts w:ascii="宋体" w:hAnsi="宋体" w:eastAsia="宋体"/>
                <w:b/>
                <w:bCs/>
                <w:sz w:val="24"/>
                <w:szCs w:val="24"/>
              </w:rPr>
            </w:pPr>
            <w:r>
              <w:rPr>
                <w:rFonts w:hint="eastAsia" w:ascii="宋体" w:hAnsi="宋体" w:eastAsia="宋体"/>
                <w:sz w:val="24"/>
                <w:szCs w:val="24"/>
              </w:rPr>
              <w:t>吨水用量</w:t>
            </w:r>
          </w:p>
        </w:tc>
        <w:tc>
          <w:tcPr>
            <w:tcW w:w="2114" w:type="dxa"/>
            <w:tcBorders>
              <w:top w:val="single" w:color="auto" w:sz="6" w:space="0"/>
              <w:left w:val="single" w:color="auto" w:sz="6" w:space="0"/>
              <w:bottom w:val="single" w:color="auto" w:sz="6" w:space="0"/>
              <w:right w:val="single" w:color="auto" w:sz="6" w:space="0"/>
            </w:tcBorders>
            <w:vAlign w:val="center"/>
          </w:tcPr>
          <w:p w14:paraId="00845116">
            <w:pPr>
              <w:adjustRightInd w:val="0"/>
              <w:jc w:val="center"/>
              <w:rPr>
                <w:rFonts w:ascii="宋体" w:hAnsi="宋体" w:eastAsia="宋体"/>
                <w:b/>
                <w:bCs/>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78AC7D34">
            <w:pPr>
              <w:adjustRightInd w:val="0"/>
              <w:jc w:val="center"/>
              <w:rPr>
                <w:rFonts w:ascii="宋体" w:hAnsi="宋体" w:eastAsia="宋体"/>
                <w:b/>
                <w:bCs/>
                <w:sz w:val="24"/>
                <w:szCs w:val="24"/>
              </w:rPr>
            </w:pPr>
          </w:p>
        </w:tc>
      </w:tr>
      <w:tr w14:paraId="3F102E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3BB909EA">
            <w:pPr>
              <w:adjustRightInd w:val="0"/>
              <w:jc w:val="center"/>
              <w:rPr>
                <w:rFonts w:ascii="宋体" w:hAnsi="宋体" w:eastAsia="宋体"/>
                <w:sz w:val="24"/>
                <w:szCs w:val="24"/>
              </w:rPr>
            </w:pPr>
            <w:r>
              <w:rPr>
                <w:rFonts w:hint="eastAsia" w:ascii="宋体" w:hAnsi="宋体" w:eastAsia="宋体"/>
                <w:sz w:val="24"/>
                <w:szCs w:val="24"/>
              </w:rPr>
              <w:t>是否标准液</w:t>
            </w:r>
            <w:r>
              <w:rPr>
                <w:rFonts w:ascii="宋体" w:hAnsi="宋体" w:eastAsia="宋体"/>
                <w:sz w:val="24"/>
                <w:szCs w:val="24"/>
              </w:rPr>
              <w:t>/</w:t>
            </w:r>
            <w:r>
              <w:rPr>
                <w:rFonts w:hint="eastAsia" w:ascii="宋体" w:hAnsi="宋体" w:eastAsia="宋体"/>
                <w:sz w:val="24"/>
                <w:szCs w:val="24"/>
              </w:rPr>
              <w:t>浓缩倍数</w:t>
            </w:r>
          </w:p>
        </w:tc>
        <w:tc>
          <w:tcPr>
            <w:tcW w:w="2114" w:type="dxa"/>
            <w:tcBorders>
              <w:top w:val="single" w:color="auto" w:sz="6" w:space="0"/>
              <w:left w:val="single" w:color="auto" w:sz="6" w:space="0"/>
              <w:bottom w:val="single" w:color="auto" w:sz="6" w:space="0"/>
              <w:right w:val="single" w:color="auto" w:sz="6" w:space="0"/>
            </w:tcBorders>
            <w:vAlign w:val="center"/>
          </w:tcPr>
          <w:p w14:paraId="570E2457">
            <w:pPr>
              <w:adjustRightInd w:val="0"/>
              <w:jc w:val="center"/>
              <w:rPr>
                <w:rFonts w:ascii="宋体" w:hAnsi="宋体" w:eastAsia="宋体"/>
                <w:b/>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C875325">
            <w:pPr>
              <w:adjustRightInd w:val="0"/>
              <w:jc w:val="center"/>
              <w:rPr>
                <w:rFonts w:ascii="宋体" w:hAnsi="宋体" w:eastAsia="宋体"/>
                <w:b/>
                <w:sz w:val="24"/>
                <w:szCs w:val="24"/>
              </w:rPr>
            </w:pPr>
          </w:p>
        </w:tc>
      </w:tr>
      <w:tr w14:paraId="2263C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0D40FB65">
            <w:pPr>
              <w:adjustRightInd w:val="0"/>
              <w:jc w:val="center"/>
              <w:rPr>
                <w:rFonts w:ascii="宋体" w:hAnsi="宋体" w:eastAsia="宋体"/>
                <w:sz w:val="24"/>
                <w:szCs w:val="24"/>
              </w:rPr>
            </w:pPr>
            <w:r>
              <w:rPr>
                <w:rFonts w:hint="eastAsia" w:ascii="宋体" w:hAnsi="宋体" w:eastAsia="宋体"/>
                <w:sz w:val="24"/>
                <w:szCs w:val="24"/>
              </w:rPr>
              <w:t>外观</w:t>
            </w:r>
          </w:p>
        </w:tc>
        <w:tc>
          <w:tcPr>
            <w:tcW w:w="2114" w:type="dxa"/>
            <w:tcBorders>
              <w:top w:val="single" w:color="auto" w:sz="6" w:space="0"/>
              <w:left w:val="single" w:color="auto" w:sz="6" w:space="0"/>
              <w:bottom w:val="single" w:color="auto" w:sz="6" w:space="0"/>
              <w:right w:val="single" w:color="auto" w:sz="6" w:space="0"/>
            </w:tcBorders>
            <w:vAlign w:val="center"/>
          </w:tcPr>
          <w:p w14:paraId="08969C68">
            <w:pPr>
              <w:pStyle w:val="35"/>
              <w:widowControl w:val="0"/>
              <w:spacing w:before="0" w:line="240" w:lineRule="auto"/>
              <w:rPr>
                <w:rFonts w:hAnsi="宋体"/>
                <w:kern w:val="2"/>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355596C">
            <w:pPr>
              <w:pStyle w:val="35"/>
              <w:widowControl w:val="0"/>
              <w:spacing w:before="0" w:line="240" w:lineRule="auto"/>
              <w:rPr>
                <w:rFonts w:hAnsi="宋体"/>
                <w:kern w:val="2"/>
                <w:sz w:val="24"/>
                <w:szCs w:val="24"/>
              </w:rPr>
            </w:pPr>
          </w:p>
        </w:tc>
      </w:tr>
      <w:tr w14:paraId="4E4A68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24AB12DF">
            <w:pPr>
              <w:adjustRightInd w:val="0"/>
              <w:jc w:val="center"/>
              <w:rPr>
                <w:rFonts w:ascii="宋体" w:hAnsi="宋体" w:eastAsia="宋体"/>
                <w:sz w:val="24"/>
                <w:szCs w:val="24"/>
              </w:rPr>
            </w:pPr>
            <w:r>
              <w:rPr>
                <w:rFonts w:hint="eastAsia" w:ascii="宋体" w:hAnsi="宋体" w:eastAsia="宋体"/>
                <w:sz w:val="24"/>
                <w:szCs w:val="24"/>
              </w:rPr>
              <w:t>比重（</w:t>
            </w:r>
            <w:r>
              <w:rPr>
                <w:rFonts w:ascii="宋体" w:hAnsi="宋体" w:eastAsia="宋体"/>
                <w:sz w:val="24"/>
                <w:szCs w:val="24"/>
              </w:rPr>
              <w:t>kg/L</w:t>
            </w:r>
            <w:r>
              <w:rPr>
                <w:rFonts w:hint="eastAsia" w:ascii="宋体" w:hAnsi="宋体" w:eastAsia="宋体"/>
                <w:sz w:val="24"/>
                <w:szCs w:val="24"/>
              </w:rPr>
              <w:t>）</w:t>
            </w:r>
          </w:p>
        </w:tc>
        <w:tc>
          <w:tcPr>
            <w:tcW w:w="2114" w:type="dxa"/>
            <w:tcBorders>
              <w:top w:val="single" w:color="auto" w:sz="6" w:space="0"/>
              <w:left w:val="single" w:color="auto" w:sz="6" w:space="0"/>
              <w:bottom w:val="single" w:color="auto" w:sz="6" w:space="0"/>
              <w:right w:val="single" w:color="auto" w:sz="6" w:space="0"/>
            </w:tcBorders>
            <w:vAlign w:val="center"/>
          </w:tcPr>
          <w:p w14:paraId="55A461F2">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29420926">
            <w:pPr>
              <w:adjustRightInd w:val="0"/>
              <w:jc w:val="center"/>
              <w:rPr>
                <w:rFonts w:ascii="宋体" w:hAnsi="宋体" w:eastAsia="宋体"/>
                <w:sz w:val="24"/>
                <w:szCs w:val="24"/>
              </w:rPr>
            </w:pPr>
          </w:p>
        </w:tc>
      </w:tr>
      <w:tr w14:paraId="3B35FE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2830553E">
            <w:pPr>
              <w:adjustRightInd w:val="0"/>
              <w:jc w:val="center"/>
              <w:rPr>
                <w:rFonts w:ascii="宋体" w:hAnsi="宋体" w:eastAsia="宋体"/>
                <w:sz w:val="24"/>
                <w:szCs w:val="24"/>
              </w:rPr>
            </w:pPr>
            <w:r>
              <w:rPr>
                <w:rFonts w:ascii="宋体" w:hAnsi="宋体" w:eastAsia="宋体"/>
                <w:sz w:val="24"/>
                <w:szCs w:val="24"/>
              </w:rPr>
              <w:t>pH</w:t>
            </w:r>
            <w:r>
              <w:rPr>
                <w:rFonts w:hint="eastAsia" w:ascii="宋体" w:hAnsi="宋体" w:eastAsia="宋体"/>
                <w:sz w:val="24"/>
                <w:szCs w:val="24"/>
              </w:rPr>
              <w:t>值</w:t>
            </w:r>
          </w:p>
        </w:tc>
        <w:tc>
          <w:tcPr>
            <w:tcW w:w="2114" w:type="dxa"/>
            <w:tcBorders>
              <w:top w:val="single" w:color="auto" w:sz="6" w:space="0"/>
              <w:left w:val="single" w:color="auto" w:sz="6" w:space="0"/>
              <w:bottom w:val="single" w:color="auto" w:sz="6" w:space="0"/>
              <w:right w:val="single" w:color="auto" w:sz="6" w:space="0"/>
            </w:tcBorders>
            <w:vAlign w:val="center"/>
          </w:tcPr>
          <w:p w14:paraId="45660C34">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1546DC27">
            <w:pPr>
              <w:adjustRightInd w:val="0"/>
              <w:jc w:val="center"/>
              <w:rPr>
                <w:rFonts w:ascii="宋体" w:hAnsi="宋体" w:eastAsia="宋体"/>
                <w:sz w:val="24"/>
                <w:szCs w:val="24"/>
              </w:rPr>
            </w:pPr>
          </w:p>
        </w:tc>
      </w:tr>
      <w:tr w14:paraId="59023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2C41175B">
            <w:pPr>
              <w:adjustRightInd w:val="0"/>
              <w:jc w:val="center"/>
              <w:rPr>
                <w:rFonts w:ascii="宋体" w:hAnsi="宋体" w:eastAsia="宋体"/>
                <w:sz w:val="24"/>
                <w:szCs w:val="24"/>
              </w:rPr>
            </w:pPr>
            <w:r>
              <w:rPr>
                <w:rFonts w:hint="eastAsia" w:ascii="宋体" w:hAnsi="宋体" w:eastAsia="宋体"/>
                <w:sz w:val="24"/>
                <w:szCs w:val="24"/>
              </w:rPr>
              <w:t>凝固点（</w:t>
            </w:r>
            <w:r>
              <w:rPr>
                <w:rFonts w:ascii="宋体" w:hAnsi="宋体" w:eastAsia="宋体"/>
                <w:sz w:val="24"/>
                <w:szCs w:val="24"/>
              </w:rPr>
              <w:t>℃</w:t>
            </w:r>
            <w:r>
              <w:rPr>
                <w:rFonts w:hint="eastAsia" w:ascii="宋体" w:hAnsi="宋体" w:eastAsia="宋体"/>
                <w:sz w:val="24"/>
                <w:szCs w:val="24"/>
              </w:rPr>
              <w:t>）</w:t>
            </w:r>
          </w:p>
        </w:tc>
        <w:tc>
          <w:tcPr>
            <w:tcW w:w="2114" w:type="dxa"/>
            <w:tcBorders>
              <w:top w:val="single" w:color="auto" w:sz="6" w:space="0"/>
              <w:left w:val="single" w:color="auto" w:sz="6" w:space="0"/>
              <w:bottom w:val="single" w:color="auto" w:sz="6" w:space="0"/>
              <w:right w:val="single" w:color="auto" w:sz="6" w:space="0"/>
            </w:tcBorders>
            <w:vAlign w:val="center"/>
          </w:tcPr>
          <w:p w14:paraId="3CCE816A">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3C8E3BEA">
            <w:pPr>
              <w:adjustRightInd w:val="0"/>
              <w:jc w:val="center"/>
              <w:rPr>
                <w:rFonts w:ascii="宋体" w:hAnsi="宋体" w:eastAsia="宋体"/>
                <w:sz w:val="24"/>
                <w:szCs w:val="24"/>
              </w:rPr>
            </w:pPr>
          </w:p>
        </w:tc>
      </w:tr>
      <w:tr w14:paraId="31BDBA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36BF5054">
            <w:pPr>
              <w:adjustRightInd w:val="0"/>
              <w:jc w:val="center"/>
              <w:rPr>
                <w:rFonts w:ascii="宋体" w:hAnsi="宋体" w:eastAsia="宋体"/>
                <w:sz w:val="24"/>
                <w:szCs w:val="24"/>
              </w:rPr>
            </w:pPr>
            <w:r>
              <w:rPr>
                <w:rFonts w:hint="eastAsia" w:ascii="宋体" w:hAnsi="宋体" w:eastAsia="宋体"/>
                <w:sz w:val="24"/>
                <w:szCs w:val="24"/>
              </w:rPr>
              <w:t>总磷（</w:t>
            </w:r>
            <w:r>
              <w:rPr>
                <w:rFonts w:ascii="宋体" w:hAnsi="宋体" w:eastAsia="宋体"/>
                <w:sz w:val="24"/>
                <w:szCs w:val="24"/>
              </w:rPr>
              <w:t>%</w:t>
            </w:r>
            <w:r>
              <w:rPr>
                <w:rFonts w:hint="eastAsia" w:ascii="宋体" w:hAnsi="宋体" w:eastAsia="宋体"/>
                <w:sz w:val="24"/>
                <w:szCs w:val="24"/>
              </w:rPr>
              <w:t>，</w:t>
            </w:r>
            <w:r>
              <w:rPr>
                <w:rFonts w:ascii="宋体" w:hAnsi="宋体" w:eastAsia="宋体"/>
                <w:sz w:val="24"/>
                <w:szCs w:val="24"/>
              </w:rPr>
              <w:t>PO</w:t>
            </w:r>
            <w:r>
              <w:rPr>
                <w:rFonts w:ascii="宋体" w:hAnsi="宋体" w:eastAsia="宋体"/>
                <w:sz w:val="24"/>
                <w:szCs w:val="24"/>
                <w:vertAlign w:val="subscript"/>
              </w:rPr>
              <w:t>4</w:t>
            </w:r>
            <w:r>
              <w:rPr>
                <w:rFonts w:ascii="宋体" w:hAnsi="宋体" w:eastAsia="宋体"/>
                <w:sz w:val="24"/>
                <w:szCs w:val="24"/>
                <w:vertAlign w:val="superscript"/>
              </w:rPr>
              <w:t>3-</w:t>
            </w:r>
            <w:r>
              <w:rPr>
                <w:rFonts w:hint="eastAsia" w:ascii="宋体" w:hAnsi="宋体" w:eastAsia="宋体"/>
                <w:sz w:val="24"/>
                <w:szCs w:val="24"/>
              </w:rPr>
              <w:t>）</w:t>
            </w:r>
          </w:p>
        </w:tc>
        <w:tc>
          <w:tcPr>
            <w:tcW w:w="2114" w:type="dxa"/>
            <w:tcBorders>
              <w:top w:val="single" w:color="auto" w:sz="6" w:space="0"/>
              <w:left w:val="single" w:color="auto" w:sz="6" w:space="0"/>
              <w:bottom w:val="single" w:color="auto" w:sz="6" w:space="0"/>
              <w:right w:val="single" w:color="auto" w:sz="6" w:space="0"/>
            </w:tcBorders>
            <w:vAlign w:val="center"/>
          </w:tcPr>
          <w:p w14:paraId="6379FC9C">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71DE7E4">
            <w:pPr>
              <w:adjustRightInd w:val="0"/>
              <w:jc w:val="center"/>
              <w:rPr>
                <w:rFonts w:ascii="宋体" w:hAnsi="宋体" w:eastAsia="宋体"/>
                <w:sz w:val="24"/>
                <w:szCs w:val="24"/>
              </w:rPr>
            </w:pPr>
          </w:p>
        </w:tc>
      </w:tr>
      <w:tr w14:paraId="0F11F5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27FE576C">
            <w:pPr>
              <w:adjustRightInd w:val="0"/>
              <w:jc w:val="center"/>
              <w:rPr>
                <w:rFonts w:ascii="宋体" w:hAnsi="宋体" w:eastAsia="宋体"/>
                <w:sz w:val="24"/>
                <w:szCs w:val="24"/>
              </w:rPr>
            </w:pPr>
            <w:r>
              <w:rPr>
                <w:rFonts w:hint="eastAsia" w:ascii="宋体" w:hAnsi="宋体" w:eastAsia="宋体"/>
                <w:sz w:val="24"/>
                <w:szCs w:val="24"/>
              </w:rPr>
              <w:t>主要成分</w:t>
            </w:r>
          </w:p>
        </w:tc>
        <w:tc>
          <w:tcPr>
            <w:tcW w:w="2114" w:type="dxa"/>
            <w:tcBorders>
              <w:top w:val="single" w:color="auto" w:sz="6" w:space="0"/>
              <w:left w:val="single" w:color="auto" w:sz="6" w:space="0"/>
              <w:bottom w:val="single" w:color="auto" w:sz="6" w:space="0"/>
              <w:right w:val="single" w:color="auto" w:sz="6" w:space="0"/>
            </w:tcBorders>
            <w:vAlign w:val="center"/>
          </w:tcPr>
          <w:p w14:paraId="37E22926">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691501AE">
            <w:pPr>
              <w:adjustRightInd w:val="0"/>
              <w:jc w:val="center"/>
              <w:rPr>
                <w:rFonts w:ascii="宋体" w:hAnsi="宋体" w:eastAsia="宋体"/>
                <w:sz w:val="24"/>
                <w:szCs w:val="24"/>
              </w:rPr>
            </w:pPr>
          </w:p>
        </w:tc>
      </w:tr>
      <w:tr w14:paraId="36D2C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76DE6F7C">
            <w:pPr>
              <w:adjustRightInd w:val="0"/>
              <w:jc w:val="center"/>
              <w:rPr>
                <w:rFonts w:ascii="宋体" w:hAnsi="宋体" w:eastAsia="宋体"/>
                <w:sz w:val="24"/>
                <w:szCs w:val="24"/>
              </w:rPr>
            </w:pPr>
            <w:r>
              <w:rPr>
                <w:rFonts w:hint="eastAsia" w:ascii="宋体" w:hAnsi="宋体" w:eastAsia="宋体"/>
                <w:sz w:val="24"/>
                <w:szCs w:val="24"/>
              </w:rPr>
              <w:t>阻垢能力（在浓水中可以控制的</w:t>
            </w:r>
            <w:r>
              <w:rPr>
                <w:rFonts w:ascii="宋体" w:hAnsi="宋体" w:eastAsia="宋体"/>
                <w:sz w:val="24"/>
                <w:szCs w:val="24"/>
              </w:rPr>
              <w:t>LSI</w:t>
            </w:r>
            <w:r>
              <w:rPr>
                <w:rFonts w:hint="eastAsia" w:ascii="宋体" w:hAnsi="宋体" w:eastAsia="宋体"/>
                <w:sz w:val="24"/>
                <w:szCs w:val="24"/>
              </w:rPr>
              <w:t>值）</w:t>
            </w:r>
          </w:p>
        </w:tc>
        <w:tc>
          <w:tcPr>
            <w:tcW w:w="2114" w:type="dxa"/>
            <w:tcBorders>
              <w:top w:val="single" w:color="auto" w:sz="6" w:space="0"/>
              <w:left w:val="single" w:color="auto" w:sz="6" w:space="0"/>
              <w:bottom w:val="single" w:color="auto" w:sz="6" w:space="0"/>
              <w:right w:val="single" w:color="auto" w:sz="6" w:space="0"/>
            </w:tcBorders>
            <w:vAlign w:val="center"/>
          </w:tcPr>
          <w:p w14:paraId="354C3072">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312CB84C">
            <w:pPr>
              <w:adjustRightInd w:val="0"/>
              <w:jc w:val="center"/>
              <w:rPr>
                <w:rFonts w:ascii="宋体" w:hAnsi="宋体" w:eastAsia="宋体"/>
                <w:sz w:val="24"/>
                <w:szCs w:val="24"/>
              </w:rPr>
            </w:pPr>
          </w:p>
        </w:tc>
      </w:tr>
      <w:tr w14:paraId="6B5941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4E5A2F07">
            <w:pPr>
              <w:adjustRightInd w:val="0"/>
              <w:jc w:val="center"/>
              <w:rPr>
                <w:rFonts w:ascii="宋体" w:hAnsi="宋体" w:eastAsia="宋体"/>
                <w:sz w:val="24"/>
                <w:szCs w:val="24"/>
              </w:rPr>
            </w:pPr>
            <w:r>
              <w:rPr>
                <w:rFonts w:hint="eastAsia" w:ascii="宋体" w:hAnsi="宋体" w:eastAsia="宋体"/>
                <w:sz w:val="24"/>
                <w:szCs w:val="24"/>
              </w:rPr>
              <w:t>适用水质（通用</w:t>
            </w:r>
            <w:r>
              <w:rPr>
                <w:rFonts w:ascii="宋体" w:hAnsi="宋体" w:eastAsia="宋体"/>
                <w:sz w:val="24"/>
                <w:szCs w:val="24"/>
              </w:rPr>
              <w:t>/</w:t>
            </w:r>
            <w:r>
              <w:rPr>
                <w:rFonts w:hint="eastAsia" w:ascii="宋体" w:hAnsi="宋体" w:eastAsia="宋体"/>
                <w:sz w:val="24"/>
                <w:szCs w:val="24"/>
              </w:rPr>
              <w:t>海水</w:t>
            </w:r>
            <w:r>
              <w:rPr>
                <w:rFonts w:ascii="宋体" w:hAnsi="宋体" w:eastAsia="宋体"/>
                <w:sz w:val="24"/>
                <w:szCs w:val="24"/>
              </w:rPr>
              <w:t>/</w:t>
            </w:r>
            <w:r>
              <w:rPr>
                <w:rFonts w:hint="eastAsia" w:ascii="宋体" w:hAnsi="宋体" w:eastAsia="宋体"/>
                <w:sz w:val="24"/>
                <w:szCs w:val="24"/>
              </w:rPr>
              <w:t>苦咸水</w:t>
            </w:r>
            <w:r>
              <w:rPr>
                <w:rFonts w:ascii="宋体" w:hAnsi="宋体" w:eastAsia="宋体"/>
                <w:sz w:val="24"/>
                <w:szCs w:val="24"/>
              </w:rPr>
              <w:t>/</w:t>
            </w:r>
            <w:r>
              <w:rPr>
                <w:rFonts w:hint="eastAsia" w:ascii="宋体" w:hAnsi="宋体" w:eastAsia="宋体"/>
                <w:sz w:val="24"/>
                <w:szCs w:val="24"/>
              </w:rPr>
              <w:t>污水回用水</w:t>
            </w:r>
            <w:r>
              <w:rPr>
                <w:rFonts w:ascii="宋体" w:hAnsi="宋体" w:eastAsia="宋体"/>
                <w:sz w:val="24"/>
                <w:szCs w:val="24"/>
              </w:rPr>
              <w:t>/</w:t>
            </w:r>
            <w:r>
              <w:rPr>
                <w:rFonts w:hint="eastAsia" w:ascii="宋体" w:hAnsi="宋体" w:eastAsia="宋体"/>
                <w:sz w:val="24"/>
                <w:szCs w:val="24"/>
              </w:rPr>
              <w:t>自来水</w:t>
            </w:r>
            <w:r>
              <w:rPr>
                <w:rFonts w:ascii="宋体" w:hAnsi="宋体" w:eastAsia="宋体"/>
                <w:sz w:val="24"/>
                <w:szCs w:val="24"/>
              </w:rPr>
              <w:t>……</w:t>
            </w:r>
            <w:r>
              <w:rPr>
                <w:rFonts w:hint="eastAsia" w:ascii="宋体" w:hAnsi="宋体" w:eastAsia="宋体"/>
                <w:sz w:val="24"/>
                <w:szCs w:val="24"/>
              </w:rPr>
              <w:t>）</w:t>
            </w:r>
          </w:p>
        </w:tc>
        <w:tc>
          <w:tcPr>
            <w:tcW w:w="2114" w:type="dxa"/>
            <w:tcBorders>
              <w:top w:val="single" w:color="auto" w:sz="6" w:space="0"/>
              <w:left w:val="single" w:color="auto" w:sz="6" w:space="0"/>
              <w:bottom w:val="single" w:color="auto" w:sz="6" w:space="0"/>
              <w:right w:val="single" w:color="auto" w:sz="6" w:space="0"/>
            </w:tcBorders>
            <w:vAlign w:val="center"/>
          </w:tcPr>
          <w:p w14:paraId="16961EFD">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00F079E">
            <w:pPr>
              <w:adjustRightInd w:val="0"/>
              <w:jc w:val="center"/>
              <w:rPr>
                <w:rFonts w:ascii="宋体" w:hAnsi="宋体" w:eastAsia="宋体"/>
                <w:sz w:val="24"/>
                <w:szCs w:val="24"/>
              </w:rPr>
            </w:pPr>
          </w:p>
        </w:tc>
      </w:tr>
      <w:tr w14:paraId="22022C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6AB8675D">
            <w:pPr>
              <w:adjustRightInd w:val="0"/>
              <w:jc w:val="center"/>
              <w:rPr>
                <w:rFonts w:ascii="宋体" w:hAnsi="宋体" w:eastAsia="宋体"/>
                <w:sz w:val="24"/>
                <w:szCs w:val="24"/>
              </w:rPr>
            </w:pPr>
            <w:r>
              <w:rPr>
                <w:rFonts w:hint="eastAsia" w:ascii="宋体" w:hAnsi="宋体" w:eastAsia="宋体"/>
                <w:sz w:val="24"/>
                <w:szCs w:val="24"/>
              </w:rPr>
              <w:t>适用的膜材料类型</w:t>
            </w:r>
          </w:p>
        </w:tc>
        <w:tc>
          <w:tcPr>
            <w:tcW w:w="2114" w:type="dxa"/>
            <w:tcBorders>
              <w:top w:val="single" w:color="auto" w:sz="6" w:space="0"/>
              <w:left w:val="single" w:color="auto" w:sz="6" w:space="0"/>
              <w:bottom w:val="single" w:color="auto" w:sz="6" w:space="0"/>
              <w:right w:val="single" w:color="auto" w:sz="6" w:space="0"/>
            </w:tcBorders>
            <w:vAlign w:val="center"/>
          </w:tcPr>
          <w:p w14:paraId="76AC4352">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9C54BA4">
            <w:pPr>
              <w:adjustRightInd w:val="0"/>
              <w:jc w:val="center"/>
              <w:rPr>
                <w:rFonts w:ascii="宋体" w:hAnsi="宋体" w:eastAsia="宋体"/>
                <w:sz w:val="24"/>
                <w:szCs w:val="24"/>
              </w:rPr>
            </w:pPr>
          </w:p>
        </w:tc>
      </w:tr>
      <w:tr w14:paraId="28147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00CC3E27">
            <w:pPr>
              <w:adjustRightInd w:val="0"/>
              <w:jc w:val="center"/>
              <w:rPr>
                <w:rFonts w:ascii="宋体" w:hAnsi="宋体" w:eastAsia="宋体"/>
                <w:sz w:val="24"/>
                <w:szCs w:val="24"/>
              </w:rPr>
            </w:pPr>
            <w:r>
              <w:rPr>
                <w:rFonts w:hint="eastAsia" w:ascii="宋体" w:hAnsi="宋体" w:eastAsia="宋体"/>
                <w:sz w:val="24"/>
                <w:szCs w:val="24"/>
              </w:rPr>
              <w:t>建议投加用量</w:t>
            </w:r>
            <w:r>
              <w:rPr>
                <w:rFonts w:ascii="宋体" w:hAnsi="宋体" w:eastAsia="宋体"/>
                <w:sz w:val="24"/>
                <w:szCs w:val="24"/>
              </w:rPr>
              <w:t>(mg/L)</w:t>
            </w:r>
          </w:p>
        </w:tc>
        <w:tc>
          <w:tcPr>
            <w:tcW w:w="2114" w:type="dxa"/>
            <w:tcBorders>
              <w:top w:val="single" w:color="auto" w:sz="6" w:space="0"/>
              <w:left w:val="single" w:color="auto" w:sz="6" w:space="0"/>
              <w:bottom w:val="single" w:color="auto" w:sz="6" w:space="0"/>
              <w:right w:val="single" w:color="auto" w:sz="6" w:space="0"/>
            </w:tcBorders>
            <w:vAlign w:val="center"/>
          </w:tcPr>
          <w:p w14:paraId="0B82C48C">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35C9A2C3">
            <w:pPr>
              <w:adjustRightInd w:val="0"/>
              <w:jc w:val="center"/>
              <w:rPr>
                <w:rFonts w:ascii="宋体" w:hAnsi="宋体" w:eastAsia="宋体"/>
                <w:sz w:val="24"/>
                <w:szCs w:val="24"/>
              </w:rPr>
            </w:pPr>
            <w:r>
              <w:rPr>
                <w:rFonts w:hint="eastAsia" w:ascii="宋体" w:hAnsi="宋体" w:eastAsia="宋体"/>
                <w:bCs/>
                <w:sz w:val="24"/>
                <w:szCs w:val="24"/>
              </w:rPr>
              <w:t>作为试用时的主要评审依据</w:t>
            </w:r>
          </w:p>
        </w:tc>
      </w:tr>
      <w:tr w14:paraId="4F322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01356FA2">
            <w:pPr>
              <w:adjustRightInd w:val="0"/>
              <w:jc w:val="center"/>
              <w:rPr>
                <w:rFonts w:ascii="宋体" w:hAnsi="宋体" w:eastAsia="宋体"/>
                <w:sz w:val="24"/>
                <w:szCs w:val="24"/>
              </w:rPr>
            </w:pPr>
            <w:r>
              <w:rPr>
                <w:rFonts w:hint="eastAsia" w:ascii="宋体" w:hAnsi="宋体" w:eastAsia="宋体"/>
                <w:sz w:val="24"/>
                <w:szCs w:val="24"/>
              </w:rPr>
              <w:t>存放温度范围（</w:t>
            </w:r>
            <w:r>
              <w:rPr>
                <w:rFonts w:ascii="宋体" w:hAnsi="宋体" w:eastAsia="宋体"/>
                <w:sz w:val="24"/>
                <w:szCs w:val="24"/>
              </w:rPr>
              <w:t>℃</w:t>
            </w:r>
            <w:r>
              <w:rPr>
                <w:rFonts w:hint="eastAsia" w:ascii="宋体" w:hAnsi="宋体" w:eastAsia="宋体"/>
                <w:sz w:val="24"/>
                <w:szCs w:val="24"/>
              </w:rPr>
              <w:t>）</w:t>
            </w:r>
          </w:p>
        </w:tc>
        <w:tc>
          <w:tcPr>
            <w:tcW w:w="2114" w:type="dxa"/>
            <w:tcBorders>
              <w:top w:val="single" w:color="auto" w:sz="6" w:space="0"/>
              <w:left w:val="single" w:color="auto" w:sz="6" w:space="0"/>
              <w:bottom w:val="single" w:color="auto" w:sz="6" w:space="0"/>
              <w:right w:val="single" w:color="auto" w:sz="6" w:space="0"/>
            </w:tcBorders>
            <w:vAlign w:val="center"/>
          </w:tcPr>
          <w:p w14:paraId="1EA293C9">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39AC1CAD">
            <w:pPr>
              <w:adjustRightInd w:val="0"/>
              <w:jc w:val="center"/>
              <w:rPr>
                <w:rFonts w:ascii="宋体" w:hAnsi="宋体" w:eastAsia="宋体"/>
                <w:sz w:val="24"/>
                <w:szCs w:val="24"/>
              </w:rPr>
            </w:pPr>
          </w:p>
        </w:tc>
      </w:tr>
      <w:tr w14:paraId="27791D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18342D48">
            <w:pPr>
              <w:adjustRightInd w:val="0"/>
              <w:jc w:val="center"/>
              <w:rPr>
                <w:rFonts w:ascii="宋体" w:hAnsi="宋体" w:eastAsia="宋体"/>
                <w:sz w:val="24"/>
                <w:szCs w:val="24"/>
              </w:rPr>
            </w:pPr>
            <w:r>
              <w:rPr>
                <w:rFonts w:hint="eastAsia" w:ascii="宋体" w:hAnsi="宋体" w:eastAsia="宋体"/>
                <w:sz w:val="24"/>
                <w:szCs w:val="24"/>
              </w:rPr>
              <w:t>保质期</w:t>
            </w:r>
          </w:p>
        </w:tc>
        <w:tc>
          <w:tcPr>
            <w:tcW w:w="2114" w:type="dxa"/>
            <w:tcBorders>
              <w:top w:val="single" w:color="auto" w:sz="6" w:space="0"/>
              <w:left w:val="single" w:color="auto" w:sz="6" w:space="0"/>
              <w:bottom w:val="single" w:color="auto" w:sz="6" w:space="0"/>
              <w:right w:val="single" w:color="auto" w:sz="6" w:space="0"/>
            </w:tcBorders>
            <w:vAlign w:val="center"/>
          </w:tcPr>
          <w:p w14:paraId="07C4CB13">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05AE4DB9">
            <w:pPr>
              <w:adjustRightInd w:val="0"/>
              <w:jc w:val="center"/>
              <w:rPr>
                <w:rFonts w:ascii="宋体" w:hAnsi="宋体" w:eastAsia="宋体"/>
                <w:sz w:val="24"/>
                <w:szCs w:val="24"/>
              </w:rPr>
            </w:pPr>
          </w:p>
        </w:tc>
      </w:tr>
      <w:tr w14:paraId="78ACB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6" w:space="0"/>
              <w:right w:val="single" w:color="auto" w:sz="6" w:space="0"/>
            </w:tcBorders>
            <w:vAlign w:val="center"/>
          </w:tcPr>
          <w:p w14:paraId="790743A8">
            <w:pPr>
              <w:adjustRightInd w:val="0"/>
              <w:jc w:val="center"/>
              <w:rPr>
                <w:rFonts w:ascii="宋体" w:hAnsi="宋体" w:eastAsia="宋体"/>
                <w:sz w:val="24"/>
                <w:szCs w:val="24"/>
              </w:rPr>
            </w:pPr>
            <w:r>
              <w:rPr>
                <w:rFonts w:hint="eastAsia" w:ascii="宋体" w:hAnsi="宋体" w:eastAsia="宋体"/>
                <w:sz w:val="24"/>
                <w:szCs w:val="24"/>
              </w:rPr>
              <w:t>包装及净重</w:t>
            </w:r>
          </w:p>
        </w:tc>
        <w:tc>
          <w:tcPr>
            <w:tcW w:w="2114" w:type="dxa"/>
            <w:tcBorders>
              <w:top w:val="single" w:color="auto" w:sz="6" w:space="0"/>
              <w:left w:val="single" w:color="auto" w:sz="6" w:space="0"/>
              <w:bottom w:val="single" w:color="auto" w:sz="6" w:space="0"/>
              <w:right w:val="single" w:color="auto" w:sz="6" w:space="0"/>
            </w:tcBorders>
            <w:vAlign w:val="center"/>
          </w:tcPr>
          <w:p w14:paraId="2DDCE214">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6" w:space="0"/>
              <w:right w:val="single" w:color="auto" w:sz="12" w:space="0"/>
            </w:tcBorders>
            <w:vAlign w:val="center"/>
          </w:tcPr>
          <w:p w14:paraId="7DA5EE13">
            <w:pPr>
              <w:adjustRightInd w:val="0"/>
              <w:jc w:val="center"/>
              <w:rPr>
                <w:rFonts w:ascii="宋体" w:hAnsi="宋体" w:eastAsia="宋体"/>
                <w:sz w:val="24"/>
                <w:szCs w:val="24"/>
              </w:rPr>
            </w:pPr>
          </w:p>
        </w:tc>
      </w:tr>
      <w:tr w14:paraId="3DFCB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617" w:type="dxa"/>
            <w:tcBorders>
              <w:top w:val="single" w:color="auto" w:sz="6" w:space="0"/>
              <w:left w:val="single" w:color="auto" w:sz="12" w:space="0"/>
              <w:bottom w:val="single" w:color="auto" w:sz="12" w:space="0"/>
              <w:right w:val="single" w:color="auto" w:sz="6" w:space="0"/>
            </w:tcBorders>
            <w:vAlign w:val="center"/>
          </w:tcPr>
          <w:p w14:paraId="00A1BE04">
            <w:pPr>
              <w:adjustRightInd w:val="0"/>
              <w:jc w:val="center"/>
              <w:rPr>
                <w:rFonts w:ascii="宋体" w:hAnsi="宋体" w:eastAsia="宋体"/>
                <w:sz w:val="24"/>
                <w:szCs w:val="24"/>
              </w:rPr>
            </w:pPr>
            <w:r>
              <w:rPr>
                <w:rFonts w:hint="eastAsia" w:ascii="宋体" w:hAnsi="宋体" w:eastAsia="宋体"/>
                <w:sz w:val="24"/>
                <w:szCs w:val="24"/>
              </w:rPr>
              <w:t>其他指标</w:t>
            </w:r>
          </w:p>
        </w:tc>
        <w:tc>
          <w:tcPr>
            <w:tcW w:w="2114" w:type="dxa"/>
            <w:tcBorders>
              <w:top w:val="single" w:color="auto" w:sz="6" w:space="0"/>
              <w:left w:val="single" w:color="auto" w:sz="6" w:space="0"/>
              <w:bottom w:val="single" w:color="auto" w:sz="12" w:space="0"/>
              <w:right w:val="single" w:color="auto" w:sz="6" w:space="0"/>
            </w:tcBorders>
            <w:vAlign w:val="center"/>
          </w:tcPr>
          <w:p w14:paraId="4150EBB5">
            <w:pPr>
              <w:adjustRightInd w:val="0"/>
              <w:jc w:val="center"/>
              <w:rPr>
                <w:rFonts w:ascii="宋体" w:hAnsi="宋体" w:eastAsia="宋体"/>
                <w:sz w:val="24"/>
                <w:szCs w:val="24"/>
              </w:rPr>
            </w:pPr>
          </w:p>
        </w:tc>
        <w:tc>
          <w:tcPr>
            <w:tcW w:w="2744" w:type="dxa"/>
            <w:tcBorders>
              <w:top w:val="single" w:color="auto" w:sz="6" w:space="0"/>
              <w:left w:val="single" w:color="auto" w:sz="6" w:space="0"/>
              <w:bottom w:val="single" w:color="auto" w:sz="12" w:space="0"/>
              <w:right w:val="single" w:color="auto" w:sz="12" w:space="0"/>
            </w:tcBorders>
            <w:vAlign w:val="center"/>
          </w:tcPr>
          <w:p w14:paraId="5EFB97D1">
            <w:pPr>
              <w:adjustRightInd w:val="0"/>
              <w:jc w:val="center"/>
              <w:rPr>
                <w:rFonts w:ascii="宋体" w:hAnsi="宋体" w:eastAsia="宋体"/>
                <w:sz w:val="24"/>
                <w:szCs w:val="24"/>
              </w:rPr>
            </w:pPr>
          </w:p>
        </w:tc>
      </w:tr>
    </w:tbl>
    <w:p w14:paraId="455FA0CA">
      <w:pPr>
        <w:widowControl/>
        <w:autoSpaceDE w:val="0"/>
        <w:autoSpaceDN w:val="0"/>
        <w:spacing w:line="360" w:lineRule="auto"/>
        <w:jc w:val="center"/>
        <w:textAlignment w:val="bottom"/>
        <w:rPr>
          <w:rFonts w:ascii="宋体" w:hAnsi="宋体" w:eastAsia="宋体"/>
          <w:sz w:val="24"/>
          <w:szCs w:val="24"/>
        </w:rPr>
      </w:pPr>
    </w:p>
    <w:p w14:paraId="417BA1AD">
      <w:pPr>
        <w:widowControl/>
        <w:autoSpaceDE w:val="0"/>
        <w:autoSpaceDN w:val="0"/>
        <w:spacing w:line="360" w:lineRule="auto"/>
        <w:jc w:val="center"/>
        <w:textAlignment w:val="bottom"/>
        <w:rPr>
          <w:rFonts w:ascii="宋体" w:hAnsi="宋体" w:eastAsia="宋体"/>
          <w:sz w:val="24"/>
          <w:szCs w:val="24"/>
        </w:rPr>
      </w:pPr>
      <w:r>
        <w:rPr>
          <w:rFonts w:hint="eastAsia" w:ascii="宋体" w:hAnsi="宋体" w:eastAsia="宋体"/>
          <w:sz w:val="24"/>
          <w:szCs w:val="24"/>
        </w:rPr>
        <w:t>表</w:t>
      </w:r>
      <w:r>
        <w:rPr>
          <w:rFonts w:ascii="宋体" w:hAnsi="宋体" w:eastAsia="宋体"/>
          <w:sz w:val="24"/>
          <w:szCs w:val="24"/>
        </w:rPr>
        <w:t>4.3-2</w:t>
      </w:r>
      <w:r>
        <w:rPr>
          <w:rFonts w:hint="eastAsia" w:ascii="宋体" w:hAnsi="宋体" w:eastAsia="宋体"/>
          <w:sz w:val="24"/>
          <w:szCs w:val="24"/>
        </w:rPr>
        <w:t>报价人提供的非氧化性杀菌剂的技术指标</w:t>
      </w:r>
    </w:p>
    <w:tbl>
      <w:tblPr>
        <w:tblStyle w:val="1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37"/>
        <w:gridCol w:w="2268"/>
        <w:gridCol w:w="2552"/>
      </w:tblGrid>
      <w:tr w14:paraId="3AA4AE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blHeader/>
          <w:jc w:val="center"/>
        </w:trPr>
        <w:tc>
          <w:tcPr>
            <w:tcW w:w="2437" w:type="dxa"/>
            <w:tcBorders>
              <w:top w:val="single" w:color="auto" w:sz="12" w:space="0"/>
              <w:left w:val="single" w:color="auto" w:sz="12" w:space="0"/>
              <w:bottom w:val="single" w:color="auto" w:sz="6" w:space="0"/>
              <w:right w:val="single" w:color="auto" w:sz="6" w:space="0"/>
            </w:tcBorders>
            <w:vAlign w:val="center"/>
          </w:tcPr>
          <w:p w14:paraId="3F909FB2">
            <w:pPr>
              <w:adjustRightInd w:val="0"/>
              <w:jc w:val="center"/>
              <w:rPr>
                <w:rFonts w:ascii="宋体" w:hAnsi="宋体" w:eastAsia="宋体"/>
                <w:b/>
                <w:bCs/>
                <w:sz w:val="24"/>
                <w:szCs w:val="24"/>
              </w:rPr>
            </w:pPr>
            <w:r>
              <w:rPr>
                <w:rFonts w:hint="eastAsia" w:ascii="宋体" w:hAnsi="宋体" w:eastAsia="宋体"/>
                <w:b/>
                <w:bCs/>
                <w:sz w:val="24"/>
                <w:szCs w:val="24"/>
              </w:rPr>
              <w:t>型号</w:t>
            </w:r>
          </w:p>
        </w:tc>
        <w:tc>
          <w:tcPr>
            <w:tcW w:w="2268" w:type="dxa"/>
            <w:tcBorders>
              <w:top w:val="single" w:color="auto" w:sz="12" w:space="0"/>
              <w:left w:val="single" w:color="auto" w:sz="6" w:space="0"/>
              <w:bottom w:val="single" w:color="auto" w:sz="6" w:space="0"/>
              <w:right w:val="single" w:color="auto" w:sz="6" w:space="0"/>
            </w:tcBorders>
            <w:vAlign w:val="center"/>
          </w:tcPr>
          <w:p w14:paraId="27500647">
            <w:pPr>
              <w:adjustRightInd w:val="0"/>
              <w:jc w:val="center"/>
              <w:rPr>
                <w:rFonts w:ascii="宋体" w:hAnsi="宋体" w:eastAsia="宋体"/>
                <w:b/>
                <w:bCs/>
                <w:sz w:val="24"/>
                <w:szCs w:val="24"/>
              </w:rPr>
            </w:pPr>
            <w:r>
              <w:rPr>
                <w:rFonts w:hint="eastAsia" w:ascii="宋体" w:hAnsi="宋体" w:eastAsia="宋体"/>
                <w:b/>
                <w:bCs/>
                <w:sz w:val="24"/>
                <w:szCs w:val="24"/>
              </w:rPr>
              <w:t>型号：</w:t>
            </w:r>
          </w:p>
        </w:tc>
        <w:tc>
          <w:tcPr>
            <w:tcW w:w="2552" w:type="dxa"/>
            <w:tcBorders>
              <w:top w:val="single" w:color="auto" w:sz="12" w:space="0"/>
              <w:left w:val="single" w:color="auto" w:sz="6" w:space="0"/>
              <w:bottom w:val="single" w:color="auto" w:sz="6" w:space="0"/>
              <w:right w:val="single" w:color="auto" w:sz="12" w:space="0"/>
            </w:tcBorders>
            <w:vAlign w:val="center"/>
          </w:tcPr>
          <w:p w14:paraId="098AAC74">
            <w:pPr>
              <w:adjustRightInd w:val="0"/>
              <w:jc w:val="center"/>
              <w:rPr>
                <w:rFonts w:ascii="宋体" w:hAnsi="宋体" w:eastAsia="宋体"/>
                <w:b/>
                <w:bCs/>
                <w:sz w:val="24"/>
                <w:szCs w:val="24"/>
              </w:rPr>
            </w:pPr>
            <w:r>
              <w:rPr>
                <w:rFonts w:hint="eastAsia" w:ascii="宋体" w:hAnsi="宋体" w:eastAsia="宋体"/>
                <w:b/>
                <w:bCs/>
                <w:sz w:val="24"/>
                <w:szCs w:val="24"/>
              </w:rPr>
              <w:t>备注</w:t>
            </w:r>
          </w:p>
        </w:tc>
      </w:tr>
      <w:tr w14:paraId="16586B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247A67BC">
            <w:pPr>
              <w:adjustRightInd w:val="0"/>
              <w:jc w:val="center"/>
              <w:rPr>
                <w:rFonts w:ascii="宋体" w:hAnsi="宋体" w:eastAsia="宋体"/>
                <w:sz w:val="24"/>
                <w:szCs w:val="24"/>
              </w:rPr>
            </w:pPr>
            <w:r>
              <w:rPr>
                <w:rFonts w:hint="eastAsia" w:ascii="宋体" w:hAnsi="宋体" w:eastAsia="宋体"/>
                <w:sz w:val="24"/>
                <w:szCs w:val="24"/>
              </w:rPr>
              <w:t>是否标准液</w:t>
            </w:r>
            <w:r>
              <w:rPr>
                <w:rFonts w:ascii="宋体" w:hAnsi="宋体" w:eastAsia="宋体"/>
                <w:sz w:val="24"/>
                <w:szCs w:val="24"/>
              </w:rPr>
              <w:t>/</w:t>
            </w:r>
            <w:r>
              <w:rPr>
                <w:rFonts w:hint="eastAsia" w:ascii="宋体" w:hAnsi="宋体" w:eastAsia="宋体"/>
                <w:sz w:val="24"/>
                <w:szCs w:val="24"/>
              </w:rPr>
              <w:t>浓缩倍数</w:t>
            </w:r>
          </w:p>
        </w:tc>
        <w:tc>
          <w:tcPr>
            <w:tcW w:w="2268" w:type="dxa"/>
            <w:tcBorders>
              <w:top w:val="single" w:color="auto" w:sz="6" w:space="0"/>
              <w:left w:val="single" w:color="auto" w:sz="6" w:space="0"/>
              <w:bottom w:val="single" w:color="auto" w:sz="6" w:space="0"/>
              <w:right w:val="single" w:color="auto" w:sz="6" w:space="0"/>
            </w:tcBorders>
            <w:vAlign w:val="center"/>
          </w:tcPr>
          <w:p w14:paraId="6B5D237F">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40BFE2B1">
            <w:pPr>
              <w:adjustRightInd w:val="0"/>
              <w:jc w:val="center"/>
              <w:rPr>
                <w:rFonts w:ascii="宋体" w:hAnsi="宋体" w:eastAsia="宋体"/>
                <w:sz w:val="24"/>
                <w:szCs w:val="24"/>
              </w:rPr>
            </w:pPr>
          </w:p>
        </w:tc>
      </w:tr>
      <w:tr w14:paraId="382698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34ABEAD5">
            <w:pPr>
              <w:adjustRightInd w:val="0"/>
              <w:jc w:val="center"/>
              <w:rPr>
                <w:rFonts w:ascii="宋体" w:hAnsi="宋体" w:eastAsia="宋体"/>
                <w:sz w:val="24"/>
                <w:szCs w:val="24"/>
              </w:rPr>
            </w:pPr>
            <w:r>
              <w:rPr>
                <w:rFonts w:hint="eastAsia" w:ascii="宋体" w:hAnsi="宋体" w:eastAsia="宋体"/>
                <w:sz w:val="24"/>
                <w:szCs w:val="24"/>
              </w:rPr>
              <w:t>外观</w:t>
            </w:r>
          </w:p>
        </w:tc>
        <w:tc>
          <w:tcPr>
            <w:tcW w:w="2268" w:type="dxa"/>
            <w:tcBorders>
              <w:top w:val="single" w:color="auto" w:sz="6" w:space="0"/>
              <w:left w:val="single" w:color="auto" w:sz="6" w:space="0"/>
              <w:bottom w:val="single" w:color="auto" w:sz="6" w:space="0"/>
              <w:right w:val="single" w:color="auto" w:sz="6" w:space="0"/>
            </w:tcBorders>
            <w:vAlign w:val="center"/>
          </w:tcPr>
          <w:p w14:paraId="0EB5272D">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531500C3">
            <w:pPr>
              <w:adjustRightInd w:val="0"/>
              <w:jc w:val="center"/>
              <w:rPr>
                <w:rFonts w:ascii="宋体" w:hAnsi="宋体" w:eastAsia="宋体"/>
                <w:sz w:val="24"/>
                <w:szCs w:val="24"/>
              </w:rPr>
            </w:pPr>
          </w:p>
        </w:tc>
      </w:tr>
      <w:tr w14:paraId="49ABC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308C59F1">
            <w:pPr>
              <w:adjustRightInd w:val="0"/>
              <w:jc w:val="center"/>
              <w:rPr>
                <w:rFonts w:ascii="宋体" w:hAnsi="宋体" w:eastAsia="宋体"/>
                <w:sz w:val="24"/>
                <w:szCs w:val="24"/>
              </w:rPr>
            </w:pPr>
            <w:r>
              <w:rPr>
                <w:rFonts w:hint="eastAsia" w:ascii="宋体" w:hAnsi="宋体" w:eastAsia="宋体"/>
                <w:sz w:val="24"/>
                <w:szCs w:val="24"/>
              </w:rPr>
              <w:t>比重（</w:t>
            </w:r>
            <w:r>
              <w:rPr>
                <w:rFonts w:ascii="宋体" w:hAnsi="宋体" w:eastAsia="宋体"/>
                <w:sz w:val="24"/>
                <w:szCs w:val="24"/>
              </w:rPr>
              <w:t>kg/L</w:t>
            </w:r>
            <w:r>
              <w:rPr>
                <w:rFonts w:hint="eastAsia" w:ascii="宋体" w:hAnsi="宋体" w:eastAsia="宋体"/>
                <w:sz w:val="24"/>
                <w:szCs w:val="24"/>
              </w:rPr>
              <w:t>）</w:t>
            </w:r>
          </w:p>
        </w:tc>
        <w:tc>
          <w:tcPr>
            <w:tcW w:w="2268" w:type="dxa"/>
            <w:tcBorders>
              <w:top w:val="single" w:color="auto" w:sz="6" w:space="0"/>
              <w:left w:val="single" w:color="auto" w:sz="6" w:space="0"/>
              <w:bottom w:val="single" w:color="auto" w:sz="6" w:space="0"/>
              <w:right w:val="single" w:color="auto" w:sz="6" w:space="0"/>
            </w:tcBorders>
            <w:vAlign w:val="center"/>
          </w:tcPr>
          <w:p w14:paraId="1C746811">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7CD4E1BA">
            <w:pPr>
              <w:adjustRightInd w:val="0"/>
              <w:jc w:val="center"/>
              <w:rPr>
                <w:rFonts w:ascii="宋体" w:hAnsi="宋体" w:eastAsia="宋体"/>
                <w:sz w:val="24"/>
                <w:szCs w:val="24"/>
              </w:rPr>
            </w:pPr>
          </w:p>
        </w:tc>
      </w:tr>
      <w:tr w14:paraId="1A656D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70E469A1">
            <w:pPr>
              <w:adjustRightInd w:val="0"/>
              <w:jc w:val="center"/>
              <w:rPr>
                <w:rFonts w:ascii="宋体" w:hAnsi="宋体" w:eastAsia="宋体"/>
                <w:sz w:val="24"/>
                <w:szCs w:val="24"/>
              </w:rPr>
            </w:pPr>
            <w:r>
              <w:rPr>
                <w:rFonts w:ascii="宋体" w:hAnsi="宋体" w:eastAsia="宋体"/>
                <w:sz w:val="24"/>
                <w:szCs w:val="24"/>
              </w:rPr>
              <w:t>pH</w:t>
            </w:r>
            <w:r>
              <w:rPr>
                <w:rFonts w:hint="eastAsia" w:ascii="宋体" w:hAnsi="宋体" w:eastAsia="宋体"/>
                <w:sz w:val="24"/>
                <w:szCs w:val="24"/>
              </w:rPr>
              <w:t>值</w:t>
            </w:r>
          </w:p>
        </w:tc>
        <w:tc>
          <w:tcPr>
            <w:tcW w:w="2268" w:type="dxa"/>
            <w:tcBorders>
              <w:top w:val="single" w:color="auto" w:sz="6" w:space="0"/>
              <w:left w:val="single" w:color="auto" w:sz="6" w:space="0"/>
              <w:bottom w:val="single" w:color="auto" w:sz="6" w:space="0"/>
              <w:right w:val="single" w:color="auto" w:sz="6" w:space="0"/>
            </w:tcBorders>
            <w:vAlign w:val="center"/>
          </w:tcPr>
          <w:p w14:paraId="18764C1A">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252B2C6C">
            <w:pPr>
              <w:adjustRightInd w:val="0"/>
              <w:jc w:val="center"/>
              <w:rPr>
                <w:rFonts w:ascii="宋体" w:hAnsi="宋体" w:eastAsia="宋体"/>
                <w:sz w:val="24"/>
                <w:szCs w:val="24"/>
              </w:rPr>
            </w:pPr>
          </w:p>
        </w:tc>
      </w:tr>
      <w:tr w14:paraId="2805BD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5E3AA31A">
            <w:pPr>
              <w:adjustRightInd w:val="0"/>
              <w:jc w:val="center"/>
              <w:rPr>
                <w:rFonts w:ascii="宋体" w:hAnsi="宋体" w:eastAsia="宋体"/>
                <w:sz w:val="24"/>
                <w:szCs w:val="24"/>
              </w:rPr>
            </w:pPr>
            <w:r>
              <w:rPr>
                <w:rFonts w:hint="eastAsia" w:ascii="宋体" w:hAnsi="宋体" w:eastAsia="宋体"/>
                <w:sz w:val="24"/>
                <w:szCs w:val="24"/>
              </w:rPr>
              <w:t>凝固点（℃）</w:t>
            </w:r>
          </w:p>
        </w:tc>
        <w:tc>
          <w:tcPr>
            <w:tcW w:w="2268" w:type="dxa"/>
            <w:tcBorders>
              <w:top w:val="single" w:color="auto" w:sz="6" w:space="0"/>
              <w:left w:val="single" w:color="auto" w:sz="6" w:space="0"/>
              <w:bottom w:val="single" w:color="auto" w:sz="6" w:space="0"/>
              <w:right w:val="single" w:color="auto" w:sz="6" w:space="0"/>
            </w:tcBorders>
            <w:vAlign w:val="center"/>
          </w:tcPr>
          <w:p w14:paraId="094C094E">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3D848F07">
            <w:pPr>
              <w:adjustRightInd w:val="0"/>
              <w:jc w:val="center"/>
              <w:rPr>
                <w:rFonts w:ascii="宋体" w:hAnsi="宋体" w:eastAsia="宋体"/>
                <w:sz w:val="24"/>
                <w:szCs w:val="24"/>
              </w:rPr>
            </w:pPr>
          </w:p>
        </w:tc>
      </w:tr>
      <w:tr w14:paraId="612FCF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7130FC45">
            <w:pPr>
              <w:adjustRightInd w:val="0"/>
              <w:jc w:val="center"/>
              <w:rPr>
                <w:rFonts w:ascii="宋体" w:hAnsi="宋体" w:eastAsia="宋体"/>
                <w:sz w:val="24"/>
                <w:szCs w:val="24"/>
              </w:rPr>
            </w:pPr>
            <w:r>
              <w:rPr>
                <w:rFonts w:hint="eastAsia" w:ascii="宋体" w:hAnsi="宋体" w:eastAsia="宋体"/>
                <w:sz w:val="24"/>
                <w:szCs w:val="24"/>
              </w:rPr>
              <w:t>总磷（</w:t>
            </w:r>
            <w:r>
              <w:rPr>
                <w:rFonts w:ascii="宋体" w:hAnsi="宋体" w:eastAsia="宋体"/>
                <w:sz w:val="24"/>
                <w:szCs w:val="24"/>
              </w:rPr>
              <w:t>%</w:t>
            </w:r>
            <w:r>
              <w:rPr>
                <w:rFonts w:hint="eastAsia" w:ascii="宋体" w:hAnsi="宋体" w:eastAsia="宋体"/>
                <w:sz w:val="24"/>
                <w:szCs w:val="24"/>
              </w:rPr>
              <w:t>，</w:t>
            </w:r>
            <w:r>
              <w:rPr>
                <w:rFonts w:ascii="宋体" w:hAnsi="宋体" w:eastAsia="宋体"/>
                <w:sz w:val="24"/>
                <w:szCs w:val="24"/>
              </w:rPr>
              <w:t>PO43-</w:t>
            </w:r>
            <w:r>
              <w:rPr>
                <w:rFonts w:hint="eastAsia" w:ascii="宋体" w:hAnsi="宋体" w:eastAsia="宋体"/>
                <w:sz w:val="24"/>
                <w:szCs w:val="24"/>
              </w:rPr>
              <w:t>）</w:t>
            </w:r>
          </w:p>
        </w:tc>
        <w:tc>
          <w:tcPr>
            <w:tcW w:w="2268" w:type="dxa"/>
            <w:tcBorders>
              <w:top w:val="single" w:color="auto" w:sz="6" w:space="0"/>
              <w:left w:val="single" w:color="auto" w:sz="6" w:space="0"/>
              <w:bottom w:val="single" w:color="auto" w:sz="6" w:space="0"/>
              <w:right w:val="single" w:color="auto" w:sz="6" w:space="0"/>
            </w:tcBorders>
            <w:vAlign w:val="center"/>
          </w:tcPr>
          <w:p w14:paraId="505005DC">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33EA6113">
            <w:pPr>
              <w:adjustRightInd w:val="0"/>
              <w:jc w:val="center"/>
              <w:rPr>
                <w:rFonts w:ascii="宋体" w:hAnsi="宋体" w:eastAsia="宋体"/>
                <w:sz w:val="24"/>
                <w:szCs w:val="24"/>
              </w:rPr>
            </w:pPr>
          </w:p>
        </w:tc>
      </w:tr>
      <w:tr w14:paraId="2C59AB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7DB1EC29">
            <w:pPr>
              <w:adjustRightInd w:val="0"/>
              <w:jc w:val="center"/>
              <w:rPr>
                <w:rFonts w:ascii="宋体" w:hAnsi="宋体" w:eastAsia="宋体"/>
                <w:sz w:val="24"/>
                <w:szCs w:val="24"/>
              </w:rPr>
            </w:pPr>
            <w:r>
              <w:rPr>
                <w:rFonts w:hint="eastAsia" w:ascii="宋体" w:hAnsi="宋体" w:eastAsia="宋体"/>
                <w:sz w:val="24"/>
                <w:szCs w:val="24"/>
              </w:rPr>
              <w:t>主要成分</w:t>
            </w:r>
          </w:p>
        </w:tc>
        <w:tc>
          <w:tcPr>
            <w:tcW w:w="2268" w:type="dxa"/>
            <w:tcBorders>
              <w:top w:val="single" w:color="auto" w:sz="6" w:space="0"/>
              <w:left w:val="single" w:color="auto" w:sz="6" w:space="0"/>
              <w:bottom w:val="single" w:color="auto" w:sz="6" w:space="0"/>
              <w:right w:val="single" w:color="auto" w:sz="6" w:space="0"/>
            </w:tcBorders>
            <w:vAlign w:val="center"/>
          </w:tcPr>
          <w:p w14:paraId="56B3744A">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37E5E568">
            <w:pPr>
              <w:adjustRightInd w:val="0"/>
              <w:jc w:val="center"/>
              <w:rPr>
                <w:rFonts w:ascii="宋体" w:hAnsi="宋体" w:eastAsia="宋体"/>
                <w:sz w:val="24"/>
                <w:szCs w:val="24"/>
              </w:rPr>
            </w:pPr>
          </w:p>
        </w:tc>
      </w:tr>
      <w:tr w14:paraId="0ABE3D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20CECDC1">
            <w:pPr>
              <w:adjustRightInd w:val="0"/>
              <w:jc w:val="center"/>
              <w:rPr>
                <w:rFonts w:ascii="宋体" w:hAnsi="宋体" w:eastAsia="宋体"/>
                <w:sz w:val="24"/>
                <w:szCs w:val="24"/>
              </w:rPr>
            </w:pPr>
            <w:r>
              <w:rPr>
                <w:rFonts w:hint="eastAsia" w:ascii="宋体" w:hAnsi="宋体" w:eastAsia="宋体"/>
                <w:sz w:val="24"/>
                <w:szCs w:val="24"/>
              </w:rPr>
              <w:t>可杀灭的菌藻类型</w:t>
            </w:r>
          </w:p>
        </w:tc>
        <w:tc>
          <w:tcPr>
            <w:tcW w:w="2268" w:type="dxa"/>
            <w:tcBorders>
              <w:top w:val="single" w:color="auto" w:sz="6" w:space="0"/>
              <w:left w:val="single" w:color="auto" w:sz="6" w:space="0"/>
              <w:bottom w:val="single" w:color="auto" w:sz="6" w:space="0"/>
              <w:right w:val="single" w:color="auto" w:sz="6" w:space="0"/>
            </w:tcBorders>
            <w:vAlign w:val="center"/>
          </w:tcPr>
          <w:p w14:paraId="0551C80D">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116B2F36">
            <w:pPr>
              <w:adjustRightInd w:val="0"/>
              <w:jc w:val="center"/>
              <w:rPr>
                <w:rFonts w:ascii="宋体" w:hAnsi="宋体" w:eastAsia="宋体"/>
                <w:sz w:val="24"/>
                <w:szCs w:val="24"/>
              </w:rPr>
            </w:pPr>
          </w:p>
        </w:tc>
      </w:tr>
      <w:tr w14:paraId="6C4FDE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0C5FAB09">
            <w:pPr>
              <w:adjustRightInd w:val="0"/>
              <w:jc w:val="center"/>
              <w:rPr>
                <w:rFonts w:ascii="宋体" w:hAnsi="宋体" w:eastAsia="宋体"/>
                <w:sz w:val="24"/>
                <w:szCs w:val="24"/>
              </w:rPr>
            </w:pPr>
            <w:r>
              <w:rPr>
                <w:rFonts w:hint="eastAsia" w:ascii="宋体" w:hAnsi="宋体" w:eastAsia="宋体"/>
                <w:sz w:val="24"/>
                <w:szCs w:val="24"/>
              </w:rPr>
              <w:t>适用的膜材料类型</w:t>
            </w:r>
          </w:p>
        </w:tc>
        <w:tc>
          <w:tcPr>
            <w:tcW w:w="2268" w:type="dxa"/>
            <w:tcBorders>
              <w:top w:val="single" w:color="auto" w:sz="6" w:space="0"/>
              <w:left w:val="single" w:color="auto" w:sz="6" w:space="0"/>
              <w:bottom w:val="single" w:color="auto" w:sz="6" w:space="0"/>
              <w:right w:val="single" w:color="auto" w:sz="6" w:space="0"/>
            </w:tcBorders>
            <w:vAlign w:val="center"/>
          </w:tcPr>
          <w:p w14:paraId="71C7E50D">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31C7BF94">
            <w:pPr>
              <w:adjustRightInd w:val="0"/>
              <w:jc w:val="center"/>
              <w:rPr>
                <w:rFonts w:ascii="宋体" w:hAnsi="宋体" w:eastAsia="宋体"/>
                <w:sz w:val="24"/>
                <w:szCs w:val="24"/>
              </w:rPr>
            </w:pPr>
          </w:p>
        </w:tc>
      </w:tr>
      <w:tr w14:paraId="2617D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7B8B10C7">
            <w:pPr>
              <w:adjustRightInd w:val="0"/>
              <w:jc w:val="center"/>
              <w:rPr>
                <w:rFonts w:ascii="宋体" w:hAnsi="宋体" w:eastAsia="宋体"/>
                <w:sz w:val="24"/>
                <w:szCs w:val="24"/>
              </w:rPr>
            </w:pPr>
            <w:r>
              <w:rPr>
                <w:rFonts w:hint="eastAsia" w:ascii="宋体" w:hAnsi="宋体" w:eastAsia="宋体"/>
                <w:sz w:val="24"/>
                <w:szCs w:val="24"/>
              </w:rPr>
              <w:t>建议投加用量</w:t>
            </w:r>
            <w:r>
              <w:rPr>
                <w:rFonts w:ascii="宋体" w:hAnsi="宋体" w:eastAsia="宋体"/>
                <w:sz w:val="24"/>
                <w:szCs w:val="24"/>
              </w:rPr>
              <w:t>(mg/L)</w:t>
            </w:r>
          </w:p>
        </w:tc>
        <w:tc>
          <w:tcPr>
            <w:tcW w:w="2268" w:type="dxa"/>
            <w:tcBorders>
              <w:top w:val="single" w:color="auto" w:sz="6" w:space="0"/>
              <w:left w:val="single" w:color="auto" w:sz="6" w:space="0"/>
              <w:bottom w:val="single" w:color="auto" w:sz="6" w:space="0"/>
              <w:right w:val="single" w:color="auto" w:sz="6" w:space="0"/>
            </w:tcBorders>
            <w:vAlign w:val="center"/>
          </w:tcPr>
          <w:p w14:paraId="5AD5FA11">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43DFB751">
            <w:pPr>
              <w:adjustRightInd w:val="0"/>
              <w:jc w:val="center"/>
              <w:rPr>
                <w:rFonts w:ascii="宋体" w:hAnsi="宋体" w:eastAsia="宋体"/>
                <w:sz w:val="24"/>
                <w:szCs w:val="24"/>
              </w:rPr>
            </w:pPr>
            <w:r>
              <w:rPr>
                <w:rFonts w:hint="eastAsia" w:ascii="宋体" w:hAnsi="宋体" w:eastAsia="宋体"/>
                <w:bCs/>
                <w:sz w:val="24"/>
                <w:szCs w:val="24"/>
              </w:rPr>
              <w:t>作为试用时的主要评审依据</w:t>
            </w:r>
          </w:p>
        </w:tc>
      </w:tr>
      <w:tr w14:paraId="1C6EB2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145E5F2C">
            <w:pPr>
              <w:adjustRightInd w:val="0"/>
              <w:jc w:val="center"/>
              <w:rPr>
                <w:rFonts w:ascii="宋体" w:hAnsi="宋体" w:eastAsia="宋体"/>
                <w:sz w:val="24"/>
                <w:szCs w:val="24"/>
              </w:rPr>
            </w:pPr>
            <w:r>
              <w:rPr>
                <w:rFonts w:hint="eastAsia" w:ascii="宋体" w:hAnsi="宋体" w:eastAsia="宋体"/>
                <w:sz w:val="24"/>
                <w:szCs w:val="24"/>
              </w:rPr>
              <w:t>存放温度范围（℃）</w:t>
            </w:r>
          </w:p>
        </w:tc>
        <w:tc>
          <w:tcPr>
            <w:tcW w:w="2268" w:type="dxa"/>
            <w:tcBorders>
              <w:top w:val="single" w:color="auto" w:sz="6" w:space="0"/>
              <w:left w:val="single" w:color="auto" w:sz="6" w:space="0"/>
              <w:bottom w:val="single" w:color="auto" w:sz="6" w:space="0"/>
              <w:right w:val="single" w:color="auto" w:sz="6" w:space="0"/>
            </w:tcBorders>
            <w:vAlign w:val="center"/>
          </w:tcPr>
          <w:p w14:paraId="2DFD217C">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1CB2A3EE">
            <w:pPr>
              <w:adjustRightInd w:val="0"/>
              <w:jc w:val="center"/>
              <w:rPr>
                <w:rFonts w:ascii="宋体" w:hAnsi="宋体" w:eastAsia="宋体"/>
                <w:sz w:val="24"/>
                <w:szCs w:val="24"/>
              </w:rPr>
            </w:pPr>
          </w:p>
        </w:tc>
      </w:tr>
      <w:tr w14:paraId="31BEF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6893EE9D">
            <w:pPr>
              <w:adjustRightInd w:val="0"/>
              <w:jc w:val="center"/>
              <w:rPr>
                <w:rFonts w:ascii="宋体" w:hAnsi="宋体" w:eastAsia="宋体"/>
                <w:sz w:val="24"/>
                <w:szCs w:val="24"/>
              </w:rPr>
            </w:pPr>
            <w:r>
              <w:rPr>
                <w:rFonts w:hint="eastAsia" w:ascii="宋体" w:hAnsi="宋体" w:eastAsia="宋体"/>
                <w:sz w:val="24"/>
                <w:szCs w:val="24"/>
              </w:rPr>
              <w:t>保质期</w:t>
            </w:r>
          </w:p>
        </w:tc>
        <w:tc>
          <w:tcPr>
            <w:tcW w:w="2268" w:type="dxa"/>
            <w:tcBorders>
              <w:top w:val="single" w:color="auto" w:sz="6" w:space="0"/>
              <w:left w:val="single" w:color="auto" w:sz="6" w:space="0"/>
              <w:bottom w:val="single" w:color="auto" w:sz="6" w:space="0"/>
              <w:right w:val="single" w:color="auto" w:sz="6" w:space="0"/>
            </w:tcBorders>
            <w:vAlign w:val="center"/>
          </w:tcPr>
          <w:p w14:paraId="5DA96008">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482FB8D3">
            <w:pPr>
              <w:adjustRightInd w:val="0"/>
              <w:jc w:val="center"/>
              <w:rPr>
                <w:rFonts w:ascii="宋体" w:hAnsi="宋体" w:eastAsia="宋体"/>
                <w:sz w:val="24"/>
                <w:szCs w:val="24"/>
              </w:rPr>
            </w:pPr>
          </w:p>
        </w:tc>
      </w:tr>
      <w:tr w14:paraId="664D87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6" w:space="0"/>
              <w:right w:val="single" w:color="auto" w:sz="6" w:space="0"/>
            </w:tcBorders>
            <w:vAlign w:val="center"/>
          </w:tcPr>
          <w:p w14:paraId="30A51985">
            <w:pPr>
              <w:adjustRightInd w:val="0"/>
              <w:jc w:val="center"/>
              <w:rPr>
                <w:rFonts w:ascii="宋体" w:hAnsi="宋体" w:eastAsia="宋体"/>
                <w:sz w:val="24"/>
                <w:szCs w:val="24"/>
              </w:rPr>
            </w:pPr>
            <w:r>
              <w:rPr>
                <w:rFonts w:hint="eastAsia" w:ascii="宋体" w:hAnsi="宋体" w:eastAsia="宋体"/>
                <w:sz w:val="24"/>
                <w:szCs w:val="24"/>
              </w:rPr>
              <w:t>包装及净重</w:t>
            </w:r>
          </w:p>
        </w:tc>
        <w:tc>
          <w:tcPr>
            <w:tcW w:w="2268" w:type="dxa"/>
            <w:tcBorders>
              <w:top w:val="single" w:color="auto" w:sz="6" w:space="0"/>
              <w:left w:val="single" w:color="auto" w:sz="6" w:space="0"/>
              <w:bottom w:val="single" w:color="auto" w:sz="6" w:space="0"/>
              <w:right w:val="single" w:color="auto" w:sz="6" w:space="0"/>
            </w:tcBorders>
            <w:vAlign w:val="center"/>
          </w:tcPr>
          <w:p w14:paraId="73ECFBF2">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6" w:space="0"/>
              <w:right w:val="single" w:color="auto" w:sz="12" w:space="0"/>
            </w:tcBorders>
            <w:vAlign w:val="center"/>
          </w:tcPr>
          <w:p w14:paraId="202CDC98">
            <w:pPr>
              <w:adjustRightInd w:val="0"/>
              <w:jc w:val="center"/>
              <w:rPr>
                <w:rFonts w:ascii="宋体" w:hAnsi="宋体" w:eastAsia="宋体"/>
                <w:sz w:val="24"/>
                <w:szCs w:val="24"/>
              </w:rPr>
            </w:pPr>
          </w:p>
        </w:tc>
      </w:tr>
      <w:tr w14:paraId="4F42DE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2437" w:type="dxa"/>
            <w:tcBorders>
              <w:top w:val="single" w:color="auto" w:sz="6" w:space="0"/>
              <w:left w:val="single" w:color="auto" w:sz="12" w:space="0"/>
              <w:bottom w:val="single" w:color="auto" w:sz="12" w:space="0"/>
              <w:right w:val="single" w:color="auto" w:sz="6" w:space="0"/>
            </w:tcBorders>
            <w:vAlign w:val="center"/>
          </w:tcPr>
          <w:p w14:paraId="5DC5FAAC">
            <w:pPr>
              <w:adjustRightInd w:val="0"/>
              <w:jc w:val="center"/>
              <w:rPr>
                <w:rFonts w:ascii="宋体" w:hAnsi="宋体" w:eastAsia="宋体"/>
                <w:sz w:val="24"/>
                <w:szCs w:val="24"/>
              </w:rPr>
            </w:pPr>
            <w:r>
              <w:rPr>
                <w:rFonts w:hint="eastAsia" w:ascii="宋体" w:hAnsi="宋体" w:eastAsia="宋体"/>
                <w:sz w:val="24"/>
                <w:szCs w:val="24"/>
              </w:rPr>
              <w:t>其他指标</w:t>
            </w:r>
          </w:p>
        </w:tc>
        <w:tc>
          <w:tcPr>
            <w:tcW w:w="2268" w:type="dxa"/>
            <w:tcBorders>
              <w:top w:val="single" w:color="auto" w:sz="6" w:space="0"/>
              <w:left w:val="single" w:color="auto" w:sz="6" w:space="0"/>
              <w:bottom w:val="single" w:color="auto" w:sz="12" w:space="0"/>
              <w:right w:val="single" w:color="auto" w:sz="6" w:space="0"/>
            </w:tcBorders>
            <w:vAlign w:val="center"/>
          </w:tcPr>
          <w:p w14:paraId="44F33C60">
            <w:pPr>
              <w:adjustRightInd w:val="0"/>
              <w:jc w:val="center"/>
              <w:rPr>
                <w:rFonts w:ascii="宋体" w:hAnsi="宋体" w:eastAsia="宋体"/>
                <w:sz w:val="24"/>
                <w:szCs w:val="24"/>
              </w:rPr>
            </w:pPr>
          </w:p>
        </w:tc>
        <w:tc>
          <w:tcPr>
            <w:tcW w:w="2552" w:type="dxa"/>
            <w:tcBorders>
              <w:top w:val="single" w:color="auto" w:sz="6" w:space="0"/>
              <w:left w:val="single" w:color="auto" w:sz="6" w:space="0"/>
              <w:bottom w:val="single" w:color="auto" w:sz="12" w:space="0"/>
              <w:right w:val="single" w:color="auto" w:sz="12" w:space="0"/>
            </w:tcBorders>
            <w:vAlign w:val="center"/>
          </w:tcPr>
          <w:p w14:paraId="3B8B2724">
            <w:pPr>
              <w:adjustRightInd w:val="0"/>
              <w:jc w:val="center"/>
              <w:rPr>
                <w:rFonts w:ascii="宋体" w:hAnsi="宋体" w:eastAsia="宋体"/>
                <w:sz w:val="24"/>
                <w:szCs w:val="24"/>
              </w:rPr>
            </w:pPr>
          </w:p>
        </w:tc>
      </w:tr>
    </w:tbl>
    <w:p w14:paraId="41A67641">
      <w:pPr>
        <w:spacing w:line="360" w:lineRule="auto"/>
        <w:rPr>
          <w:rFonts w:ascii="宋体" w:hAnsi="宋体" w:eastAsia="宋体"/>
          <w:sz w:val="24"/>
          <w:szCs w:val="24"/>
        </w:rPr>
      </w:pPr>
      <w:r>
        <w:rPr>
          <w:rFonts w:hint="eastAsia" w:ascii="宋体" w:hAnsi="宋体" w:eastAsia="宋体"/>
          <w:sz w:val="24"/>
          <w:szCs w:val="24"/>
        </w:rPr>
        <w:t>注：</w:t>
      </w:r>
    </w:p>
    <w:p w14:paraId="50DA3355">
      <w:pPr>
        <w:numPr>
          <w:ilvl w:val="0"/>
          <w:numId w:val="3"/>
        </w:numPr>
        <w:spacing w:line="360" w:lineRule="auto"/>
        <w:rPr>
          <w:rFonts w:ascii="宋体" w:hAnsi="宋体" w:eastAsia="宋体"/>
          <w:sz w:val="24"/>
          <w:szCs w:val="24"/>
        </w:rPr>
      </w:pPr>
      <w:r>
        <w:rPr>
          <w:rFonts w:hint="eastAsia" w:ascii="宋体" w:hAnsi="宋体" w:eastAsia="宋体"/>
          <w:sz w:val="24"/>
          <w:szCs w:val="24"/>
        </w:rPr>
        <w:t>以上表格中所列各项技术指标为报价人对其提供的药品的技术指标承诺，报价人必须给出这些指标的检测方法。</w:t>
      </w:r>
    </w:p>
    <w:p w14:paraId="586F8C80">
      <w:pPr>
        <w:numPr>
          <w:ilvl w:val="0"/>
          <w:numId w:val="3"/>
        </w:numPr>
        <w:spacing w:line="360" w:lineRule="auto"/>
        <w:rPr>
          <w:rFonts w:ascii="宋体" w:hAnsi="宋体" w:eastAsia="宋体"/>
          <w:sz w:val="24"/>
          <w:szCs w:val="24"/>
        </w:rPr>
      </w:pPr>
      <w:r>
        <w:rPr>
          <w:rFonts w:hint="eastAsia" w:ascii="宋体" w:hAnsi="宋体" w:eastAsia="宋体"/>
          <w:sz w:val="24"/>
          <w:szCs w:val="24"/>
        </w:rPr>
        <w:t>报价人若有权威第三方检测机构做的相应检测报告，应体现在报价文件中，以供采购人参考。</w:t>
      </w:r>
    </w:p>
    <w:p w14:paraId="6840F76B">
      <w:pPr>
        <w:numPr>
          <w:ilvl w:val="0"/>
          <w:numId w:val="3"/>
        </w:numPr>
        <w:spacing w:line="360" w:lineRule="auto"/>
        <w:rPr>
          <w:rFonts w:ascii="宋体" w:hAnsi="宋体" w:eastAsia="宋体"/>
          <w:sz w:val="24"/>
          <w:szCs w:val="24"/>
        </w:rPr>
      </w:pPr>
      <w:r>
        <w:rPr>
          <w:rFonts w:hint="eastAsia" w:ascii="宋体" w:hAnsi="宋体" w:eastAsia="宋体"/>
          <w:sz w:val="24"/>
          <w:szCs w:val="24"/>
        </w:rPr>
        <w:t>报价人中标后，采购人有权将报价人提供的药品样品委托第三方权威机构对其承诺指标进行复核，并以复核指标和承诺指标中较优的指标作为采购人在合同签订后，对报价人所提供的药品进行到货验收、定期或不定期抽检的技术指标考核依据。</w:t>
      </w:r>
    </w:p>
    <w:p w14:paraId="69B93DCC">
      <w:pPr>
        <w:numPr>
          <w:ilvl w:val="0"/>
          <w:numId w:val="3"/>
        </w:numPr>
        <w:spacing w:line="360" w:lineRule="auto"/>
        <w:rPr>
          <w:rFonts w:ascii="宋体" w:hAnsi="宋体" w:eastAsia="宋体"/>
          <w:sz w:val="24"/>
          <w:szCs w:val="24"/>
        </w:rPr>
      </w:pPr>
      <w:r>
        <w:rPr>
          <w:rFonts w:hint="eastAsia" w:ascii="宋体" w:hAnsi="宋体" w:eastAsia="宋体"/>
          <w:sz w:val="24"/>
          <w:szCs w:val="24"/>
        </w:rPr>
        <w:t>报价人实际供货药品的各技术指标的偏差不得超过技术指标考核依据的</w:t>
      </w:r>
      <w:r>
        <w:rPr>
          <w:rFonts w:ascii="宋体" w:hAnsi="宋体" w:eastAsia="宋体"/>
          <w:sz w:val="24"/>
          <w:szCs w:val="24"/>
        </w:rPr>
        <w:t>±1%</w:t>
      </w: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为指标值的偏差，如某指标应为＞</w:t>
      </w:r>
      <w:r>
        <w:rPr>
          <w:rFonts w:ascii="宋体" w:hAnsi="宋体" w:eastAsia="宋体"/>
          <w:sz w:val="24"/>
          <w:szCs w:val="24"/>
        </w:rPr>
        <w:t>10%</w:t>
      </w:r>
      <w:r>
        <w:rPr>
          <w:rFonts w:hint="eastAsia" w:ascii="宋体" w:hAnsi="宋体" w:eastAsia="宋体"/>
          <w:sz w:val="24"/>
          <w:szCs w:val="24"/>
        </w:rPr>
        <w:t>，则实际供货药品的此指标值不得低于</w:t>
      </w:r>
      <w:r>
        <w:rPr>
          <w:rFonts w:ascii="宋体" w:hAnsi="宋体" w:eastAsia="宋体"/>
          <w:sz w:val="24"/>
          <w:szCs w:val="24"/>
        </w:rPr>
        <w:t>9.9%</w:t>
      </w:r>
      <w:r>
        <w:rPr>
          <w:rFonts w:hint="eastAsia" w:ascii="宋体" w:hAnsi="宋体" w:eastAsia="宋体"/>
          <w:sz w:val="24"/>
          <w:szCs w:val="24"/>
        </w:rPr>
        <w:t>。若实际指标不符合要求，则判定为此批药品质量不合格，惩罚条例详见</w:t>
      </w:r>
      <w:r>
        <w:rPr>
          <w:rFonts w:ascii="宋体" w:hAnsi="宋体" w:eastAsia="宋体"/>
          <w:sz w:val="24"/>
          <w:szCs w:val="24"/>
        </w:rPr>
        <w:t>5.6</w:t>
      </w:r>
      <w:r>
        <w:rPr>
          <w:rFonts w:hint="eastAsia" w:ascii="宋体" w:hAnsi="宋体" w:eastAsia="宋体"/>
          <w:sz w:val="24"/>
          <w:szCs w:val="24"/>
        </w:rPr>
        <w:t>。）</w:t>
      </w:r>
    </w:p>
    <w:p w14:paraId="3B9A5883">
      <w:pPr>
        <w:spacing w:line="360" w:lineRule="auto"/>
        <w:ind w:firstLine="420"/>
        <w:rPr>
          <w:rFonts w:ascii="宋体" w:hAnsi="宋体" w:eastAsia="宋体"/>
          <w:sz w:val="24"/>
          <w:szCs w:val="24"/>
        </w:rPr>
      </w:pPr>
    </w:p>
    <w:p w14:paraId="5E65A729">
      <w:pPr>
        <w:pStyle w:val="33"/>
        <w:spacing w:before="120" w:after="120" w:line="440" w:lineRule="atLeast"/>
        <w:rPr>
          <w:rFonts w:eastAsia="宋体"/>
          <w:sz w:val="24"/>
          <w:szCs w:val="24"/>
        </w:rPr>
      </w:pPr>
      <w:bookmarkStart w:id="25" w:name="_Toc527917819"/>
      <w:bookmarkStart w:id="26" w:name="_Toc194215953"/>
      <w:bookmarkStart w:id="27" w:name="_Toc1048252"/>
      <w:r>
        <w:rPr>
          <w:rFonts w:hint="eastAsia" w:eastAsia="宋体"/>
          <w:sz w:val="24"/>
          <w:szCs w:val="24"/>
        </w:rPr>
        <w:t>附件2供货范围</w:t>
      </w:r>
      <w:bookmarkEnd w:id="25"/>
      <w:bookmarkEnd w:id="26"/>
      <w:bookmarkEnd w:id="27"/>
    </w:p>
    <w:p w14:paraId="56CDC6AD">
      <w:pPr>
        <w:pStyle w:val="29"/>
        <w:numPr>
          <w:ilvl w:val="0"/>
          <w:numId w:val="4"/>
        </w:numPr>
        <w:spacing w:line="440" w:lineRule="atLeast"/>
        <w:outlineLvl w:val="1"/>
        <w:rPr>
          <w:rFonts w:ascii="宋体" w:hAnsi="宋体"/>
          <w:sz w:val="24"/>
          <w:szCs w:val="24"/>
        </w:rPr>
      </w:pPr>
      <w:bookmarkStart w:id="28" w:name="_Toc216232476"/>
      <w:bookmarkStart w:id="29" w:name="_Toc399149782"/>
      <w:bookmarkStart w:id="30" w:name="_Toc527917820"/>
      <w:r>
        <w:rPr>
          <w:rFonts w:hint="eastAsia" w:ascii="宋体" w:hAnsi="宋体"/>
          <w:sz w:val="24"/>
          <w:szCs w:val="24"/>
        </w:rPr>
        <w:t>一般要求</w:t>
      </w:r>
      <w:bookmarkEnd w:id="28"/>
      <w:bookmarkEnd w:id="29"/>
      <w:bookmarkEnd w:id="30"/>
    </w:p>
    <w:p w14:paraId="40CACDAA">
      <w:pPr>
        <w:spacing w:line="360" w:lineRule="auto"/>
        <w:rPr>
          <w:rFonts w:ascii="宋体" w:hAnsi="宋体" w:eastAsia="宋体"/>
          <w:sz w:val="24"/>
          <w:szCs w:val="24"/>
        </w:rPr>
      </w:pPr>
      <w:bookmarkStart w:id="31" w:name="_Toc515706964"/>
      <w:bookmarkStart w:id="32" w:name="_Toc527917821"/>
      <w:bookmarkStart w:id="33" w:name="_Toc216232477"/>
      <w:bookmarkStart w:id="34" w:name="_Toc399149783"/>
      <w:r>
        <w:rPr>
          <w:rFonts w:ascii="宋体" w:hAnsi="宋体" w:eastAsia="宋体"/>
          <w:sz w:val="24"/>
          <w:szCs w:val="24"/>
        </w:rPr>
        <w:t>1.1</w:t>
      </w:r>
      <w:r>
        <w:rPr>
          <w:rFonts w:hint="eastAsia" w:ascii="宋体" w:hAnsi="宋体" w:eastAsia="宋体"/>
          <w:sz w:val="24"/>
          <w:szCs w:val="24"/>
        </w:rPr>
        <w:t>本规范规定了产品的供货范围，报价人保证提供产品为完整的、先进的、成熟的和安全可靠的，且产品的技术经济性能符合本规范的要求。</w:t>
      </w:r>
    </w:p>
    <w:p w14:paraId="60BDCA45">
      <w:pPr>
        <w:spacing w:line="360" w:lineRule="auto"/>
        <w:rPr>
          <w:rFonts w:ascii="宋体" w:hAnsi="宋体" w:eastAsia="宋体"/>
          <w:sz w:val="24"/>
          <w:szCs w:val="24"/>
        </w:rPr>
      </w:pPr>
      <w:r>
        <w:rPr>
          <w:rFonts w:ascii="宋体" w:hAnsi="宋体" w:eastAsia="宋体"/>
          <w:sz w:val="24"/>
          <w:szCs w:val="24"/>
        </w:rPr>
        <w:t>1.2</w:t>
      </w:r>
      <w:r>
        <w:rPr>
          <w:rFonts w:hint="eastAsia" w:ascii="宋体" w:hAnsi="宋体" w:eastAsia="宋体"/>
          <w:sz w:val="24"/>
          <w:szCs w:val="24"/>
        </w:rPr>
        <w:t>报价人应保证无论采购人要求送货数量多或少，都应在接到采购人送货通知</w:t>
      </w:r>
      <w:r>
        <w:rPr>
          <w:rFonts w:ascii="宋体" w:hAnsi="宋体" w:eastAsia="宋体"/>
          <w:sz w:val="24"/>
          <w:szCs w:val="24"/>
        </w:rPr>
        <w:t>10</w:t>
      </w:r>
      <w:r>
        <w:rPr>
          <w:rFonts w:hint="eastAsia" w:ascii="宋体" w:hAnsi="宋体" w:eastAsia="宋体"/>
          <w:sz w:val="24"/>
          <w:szCs w:val="24"/>
        </w:rPr>
        <w:t>天内（含通知当日）或按照采购人要求的到货时间，及时有效地提供产品。</w:t>
      </w:r>
    </w:p>
    <w:p w14:paraId="0E81DBE7">
      <w:pPr>
        <w:spacing w:line="360" w:lineRule="auto"/>
        <w:rPr>
          <w:rFonts w:ascii="宋体" w:hAnsi="宋体" w:eastAsia="宋体"/>
          <w:sz w:val="24"/>
          <w:szCs w:val="24"/>
        </w:rPr>
      </w:pPr>
      <w:r>
        <w:rPr>
          <w:rFonts w:ascii="宋体" w:hAnsi="宋体" w:eastAsia="宋体"/>
          <w:sz w:val="24"/>
          <w:szCs w:val="24"/>
        </w:rPr>
        <w:t>1.3</w:t>
      </w:r>
      <w:r>
        <w:rPr>
          <w:rFonts w:hint="eastAsia" w:ascii="宋体" w:hAnsi="宋体" w:eastAsia="宋体"/>
          <w:sz w:val="24"/>
          <w:szCs w:val="24"/>
        </w:rPr>
        <w:t>在采购人或用户提出用货需求时，报价人应在发货前通知采购人到现场进行抽样检测，经采购人确认同意后才可发货。</w:t>
      </w:r>
    </w:p>
    <w:p w14:paraId="3E99389A">
      <w:pPr>
        <w:spacing w:line="360" w:lineRule="auto"/>
        <w:rPr>
          <w:rFonts w:ascii="宋体" w:hAnsi="宋体" w:eastAsia="宋体"/>
          <w:sz w:val="24"/>
          <w:szCs w:val="24"/>
        </w:rPr>
      </w:pPr>
      <w:r>
        <w:rPr>
          <w:rFonts w:ascii="宋体" w:hAnsi="宋体" w:eastAsia="宋体"/>
          <w:sz w:val="24"/>
          <w:szCs w:val="24"/>
        </w:rPr>
        <w:t>1.4</w:t>
      </w:r>
      <w:r>
        <w:rPr>
          <w:rFonts w:hint="eastAsia" w:ascii="宋体" w:hAnsi="宋体" w:eastAsia="宋体"/>
          <w:sz w:val="24"/>
          <w:szCs w:val="24"/>
        </w:rPr>
        <w:t>报价人应在每批产品供货时向用户提供详细供货清单，清单上清楚标明</w:t>
      </w:r>
      <w:r>
        <w:rPr>
          <w:rFonts w:ascii="宋体" w:hAnsi="宋体" w:eastAsia="宋体"/>
          <w:b/>
          <w:sz w:val="24"/>
          <w:szCs w:val="24"/>
        </w:rPr>
        <w:t>“受浙江</w:t>
      </w:r>
      <w:r>
        <w:rPr>
          <w:rFonts w:hint="eastAsia" w:ascii="宋体" w:hAnsi="宋体" w:eastAsia="宋体"/>
          <w:b/>
          <w:sz w:val="24"/>
          <w:szCs w:val="24"/>
        </w:rPr>
        <w:t>天虹物资贸易</w:t>
      </w:r>
      <w:r>
        <w:rPr>
          <w:rFonts w:ascii="宋体" w:hAnsi="宋体" w:eastAsia="宋体"/>
          <w:b/>
          <w:sz w:val="24"/>
          <w:szCs w:val="24"/>
        </w:rPr>
        <w:t>有限公司</w:t>
      </w:r>
      <w:r>
        <w:rPr>
          <w:rFonts w:hint="eastAsia" w:ascii="宋体" w:hAnsi="宋体" w:eastAsia="宋体"/>
          <w:b/>
          <w:sz w:val="24"/>
          <w:szCs w:val="24"/>
        </w:rPr>
        <w:t>或浙江浙能物流有限公司</w:t>
      </w:r>
      <w:r>
        <w:rPr>
          <w:rFonts w:ascii="宋体" w:hAnsi="宋体" w:eastAsia="宋体"/>
          <w:b/>
          <w:sz w:val="24"/>
          <w:szCs w:val="24"/>
        </w:rPr>
        <w:t>委托发货”</w:t>
      </w:r>
      <w:r>
        <w:rPr>
          <w:rFonts w:hint="eastAsia" w:ascii="宋体" w:hAnsi="宋体" w:eastAsia="宋体"/>
          <w:sz w:val="24"/>
          <w:szCs w:val="24"/>
        </w:rPr>
        <w:t>，清单中依次说明生产企业名称、产品名称、型号、批号或生产日期、执行标准、单包装净重和供货数量等，另附出厂质检报告、产品合格证。进口产品必须提供报关单，及原产地证明。</w:t>
      </w:r>
    </w:p>
    <w:p w14:paraId="46ABE5AE">
      <w:pPr>
        <w:pStyle w:val="29"/>
        <w:numPr>
          <w:ilvl w:val="0"/>
          <w:numId w:val="4"/>
        </w:numPr>
        <w:spacing w:line="440" w:lineRule="atLeast"/>
        <w:outlineLvl w:val="1"/>
        <w:rPr>
          <w:rFonts w:ascii="宋体" w:hAnsi="宋体"/>
          <w:sz w:val="24"/>
          <w:szCs w:val="24"/>
        </w:rPr>
      </w:pPr>
      <w:r>
        <w:rPr>
          <w:rFonts w:hint="eastAsia" w:ascii="宋体" w:hAnsi="宋体"/>
          <w:sz w:val="24"/>
          <w:szCs w:val="24"/>
        </w:rPr>
        <w:t>供货范围</w:t>
      </w:r>
      <w:bookmarkEnd w:id="31"/>
      <w:bookmarkEnd w:id="32"/>
      <w:bookmarkEnd w:id="33"/>
      <w:bookmarkEnd w:id="34"/>
    </w:p>
    <w:p w14:paraId="51FA9E35">
      <w:pPr>
        <w:spacing w:line="360" w:lineRule="auto"/>
        <w:rPr>
          <w:rFonts w:ascii="宋体" w:hAnsi="宋体" w:eastAsia="宋体"/>
          <w:sz w:val="24"/>
          <w:szCs w:val="24"/>
        </w:rPr>
      </w:pPr>
      <w:bookmarkStart w:id="35" w:name="_Toc399149784"/>
      <w:bookmarkStart w:id="36" w:name="_Toc527917822"/>
      <w:bookmarkStart w:id="37" w:name="_Toc528448515"/>
      <w:r>
        <w:rPr>
          <w:rFonts w:ascii="宋体" w:hAnsi="宋体" w:eastAsia="宋体"/>
          <w:sz w:val="24"/>
          <w:szCs w:val="24"/>
        </w:rPr>
        <w:t>2.1</w:t>
      </w:r>
      <w:r>
        <w:rPr>
          <w:rFonts w:hint="eastAsia" w:ascii="宋体" w:hAnsi="宋体" w:eastAsia="宋体"/>
          <w:sz w:val="24"/>
          <w:szCs w:val="24"/>
        </w:rPr>
        <w:t>物资名称及规格如下：</w:t>
      </w:r>
    </w:p>
    <w:p w14:paraId="4BE3B9B7">
      <w:pPr>
        <w:spacing w:line="360" w:lineRule="auto"/>
        <w:jc w:val="center"/>
        <w:rPr>
          <w:rFonts w:ascii="宋体" w:hAnsi="宋体" w:eastAsia="宋体"/>
          <w:sz w:val="24"/>
          <w:szCs w:val="24"/>
        </w:rPr>
      </w:pPr>
      <w:r>
        <w:rPr>
          <w:rFonts w:hint="eastAsia" w:ascii="宋体" w:hAnsi="宋体" w:eastAsia="宋体"/>
          <w:sz w:val="24"/>
          <w:szCs w:val="24"/>
        </w:rPr>
        <w:t>表</w:t>
      </w:r>
      <w:r>
        <w:rPr>
          <w:rFonts w:ascii="宋体" w:hAnsi="宋体" w:eastAsia="宋体"/>
          <w:sz w:val="24"/>
          <w:szCs w:val="24"/>
        </w:rPr>
        <w:t xml:space="preserve">4 </w:t>
      </w:r>
      <w:r>
        <w:rPr>
          <w:rFonts w:hint="eastAsia" w:ascii="宋体" w:hAnsi="宋体" w:eastAsia="宋体"/>
          <w:sz w:val="24"/>
          <w:szCs w:val="24"/>
        </w:rPr>
        <w:t>供货范围（</w:t>
      </w:r>
      <w:r>
        <w:rPr>
          <w:rFonts w:ascii="宋体" w:hAnsi="宋体" w:eastAsia="宋体"/>
          <w:sz w:val="24"/>
          <w:szCs w:val="24"/>
        </w:rPr>
        <w:t>2</w:t>
      </w:r>
      <w:r>
        <w:rPr>
          <w:rFonts w:hint="eastAsia" w:ascii="宋体" w:hAnsi="宋体" w:eastAsia="宋体"/>
          <w:sz w:val="24"/>
          <w:szCs w:val="24"/>
        </w:rPr>
        <w:t>年使用量）</w:t>
      </w:r>
    </w:p>
    <w:p w14:paraId="6E3CBFA9">
      <w:pPr>
        <w:spacing w:line="360" w:lineRule="auto"/>
        <w:rPr>
          <w:rFonts w:ascii="宋体" w:hAnsi="宋体" w:eastAsia="宋体"/>
          <w:sz w:val="24"/>
          <w:szCs w:val="24"/>
        </w:rPr>
      </w:pPr>
      <w:r>
        <w:rPr>
          <w:rFonts w:hint="eastAsia" w:ascii="宋体" w:hAnsi="宋体" w:eastAsia="宋体"/>
          <w:sz w:val="24"/>
          <w:szCs w:val="24"/>
        </w:rPr>
        <w:t>（要按各系统所需药剂型号填写，因</w:t>
      </w:r>
      <w:r>
        <w:rPr>
          <w:rFonts w:ascii="宋体" w:hAnsi="宋体" w:eastAsia="宋体"/>
          <w:sz w:val="24"/>
          <w:szCs w:val="24"/>
        </w:rPr>
        <w:t>4</w:t>
      </w:r>
      <w:r>
        <w:rPr>
          <w:rFonts w:hint="eastAsia" w:ascii="宋体" w:hAnsi="宋体" w:eastAsia="宋体"/>
          <w:sz w:val="24"/>
          <w:szCs w:val="24"/>
        </w:rPr>
        <w:t>个系统有可能不同）</w:t>
      </w:r>
    </w:p>
    <w:p w14:paraId="0F292B5F">
      <w:pPr>
        <w:spacing w:line="360" w:lineRule="auto"/>
        <w:rPr>
          <w:rFonts w:ascii="宋体" w:hAnsi="宋体" w:eastAsia="宋体"/>
          <w:sz w:val="24"/>
          <w:szCs w:val="24"/>
        </w:rPr>
      </w:pPr>
    </w:p>
    <w:tbl>
      <w:tblPr>
        <w:tblStyle w:val="14"/>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865"/>
        <w:gridCol w:w="1110"/>
        <w:gridCol w:w="790"/>
        <w:gridCol w:w="830"/>
        <w:gridCol w:w="709"/>
        <w:gridCol w:w="568"/>
        <w:gridCol w:w="568"/>
        <w:gridCol w:w="568"/>
        <w:gridCol w:w="853"/>
        <w:gridCol w:w="848"/>
        <w:gridCol w:w="564"/>
      </w:tblGrid>
      <w:tr w14:paraId="391A2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tcBorders>
              <w:top w:val="single" w:color="auto" w:sz="4" w:space="0"/>
              <w:left w:val="single" w:color="auto" w:sz="4" w:space="0"/>
              <w:bottom w:val="single" w:color="auto" w:sz="4" w:space="0"/>
              <w:right w:val="single" w:color="auto" w:sz="4" w:space="0"/>
            </w:tcBorders>
            <w:vAlign w:val="center"/>
          </w:tcPr>
          <w:p w14:paraId="537EF09B">
            <w:pPr>
              <w:spacing w:line="360" w:lineRule="auto"/>
              <w:jc w:val="center"/>
              <w:rPr>
                <w:b/>
                <w:bCs/>
                <w:szCs w:val="21"/>
              </w:rPr>
            </w:pPr>
            <w:r>
              <w:rPr>
                <w:rFonts w:hint="eastAsia"/>
                <w:b/>
                <w:bCs/>
                <w:szCs w:val="21"/>
              </w:rPr>
              <w:t>序号</w:t>
            </w:r>
          </w:p>
        </w:tc>
        <w:tc>
          <w:tcPr>
            <w:tcW w:w="865" w:type="dxa"/>
            <w:tcBorders>
              <w:top w:val="single" w:color="auto" w:sz="4" w:space="0"/>
              <w:left w:val="single" w:color="auto" w:sz="4" w:space="0"/>
              <w:bottom w:val="single" w:color="auto" w:sz="4" w:space="0"/>
              <w:right w:val="single" w:color="auto" w:sz="4" w:space="0"/>
            </w:tcBorders>
            <w:vAlign w:val="center"/>
          </w:tcPr>
          <w:p w14:paraId="1CAEF01E">
            <w:pPr>
              <w:spacing w:line="360" w:lineRule="auto"/>
              <w:jc w:val="center"/>
              <w:rPr>
                <w:b/>
                <w:bCs/>
                <w:szCs w:val="21"/>
              </w:rPr>
            </w:pPr>
            <w:r>
              <w:rPr>
                <w:rFonts w:hint="eastAsia"/>
                <w:b/>
                <w:bCs/>
                <w:szCs w:val="21"/>
              </w:rPr>
              <w:t>名称</w:t>
            </w:r>
          </w:p>
        </w:tc>
        <w:tc>
          <w:tcPr>
            <w:tcW w:w="1110" w:type="dxa"/>
            <w:tcBorders>
              <w:top w:val="single" w:color="auto" w:sz="4" w:space="0"/>
              <w:left w:val="single" w:color="auto" w:sz="4" w:space="0"/>
              <w:bottom w:val="single" w:color="auto" w:sz="4" w:space="0"/>
              <w:right w:val="single" w:color="auto" w:sz="4" w:space="0"/>
            </w:tcBorders>
            <w:vAlign w:val="center"/>
          </w:tcPr>
          <w:p w14:paraId="6767D425">
            <w:pPr>
              <w:spacing w:line="360" w:lineRule="auto"/>
              <w:jc w:val="center"/>
              <w:rPr>
                <w:b/>
                <w:bCs/>
                <w:szCs w:val="21"/>
              </w:rPr>
            </w:pPr>
            <w:r>
              <w:rPr>
                <w:rFonts w:hint="eastAsia"/>
                <w:b/>
                <w:bCs/>
                <w:szCs w:val="21"/>
              </w:rPr>
              <w:t>使用单位</w:t>
            </w:r>
          </w:p>
        </w:tc>
        <w:tc>
          <w:tcPr>
            <w:tcW w:w="790" w:type="dxa"/>
            <w:tcBorders>
              <w:top w:val="single" w:color="auto" w:sz="4" w:space="0"/>
              <w:left w:val="single" w:color="auto" w:sz="4" w:space="0"/>
              <w:bottom w:val="single" w:color="auto" w:sz="4" w:space="0"/>
              <w:right w:val="single" w:color="auto" w:sz="4" w:space="0"/>
            </w:tcBorders>
            <w:vAlign w:val="center"/>
          </w:tcPr>
          <w:p w14:paraId="694A3DF9">
            <w:pPr>
              <w:spacing w:line="360" w:lineRule="auto"/>
              <w:jc w:val="center"/>
              <w:rPr>
                <w:b/>
                <w:bCs/>
                <w:szCs w:val="21"/>
              </w:rPr>
            </w:pPr>
            <w:r>
              <w:rPr>
                <w:rFonts w:hint="eastAsia"/>
                <w:b/>
                <w:bCs/>
                <w:szCs w:val="21"/>
              </w:rPr>
              <w:t>品牌/型号</w:t>
            </w:r>
          </w:p>
        </w:tc>
        <w:tc>
          <w:tcPr>
            <w:tcW w:w="830" w:type="dxa"/>
            <w:tcBorders>
              <w:top w:val="single" w:color="auto" w:sz="4" w:space="0"/>
              <w:left w:val="single" w:color="auto" w:sz="4" w:space="0"/>
              <w:bottom w:val="single" w:color="auto" w:sz="4" w:space="0"/>
              <w:right w:val="single" w:color="auto" w:sz="4" w:space="0"/>
            </w:tcBorders>
            <w:vAlign w:val="center"/>
          </w:tcPr>
          <w:p w14:paraId="05A21617">
            <w:pPr>
              <w:spacing w:line="360" w:lineRule="auto"/>
              <w:jc w:val="center"/>
              <w:rPr>
                <w:b/>
                <w:bCs/>
                <w:szCs w:val="21"/>
              </w:rPr>
            </w:pPr>
            <w:r>
              <w:rPr>
                <w:rFonts w:hint="eastAsia"/>
                <w:b/>
                <w:bCs/>
                <w:szCs w:val="21"/>
              </w:rPr>
              <w:t>标准液或浓缩液</w:t>
            </w:r>
          </w:p>
        </w:tc>
        <w:tc>
          <w:tcPr>
            <w:tcW w:w="709" w:type="dxa"/>
            <w:tcBorders>
              <w:top w:val="single" w:color="auto" w:sz="4" w:space="0"/>
              <w:left w:val="single" w:color="auto" w:sz="4" w:space="0"/>
              <w:bottom w:val="single" w:color="auto" w:sz="4" w:space="0"/>
              <w:right w:val="single" w:color="auto" w:sz="4" w:space="0"/>
            </w:tcBorders>
            <w:vAlign w:val="center"/>
          </w:tcPr>
          <w:p w14:paraId="17425702">
            <w:pPr>
              <w:spacing w:line="360" w:lineRule="auto"/>
              <w:jc w:val="center"/>
              <w:rPr>
                <w:b/>
                <w:bCs/>
                <w:szCs w:val="21"/>
              </w:rPr>
            </w:pPr>
            <w:r>
              <w:rPr>
                <w:rFonts w:hint="eastAsia"/>
                <w:b/>
                <w:bCs/>
                <w:szCs w:val="21"/>
              </w:rPr>
              <w:t>包装规格</w:t>
            </w:r>
          </w:p>
        </w:tc>
        <w:tc>
          <w:tcPr>
            <w:tcW w:w="568" w:type="dxa"/>
            <w:tcBorders>
              <w:top w:val="single" w:color="auto" w:sz="4" w:space="0"/>
              <w:left w:val="single" w:color="auto" w:sz="4" w:space="0"/>
              <w:bottom w:val="single" w:color="auto" w:sz="4" w:space="0"/>
              <w:right w:val="single" w:color="auto" w:sz="4" w:space="0"/>
            </w:tcBorders>
            <w:vAlign w:val="center"/>
          </w:tcPr>
          <w:p w14:paraId="4B0B626B">
            <w:pPr>
              <w:spacing w:line="360" w:lineRule="auto"/>
              <w:jc w:val="center"/>
              <w:rPr>
                <w:b/>
                <w:bCs/>
                <w:szCs w:val="21"/>
              </w:rPr>
            </w:pPr>
            <w:r>
              <w:rPr>
                <w:rFonts w:hint="eastAsia"/>
                <w:b/>
                <w:bCs/>
                <w:szCs w:val="21"/>
              </w:rPr>
              <w:t>计量单位</w:t>
            </w:r>
          </w:p>
        </w:tc>
        <w:tc>
          <w:tcPr>
            <w:tcW w:w="568" w:type="dxa"/>
            <w:tcBorders>
              <w:top w:val="single" w:color="auto" w:sz="4" w:space="0"/>
              <w:left w:val="single" w:color="auto" w:sz="4" w:space="0"/>
              <w:bottom w:val="single" w:color="auto" w:sz="4" w:space="0"/>
              <w:right w:val="single" w:color="auto" w:sz="4" w:space="0"/>
            </w:tcBorders>
            <w:vAlign w:val="center"/>
          </w:tcPr>
          <w:p w14:paraId="09CB854A">
            <w:pPr>
              <w:spacing w:line="360" w:lineRule="auto"/>
              <w:jc w:val="center"/>
              <w:rPr>
                <w:b/>
                <w:bCs/>
                <w:szCs w:val="21"/>
              </w:rPr>
            </w:pPr>
            <w:r>
              <w:rPr>
                <w:rFonts w:hint="eastAsia"/>
                <w:b/>
                <w:bCs/>
                <w:szCs w:val="21"/>
              </w:rPr>
              <w:t>二年用药量</w:t>
            </w:r>
          </w:p>
        </w:tc>
        <w:tc>
          <w:tcPr>
            <w:tcW w:w="568" w:type="dxa"/>
            <w:tcBorders>
              <w:top w:val="single" w:color="auto" w:sz="4" w:space="0"/>
              <w:left w:val="single" w:color="auto" w:sz="4" w:space="0"/>
              <w:bottom w:val="single" w:color="auto" w:sz="4" w:space="0"/>
              <w:right w:val="single" w:color="auto" w:sz="4" w:space="0"/>
            </w:tcBorders>
            <w:vAlign w:val="center"/>
          </w:tcPr>
          <w:p w14:paraId="7FB9ECB9">
            <w:pPr>
              <w:spacing w:line="360" w:lineRule="auto"/>
              <w:jc w:val="center"/>
              <w:rPr>
                <w:b/>
                <w:bCs/>
                <w:szCs w:val="21"/>
              </w:rPr>
            </w:pPr>
            <w:r>
              <w:rPr>
                <w:rFonts w:hint="eastAsia"/>
                <w:b/>
                <w:bCs/>
                <w:szCs w:val="21"/>
              </w:rPr>
              <w:t>生产厂家</w:t>
            </w:r>
          </w:p>
        </w:tc>
        <w:tc>
          <w:tcPr>
            <w:tcW w:w="853" w:type="dxa"/>
            <w:tcBorders>
              <w:top w:val="single" w:color="auto" w:sz="4" w:space="0"/>
              <w:left w:val="single" w:color="auto" w:sz="4" w:space="0"/>
              <w:bottom w:val="single" w:color="auto" w:sz="4" w:space="0"/>
              <w:right w:val="single" w:color="auto" w:sz="4" w:space="0"/>
            </w:tcBorders>
            <w:vAlign w:val="center"/>
          </w:tcPr>
          <w:p w14:paraId="01A14143">
            <w:pPr>
              <w:spacing w:line="360" w:lineRule="auto"/>
              <w:jc w:val="center"/>
              <w:rPr>
                <w:b/>
                <w:bCs/>
                <w:szCs w:val="21"/>
              </w:rPr>
            </w:pPr>
            <w:r>
              <w:rPr>
                <w:rFonts w:hint="eastAsia"/>
                <w:b/>
                <w:bCs/>
                <w:szCs w:val="21"/>
              </w:rPr>
              <w:t>设计吨水综合成本（元/吨水）</w:t>
            </w:r>
          </w:p>
        </w:tc>
        <w:tc>
          <w:tcPr>
            <w:tcW w:w="848" w:type="dxa"/>
            <w:tcBorders>
              <w:top w:val="single" w:color="auto" w:sz="4" w:space="0"/>
              <w:left w:val="single" w:color="auto" w:sz="4" w:space="0"/>
              <w:bottom w:val="single" w:color="auto" w:sz="4" w:space="0"/>
              <w:right w:val="single" w:color="auto" w:sz="4" w:space="0"/>
            </w:tcBorders>
            <w:vAlign w:val="center"/>
          </w:tcPr>
          <w:p w14:paraId="7F5D07EF">
            <w:pPr>
              <w:spacing w:line="360" w:lineRule="auto"/>
              <w:jc w:val="center"/>
              <w:rPr>
                <w:b/>
                <w:bCs/>
                <w:szCs w:val="21"/>
              </w:rPr>
            </w:pPr>
            <w:r>
              <w:rPr>
                <w:rFonts w:hint="eastAsia"/>
                <w:b/>
                <w:bCs/>
                <w:szCs w:val="21"/>
              </w:rPr>
              <w:t>设计二年总水量（万吨）</w:t>
            </w:r>
          </w:p>
        </w:tc>
        <w:tc>
          <w:tcPr>
            <w:tcW w:w="564" w:type="dxa"/>
            <w:tcBorders>
              <w:top w:val="single" w:color="auto" w:sz="4" w:space="0"/>
              <w:left w:val="single" w:color="auto" w:sz="4" w:space="0"/>
              <w:bottom w:val="single" w:color="auto" w:sz="4" w:space="0"/>
              <w:right w:val="single" w:color="auto" w:sz="4" w:space="0"/>
            </w:tcBorders>
            <w:vAlign w:val="center"/>
          </w:tcPr>
          <w:p w14:paraId="57B03EF9">
            <w:pPr>
              <w:spacing w:line="360" w:lineRule="auto"/>
              <w:jc w:val="center"/>
              <w:rPr>
                <w:b/>
                <w:bCs/>
                <w:szCs w:val="21"/>
              </w:rPr>
            </w:pPr>
            <w:r>
              <w:rPr>
                <w:rFonts w:hint="eastAsia" w:ascii="Arial" w:hAnsi="Arial" w:cs="Arial"/>
                <w:b/>
                <w:bCs/>
                <w:szCs w:val="24"/>
              </w:rPr>
              <w:t>投加频次</w:t>
            </w:r>
          </w:p>
        </w:tc>
      </w:tr>
      <w:tr w14:paraId="564B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tcBorders>
              <w:top w:val="single" w:color="auto" w:sz="4" w:space="0"/>
              <w:left w:val="single" w:color="auto" w:sz="4" w:space="0"/>
              <w:bottom w:val="single" w:color="auto" w:sz="4" w:space="0"/>
              <w:right w:val="single" w:color="auto" w:sz="4" w:space="0"/>
            </w:tcBorders>
            <w:vAlign w:val="center"/>
          </w:tcPr>
          <w:p w14:paraId="575B0AC9">
            <w:pPr>
              <w:spacing w:line="360" w:lineRule="auto"/>
              <w:jc w:val="center"/>
              <w:rPr>
                <w:b w:val="0"/>
                <w:bCs w:val="0"/>
                <w:szCs w:val="21"/>
              </w:rPr>
            </w:pPr>
            <w:r>
              <w:rPr>
                <w:rFonts w:hint="eastAsia"/>
                <w:b w:val="0"/>
                <w:bCs w:val="0"/>
                <w:szCs w:val="21"/>
              </w:rPr>
              <w:t>1</w:t>
            </w:r>
          </w:p>
        </w:tc>
        <w:tc>
          <w:tcPr>
            <w:tcW w:w="865" w:type="dxa"/>
            <w:tcBorders>
              <w:top w:val="single" w:color="auto" w:sz="4" w:space="0"/>
              <w:left w:val="single" w:color="auto" w:sz="4" w:space="0"/>
              <w:right w:val="single" w:color="auto" w:sz="4" w:space="0"/>
            </w:tcBorders>
            <w:vAlign w:val="center"/>
          </w:tcPr>
          <w:p w14:paraId="79994C6D">
            <w:pPr>
              <w:spacing w:line="360" w:lineRule="auto"/>
              <w:jc w:val="center"/>
              <w:rPr>
                <w:b w:val="0"/>
                <w:bCs w:val="0"/>
                <w:szCs w:val="21"/>
              </w:rPr>
            </w:pPr>
            <w:r>
              <w:rPr>
                <w:rFonts w:hint="eastAsia"/>
                <w:b w:val="0"/>
                <w:bCs w:val="0"/>
                <w:szCs w:val="21"/>
              </w:rPr>
              <w:t>反渗透阻垢剂（无磷）</w:t>
            </w:r>
          </w:p>
        </w:tc>
        <w:tc>
          <w:tcPr>
            <w:tcW w:w="1110" w:type="dxa"/>
            <w:tcBorders>
              <w:top w:val="single" w:color="auto" w:sz="4" w:space="0"/>
              <w:left w:val="single" w:color="auto" w:sz="4" w:space="0"/>
              <w:bottom w:val="single" w:color="auto" w:sz="4" w:space="0"/>
              <w:right w:val="single" w:color="auto" w:sz="4" w:space="0"/>
            </w:tcBorders>
            <w:vAlign w:val="center"/>
          </w:tcPr>
          <w:p w14:paraId="517B8289">
            <w:pPr>
              <w:spacing w:line="360" w:lineRule="auto"/>
              <w:jc w:val="center"/>
              <w:rPr>
                <w:b w:val="0"/>
                <w:bCs w:val="0"/>
                <w:szCs w:val="21"/>
              </w:rPr>
            </w:pPr>
            <w:r>
              <w:rPr>
                <w:rFonts w:hint="eastAsia"/>
                <w:b w:val="0"/>
                <w:bCs w:val="0"/>
                <w:szCs w:val="21"/>
              </w:rPr>
              <w:t>新天煤化工</w:t>
            </w:r>
          </w:p>
        </w:tc>
        <w:tc>
          <w:tcPr>
            <w:tcW w:w="790" w:type="dxa"/>
            <w:tcBorders>
              <w:top w:val="single" w:color="auto" w:sz="4" w:space="0"/>
              <w:left w:val="single" w:color="auto" w:sz="4" w:space="0"/>
              <w:bottom w:val="single" w:color="auto" w:sz="4" w:space="0"/>
              <w:right w:val="single" w:color="auto" w:sz="4" w:space="0"/>
            </w:tcBorders>
            <w:vAlign w:val="center"/>
          </w:tcPr>
          <w:p w14:paraId="4A3F1BFF">
            <w:pPr>
              <w:spacing w:line="360" w:lineRule="auto"/>
              <w:jc w:val="center"/>
              <w:rPr>
                <w:b w:val="0"/>
                <w:bCs w:val="0"/>
                <w:szCs w:val="21"/>
              </w:rPr>
            </w:pPr>
          </w:p>
        </w:tc>
        <w:tc>
          <w:tcPr>
            <w:tcW w:w="830" w:type="dxa"/>
            <w:tcBorders>
              <w:top w:val="single" w:color="auto" w:sz="4" w:space="0"/>
              <w:left w:val="single" w:color="auto" w:sz="4" w:space="0"/>
              <w:bottom w:val="single" w:color="auto" w:sz="4" w:space="0"/>
              <w:right w:val="single" w:color="auto" w:sz="4" w:space="0"/>
            </w:tcBorders>
            <w:vAlign w:val="center"/>
          </w:tcPr>
          <w:p w14:paraId="5D8ED442">
            <w:pPr>
              <w:spacing w:line="360" w:lineRule="auto"/>
              <w:jc w:val="center"/>
              <w:rPr>
                <w:rFonts w:hint="default" w:eastAsiaTheme="minorEastAsia"/>
                <w:b w:val="0"/>
                <w:bCs w:val="0"/>
                <w:szCs w:val="21"/>
                <w:lang w:val="en-US" w:eastAsia="zh-CN"/>
              </w:rPr>
            </w:pPr>
          </w:p>
        </w:tc>
        <w:tc>
          <w:tcPr>
            <w:tcW w:w="709" w:type="dxa"/>
            <w:tcBorders>
              <w:top w:val="single" w:color="auto" w:sz="4" w:space="0"/>
              <w:left w:val="single" w:color="auto" w:sz="4" w:space="0"/>
              <w:bottom w:val="single" w:color="auto" w:sz="4" w:space="0"/>
              <w:right w:val="single" w:color="auto" w:sz="4" w:space="0"/>
            </w:tcBorders>
            <w:vAlign w:val="center"/>
          </w:tcPr>
          <w:p w14:paraId="342E5F82">
            <w:pPr>
              <w:spacing w:line="360" w:lineRule="auto"/>
              <w:jc w:val="center"/>
              <w:rPr>
                <w:b w:val="0"/>
                <w:bCs w:val="0"/>
                <w:szCs w:val="21"/>
              </w:rPr>
            </w:pPr>
          </w:p>
        </w:tc>
        <w:tc>
          <w:tcPr>
            <w:tcW w:w="568" w:type="dxa"/>
            <w:tcBorders>
              <w:top w:val="single" w:color="auto" w:sz="4" w:space="0"/>
              <w:left w:val="single" w:color="auto" w:sz="4" w:space="0"/>
              <w:right w:val="single" w:color="auto" w:sz="4" w:space="0"/>
            </w:tcBorders>
            <w:vAlign w:val="center"/>
          </w:tcPr>
          <w:p w14:paraId="63FA299C">
            <w:pPr>
              <w:spacing w:line="360" w:lineRule="auto"/>
              <w:jc w:val="center"/>
              <w:rPr>
                <w:b w:val="0"/>
                <w:bCs w:val="0"/>
                <w:szCs w:val="21"/>
              </w:rPr>
            </w:pPr>
            <w:r>
              <w:rPr>
                <w:rFonts w:hint="eastAsia"/>
                <w:b w:val="0"/>
                <w:bCs w:val="0"/>
                <w:szCs w:val="21"/>
              </w:rPr>
              <w:t>吨</w:t>
            </w:r>
          </w:p>
        </w:tc>
        <w:tc>
          <w:tcPr>
            <w:tcW w:w="568" w:type="dxa"/>
            <w:tcBorders>
              <w:top w:val="single" w:color="auto" w:sz="4" w:space="0"/>
              <w:left w:val="single" w:color="auto" w:sz="4" w:space="0"/>
              <w:bottom w:val="single" w:color="auto" w:sz="4" w:space="0"/>
              <w:right w:val="single" w:color="auto" w:sz="4" w:space="0"/>
            </w:tcBorders>
            <w:vAlign w:val="center"/>
          </w:tcPr>
          <w:p w14:paraId="35A95F2E">
            <w:pPr>
              <w:spacing w:line="360" w:lineRule="auto"/>
              <w:jc w:val="center"/>
              <w:rPr>
                <w:rFonts w:hint="default" w:eastAsiaTheme="minorEastAsia"/>
                <w:b w:val="0"/>
                <w:bCs w:val="0"/>
                <w:szCs w:val="21"/>
                <w:lang w:val="en-US" w:eastAsia="zh-CN"/>
              </w:rPr>
            </w:pPr>
          </w:p>
        </w:tc>
        <w:tc>
          <w:tcPr>
            <w:tcW w:w="568" w:type="dxa"/>
            <w:tcBorders>
              <w:top w:val="single" w:color="auto" w:sz="4" w:space="0"/>
              <w:left w:val="single" w:color="auto" w:sz="4" w:space="0"/>
              <w:bottom w:val="single" w:color="auto" w:sz="4" w:space="0"/>
              <w:right w:val="single" w:color="auto" w:sz="4" w:space="0"/>
            </w:tcBorders>
            <w:vAlign w:val="center"/>
          </w:tcPr>
          <w:p w14:paraId="6E91C6EB">
            <w:pPr>
              <w:spacing w:line="360" w:lineRule="auto"/>
              <w:jc w:val="center"/>
              <w:rPr>
                <w:rFonts w:hint="eastAsia" w:eastAsiaTheme="minorEastAsia"/>
                <w:b w:val="0"/>
                <w:bCs w:val="0"/>
                <w:szCs w:val="21"/>
                <w:lang w:val="en-US" w:eastAsia="zh-CN"/>
              </w:rPr>
            </w:pPr>
          </w:p>
        </w:tc>
        <w:tc>
          <w:tcPr>
            <w:tcW w:w="853" w:type="dxa"/>
            <w:tcBorders>
              <w:top w:val="single" w:color="auto" w:sz="4" w:space="0"/>
              <w:left w:val="single" w:color="auto" w:sz="4" w:space="0"/>
              <w:bottom w:val="single" w:color="auto" w:sz="4" w:space="0"/>
              <w:right w:val="single" w:color="auto" w:sz="4" w:space="0"/>
            </w:tcBorders>
            <w:vAlign w:val="center"/>
          </w:tcPr>
          <w:p w14:paraId="0F6735C4">
            <w:pPr>
              <w:spacing w:line="360" w:lineRule="auto"/>
              <w:jc w:val="center"/>
              <w:rPr>
                <w:b w:val="0"/>
                <w:bCs w:val="0"/>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3DE0D93B">
            <w:pPr>
              <w:spacing w:line="360" w:lineRule="auto"/>
              <w:jc w:val="center"/>
              <w:rPr>
                <w:rFonts w:hint="default" w:eastAsiaTheme="minorEastAsia"/>
                <w:b w:val="0"/>
                <w:bCs w:val="0"/>
                <w:szCs w:val="21"/>
                <w:lang w:val="en-US" w:eastAsia="zh-CN"/>
              </w:rPr>
            </w:pPr>
            <w:r>
              <w:rPr>
                <w:rFonts w:hint="eastAsia"/>
                <w:b w:val="0"/>
                <w:bCs w:val="0"/>
                <w:szCs w:val="21"/>
                <w:lang w:val="en-US" w:eastAsia="zh-CN"/>
              </w:rPr>
              <w:t>6400</w:t>
            </w:r>
          </w:p>
        </w:tc>
        <w:tc>
          <w:tcPr>
            <w:tcW w:w="564" w:type="dxa"/>
            <w:tcBorders>
              <w:top w:val="single" w:color="auto" w:sz="4" w:space="0"/>
              <w:left w:val="single" w:color="auto" w:sz="4" w:space="0"/>
              <w:bottom w:val="single" w:color="auto" w:sz="4" w:space="0"/>
              <w:right w:val="single" w:color="auto" w:sz="4" w:space="0"/>
            </w:tcBorders>
            <w:vAlign w:val="center"/>
          </w:tcPr>
          <w:p w14:paraId="40119DE3">
            <w:pPr>
              <w:spacing w:line="360" w:lineRule="auto"/>
              <w:jc w:val="center"/>
              <w:rPr>
                <w:b w:val="0"/>
                <w:bCs w:val="0"/>
                <w:szCs w:val="21"/>
              </w:rPr>
            </w:pPr>
          </w:p>
        </w:tc>
      </w:tr>
      <w:tr w14:paraId="6F08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tcBorders>
              <w:top w:val="single" w:color="auto" w:sz="4" w:space="0"/>
              <w:left w:val="single" w:color="auto" w:sz="4" w:space="0"/>
              <w:bottom w:val="single" w:color="auto" w:sz="4" w:space="0"/>
              <w:right w:val="single" w:color="auto" w:sz="4" w:space="0"/>
            </w:tcBorders>
            <w:vAlign w:val="center"/>
          </w:tcPr>
          <w:p w14:paraId="62EDCB19">
            <w:pPr>
              <w:spacing w:line="360" w:lineRule="auto"/>
              <w:jc w:val="center"/>
              <w:rPr>
                <w:b w:val="0"/>
                <w:bCs w:val="0"/>
                <w:szCs w:val="21"/>
              </w:rPr>
            </w:pPr>
            <w:r>
              <w:rPr>
                <w:rFonts w:hint="eastAsia"/>
                <w:b w:val="0"/>
                <w:bCs w:val="0"/>
                <w:szCs w:val="21"/>
              </w:rPr>
              <w:t>2</w:t>
            </w:r>
          </w:p>
        </w:tc>
        <w:tc>
          <w:tcPr>
            <w:tcW w:w="865" w:type="dxa"/>
            <w:tcBorders>
              <w:top w:val="single" w:color="auto" w:sz="4" w:space="0"/>
              <w:left w:val="single" w:color="auto" w:sz="4" w:space="0"/>
              <w:right w:val="single" w:color="auto" w:sz="4" w:space="0"/>
            </w:tcBorders>
            <w:vAlign w:val="center"/>
          </w:tcPr>
          <w:p w14:paraId="26E806F7">
            <w:pPr>
              <w:spacing w:line="360" w:lineRule="auto"/>
              <w:jc w:val="center"/>
              <w:rPr>
                <w:b w:val="0"/>
                <w:bCs w:val="0"/>
                <w:szCs w:val="21"/>
              </w:rPr>
            </w:pPr>
            <w:r>
              <w:rPr>
                <w:rFonts w:hint="eastAsia"/>
                <w:b w:val="0"/>
                <w:bCs w:val="0"/>
                <w:szCs w:val="21"/>
              </w:rPr>
              <w:t>反渗透非氧化性杀菌剂</w:t>
            </w:r>
          </w:p>
        </w:tc>
        <w:tc>
          <w:tcPr>
            <w:tcW w:w="1110" w:type="dxa"/>
            <w:tcBorders>
              <w:top w:val="single" w:color="auto" w:sz="4" w:space="0"/>
              <w:left w:val="single" w:color="auto" w:sz="4" w:space="0"/>
              <w:bottom w:val="single" w:color="auto" w:sz="4" w:space="0"/>
              <w:right w:val="single" w:color="auto" w:sz="4" w:space="0"/>
            </w:tcBorders>
            <w:vAlign w:val="center"/>
          </w:tcPr>
          <w:p w14:paraId="02D3D1D4">
            <w:pPr>
              <w:spacing w:line="360" w:lineRule="auto"/>
              <w:jc w:val="center"/>
              <w:rPr>
                <w:b w:val="0"/>
                <w:bCs w:val="0"/>
                <w:szCs w:val="21"/>
              </w:rPr>
            </w:pPr>
            <w:r>
              <w:rPr>
                <w:rFonts w:hint="eastAsia"/>
                <w:b w:val="0"/>
                <w:bCs w:val="0"/>
                <w:szCs w:val="21"/>
              </w:rPr>
              <w:t>新天煤化工</w:t>
            </w:r>
          </w:p>
        </w:tc>
        <w:tc>
          <w:tcPr>
            <w:tcW w:w="790" w:type="dxa"/>
            <w:tcBorders>
              <w:top w:val="single" w:color="auto" w:sz="4" w:space="0"/>
              <w:left w:val="single" w:color="auto" w:sz="4" w:space="0"/>
              <w:bottom w:val="single" w:color="auto" w:sz="4" w:space="0"/>
              <w:right w:val="single" w:color="auto" w:sz="4" w:space="0"/>
            </w:tcBorders>
            <w:vAlign w:val="center"/>
          </w:tcPr>
          <w:p w14:paraId="4E340FF4">
            <w:pPr>
              <w:spacing w:line="360" w:lineRule="auto"/>
              <w:jc w:val="center"/>
              <w:rPr>
                <w:b w:val="0"/>
                <w:bCs w:val="0"/>
                <w:szCs w:val="21"/>
              </w:rPr>
            </w:pPr>
          </w:p>
        </w:tc>
        <w:tc>
          <w:tcPr>
            <w:tcW w:w="830" w:type="dxa"/>
            <w:tcBorders>
              <w:top w:val="single" w:color="auto" w:sz="4" w:space="0"/>
              <w:left w:val="single" w:color="auto" w:sz="4" w:space="0"/>
              <w:bottom w:val="single" w:color="auto" w:sz="4" w:space="0"/>
              <w:right w:val="single" w:color="auto" w:sz="4" w:space="0"/>
            </w:tcBorders>
            <w:vAlign w:val="center"/>
          </w:tcPr>
          <w:p w14:paraId="7E778A67">
            <w:pPr>
              <w:spacing w:line="360" w:lineRule="auto"/>
              <w:jc w:val="center"/>
              <w:rPr>
                <w:b w:val="0"/>
                <w:bCs w:val="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0B20AC3">
            <w:pPr>
              <w:spacing w:line="360" w:lineRule="auto"/>
              <w:jc w:val="center"/>
              <w:rPr>
                <w:b w:val="0"/>
                <w:bCs w:val="0"/>
                <w:szCs w:val="21"/>
              </w:rPr>
            </w:pPr>
          </w:p>
        </w:tc>
        <w:tc>
          <w:tcPr>
            <w:tcW w:w="568" w:type="dxa"/>
            <w:tcBorders>
              <w:top w:val="single" w:color="auto" w:sz="4" w:space="0"/>
              <w:left w:val="single" w:color="auto" w:sz="4" w:space="0"/>
              <w:right w:val="single" w:color="auto" w:sz="4" w:space="0"/>
            </w:tcBorders>
            <w:vAlign w:val="center"/>
          </w:tcPr>
          <w:p w14:paraId="56AB417C">
            <w:pPr>
              <w:spacing w:line="360" w:lineRule="auto"/>
              <w:jc w:val="center"/>
              <w:rPr>
                <w:b w:val="0"/>
                <w:bCs w:val="0"/>
                <w:szCs w:val="21"/>
              </w:rPr>
            </w:pPr>
            <w:r>
              <w:rPr>
                <w:rFonts w:hint="eastAsia"/>
                <w:b w:val="0"/>
                <w:bCs w:val="0"/>
                <w:szCs w:val="21"/>
              </w:rPr>
              <w:t>吨</w:t>
            </w:r>
          </w:p>
        </w:tc>
        <w:tc>
          <w:tcPr>
            <w:tcW w:w="568" w:type="dxa"/>
            <w:tcBorders>
              <w:top w:val="single" w:color="auto" w:sz="4" w:space="0"/>
              <w:left w:val="single" w:color="auto" w:sz="4" w:space="0"/>
              <w:bottom w:val="single" w:color="auto" w:sz="4" w:space="0"/>
              <w:right w:val="single" w:color="auto" w:sz="4" w:space="0"/>
            </w:tcBorders>
            <w:vAlign w:val="center"/>
          </w:tcPr>
          <w:p w14:paraId="614BEB1E">
            <w:pPr>
              <w:spacing w:line="360" w:lineRule="auto"/>
              <w:jc w:val="center"/>
              <w:rPr>
                <w:rFonts w:hint="default" w:eastAsiaTheme="minorEastAsia"/>
                <w:b w:val="0"/>
                <w:bCs w:val="0"/>
                <w:szCs w:val="21"/>
                <w:lang w:val="en-US" w:eastAsia="zh-CN"/>
              </w:rPr>
            </w:pPr>
          </w:p>
        </w:tc>
        <w:tc>
          <w:tcPr>
            <w:tcW w:w="568" w:type="dxa"/>
            <w:tcBorders>
              <w:top w:val="single" w:color="auto" w:sz="4" w:space="0"/>
              <w:left w:val="single" w:color="auto" w:sz="4" w:space="0"/>
              <w:bottom w:val="single" w:color="auto" w:sz="4" w:space="0"/>
              <w:right w:val="single" w:color="auto" w:sz="4" w:space="0"/>
            </w:tcBorders>
            <w:vAlign w:val="center"/>
          </w:tcPr>
          <w:p w14:paraId="2CCFB397">
            <w:pPr>
              <w:spacing w:line="360" w:lineRule="auto"/>
              <w:jc w:val="center"/>
              <w:rPr>
                <w:b w:val="0"/>
                <w:bCs w:val="0"/>
                <w:szCs w:val="21"/>
              </w:rPr>
            </w:pPr>
          </w:p>
        </w:tc>
        <w:tc>
          <w:tcPr>
            <w:tcW w:w="853" w:type="dxa"/>
            <w:tcBorders>
              <w:top w:val="single" w:color="auto" w:sz="4" w:space="0"/>
              <w:left w:val="single" w:color="auto" w:sz="4" w:space="0"/>
              <w:bottom w:val="single" w:color="auto" w:sz="4" w:space="0"/>
              <w:right w:val="single" w:color="auto" w:sz="4" w:space="0"/>
            </w:tcBorders>
            <w:vAlign w:val="center"/>
          </w:tcPr>
          <w:p w14:paraId="762B7524">
            <w:pPr>
              <w:spacing w:line="360" w:lineRule="auto"/>
              <w:jc w:val="center"/>
              <w:rPr>
                <w:b w:val="0"/>
                <w:bCs w:val="0"/>
                <w:szCs w:val="21"/>
              </w:rPr>
            </w:pPr>
          </w:p>
        </w:tc>
        <w:tc>
          <w:tcPr>
            <w:tcW w:w="848" w:type="dxa"/>
            <w:tcBorders>
              <w:top w:val="single" w:color="auto" w:sz="4" w:space="0"/>
              <w:left w:val="single" w:color="auto" w:sz="4" w:space="0"/>
              <w:bottom w:val="single" w:color="auto" w:sz="4" w:space="0"/>
              <w:right w:val="single" w:color="auto" w:sz="4" w:space="0"/>
            </w:tcBorders>
            <w:vAlign w:val="center"/>
          </w:tcPr>
          <w:p w14:paraId="49A9A02C">
            <w:pPr>
              <w:spacing w:line="360" w:lineRule="auto"/>
              <w:jc w:val="center"/>
              <w:rPr>
                <w:rFonts w:hint="default" w:eastAsiaTheme="minorEastAsia"/>
                <w:b w:val="0"/>
                <w:bCs w:val="0"/>
                <w:szCs w:val="21"/>
                <w:lang w:val="en-US" w:eastAsia="zh-CN"/>
              </w:rPr>
            </w:pPr>
            <w:r>
              <w:rPr>
                <w:rFonts w:hint="eastAsia"/>
                <w:b w:val="0"/>
                <w:bCs w:val="0"/>
                <w:szCs w:val="21"/>
                <w:lang w:val="en-US" w:eastAsia="zh-CN"/>
              </w:rPr>
              <w:t>6400</w:t>
            </w:r>
          </w:p>
        </w:tc>
        <w:tc>
          <w:tcPr>
            <w:tcW w:w="564" w:type="dxa"/>
            <w:tcBorders>
              <w:top w:val="single" w:color="auto" w:sz="4" w:space="0"/>
              <w:left w:val="single" w:color="auto" w:sz="4" w:space="0"/>
              <w:bottom w:val="single" w:color="auto" w:sz="4" w:space="0"/>
              <w:right w:val="single" w:color="auto" w:sz="4" w:space="0"/>
            </w:tcBorders>
            <w:vAlign w:val="center"/>
          </w:tcPr>
          <w:p w14:paraId="1083A3FA">
            <w:pPr>
              <w:spacing w:line="360" w:lineRule="auto"/>
              <w:jc w:val="center"/>
              <w:rPr>
                <w:b w:val="0"/>
                <w:bCs w:val="0"/>
                <w:szCs w:val="21"/>
              </w:rPr>
            </w:pPr>
          </w:p>
        </w:tc>
      </w:tr>
    </w:tbl>
    <w:p w14:paraId="2929544D">
      <w:pPr>
        <w:spacing w:line="360" w:lineRule="auto"/>
        <w:rPr>
          <w:rFonts w:ascii="宋体" w:hAnsi="宋体" w:eastAsia="宋体"/>
          <w:sz w:val="24"/>
          <w:szCs w:val="24"/>
        </w:rPr>
      </w:pPr>
    </w:p>
    <w:p w14:paraId="454570CF">
      <w:pPr>
        <w:spacing w:line="360" w:lineRule="auto"/>
        <w:rPr>
          <w:b/>
          <w:bCs/>
          <w:sz w:val="24"/>
          <w:szCs w:val="24"/>
        </w:rPr>
      </w:pPr>
      <w:r>
        <w:rPr>
          <w:rFonts w:hint="eastAsia"/>
          <w:sz w:val="24"/>
          <w:szCs w:val="24"/>
        </w:rPr>
        <w:t>备注:1、</w:t>
      </w:r>
      <w:r>
        <w:rPr>
          <w:sz w:val="24"/>
          <w:szCs w:val="24"/>
        </w:rPr>
        <w:t>供货时间为合同签订后</w:t>
      </w:r>
      <w:r>
        <w:rPr>
          <w:rFonts w:hint="eastAsia"/>
          <w:sz w:val="24"/>
          <w:szCs w:val="24"/>
        </w:rPr>
        <w:t>两年</w:t>
      </w:r>
      <w:r>
        <w:rPr>
          <w:sz w:val="24"/>
          <w:szCs w:val="24"/>
        </w:rPr>
        <w:t>，分月分批供货。</w:t>
      </w:r>
    </w:p>
    <w:p w14:paraId="0BF14B15">
      <w:pPr>
        <w:spacing w:line="360" w:lineRule="auto"/>
        <w:ind w:firstLine="240" w:firstLineChars="100"/>
        <w:rPr>
          <w:sz w:val="24"/>
          <w:szCs w:val="24"/>
        </w:rPr>
      </w:pPr>
      <w:r>
        <w:rPr>
          <w:rFonts w:hint="eastAsia"/>
          <w:sz w:val="24"/>
          <w:szCs w:val="24"/>
        </w:rPr>
        <w:t>2、报价人计算新天煤化工两年的用量。上述二年用药量为暂定数量，总价为暂定总价，单价为固定单价；报价请注明是标准液或浓缩液，如两种均能提供，其中一种计入总价，另一种请报单价。</w:t>
      </w:r>
    </w:p>
    <w:p w14:paraId="0B34D005">
      <w:pPr>
        <w:spacing w:line="360" w:lineRule="auto"/>
        <w:rPr>
          <w:b w:val="0"/>
          <w:bCs w:val="0"/>
          <w:kern w:val="2"/>
          <w:sz w:val="21"/>
          <w:szCs w:val="21"/>
        </w:rPr>
      </w:pPr>
      <w:r>
        <w:rPr>
          <w:rFonts w:hint="eastAsia"/>
          <w:sz w:val="24"/>
          <w:szCs w:val="24"/>
        </w:rPr>
        <w:t xml:space="preserve">     3、</w:t>
      </w:r>
      <w:r>
        <w:rPr>
          <w:rFonts w:hint="eastAsia"/>
          <w:b w:val="0"/>
          <w:bCs w:val="0"/>
          <w:kern w:val="2"/>
          <w:sz w:val="21"/>
          <w:szCs w:val="21"/>
        </w:rPr>
        <w:t>其中：相关药剂的</w:t>
      </w:r>
    </w:p>
    <w:p w14:paraId="2C9900FF">
      <w:pPr>
        <w:keepNext/>
        <w:spacing w:line="300" w:lineRule="auto"/>
        <w:ind w:firstLine="360" w:firstLineChars="150"/>
        <w:rPr>
          <w:b/>
          <w:bCs/>
          <w:sz w:val="24"/>
          <w:szCs w:val="24"/>
        </w:rPr>
      </w:pPr>
      <w:r>
        <w:rPr>
          <w:rFonts w:hint="eastAsia"/>
          <w:b w:val="0"/>
          <w:kern w:val="2"/>
          <w:sz w:val="24"/>
          <w:szCs w:val="24"/>
        </w:rPr>
        <w:t>设计吨水综合成本=</w:t>
      </w:r>
      <m:oMath>
        <m:r>
          <m:rPr>
            <m:sty m:val="p"/>
          </m:rPr>
          <w:rPr>
            <w:rFonts w:ascii="Cambria Math" w:hAnsi="Cambria Math"/>
            <w:kern w:val="2"/>
            <w:sz w:val="32"/>
            <w:szCs w:val="24"/>
          </w:rPr>
          <m:t xml:space="preserve"> </m:t>
        </m:r>
        <m:f>
          <m:fPr>
            <m:ctrlPr>
              <w:rPr>
                <w:rFonts w:ascii="Cambria Math" w:hAnsi="Cambria Math"/>
                <w:b w:val="0"/>
                <w:kern w:val="2"/>
                <w:sz w:val="32"/>
                <w:szCs w:val="24"/>
              </w:rPr>
            </m:ctrlPr>
          </m:fPr>
          <m:num>
            <m:r>
              <m:rPr>
                <m:sty m:val="p"/>
              </m:rPr>
              <w:rPr>
                <w:rFonts w:hint="eastAsia" w:ascii="Cambria Math" w:hAnsi="Cambria Math"/>
                <w:kern w:val="2"/>
                <w:sz w:val="32"/>
                <w:szCs w:val="24"/>
              </w:rPr>
              <m:t>二年合计报价</m:t>
            </m:r>
            <m:ctrlPr>
              <w:rPr>
                <w:rFonts w:ascii="Cambria Math" w:hAnsi="Cambria Math"/>
                <w:b w:val="0"/>
                <w:kern w:val="2"/>
                <w:sz w:val="32"/>
                <w:szCs w:val="24"/>
              </w:rPr>
            </m:ctrlPr>
          </m:num>
          <m:den>
            <m:r>
              <m:rPr>
                <m:sty m:val="p"/>
              </m:rPr>
              <w:rPr>
                <w:rFonts w:hint="eastAsia" w:ascii="Cambria Math" w:hAnsi="Cambria Math"/>
                <w:kern w:val="2"/>
                <w:sz w:val="32"/>
                <w:szCs w:val="24"/>
              </w:rPr>
              <m:t>设计二年总水量</m:t>
            </m:r>
            <m:ctrlPr>
              <w:rPr>
                <w:rFonts w:ascii="Cambria Math" w:hAnsi="Cambria Math"/>
                <w:b w:val="0"/>
                <w:kern w:val="2"/>
                <w:sz w:val="32"/>
                <w:szCs w:val="24"/>
              </w:rPr>
            </m:ctrlPr>
          </m:den>
        </m:f>
      </m:oMath>
      <w:r>
        <w:rPr>
          <w:rFonts w:hint="eastAsia"/>
          <w:sz w:val="24"/>
          <w:szCs w:val="24"/>
        </w:rPr>
        <w:t>；</w:t>
      </w:r>
    </w:p>
    <w:p w14:paraId="463011D1">
      <w:pPr>
        <w:spacing w:line="360" w:lineRule="auto"/>
        <w:rPr>
          <w:sz w:val="24"/>
          <w:szCs w:val="24"/>
        </w:rPr>
      </w:pPr>
      <w:r>
        <w:rPr>
          <w:rFonts w:hint="eastAsia"/>
          <w:sz w:val="24"/>
          <w:szCs w:val="24"/>
        </w:rPr>
        <w:t xml:space="preserve">     4、结算方式：每个季度进行结算；按照合同单价与当季度实际供货数量计算当季度实际供货总价，再根据当季度进水量计算吨水综合成本，若实际吨水综合成本低于设计吨水综合成本，则按实际供货总价进行支付；若实际吨水综合成本高于设计吨水综合成本，则按设计吨水综合成本与当季度实际进水量计算的总价进行支付。    </w:t>
      </w:r>
    </w:p>
    <w:p w14:paraId="7F613F0F">
      <w:pPr>
        <w:spacing w:line="360" w:lineRule="auto"/>
        <w:rPr>
          <w:b/>
          <w:bCs/>
          <w:sz w:val="24"/>
          <w:szCs w:val="24"/>
        </w:rPr>
      </w:pPr>
      <w:r>
        <w:rPr>
          <w:rFonts w:hint="eastAsia"/>
          <w:sz w:val="24"/>
          <w:szCs w:val="24"/>
        </w:rPr>
        <w:t xml:space="preserve">   5、</w:t>
      </w:r>
      <w:r>
        <w:rPr>
          <w:sz w:val="24"/>
          <w:szCs w:val="24"/>
        </w:rPr>
        <w:t>当采购人有需求时，报价人有义务无偿对使用完的废旧药品包装进行回收。</w:t>
      </w:r>
    </w:p>
    <w:p w14:paraId="4CFF2AA6">
      <w:pPr>
        <w:spacing w:line="360" w:lineRule="auto"/>
        <w:ind w:firstLine="240" w:firstLineChars="100"/>
        <w:rPr>
          <w:rFonts w:ascii="宋体" w:hAnsi="宋体" w:eastAsia="宋体"/>
          <w:sz w:val="24"/>
          <w:szCs w:val="24"/>
        </w:rPr>
      </w:pPr>
      <w:r>
        <w:rPr>
          <w:rFonts w:hint="eastAsia" w:ascii="宋体" w:hAnsi="宋体" w:eastAsia="宋体"/>
          <w:sz w:val="24"/>
          <w:szCs w:val="24"/>
          <w:lang w:val="en-US" w:eastAsia="zh-CN"/>
        </w:rPr>
        <w:t>6、</w:t>
      </w:r>
      <w:r>
        <w:rPr>
          <w:rFonts w:hint="eastAsia" w:ascii="宋体" w:hAnsi="宋体" w:eastAsia="宋体"/>
          <w:sz w:val="24"/>
          <w:szCs w:val="24"/>
        </w:rPr>
        <w:t>报价人还应负责提供产品的包装、运输、卸货及相关服务内容。</w:t>
      </w:r>
    </w:p>
    <w:p w14:paraId="089F440B">
      <w:pPr>
        <w:pStyle w:val="33"/>
        <w:spacing w:before="120" w:after="120" w:line="440" w:lineRule="atLeast"/>
        <w:rPr>
          <w:rFonts w:eastAsia="宋体"/>
          <w:sz w:val="24"/>
          <w:szCs w:val="24"/>
        </w:rPr>
      </w:pPr>
      <w:bookmarkStart w:id="38" w:name="_Toc1048253"/>
      <w:r>
        <w:rPr>
          <w:rFonts w:hint="eastAsia" w:eastAsia="宋体"/>
          <w:sz w:val="24"/>
          <w:szCs w:val="24"/>
        </w:rPr>
        <w:t>附件3技术资料</w:t>
      </w:r>
      <w:bookmarkEnd w:id="35"/>
      <w:bookmarkEnd w:id="36"/>
      <w:bookmarkEnd w:id="37"/>
      <w:bookmarkEnd w:id="38"/>
    </w:p>
    <w:p w14:paraId="507A897B">
      <w:pPr>
        <w:pStyle w:val="29"/>
        <w:numPr>
          <w:ilvl w:val="0"/>
          <w:numId w:val="5"/>
        </w:numPr>
        <w:spacing w:line="440" w:lineRule="atLeast"/>
        <w:ind w:left="426" w:hanging="424" w:hangingChars="177"/>
        <w:outlineLvl w:val="1"/>
        <w:rPr>
          <w:rFonts w:ascii="宋体" w:hAnsi="宋体"/>
          <w:sz w:val="24"/>
          <w:szCs w:val="24"/>
        </w:rPr>
      </w:pPr>
      <w:bookmarkStart w:id="39" w:name="_Toc527917823"/>
      <w:bookmarkStart w:id="40" w:name="_Toc517856752"/>
      <w:bookmarkStart w:id="41" w:name="_Toc216232479"/>
      <w:bookmarkStart w:id="42" w:name="_Toc399149785"/>
      <w:r>
        <w:rPr>
          <w:rFonts w:hint="eastAsia" w:ascii="宋体" w:hAnsi="宋体"/>
          <w:sz w:val="24"/>
          <w:szCs w:val="24"/>
        </w:rPr>
        <w:t>一般要求</w:t>
      </w:r>
      <w:bookmarkEnd w:id="39"/>
      <w:bookmarkEnd w:id="40"/>
      <w:bookmarkEnd w:id="41"/>
      <w:bookmarkEnd w:id="42"/>
    </w:p>
    <w:p w14:paraId="3A9D0078">
      <w:pPr>
        <w:pStyle w:val="30"/>
        <w:tabs>
          <w:tab w:val="clear" w:pos="360"/>
        </w:tabs>
        <w:snapToGrid w:val="0"/>
        <w:ind w:left="992" w:hanging="567"/>
        <w:outlineLvl w:val="9"/>
        <w:rPr>
          <w:rFonts w:ascii="宋体" w:hAnsi="宋体"/>
          <w:b w:val="0"/>
        </w:rPr>
      </w:pPr>
      <w:r>
        <w:rPr>
          <w:rFonts w:hint="eastAsia" w:ascii="宋体" w:hAnsi="宋体"/>
          <w:b w:val="0"/>
        </w:rPr>
        <w:t>报价人必须提供产品的MSDS化学品安全说明书；同时提供的每批产品都必须附有产品合格证、出厂质检报告等资料，内容包括但不局限于：生产厂名、产品名称、型号规格、净含量、有效成分含量、批号或生产日期、保质期、产品质量符合要求的证明、储存保管及使用注意事项、联系人和联系方式等。</w:t>
      </w:r>
    </w:p>
    <w:p w14:paraId="566FE55B">
      <w:pPr>
        <w:pStyle w:val="30"/>
        <w:tabs>
          <w:tab w:val="clear" w:pos="360"/>
        </w:tabs>
        <w:snapToGrid w:val="0"/>
        <w:ind w:left="992" w:hanging="567"/>
        <w:outlineLvl w:val="9"/>
        <w:rPr>
          <w:rFonts w:ascii="宋体" w:hAnsi="宋体"/>
          <w:b w:val="0"/>
        </w:rPr>
      </w:pPr>
      <w:r>
        <w:rPr>
          <w:rFonts w:hint="eastAsia" w:ascii="宋体" w:hAnsi="宋体"/>
          <w:b w:val="0"/>
        </w:rPr>
        <w:t>报价人提供的资料语言应为中文。若报价人提供的文件中使用另一种文字，则需有中文译本。若中文译文与原文有区别的，以中文译文为准。</w:t>
      </w:r>
    </w:p>
    <w:p w14:paraId="71C7A77B">
      <w:pPr>
        <w:pStyle w:val="30"/>
        <w:tabs>
          <w:tab w:val="clear" w:pos="360"/>
        </w:tabs>
        <w:snapToGrid w:val="0"/>
        <w:ind w:left="992" w:hanging="567"/>
        <w:outlineLvl w:val="9"/>
        <w:rPr>
          <w:rFonts w:ascii="宋体" w:hAnsi="宋体"/>
          <w:b w:val="0"/>
        </w:rPr>
      </w:pPr>
      <w:r>
        <w:rPr>
          <w:rFonts w:hint="eastAsia" w:ascii="宋体" w:hAnsi="宋体"/>
          <w:b w:val="0"/>
        </w:rPr>
        <w:t>如果技术资料经采购人或用户检查后发现有缺少、丢失或损坏，报价人在收到采购人通知后5天内（对急用者应在2天内）免费向采购人补充提供缺少、丢失或损坏的部分。</w:t>
      </w:r>
    </w:p>
    <w:p w14:paraId="594B10EE">
      <w:pPr>
        <w:pStyle w:val="30"/>
        <w:tabs>
          <w:tab w:val="clear" w:pos="360"/>
        </w:tabs>
        <w:snapToGrid w:val="0"/>
        <w:ind w:left="992" w:hanging="567"/>
        <w:outlineLvl w:val="9"/>
        <w:rPr>
          <w:rFonts w:ascii="宋体" w:hAnsi="宋体"/>
          <w:b w:val="0"/>
        </w:rPr>
      </w:pPr>
      <w:r>
        <w:rPr>
          <w:rFonts w:hint="eastAsia" w:ascii="宋体" w:hAnsi="宋体"/>
          <w:b w:val="0"/>
        </w:rPr>
        <w:t>报价人提供的技术资料为8套。电子文本1套。</w:t>
      </w:r>
    </w:p>
    <w:p w14:paraId="07DC6D4D">
      <w:pPr>
        <w:pStyle w:val="30"/>
        <w:tabs>
          <w:tab w:val="clear" w:pos="360"/>
        </w:tabs>
        <w:snapToGrid w:val="0"/>
        <w:ind w:left="992" w:hanging="567"/>
        <w:outlineLvl w:val="9"/>
        <w:rPr>
          <w:rFonts w:ascii="宋体" w:hAnsi="宋体"/>
          <w:b w:val="0"/>
        </w:rPr>
      </w:pPr>
      <w:r>
        <w:rPr>
          <w:rFonts w:hint="eastAsia" w:ascii="宋体" w:hAnsi="宋体"/>
          <w:b w:val="0"/>
        </w:rPr>
        <w:t>本工程采用统一标识系统，报价人应根据采购人提供的编码编制原则对所提供的所有设计资料及设备与附件标注标识系统。</w:t>
      </w:r>
    </w:p>
    <w:p w14:paraId="5D96E147">
      <w:pPr>
        <w:pStyle w:val="30"/>
        <w:tabs>
          <w:tab w:val="clear" w:pos="360"/>
        </w:tabs>
        <w:snapToGrid w:val="0"/>
        <w:ind w:left="992" w:hanging="567"/>
        <w:outlineLvl w:val="9"/>
        <w:rPr>
          <w:rFonts w:ascii="宋体" w:hAnsi="宋体"/>
          <w:b w:val="0"/>
        </w:rPr>
      </w:pPr>
      <w:r>
        <w:rPr>
          <w:rFonts w:hint="eastAsia" w:ascii="宋体" w:hAnsi="宋体"/>
          <w:b w:val="0"/>
        </w:rPr>
        <w:t>所有资料上注明“伊犁新天煤化工有限责任公司专用”字样，并注明版次，加盖报价人公章。</w:t>
      </w:r>
    </w:p>
    <w:p w14:paraId="3A44BF52">
      <w:pPr>
        <w:widowControl/>
        <w:rPr>
          <w:rFonts w:ascii="宋体" w:hAnsi="宋体" w:eastAsia="宋体" w:cs="Arial"/>
          <w:sz w:val="24"/>
          <w:szCs w:val="24"/>
        </w:rPr>
      </w:pPr>
      <w:r>
        <w:rPr>
          <w:rFonts w:ascii="宋体" w:hAnsi="宋体" w:eastAsia="宋体" w:cs="Arial"/>
          <w:sz w:val="24"/>
          <w:szCs w:val="24"/>
        </w:rPr>
        <w:br w:type="page"/>
      </w:r>
      <w:bookmarkStart w:id="43" w:name="_Toc399149787"/>
    </w:p>
    <w:p w14:paraId="33B7E099">
      <w:pPr>
        <w:pStyle w:val="13"/>
        <w:spacing w:line="360" w:lineRule="auto"/>
        <w:jc w:val="both"/>
        <w:rPr>
          <w:rFonts w:ascii="宋体" w:hAnsi="宋体"/>
          <w:sz w:val="24"/>
          <w:szCs w:val="24"/>
        </w:rPr>
      </w:pPr>
      <w:bookmarkStart w:id="44" w:name="_Toc1048254"/>
      <w:r>
        <w:rPr>
          <w:rFonts w:hint="eastAsia" w:ascii="宋体" w:hAnsi="宋体"/>
          <w:sz w:val="24"/>
          <w:szCs w:val="24"/>
        </w:rPr>
        <w:t>附件4交货进度</w:t>
      </w:r>
      <w:bookmarkEnd w:id="44"/>
    </w:p>
    <w:p w14:paraId="6D47E858">
      <w:pPr>
        <w:spacing w:line="360" w:lineRule="auto"/>
        <w:ind w:firstLine="480" w:firstLineChars="200"/>
        <w:rPr>
          <w:rFonts w:ascii="宋体" w:hAnsi="宋体" w:eastAsia="宋体"/>
          <w:color w:val="0000FF"/>
          <w:sz w:val="24"/>
          <w:szCs w:val="24"/>
        </w:rPr>
      </w:pPr>
      <w:bookmarkStart w:id="45" w:name="_Toc527917825"/>
      <w:r>
        <w:rPr>
          <w:rFonts w:hint="eastAsia" w:ascii="宋体" w:hAnsi="宋体" w:eastAsia="宋体"/>
          <w:color w:val="auto"/>
          <w:sz w:val="24"/>
          <w:szCs w:val="24"/>
        </w:rPr>
        <w:t>合同签订后两年内，报价人必须承诺无论采购人要求送货数量多或</w:t>
      </w:r>
      <w:bookmarkStart w:id="89" w:name="_GoBack"/>
      <w:bookmarkEnd w:id="89"/>
      <w:r>
        <w:rPr>
          <w:rFonts w:hint="eastAsia" w:ascii="宋体" w:hAnsi="宋体" w:eastAsia="宋体"/>
          <w:color w:val="auto"/>
          <w:sz w:val="24"/>
          <w:szCs w:val="24"/>
        </w:rPr>
        <w:t>少，在接到采购人送货通知</w:t>
      </w:r>
      <w:r>
        <w:rPr>
          <w:rFonts w:ascii="宋体" w:hAnsi="宋体" w:eastAsia="宋体"/>
          <w:color w:val="auto"/>
          <w:sz w:val="24"/>
          <w:szCs w:val="24"/>
        </w:rPr>
        <w:t>10</w:t>
      </w:r>
      <w:r>
        <w:rPr>
          <w:rFonts w:hint="eastAsia" w:ascii="宋体" w:hAnsi="宋体" w:eastAsia="宋体"/>
          <w:color w:val="auto"/>
          <w:sz w:val="24"/>
          <w:szCs w:val="24"/>
        </w:rPr>
        <w:t>天内（含通知当日）或按照采购人要求的到货时间，及时有效地提供产品</w:t>
      </w:r>
      <w:r>
        <w:rPr>
          <w:rFonts w:hint="eastAsia" w:ascii="宋体" w:hAnsi="宋体" w:eastAsia="宋体"/>
          <w:color w:val="0000FF"/>
          <w:sz w:val="24"/>
          <w:szCs w:val="24"/>
        </w:rPr>
        <w:t>。</w:t>
      </w:r>
    </w:p>
    <w:p w14:paraId="1FFDF9CF">
      <w:pPr>
        <w:widowControl/>
        <w:rPr>
          <w:rFonts w:ascii="宋体" w:hAnsi="宋体" w:eastAsia="宋体"/>
          <w:sz w:val="24"/>
          <w:szCs w:val="24"/>
        </w:rPr>
      </w:pPr>
    </w:p>
    <w:p w14:paraId="76554393">
      <w:pPr>
        <w:widowControl/>
        <w:rPr>
          <w:rFonts w:ascii="宋体" w:hAnsi="宋体" w:eastAsia="宋体"/>
          <w:sz w:val="24"/>
          <w:szCs w:val="24"/>
        </w:rPr>
      </w:pPr>
    </w:p>
    <w:p w14:paraId="3C014F0F">
      <w:pPr>
        <w:widowControl/>
        <w:rPr>
          <w:rFonts w:ascii="宋体" w:hAnsi="宋体" w:eastAsia="宋体"/>
          <w:sz w:val="24"/>
          <w:szCs w:val="24"/>
        </w:rPr>
      </w:pPr>
    </w:p>
    <w:p w14:paraId="09937A3C">
      <w:pPr>
        <w:widowControl/>
        <w:rPr>
          <w:rFonts w:ascii="宋体" w:hAnsi="宋体" w:eastAsia="宋体"/>
          <w:b/>
          <w:kern w:val="44"/>
          <w:sz w:val="24"/>
          <w:szCs w:val="24"/>
        </w:rPr>
      </w:pPr>
      <w:r>
        <w:rPr>
          <w:rFonts w:ascii="宋体" w:hAnsi="宋体" w:eastAsia="宋体"/>
          <w:sz w:val="24"/>
          <w:szCs w:val="24"/>
        </w:rPr>
        <w:br w:type="page"/>
      </w:r>
    </w:p>
    <w:p w14:paraId="46C5F760">
      <w:pPr>
        <w:pStyle w:val="33"/>
        <w:spacing w:before="120" w:after="120" w:line="440" w:lineRule="atLeast"/>
        <w:rPr>
          <w:rFonts w:eastAsia="宋体"/>
          <w:sz w:val="24"/>
          <w:szCs w:val="24"/>
        </w:rPr>
      </w:pPr>
      <w:bookmarkStart w:id="46" w:name="_Toc1048255"/>
      <w:r>
        <w:rPr>
          <w:rFonts w:hint="eastAsia" w:eastAsia="宋体"/>
          <w:sz w:val="24"/>
          <w:szCs w:val="24"/>
        </w:rPr>
        <w:t>附件5检验和性能验收试验</w:t>
      </w:r>
      <w:bookmarkEnd w:id="43"/>
      <w:bookmarkEnd w:id="45"/>
      <w:bookmarkEnd w:id="46"/>
    </w:p>
    <w:p w14:paraId="16CF2276">
      <w:pPr>
        <w:spacing w:line="360" w:lineRule="auto"/>
        <w:outlineLvl w:val="1"/>
        <w:rPr>
          <w:rFonts w:ascii="宋体" w:hAnsi="宋体" w:eastAsia="宋体"/>
          <w:b/>
          <w:sz w:val="24"/>
          <w:szCs w:val="24"/>
        </w:rPr>
      </w:pPr>
      <w:r>
        <w:rPr>
          <w:rFonts w:ascii="宋体" w:hAnsi="宋体" w:eastAsia="宋体"/>
          <w:b/>
          <w:sz w:val="24"/>
          <w:szCs w:val="24"/>
        </w:rPr>
        <w:t xml:space="preserve">5.1 </w:t>
      </w:r>
      <w:r>
        <w:rPr>
          <w:rFonts w:hint="eastAsia" w:ascii="宋体" w:hAnsi="宋体" w:eastAsia="宋体"/>
          <w:b/>
          <w:sz w:val="24"/>
          <w:szCs w:val="24"/>
        </w:rPr>
        <w:t>质量保证与技术服务</w:t>
      </w:r>
    </w:p>
    <w:p w14:paraId="09DE6C1D">
      <w:pPr>
        <w:spacing w:line="360" w:lineRule="auto"/>
        <w:rPr>
          <w:rFonts w:ascii="宋体" w:hAnsi="宋体" w:eastAsia="宋体"/>
          <w:sz w:val="24"/>
          <w:szCs w:val="24"/>
        </w:rPr>
      </w:pPr>
      <w:r>
        <w:rPr>
          <w:rFonts w:ascii="宋体" w:hAnsi="宋体" w:eastAsia="宋体"/>
          <w:sz w:val="24"/>
          <w:szCs w:val="24"/>
        </w:rPr>
        <w:t>5.1.1</w:t>
      </w:r>
      <w:r>
        <w:rPr>
          <w:rFonts w:hint="eastAsia" w:ascii="宋体" w:hAnsi="宋体" w:eastAsia="宋体"/>
          <w:sz w:val="24"/>
          <w:szCs w:val="24"/>
        </w:rPr>
        <w:t>报价人应保证提供的产品在材料、生产和使用功能等方面没有缺陷，若由于产品使用导致用户反渗透系统结垢、细菌滋生严重，甚至膜元件发生严重污堵，报价人必须负责免费清洗恢复，排除故障。若出现不可逆的损坏，报价人必须负责免费更换膜元件。</w:t>
      </w:r>
    </w:p>
    <w:p w14:paraId="2C9998BD">
      <w:pPr>
        <w:spacing w:line="360" w:lineRule="auto"/>
        <w:rPr>
          <w:rFonts w:ascii="宋体" w:hAnsi="宋体" w:eastAsia="宋体"/>
          <w:sz w:val="24"/>
          <w:szCs w:val="24"/>
        </w:rPr>
      </w:pPr>
      <w:r>
        <w:rPr>
          <w:rFonts w:ascii="宋体" w:hAnsi="宋体" w:eastAsia="宋体"/>
          <w:sz w:val="24"/>
          <w:szCs w:val="24"/>
        </w:rPr>
        <w:t>5.1.2</w:t>
      </w:r>
      <w:r>
        <w:rPr>
          <w:rFonts w:hint="eastAsia" w:ascii="宋体" w:hAnsi="宋体" w:eastAsia="宋体"/>
          <w:sz w:val="24"/>
          <w:szCs w:val="24"/>
        </w:rPr>
        <w:t>膜系统使用报价人的产品，清洗周期内反渗透系统运行压力、流量及脱盐率等参数应能保持稳定。</w:t>
      </w:r>
    </w:p>
    <w:p w14:paraId="1EB261A4">
      <w:pPr>
        <w:spacing w:line="360" w:lineRule="auto"/>
        <w:rPr>
          <w:rFonts w:ascii="宋体" w:hAnsi="宋体" w:eastAsia="宋体"/>
          <w:sz w:val="24"/>
          <w:szCs w:val="24"/>
        </w:rPr>
      </w:pPr>
      <w:r>
        <w:rPr>
          <w:rFonts w:ascii="宋体" w:hAnsi="宋体" w:eastAsia="宋体"/>
          <w:sz w:val="24"/>
          <w:szCs w:val="24"/>
        </w:rPr>
        <w:t>5.1.3</w:t>
      </w:r>
      <w:r>
        <w:rPr>
          <w:rFonts w:hint="eastAsia" w:ascii="宋体" w:hAnsi="宋体" w:eastAsia="宋体"/>
          <w:sz w:val="24"/>
          <w:szCs w:val="24"/>
        </w:rPr>
        <w:t>报价人保证能及时有效地提供产品，并留有一定量库存，以备用户急需。若因供货不及时导致的采购人经济损失，相应责任由报价人承担。</w:t>
      </w:r>
    </w:p>
    <w:p w14:paraId="46C70441">
      <w:pPr>
        <w:spacing w:line="360" w:lineRule="auto"/>
        <w:rPr>
          <w:rFonts w:ascii="宋体" w:hAnsi="宋体" w:eastAsia="宋体"/>
          <w:sz w:val="24"/>
          <w:szCs w:val="24"/>
        </w:rPr>
      </w:pPr>
      <w:r>
        <w:rPr>
          <w:rFonts w:ascii="宋体" w:hAnsi="宋体" w:eastAsia="宋体"/>
          <w:sz w:val="24"/>
          <w:szCs w:val="24"/>
        </w:rPr>
        <w:t>5.1.4</w:t>
      </w:r>
      <w:r>
        <w:rPr>
          <w:rFonts w:hint="eastAsia" w:ascii="宋体" w:hAnsi="宋体" w:eastAsia="宋体"/>
          <w:sz w:val="24"/>
          <w:szCs w:val="24"/>
        </w:rPr>
        <w:t>在采购人或用户提出需求后，报价人需在</w:t>
      </w:r>
      <w:r>
        <w:rPr>
          <w:rFonts w:ascii="宋体" w:hAnsi="宋体" w:eastAsia="宋体"/>
          <w:sz w:val="24"/>
          <w:szCs w:val="24"/>
        </w:rPr>
        <w:t>2</w:t>
      </w:r>
      <w:r>
        <w:rPr>
          <w:rFonts w:hint="eastAsia" w:ascii="宋体" w:hAnsi="宋体" w:eastAsia="宋体"/>
          <w:sz w:val="24"/>
          <w:szCs w:val="24"/>
        </w:rPr>
        <w:t>小时内做出响应；若需提供现场服务的，须在</w:t>
      </w:r>
      <w:r>
        <w:rPr>
          <w:rFonts w:ascii="宋体" w:hAnsi="宋体" w:eastAsia="宋体"/>
          <w:sz w:val="24"/>
          <w:szCs w:val="24"/>
        </w:rPr>
        <w:t>48</w:t>
      </w:r>
      <w:r>
        <w:rPr>
          <w:rFonts w:hint="eastAsia" w:ascii="宋体" w:hAnsi="宋体" w:eastAsia="宋体"/>
          <w:sz w:val="24"/>
          <w:szCs w:val="24"/>
        </w:rPr>
        <w:t>小时内到达使用现场。</w:t>
      </w:r>
    </w:p>
    <w:p w14:paraId="2510F7B3">
      <w:pPr>
        <w:spacing w:line="360" w:lineRule="auto"/>
        <w:rPr>
          <w:rFonts w:ascii="宋体" w:hAnsi="宋体" w:eastAsia="宋体"/>
          <w:sz w:val="24"/>
          <w:szCs w:val="24"/>
        </w:rPr>
      </w:pPr>
      <w:r>
        <w:rPr>
          <w:rFonts w:ascii="宋体" w:hAnsi="宋体" w:eastAsia="宋体"/>
          <w:sz w:val="24"/>
          <w:szCs w:val="24"/>
        </w:rPr>
        <w:t>5.1.5</w:t>
      </w:r>
      <w:r>
        <w:rPr>
          <w:rFonts w:hint="eastAsia" w:ascii="宋体" w:hAnsi="宋体" w:eastAsia="宋体"/>
          <w:sz w:val="24"/>
          <w:szCs w:val="24"/>
        </w:rPr>
        <w:t>报价人必须承诺在中标后，指定至少</w:t>
      </w:r>
      <w:r>
        <w:rPr>
          <w:rFonts w:ascii="宋体" w:hAnsi="宋体" w:eastAsia="宋体"/>
          <w:sz w:val="24"/>
          <w:szCs w:val="24"/>
        </w:rPr>
        <w:t>1</w:t>
      </w:r>
      <w:r>
        <w:rPr>
          <w:rFonts w:hint="eastAsia" w:ascii="宋体" w:hAnsi="宋体" w:eastAsia="宋体"/>
          <w:sz w:val="24"/>
          <w:szCs w:val="24"/>
        </w:rPr>
        <w:t>名对口专职技术人员对用户单位进行服务工作，采购人对专职技术人员有提出更换的权力，服务内容包括但不限于以下内容：</w:t>
      </w:r>
    </w:p>
    <w:p w14:paraId="51088509">
      <w:pPr>
        <w:numPr>
          <w:ilvl w:val="0"/>
          <w:numId w:val="6"/>
        </w:numPr>
        <w:adjustRightInd w:val="0"/>
        <w:spacing w:line="360" w:lineRule="auto"/>
        <w:jc w:val="left"/>
        <w:rPr>
          <w:rFonts w:ascii="宋体" w:hAnsi="宋体" w:eastAsia="宋体"/>
          <w:sz w:val="24"/>
          <w:szCs w:val="24"/>
        </w:rPr>
      </w:pPr>
      <w:r>
        <w:rPr>
          <w:rFonts w:hint="eastAsia" w:ascii="宋体" w:hAnsi="宋体" w:eastAsia="宋体"/>
          <w:sz w:val="24"/>
          <w:szCs w:val="24"/>
        </w:rPr>
        <w:t>到用户现场了解、跟踪用户的具体设备工艺、进水水质和运行情况，做好相关记录，并在服务报告中体现。</w:t>
      </w:r>
      <w:r>
        <w:rPr>
          <w:rFonts w:hint="eastAsia" w:ascii="宋体" w:hAnsi="宋体" w:eastAsia="宋体"/>
          <w:b/>
          <w:bCs/>
          <w:sz w:val="24"/>
          <w:szCs w:val="24"/>
        </w:rPr>
        <w:t>水质发生变化时，报价人派遣的技术人员应能及时根据水质情况对加药方案进行调整，并以书面形式提供给采购人及用户。</w:t>
      </w:r>
    </w:p>
    <w:p w14:paraId="41301E9A">
      <w:pPr>
        <w:spacing w:line="360" w:lineRule="auto"/>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）必须负责提供反渗透系统在原用药品切换至新药品时初期现场的调试服务工作，解决好调试过程中出现的问题，做好过程记录，并提交书面材料至用户及采购人。</w:t>
      </w:r>
    </w:p>
    <w:p w14:paraId="5ADA5EC9">
      <w:pPr>
        <w:spacing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）应做到</w:t>
      </w:r>
      <w:r>
        <w:rPr>
          <w:rFonts w:hint="eastAsia" w:ascii="宋体" w:hAnsi="宋体" w:eastAsia="宋体"/>
          <w:b/>
          <w:bCs/>
          <w:sz w:val="24"/>
          <w:szCs w:val="24"/>
        </w:rPr>
        <w:t>至少每季度</w:t>
      </w:r>
      <w:r>
        <w:rPr>
          <w:rFonts w:hint="eastAsia" w:ascii="宋体" w:hAnsi="宋体" w:eastAsia="宋体"/>
          <w:sz w:val="24"/>
          <w:szCs w:val="24"/>
        </w:rPr>
        <w:t>对系统进行现场回访，对系统可能出现的问题及时做出预判，给用户提供合理建议。</w:t>
      </w:r>
    </w:p>
    <w:p w14:paraId="24F4B2FC">
      <w:pPr>
        <w:spacing w:line="360" w:lineRule="auto"/>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）当用户需要对反渗透系统进行清洗时，应在规定的时间内到达现场，提前做好非氧化性杀菌剂清洗方案，过程中做好相应数据记录。</w:t>
      </w:r>
    </w:p>
    <w:p w14:paraId="7B034C5F">
      <w:pPr>
        <w:spacing w:line="360" w:lineRule="auto"/>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）负责解答和处理涉及所供药品的一切技术和商务问题；保持电话畅通，可随时联系；负责解决现场突发技术难题，当用户现场确实有需要时，需要在</w:t>
      </w:r>
      <w:r>
        <w:rPr>
          <w:rFonts w:ascii="宋体" w:hAnsi="宋体" w:eastAsia="宋体"/>
          <w:sz w:val="24"/>
          <w:szCs w:val="24"/>
        </w:rPr>
        <w:t>48</w:t>
      </w:r>
      <w:r>
        <w:rPr>
          <w:rFonts w:hint="eastAsia" w:ascii="宋体" w:hAnsi="宋体" w:eastAsia="宋体"/>
          <w:sz w:val="24"/>
          <w:szCs w:val="24"/>
        </w:rPr>
        <w:t>小时内及时到场解决问题；负责用户现场调试、加药操作指导工作；负责提供每系统每年不少于</w:t>
      </w:r>
      <w:r>
        <w:rPr>
          <w:rFonts w:ascii="宋体" w:hAnsi="宋体" w:eastAsia="宋体"/>
          <w:sz w:val="24"/>
          <w:szCs w:val="24"/>
        </w:rPr>
        <w:t>4</w:t>
      </w:r>
      <w:r>
        <w:rPr>
          <w:rFonts w:hint="eastAsia" w:ascii="宋体" w:hAnsi="宋体" w:eastAsia="宋体"/>
          <w:sz w:val="24"/>
          <w:szCs w:val="24"/>
        </w:rPr>
        <w:t>次的现场服务回访工作，负责对项目药品使用效果等进行监测、统计和分析。若报价人需要更换人员时，必须经用户和采购人同意后才可进行。</w:t>
      </w:r>
    </w:p>
    <w:p w14:paraId="18208114">
      <w:pPr>
        <w:spacing w:line="360" w:lineRule="auto"/>
        <w:rPr>
          <w:rFonts w:ascii="宋体" w:hAnsi="宋体" w:eastAsia="宋体"/>
          <w:sz w:val="24"/>
          <w:szCs w:val="24"/>
        </w:rPr>
      </w:pPr>
      <w:r>
        <w:rPr>
          <w:rFonts w:ascii="宋体" w:hAnsi="宋体" w:eastAsia="宋体"/>
          <w:sz w:val="24"/>
          <w:szCs w:val="24"/>
        </w:rPr>
        <w:t>6</w:t>
      </w:r>
      <w:r>
        <w:rPr>
          <w:rFonts w:hint="eastAsia" w:ascii="宋体" w:hAnsi="宋体" w:eastAsia="宋体"/>
          <w:sz w:val="24"/>
          <w:szCs w:val="24"/>
        </w:rPr>
        <w:t>）必须及时参与采购人或用户组织的相关质量、效果检查评定等工作，发现问题，必须及时、主动、有效地解决。</w:t>
      </w:r>
    </w:p>
    <w:p w14:paraId="630C498A">
      <w:pPr>
        <w:spacing w:line="360" w:lineRule="auto"/>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）如有需要，应根据采购人或用户给定的水质和工况，提供所供产品的性能分析报告，详述试验条件、试验仪器及药品、试验操作步骤、试验现象及结果、相关计算书等。</w:t>
      </w:r>
    </w:p>
    <w:p w14:paraId="63C8A154">
      <w:pPr>
        <w:spacing w:line="360" w:lineRule="auto"/>
        <w:rPr>
          <w:rFonts w:ascii="宋体" w:hAnsi="宋体" w:eastAsia="宋体"/>
          <w:sz w:val="24"/>
          <w:szCs w:val="24"/>
        </w:rPr>
      </w:pPr>
      <w:r>
        <w:rPr>
          <w:rFonts w:ascii="宋体" w:hAnsi="宋体" w:eastAsia="宋体"/>
          <w:sz w:val="24"/>
          <w:szCs w:val="24"/>
        </w:rPr>
        <w:t>8</w:t>
      </w:r>
      <w:r>
        <w:rPr>
          <w:rFonts w:hint="eastAsia" w:ascii="宋体" w:hAnsi="宋体" w:eastAsia="宋体"/>
          <w:sz w:val="24"/>
          <w:szCs w:val="24"/>
        </w:rPr>
        <w:t>）报价人有责任无偿、主动为采购人和用户定期提供技术培训，培训的时间、人数、地点等具体内容由三方商定。</w:t>
      </w:r>
    </w:p>
    <w:p w14:paraId="330BDB95">
      <w:pPr>
        <w:spacing w:line="360" w:lineRule="auto"/>
        <w:rPr>
          <w:rFonts w:ascii="宋体" w:hAnsi="宋体" w:eastAsia="宋体"/>
          <w:sz w:val="24"/>
          <w:szCs w:val="24"/>
        </w:rPr>
      </w:pPr>
      <w:r>
        <w:rPr>
          <w:rFonts w:ascii="宋体" w:hAnsi="宋体" w:eastAsia="宋体"/>
          <w:sz w:val="24"/>
          <w:szCs w:val="24"/>
        </w:rPr>
        <w:t>5.1.6</w:t>
      </w:r>
      <w:r>
        <w:rPr>
          <w:rFonts w:hint="eastAsia" w:ascii="宋体" w:hAnsi="宋体" w:eastAsia="宋体"/>
          <w:sz w:val="24"/>
          <w:szCs w:val="24"/>
        </w:rPr>
        <w:t>报价人有义务无偿为采购人及用户提供关于产品的到货验收、使用、性能方面的技术指导。针对产品使用过程中出现的问题，报价人必须积极制定技术改进方案和措施。</w:t>
      </w:r>
    </w:p>
    <w:p w14:paraId="75477E4A">
      <w:pPr>
        <w:spacing w:line="360" w:lineRule="auto"/>
        <w:outlineLvl w:val="1"/>
        <w:rPr>
          <w:rFonts w:ascii="宋体" w:hAnsi="宋体" w:eastAsia="宋体"/>
          <w:b/>
          <w:sz w:val="24"/>
          <w:szCs w:val="24"/>
        </w:rPr>
      </w:pPr>
      <w:r>
        <w:rPr>
          <w:rFonts w:ascii="宋体" w:hAnsi="宋体" w:eastAsia="宋体"/>
          <w:b/>
          <w:sz w:val="24"/>
          <w:szCs w:val="24"/>
        </w:rPr>
        <w:t xml:space="preserve">5.2 </w:t>
      </w:r>
      <w:r>
        <w:rPr>
          <w:rFonts w:hint="eastAsia" w:ascii="宋体" w:hAnsi="宋体" w:eastAsia="宋体"/>
          <w:b/>
          <w:sz w:val="24"/>
          <w:szCs w:val="24"/>
        </w:rPr>
        <w:t>生产及出厂检验</w:t>
      </w:r>
    </w:p>
    <w:p w14:paraId="246A008D">
      <w:pPr>
        <w:spacing w:line="360" w:lineRule="auto"/>
        <w:ind w:firstLine="480" w:firstLineChars="200"/>
        <w:rPr>
          <w:rFonts w:ascii="宋体" w:hAnsi="宋体" w:eastAsia="宋体"/>
          <w:sz w:val="24"/>
          <w:szCs w:val="24"/>
        </w:rPr>
      </w:pPr>
      <w:r>
        <w:rPr>
          <w:rFonts w:hint="eastAsia" w:ascii="宋体" w:hAnsi="宋体" w:eastAsia="宋体"/>
          <w:sz w:val="24"/>
          <w:szCs w:val="24"/>
        </w:rPr>
        <w:t>报价人在正常生产情况下，由报价人的质量监督检验部门按国家相关标准</w:t>
      </w:r>
      <w:r>
        <w:rPr>
          <w:rFonts w:ascii="宋体" w:hAnsi="宋体" w:eastAsia="宋体"/>
          <w:sz w:val="24"/>
          <w:szCs w:val="24"/>
        </w:rPr>
        <w:t>/</w:t>
      </w:r>
      <w:r>
        <w:rPr>
          <w:rFonts w:hint="eastAsia" w:ascii="宋体" w:hAnsi="宋体" w:eastAsia="宋体"/>
          <w:sz w:val="24"/>
          <w:szCs w:val="24"/>
        </w:rPr>
        <w:t>规范的规定，对产品的所有指标项目进行出厂检验，且应逐批检验。报价人保证提供的产品符合相关标准</w:t>
      </w:r>
      <w:r>
        <w:rPr>
          <w:rFonts w:ascii="宋体" w:hAnsi="宋体" w:eastAsia="宋体"/>
          <w:sz w:val="24"/>
          <w:szCs w:val="24"/>
        </w:rPr>
        <w:t>/</w:t>
      </w:r>
      <w:r>
        <w:rPr>
          <w:rFonts w:hint="eastAsia" w:ascii="宋体" w:hAnsi="宋体" w:eastAsia="宋体"/>
          <w:sz w:val="24"/>
          <w:szCs w:val="24"/>
        </w:rPr>
        <w:t>规范和本技术</w:t>
      </w:r>
      <w:r>
        <w:rPr>
          <w:rFonts w:hint="eastAsia" w:ascii="宋体" w:hAnsi="宋体" w:eastAsia="宋体"/>
          <w:bCs/>
          <w:sz w:val="24"/>
          <w:szCs w:val="24"/>
        </w:rPr>
        <w:t>协议书</w:t>
      </w:r>
      <w:r>
        <w:rPr>
          <w:rFonts w:hint="eastAsia" w:ascii="宋体" w:hAnsi="宋体" w:eastAsia="宋体"/>
          <w:sz w:val="24"/>
          <w:szCs w:val="24"/>
        </w:rPr>
        <w:t>的要求。</w:t>
      </w:r>
    </w:p>
    <w:p w14:paraId="68A87F5E">
      <w:pPr>
        <w:spacing w:line="360" w:lineRule="auto"/>
        <w:outlineLvl w:val="1"/>
        <w:rPr>
          <w:rFonts w:ascii="宋体" w:hAnsi="宋体" w:eastAsia="宋体"/>
          <w:b/>
          <w:sz w:val="24"/>
          <w:szCs w:val="24"/>
        </w:rPr>
      </w:pPr>
      <w:r>
        <w:rPr>
          <w:rFonts w:ascii="宋体" w:hAnsi="宋体" w:eastAsia="宋体"/>
          <w:b/>
          <w:sz w:val="24"/>
          <w:szCs w:val="24"/>
        </w:rPr>
        <w:t>5.3</w:t>
      </w:r>
      <w:r>
        <w:rPr>
          <w:rFonts w:hint="eastAsia" w:ascii="宋体" w:hAnsi="宋体" w:eastAsia="宋体"/>
          <w:b/>
          <w:sz w:val="24"/>
          <w:szCs w:val="24"/>
        </w:rPr>
        <w:t>到货验收</w:t>
      </w:r>
    </w:p>
    <w:p w14:paraId="698FE968">
      <w:pPr>
        <w:pStyle w:val="28"/>
        <w:widowControl/>
        <w:tabs>
          <w:tab w:val="left" w:pos="567"/>
          <w:tab w:val="left" w:pos="5520"/>
        </w:tabs>
        <w:autoSpaceDE w:val="0"/>
        <w:autoSpaceDN w:val="0"/>
        <w:spacing w:line="360" w:lineRule="auto"/>
        <w:textAlignment w:val="bottom"/>
        <w:rPr>
          <w:rFonts w:eastAsia="宋体"/>
          <w:szCs w:val="24"/>
        </w:rPr>
      </w:pPr>
      <w:r>
        <w:rPr>
          <w:rFonts w:eastAsia="宋体"/>
          <w:szCs w:val="24"/>
        </w:rPr>
        <w:t>5.3.1</w:t>
      </w:r>
      <w:r>
        <w:rPr>
          <w:rFonts w:hint="eastAsia" w:eastAsia="宋体"/>
          <w:szCs w:val="24"/>
        </w:rPr>
        <w:t>在采购人或用户提出用货需求时，报价人应在发货前将产品出厂检测报告扫描或传真至采购人，经采购人确认同意后才可发货。</w:t>
      </w:r>
    </w:p>
    <w:p w14:paraId="2068C2C0">
      <w:pPr>
        <w:pStyle w:val="28"/>
        <w:widowControl/>
        <w:tabs>
          <w:tab w:val="left" w:pos="567"/>
          <w:tab w:val="left" w:pos="5520"/>
        </w:tabs>
        <w:autoSpaceDE w:val="0"/>
        <w:autoSpaceDN w:val="0"/>
        <w:spacing w:line="360" w:lineRule="auto"/>
        <w:textAlignment w:val="bottom"/>
        <w:rPr>
          <w:rFonts w:eastAsia="宋体"/>
          <w:szCs w:val="24"/>
        </w:rPr>
      </w:pPr>
      <w:r>
        <w:rPr>
          <w:rFonts w:eastAsia="宋体"/>
          <w:szCs w:val="24"/>
        </w:rPr>
        <w:t>5.3.2</w:t>
      </w:r>
      <w:r>
        <w:rPr>
          <w:rFonts w:hint="eastAsia" w:eastAsia="宋体"/>
          <w:szCs w:val="24"/>
        </w:rPr>
        <w:t>货物到达现场后，现场具备过磅条件的，报价人应主动要求进行过磅核实送货重量，并以过磅单上数据为最终结算依据。过磅单上应有用户接收人的签名，报价人不得代签或仿冒。现场不具备过磅条件的，以有用户接收人签名的送货清单为最终结算依据。</w:t>
      </w:r>
    </w:p>
    <w:p w14:paraId="54683C5A">
      <w:pPr>
        <w:pStyle w:val="28"/>
        <w:widowControl/>
        <w:tabs>
          <w:tab w:val="left" w:pos="567"/>
          <w:tab w:val="left" w:pos="5520"/>
        </w:tabs>
        <w:autoSpaceDE w:val="0"/>
        <w:autoSpaceDN w:val="0"/>
        <w:spacing w:line="360" w:lineRule="auto"/>
        <w:textAlignment w:val="bottom"/>
        <w:rPr>
          <w:rFonts w:eastAsia="宋体"/>
          <w:szCs w:val="24"/>
        </w:rPr>
      </w:pPr>
      <w:r>
        <w:rPr>
          <w:rFonts w:eastAsia="宋体"/>
          <w:szCs w:val="24"/>
        </w:rPr>
        <w:t>5.3.3</w:t>
      </w:r>
      <w:r>
        <w:rPr>
          <w:rFonts w:hint="eastAsia" w:eastAsia="宋体"/>
          <w:szCs w:val="24"/>
        </w:rPr>
        <w:t>采购人或用户有权对报价人的供货产品进行到货抽检，采样按照</w:t>
      </w:r>
      <w:r>
        <w:rPr>
          <w:rFonts w:eastAsia="宋体"/>
          <w:szCs w:val="24"/>
        </w:rPr>
        <w:t>GB/T 6678</w:t>
      </w:r>
      <w:r>
        <w:rPr>
          <w:rFonts w:hint="eastAsia" w:eastAsia="宋体"/>
          <w:szCs w:val="24"/>
        </w:rPr>
        <w:t>《化工产品采样总则》的规定进行。检验结果中如有一项指标不符合本技术</w:t>
      </w:r>
      <w:r>
        <w:rPr>
          <w:rFonts w:hint="eastAsia" w:eastAsia="宋体"/>
          <w:bCs/>
          <w:szCs w:val="24"/>
        </w:rPr>
        <w:t>协议书</w:t>
      </w:r>
      <w:r>
        <w:rPr>
          <w:rFonts w:hint="eastAsia" w:eastAsia="宋体"/>
          <w:szCs w:val="24"/>
        </w:rPr>
        <w:t>的要求，则应重新自两倍量的包装单元中采样核验，核验结果有一项不符合国家标准要求的，则整批产品为不合格。</w:t>
      </w:r>
    </w:p>
    <w:p w14:paraId="0AB8B518">
      <w:pPr>
        <w:rPr>
          <w:rFonts w:ascii="宋体" w:hAnsi="宋体" w:eastAsia="宋体"/>
          <w:sz w:val="24"/>
          <w:szCs w:val="24"/>
        </w:rPr>
      </w:pPr>
    </w:p>
    <w:p w14:paraId="5C4483FA">
      <w:pPr>
        <w:spacing w:line="360" w:lineRule="auto"/>
        <w:outlineLvl w:val="1"/>
        <w:rPr>
          <w:rFonts w:ascii="宋体" w:hAnsi="宋体" w:eastAsia="宋体"/>
          <w:b/>
          <w:sz w:val="24"/>
          <w:szCs w:val="24"/>
        </w:rPr>
      </w:pPr>
      <w:r>
        <w:rPr>
          <w:rFonts w:ascii="宋体" w:hAnsi="宋体" w:eastAsia="宋体"/>
          <w:b/>
          <w:sz w:val="24"/>
          <w:szCs w:val="24"/>
        </w:rPr>
        <w:t>5.4</w:t>
      </w:r>
      <w:r>
        <w:rPr>
          <w:rFonts w:hint="eastAsia" w:ascii="宋体" w:hAnsi="宋体" w:eastAsia="宋体"/>
          <w:b/>
          <w:sz w:val="24"/>
          <w:szCs w:val="24"/>
        </w:rPr>
        <w:t>包装、装载、运输与储存</w:t>
      </w:r>
    </w:p>
    <w:p w14:paraId="035DF396">
      <w:pPr>
        <w:spacing w:line="360" w:lineRule="auto"/>
        <w:rPr>
          <w:rFonts w:ascii="宋体" w:hAnsi="宋体" w:eastAsia="宋体"/>
          <w:sz w:val="24"/>
          <w:szCs w:val="24"/>
        </w:rPr>
      </w:pPr>
      <w:r>
        <w:rPr>
          <w:rFonts w:ascii="宋体" w:hAnsi="宋体" w:eastAsia="宋体"/>
          <w:sz w:val="24"/>
          <w:szCs w:val="24"/>
        </w:rPr>
        <w:t>5.4.1</w:t>
      </w:r>
      <w:r>
        <w:rPr>
          <w:rFonts w:hint="eastAsia" w:ascii="宋体" w:hAnsi="宋体" w:eastAsia="宋体"/>
          <w:sz w:val="24"/>
          <w:szCs w:val="24"/>
        </w:rPr>
        <w:t>报价人保证交付的所有货物符合现行国家标准和本</w:t>
      </w:r>
      <w:r>
        <w:rPr>
          <w:rFonts w:hint="eastAsia" w:ascii="宋体" w:hAnsi="宋体" w:eastAsia="宋体"/>
          <w:bCs/>
          <w:sz w:val="24"/>
          <w:szCs w:val="24"/>
        </w:rPr>
        <w:t>协议书</w:t>
      </w:r>
      <w:r>
        <w:rPr>
          <w:rFonts w:hint="eastAsia" w:ascii="宋体" w:hAnsi="宋体" w:eastAsia="宋体"/>
          <w:sz w:val="24"/>
          <w:szCs w:val="24"/>
        </w:rPr>
        <w:t>中关于包装、储运指示标志的规定，具有适合长途运输、多次搬运和装卸的坚固包装，以确保货物安全、无损地抵达采购人指定地点。包装费、运保费、装卸费等由报价人负责。</w:t>
      </w:r>
    </w:p>
    <w:p w14:paraId="64421C03">
      <w:pPr>
        <w:spacing w:line="360" w:lineRule="auto"/>
        <w:rPr>
          <w:rFonts w:ascii="宋体" w:hAnsi="宋体" w:eastAsia="宋体"/>
          <w:sz w:val="24"/>
          <w:szCs w:val="24"/>
        </w:rPr>
      </w:pPr>
      <w:r>
        <w:rPr>
          <w:rFonts w:ascii="宋体" w:hAnsi="宋体" w:eastAsia="宋体"/>
          <w:sz w:val="24"/>
          <w:szCs w:val="24"/>
        </w:rPr>
        <w:t>5.4.2</w:t>
      </w:r>
      <w:r>
        <w:rPr>
          <w:rFonts w:hint="eastAsia" w:ascii="宋体" w:hAnsi="宋体" w:eastAsia="宋体"/>
          <w:sz w:val="24"/>
          <w:szCs w:val="24"/>
        </w:rPr>
        <w:t>产品在运输过程中应有遮盖物，避免雨淋、暴晒，并保持包装完整、标志清晰。不得与不同性质的物品、易燃品混运。</w:t>
      </w:r>
    </w:p>
    <w:p w14:paraId="5E38612D">
      <w:pPr>
        <w:spacing w:line="360" w:lineRule="auto"/>
        <w:rPr>
          <w:rFonts w:ascii="宋体" w:hAnsi="宋体" w:eastAsia="宋体"/>
          <w:sz w:val="24"/>
          <w:szCs w:val="24"/>
        </w:rPr>
      </w:pPr>
      <w:r>
        <w:rPr>
          <w:rFonts w:ascii="宋体" w:hAnsi="宋体" w:eastAsia="宋体"/>
          <w:sz w:val="24"/>
          <w:szCs w:val="24"/>
        </w:rPr>
        <w:t>5.4.3</w:t>
      </w:r>
      <w:r>
        <w:rPr>
          <w:rFonts w:hint="eastAsia" w:ascii="宋体" w:hAnsi="宋体" w:eastAsia="宋体"/>
          <w:sz w:val="24"/>
          <w:szCs w:val="24"/>
        </w:rPr>
        <w:t>报价人提供的产品外包装上有涂刷牢固清晰的标志，内容包括但不限于：生产厂名、商标、产品名称、净重、批号或生产日期、标准编号等。产品的外包装标识应符合</w:t>
      </w:r>
      <w:r>
        <w:rPr>
          <w:rFonts w:ascii="宋体" w:hAnsi="宋体" w:eastAsia="宋体"/>
          <w:sz w:val="24"/>
          <w:szCs w:val="24"/>
        </w:rPr>
        <w:t>GB/T 191</w:t>
      </w:r>
      <w:r>
        <w:rPr>
          <w:rFonts w:hint="eastAsia" w:ascii="宋体" w:hAnsi="宋体" w:eastAsia="宋体"/>
          <w:sz w:val="24"/>
          <w:szCs w:val="24"/>
        </w:rPr>
        <w:t>《包装储运图示标志》的要求。</w:t>
      </w:r>
    </w:p>
    <w:p w14:paraId="72C7E4F6">
      <w:pPr>
        <w:spacing w:line="360" w:lineRule="auto"/>
        <w:rPr>
          <w:rFonts w:ascii="宋体" w:hAnsi="宋体" w:eastAsia="宋体"/>
          <w:sz w:val="24"/>
          <w:szCs w:val="24"/>
        </w:rPr>
      </w:pPr>
      <w:r>
        <w:rPr>
          <w:rFonts w:ascii="宋体" w:hAnsi="宋体" w:eastAsia="宋体"/>
          <w:sz w:val="24"/>
          <w:szCs w:val="24"/>
        </w:rPr>
        <w:t>5.4.4</w:t>
      </w:r>
      <w:r>
        <w:rPr>
          <w:rFonts w:hint="eastAsia" w:ascii="宋体" w:hAnsi="宋体" w:eastAsia="宋体"/>
          <w:sz w:val="24"/>
          <w:szCs w:val="24"/>
        </w:rPr>
        <w:t>报价人运输到现场后，应按照用户要求的路线行驶，并负责</w:t>
      </w:r>
      <w:r>
        <w:rPr>
          <w:rFonts w:hint="eastAsia" w:ascii="宋体" w:hAnsi="宋体" w:eastAsia="宋体"/>
          <w:b/>
          <w:sz w:val="24"/>
          <w:szCs w:val="24"/>
        </w:rPr>
        <w:t>卸货</w:t>
      </w:r>
      <w:r>
        <w:rPr>
          <w:rFonts w:hint="eastAsia" w:ascii="宋体" w:hAnsi="宋体" w:eastAsia="宋体"/>
          <w:sz w:val="24"/>
          <w:szCs w:val="24"/>
        </w:rPr>
        <w:t>。</w:t>
      </w:r>
    </w:p>
    <w:p w14:paraId="2685F4EE">
      <w:pPr>
        <w:spacing w:line="360" w:lineRule="auto"/>
        <w:rPr>
          <w:rFonts w:ascii="宋体" w:hAnsi="宋体" w:eastAsia="宋体"/>
          <w:sz w:val="24"/>
          <w:szCs w:val="24"/>
        </w:rPr>
      </w:pPr>
      <w:r>
        <w:rPr>
          <w:rFonts w:ascii="宋体" w:hAnsi="宋体" w:eastAsia="宋体"/>
          <w:sz w:val="24"/>
          <w:szCs w:val="24"/>
        </w:rPr>
        <w:t>5.4.5</w:t>
      </w:r>
      <w:r>
        <w:rPr>
          <w:rFonts w:hint="eastAsia" w:ascii="宋体" w:hAnsi="宋体" w:eastAsia="宋体"/>
          <w:sz w:val="24"/>
          <w:szCs w:val="24"/>
        </w:rPr>
        <w:t>报价人保证产品到达之后数量和质量都符合要求，若在运输过程中产品出现丢失或泄漏、质量下降等情况，责任由报价人负责，同时尽快向采购人补供或更换质量合格货物以满足需要。</w:t>
      </w:r>
    </w:p>
    <w:p w14:paraId="66CF1D74">
      <w:pPr>
        <w:spacing w:line="360" w:lineRule="auto"/>
        <w:rPr>
          <w:rFonts w:ascii="宋体" w:hAnsi="宋体" w:eastAsia="宋体"/>
          <w:sz w:val="24"/>
          <w:szCs w:val="24"/>
        </w:rPr>
      </w:pPr>
      <w:r>
        <w:rPr>
          <w:rFonts w:ascii="宋体" w:hAnsi="宋体" w:eastAsia="宋体"/>
          <w:sz w:val="24"/>
          <w:szCs w:val="24"/>
        </w:rPr>
        <w:t>5.4.6</w:t>
      </w:r>
      <w:r>
        <w:rPr>
          <w:rFonts w:hint="eastAsia" w:ascii="宋体" w:hAnsi="宋体" w:eastAsia="宋体"/>
          <w:sz w:val="24"/>
          <w:szCs w:val="24"/>
        </w:rPr>
        <w:t>报价人提供产品的储存保管及使用注意事项说明。</w:t>
      </w:r>
    </w:p>
    <w:p w14:paraId="7839A75D">
      <w:pPr>
        <w:spacing w:line="360" w:lineRule="auto"/>
        <w:rPr>
          <w:rFonts w:ascii="宋体" w:hAnsi="宋体" w:eastAsia="宋体"/>
          <w:sz w:val="24"/>
          <w:szCs w:val="24"/>
        </w:rPr>
      </w:pPr>
      <w:r>
        <w:rPr>
          <w:rFonts w:ascii="宋体" w:hAnsi="宋体" w:eastAsia="宋体"/>
          <w:sz w:val="24"/>
          <w:szCs w:val="24"/>
        </w:rPr>
        <w:t>5.4.7</w:t>
      </w:r>
      <w:r>
        <w:rPr>
          <w:rFonts w:hint="eastAsia" w:ascii="宋体" w:hAnsi="宋体" w:eastAsia="宋体"/>
          <w:sz w:val="24"/>
          <w:szCs w:val="24"/>
        </w:rPr>
        <w:t>在合适的贮存运输条件下，报价人提供的产品的质保期不少于两年（从到货之日起）。</w:t>
      </w:r>
    </w:p>
    <w:p w14:paraId="619C1FAA">
      <w:pPr>
        <w:widowControl/>
        <w:rPr>
          <w:rFonts w:ascii="宋体" w:hAnsi="宋体" w:eastAsia="宋体"/>
          <w:sz w:val="24"/>
          <w:szCs w:val="24"/>
        </w:rPr>
        <w:sectPr>
          <w:pgSz w:w="11906" w:h="16838"/>
          <w:pgMar w:top="1134" w:right="1134" w:bottom="1134" w:left="1134" w:header="737" w:footer="737" w:gutter="0"/>
          <w:pgNumType w:start="1"/>
          <w:cols w:space="720" w:num="1"/>
          <w:docGrid w:type="linesAndChars" w:linePitch="326" w:charSpace="0"/>
        </w:sectPr>
      </w:pPr>
    </w:p>
    <w:p w14:paraId="20B7B33C">
      <w:pPr>
        <w:pStyle w:val="33"/>
        <w:spacing w:before="120" w:after="120" w:line="440" w:lineRule="atLeast"/>
        <w:rPr>
          <w:rFonts w:eastAsia="宋体"/>
          <w:sz w:val="24"/>
          <w:szCs w:val="24"/>
        </w:rPr>
      </w:pPr>
      <w:bookmarkStart w:id="47" w:name="_Toc399149792"/>
      <w:bookmarkStart w:id="48" w:name="_Toc527917829"/>
      <w:bookmarkStart w:id="49" w:name="_Toc1048256"/>
      <w:r>
        <w:rPr>
          <w:rFonts w:hint="eastAsia" w:eastAsia="宋体"/>
          <w:sz w:val="24"/>
          <w:szCs w:val="24"/>
        </w:rPr>
        <w:t>附件6</w:t>
      </w:r>
      <w:bookmarkEnd w:id="47"/>
      <w:bookmarkEnd w:id="48"/>
      <w:bookmarkStart w:id="50" w:name="_Toc528448519"/>
      <w:bookmarkStart w:id="51" w:name="_Toc394471052"/>
      <w:bookmarkStart w:id="52" w:name="_Toc286159475"/>
      <w:r>
        <w:rPr>
          <w:rFonts w:hint="eastAsia" w:eastAsia="宋体"/>
          <w:sz w:val="24"/>
          <w:szCs w:val="24"/>
        </w:rPr>
        <w:t>培训</w:t>
      </w:r>
      <w:bookmarkEnd w:id="49"/>
    </w:p>
    <w:p w14:paraId="7ACEC4EF">
      <w:pPr>
        <w:spacing w:line="360" w:lineRule="auto"/>
        <w:rPr>
          <w:rFonts w:ascii="宋体" w:hAnsi="宋体" w:eastAsia="宋体"/>
          <w:sz w:val="24"/>
          <w:szCs w:val="24"/>
        </w:rPr>
      </w:pPr>
      <w:r>
        <w:rPr>
          <w:rFonts w:ascii="宋体" w:hAnsi="宋体" w:eastAsia="宋体"/>
          <w:sz w:val="24"/>
          <w:szCs w:val="24"/>
        </w:rPr>
        <w:t>6.1</w:t>
      </w:r>
      <w:r>
        <w:rPr>
          <w:rFonts w:hint="eastAsia" w:ascii="宋体" w:hAnsi="宋体" w:eastAsia="宋体"/>
          <w:sz w:val="24"/>
          <w:szCs w:val="24"/>
        </w:rPr>
        <w:t>为使反渗透系统能正常运行，报价人有责任主动提供相应的技术培训。培训内容应与采购进度相一致。</w:t>
      </w:r>
    </w:p>
    <w:p w14:paraId="7AFD111E">
      <w:pPr>
        <w:spacing w:line="360" w:lineRule="auto"/>
        <w:rPr>
          <w:rFonts w:ascii="宋体" w:hAnsi="宋体" w:eastAsia="宋体"/>
          <w:sz w:val="24"/>
          <w:szCs w:val="24"/>
        </w:rPr>
      </w:pPr>
      <w:r>
        <w:rPr>
          <w:rFonts w:ascii="宋体" w:hAnsi="宋体" w:eastAsia="宋体"/>
          <w:sz w:val="24"/>
          <w:szCs w:val="24"/>
        </w:rPr>
        <w:t>6.2</w:t>
      </w:r>
      <w:r>
        <w:rPr>
          <w:rFonts w:hint="eastAsia" w:ascii="宋体" w:hAnsi="宋体" w:eastAsia="宋体"/>
          <w:sz w:val="24"/>
          <w:szCs w:val="24"/>
        </w:rPr>
        <w:t>培训计划和内容由报价人在投标文件中列出（格式如下）。</w:t>
      </w:r>
    </w:p>
    <w:tbl>
      <w:tblPr>
        <w:tblStyle w:val="1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68"/>
        <w:gridCol w:w="2380"/>
        <w:gridCol w:w="1820"/>
        <w:gridCol w:w="1020"/>
        <w:gridCol w:w="1020"/>
        <w:gridCol w:w="1320"/>
        <w:gridCol w:w="887"/>
      </w:tblGrid>
      <w:tr w14:paraId="50ACA5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restart"/>
            <w:tcBorders>
              <w:top w:val="single" w:color="auto" w:sz="6" w:space="0"/>
              <w:left w:val="single" w:color="auto" w:sz="6" w:space="0"/>
              <w:bottom w:val="single" w:color="auto" w:sz="6" w:space="0"/>
              <w:right w:val="nil"/>
            </w:tcBorders>
            <w:vAlign w:val="center"/>
          </w:tcPr>
          <w:p w14:paraId="73A5B929">
            <w:pPr>
              <w:adjustRightInd w:val="0"/>
              <w:spacing w:line="360" w:lineRule="auto"/>
              <w:jc w:val="center"/>
              <w:rPr>
                <w:rFonts w:ascii="宋体" w:hAnsi="宋体" w:eastAsia="宋体"/>
                <w:b/>
                <w:sz w:val="24"/>
                <w:szCs w:val="24"/>
              </w:rPr>
            </w:pPr>
            <w:r>
              <w:rPr>
                <w:rFonts w:hint="eastAsia" w:ascii="宋体" w:hAnsi="宋体" w:eastAsia="宋体"/>
                <w:b/>
                <w:sz w:val="24"/>
                <w:szCs w:val="24"/>
              </w:rPr>
              <w:t>序号</w:t>
            </w:r>
          </w:p>
        </w:tc>
        <w:tc>
          <w:tcPr>
            <w:tcW w:w="2380" w:type="dxa"/>
            <w:vMerge w:val="restart"/>
            <w:tcBorders>
              <w:top w:val="single" w:color="auto" w:sz="6" w:space="0"/>
              <w:left w:val="single" w:color="auto" w:sz="6" w:space="0"/>
              <w:bottom w:val="single" w:color="auto" w:sz="6" w:space="0"/>
              <w:right w:val="nil"/>
            </w:tcBorders>
            <w:vAlign w:val="center"/>
          </w:tcPr>
          <w:p w14:paraId="310E1276">
            <w:pPr>
              <w:adjustRightInd w:val="0"/>
              <w:spacing w:line="360" w:lineRule="auto"/>
              <w:jc w:val="center"/>
              <w:rPr>
                <w:rFonts w:ascii="宋体" w:hAnsi="宋体" w:eastAsia="宋体"/>
                <w:b/>
                <w:sz w:val="24"/>
                <w:szCs w:val="24"/>
              </w:rPr>
            </w:pPr>
            <w:r>
              <w:rPr>
                <w:rFonts w:hint="eastAsia" w:ascii="宋体" w:hAnsi="宋体" w:eastAsia="宋体"/>
                <w:b/>
                <w:sz w:val="24"/>
                <w:szCs w:val="24"/>
              </w:rPr>
              <w:t>培训内容</w:t>
            </w:r>
          </w:p>
        </w:tc>
        <w:tc>
          <w:tcPr>
            <w:tcW w:w="1820" w:type="dxa"/>
            <w:vMerge w:val="restart"/>
            <w:tcBorders>
              <w:top w:val="single" w:color="auto" w:sz="6" w:space="0"/>
              <w:left w:val="single" w:color="auto" w:sz="6" w:space="0"/>
              <w:bottom w:val="single" w:color="auto" w:sz="6" w:space="0"/>
              <w:right w:val="single" w:color="auto" w:sz="6" w:space="0"/>
            </w:tcBorders>
            <w:vAlign w:val="center"/>
          </w:tcPr>
          <w:p w14:paraId="752B5968">
            <w:pPr>
              <w:adjustRightInd w:val="0"/>
              <w:spacing w:line="360" w:lineRule="auto"/>
              <w:jc w:val="center"/>
              <w:rPr>
                <w:rFonts w:ascii="宋体" w:hAnsi="宋体" w:eastAsia="宋体"/>
                <w:b/>
                <w:sz w:val="24"/>
                <w:szCs w:val="24"/>
              </w:rPr>
            </w:pPr>
            <w:r>
              <w:rPr>
                <w:rFonts w:hint="eastAsia" w:ascii="宋体" w:hAnsi="宋体" w:eastAsia="宋体"/>
                <w:b/>
                <w:sz w:val="24"/>
                <w:szCs w:val="24"/>
              </w:rPr>
              <w:t>计划人月数</w:t>
            </w:r>
          </w:p>
        </w:tc>
        <w:tc>
          <w:tcPr>
            <w:tcW w:w="2040" w:type="dxa"/>
            <w:gridSpan w:val="2"/>
            <w:tcBorders>
              <w:top w:val="single" w:color="auto" w:sz="6" w:space="0"/>
              <w:left w:val="nil"/>
              <w:bottom w:val="single" w:color="auto" w:sz="6" w:space="0"/>
              <w:right w:val="nil"/>
            </w:tcBorders>
            <w:vAlign w:val="center"/>
          </w:tcPr>
          <w:p w14:paraId="31EB19C9">
            <w:pPr>
              <w:adjustRightInd w:val="0"/>
              <w:spacing w:line="360" w:lineRule="auto"/>
              <w:jc w:val="center"/>
              <w:rPr>
                <w:rFonts w:ascii="宋体" w:hAnsi="宋体" w:eastAsia="宋体"/>
                <w:b/>
                <w:sz w:val="24"/>
                <w:szCs w:val="24"/>
              </w:rPr>
            </w:pPr>
            <w:r>
              <w:rPr>
                <w:rFonts w:hint="eastAsia" w:ascii="宋体" w:hAnsi="宋体" w:eastAsia="宋体"/>
                <w:b/>
                <w:sz w:val="24"/>
                <w:szCs w:val="24"/>
              </w:rPr>
              <w:t>培训教师构成</w:t>
            </w:r>
          </w:p>
        </w:tc>
        <w:tc>
          <w:tcPr>
            <w:tcW w:w="1320" w:type="dxa"/>
            <w:vMerge w:val="restart"/>
            <w:tcBorders>
              <w:top w:val="single" w:color="auto" w:sz="6" w:space="0"/>
              <w:left w:val="single" w:color="auto" w:sz="6" w:space="0"/>
              <w:bottom w:val="single" w:color="auto" w:sz="6" w:space="0"/>
              <w:right w:val="nil"/>
            </w:tcBorders>
            <w:vAlign w:val="center"/>
          </w:tcPr>
          <w:p w14:paraId="3875DC2C">
            <w:pPr>
              <w:adjustRightInd w:val="0"/>
              <w:spacing w:line="360" w:lineRule="auto"/>
              <w:jc w:val="center"/>
              <w:rPr>
                <w:rFonts w:ascii="宋体" w:hAnsi="宋体" w:eastAsia="宋体"/>
                <w:b/>
                <w:sz w:val="24"/>
                <w:szCs w:val="24"/>
              </w:rPr>
            </w:pPr>
            <w:r>
              <w:rPr>
                <w:rFonts w:hint="eastAsia" w:ascii="宋体" w:hAnsi="宋体" w:eastAsia="宋体"/>
                <w:b/>
                <w:sz w:val="24"/>
                <w:szCs w:val="24"/>
              </w:rPr>
              <w:t>地点</w:t>
            </w:r>
          </w:p>
        </w:tc>
        <w:tc>
          <w:tcPr>
            <w:tcW w:w="887" w:type="dxa"/>
            <w:vMerge w:val="restart"/>
            <w:tcBorders>
              <w:top w:val="single" w:color="auto" w:sz="6" w:space="0"/>
              <w:left w:val="single" w:color="auto" w:sz="6" w:space="0"/>
              <w:bottom w:val="single" w:color="auto" w:sz="6" w:space="0"/>
              <w:right w:val="single" w:color="auto" w:sz="6" w:space="0"/>
            </w:tcBorders>
            <w:vAlign w:val="center"/>
          </w:tcPr>
          <w:p w14:paraId="6C0DA6FD">
            <w:pPr>
              <w:adjustRightInd w:val="0"/>
              <w:spacing w:line="360" w:lineRule="auto"/>
              <w:jc w:val="center"/>
              <w:rPr>
                <w:rFonts w:ascii="宋体" w:hAnsi="宋体" w:eastAsia="宋体"/>
                <w:b/>
                <w:sz w:val="24"/>
                <w:szCs w:val="24"/>
              </w:rPr>
            </w:pPr>
            <w:r>
              <w:rPr>
                <w:rFonts w:hint="eastAsia" w:ascii="宋体" w:hAnsi="宋体" w:eastAsia="宋体"/>
                <w:b/>
                <w:sz w:val="24"/>
                <w:szCs w:val="24"/>
              </w:rPr>
              <w:t>备注</w:t>
            </w:r>
          </w:p>
        </w:tc>
      </w:tr>
      <w:tr w14:paraId="5E728D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868" w:type="dxa"/>
            <w:vMerge w:val="continue"/>
            <w:tcBorders>
              <w:top w:val="single" w:color="auto" w:sz="6" w:space="0"/>
              <w:left w:val="single" w:color="auto" w:sz="6" w:space="0"/>
              <w:bottom w:val="single" w:color="auto" w:sz="6" w:space="0"/>
              <w:right w:val="nil"/>
            </w:tcBorders>
            <w:vAlign w:val="center"/>
          </w:tcPr>
          <w:p w14:paraId="578CDD41">
            <w:pPr>
              <w:widowControl/>
              <w:rPr>
                <w:rFonts w:ascii="宋体" w:hAnsi="宋体" w:eastAsia="宋体"/>
                <w:b/>
                <w:sz w:val="24"/>
                <w:szCs w:val="24"/>
              </w:rPr>
            </w:pPr>
          </w:p>
        </w:tc>
        <w:tc>
          <w:tcPr>
            <w:tcW w:w="2380" w:type="dxa"/>
            <w:vMerge w:val="continue"/>
            <w:tcBorders>
              <w:top w:val="single" w:color="auto" w:sz="6" w:space="0"/>
              <w:left w:val="single" w:color="auto" w:sz="6" w:space="0"/>
              <w:bottom w:val="single" w:color="auto" w:sz="6" w:space="0"/>
              <w:right w:val="nil"/>
            </w:tcBorders>
            <w:vAlign w:val="center"/>
          </w:tcPr>
          <w:p w14:paraId="21A490B8">
            <w:pPr>
              <w:widowControl/>
              <w:rPr>
                <w:rFonts w:ascii="宋体" w:hAnsi="宋体" w:eastAsia="宋体"/>
                <w:b/>
                <w:sz w:val="24"/>
                <w:szCs w:val="24"/>
              </w:rPr>
            </w:pPr>
          </w:p>
        </w:tc>
        <w:tc>
          <w:tcPr>
            <w:tcW w:w="1820" w:type="dxa"/>
            <w:vMerge w:val="continue"/>
            <w:tcBorders>
              <w:top w:val="single" w:color="auto" w:sz="6" w:space="0"/>
              <w:left w:val="single" w:color="auto" w:sz="6" w:space="0"/>
              <w:bottom w:val="single" w:color="auto" w:sz="6" w:space="0"/>
              <w:right w:val="single" w:color="auto" w:sz="6" w:space="0"/>
            </w:tcBorders>
            <w:vAlign w:val="center"/>
          </w:tcPr>
          <w:p w14:paraId="2423F14C">
            <w:pPr>
              <w:widowControl/>
              <w:rPr>
                <w:rFonts w:ascii="宋体" w:hAnsi="宋体" w:eastAsia="宋体"/>
                <w:b/>
                <w:sz w:val="24"/>
                <w:szCs w:val="24"/>
              </w:rPr>
            </w:pPr>
          </w:p>
        </w:tc>
        <w:tc>
          <w:tcPr>
            <w:tcW w:w="1020" w:type="dxa"/>
            <w:tcBorders>
              <w:top w:val="nil"/>
              <w:left w:val="nil"/>
              <w:bottom w:val="single" w:color="000000" w:sz="6" w:space="0"/>
              <w:right w:val="single" w:color="000000" w:sz="6" w:space="0"/>
            </w:tcBorders>
            <w:vAlign w:val="center"/>
          </w:tcPr>
          <w:p w14:paraId="447B87F8">
            <w:pPr>
              <w:adjustRightInd w:val="0"/>
              <w:spacing w:line="360" w:lineRule="auto"/>
              <w:jc w:val="center"/>
              <w:rPr>
                <w:rFonts w:ascii="宋体" w:hAnsi="宋体" w:eastAsia="宋体"/>
                <w:b/>
                <w:sz w:val="24"/>
                <w:szCs w:val="24"/>
              </w:rPr>
            </w:pPr>
            <w:r>
              <w:rPr>
                <w:rFonts w:hint="eastAsia" w:ascii="宋体" w:hAnsi="宋体" w:eastAsia="宋体"/>
                <w:b/>
                <w:sz w:val="24"/>
                <w:szCs w:val="24"/>
              </w:rPr>
              <w:t>职称</w:t>
            </w:r>
          </w:p>
        </w:tc>
        <w:tc>
          <w:tcPr>
            <w:tcW w:w="1020" w:type="dxa"/>
            <w:tcBorders>
              <w:top w:val="nil"/>
              <w:left w:val="single" w:color="000000" w:sz="6" w:space="0"/>
              <w:bottom w:val="single" w:color="000000" w:sz="6" w:space="0"/>
              <w:right w:val="nil"/>
            </w:tcBorders>
            <w:vAlign w:val="center"/>
          </w:tcPr>
          <w:p w14:paraId="1CBF7A8D">
            <w:pPr>
              <w:adjustRightInd w:val="0"/>
              <w:spacing w:line="360" w:lineRule="auto"/>
              <w:jc w:val="center"/>
              <w:rPr>
                <w:rFonts w:ascii="宋体" w:hAnsi="宋体" w:eastAsia="宋体"/>
                <w:b/>
                <w:sz w:val="24"/>
                <w:szCs w:val="24"/>
              </w:rPr>
            </w:pPr>
            <w:r>
              <w:rPr>
                <w:rFonts w:hint="eastAsia" w:ascii="宋体" w:hAnsi="宋体" w:eastAsia="宋体"/>
                <w:b/>
                <w:sz w:val="24"/>
                <w:szCs w:val="24"/>
              </w:rPr>
              <w:t>人数</w:t>
            </w:r>
          </w:p>
        </w:tc>
        <w:tc>
          <w:tcPr>
            <w:tcW w:w="1320" w:type="dxa"/>
            <w:vMerge w:val="continue"/>
            <w:tcBorders>
              <w:top w:val="single" w:color="auto" w:sz="6" w:space="0"/>
              <w:left w:val="single" w:color="auto" w:sz="6" w:space="0"/>
              <w:bottom w:val="single" w:color="auto" w:sz="6" w:space="0"/>
              <w:right w:val="nil"/>
            </w:tcBorders>
            <w:vAlign w:val="center"/>
          </w:tcPr>
          <w:p w14:paraId="2A9FA0A6">
            <w:pPr>
              <w:widowControl/>
              <w:rPr>
                <w:rFonts w:ascii="宋体" w:hAnsi="宋体" w:eastAsia="宋体"/>
                <w:b/>
                <w:sz w:val="24"/>
                <w:szCs w:val="24"/>
              </w:rPr>
            </w:pPr>
          </w:p>
        </w:tc>
        <w:tc>
          <w:tcPr>
            <w:tcW w:w="887" w:type="dxa"/>
            <w:vMerge w:val="continue"/>
            <w:tcBorders>
              <w:top w:val="single" w:color="auto" w:sz="6" w:space="0"/>
              <w:left w:val="single" w:color="auto" w:sz="6" w:space="0"/>
              <w:bottom w:val="single" w:color="auto" w:sz="6" w:space="0"/>
              <w:right w:val="single" w:color="auto" w:sz="6" w:space="0"/>
            </w:tcBorders>
            <w:vAlign w:val="center"/>
          </w:tcPr>
          <w:p w14:paraId="0AE9A9F8">
            <w:pPr>
              <w:widowControl/>
              <w:rPr>
                <w:rFonts w:ascii="宋体" w:hAnsi="宋体" w:eastAsia="宋体"/>
                <w:b/>
                <w:sz w:val="24"/>
                <w:szCs w:val="24"/>
              </w:rPr>
            </w:pPr>
          </w:p>
        </w:tc>
      </w:tr>
      <w:tr w14:paraId="0B38BE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0" w:hRule="atLeast"/>
        </w:trPr>
        <w:tc>
          <w:tcPr>
            <w:tcW w:w="868" w:type="dxa"/>
            <w:tcBorders>
              <w:top w:val="nil"/>
              <w:left w:val="single" w:color="auto" w:sz="6" w:space="0"/>
              <w:bottom w:val="single" w:color="auto" w:sz="6" w:space="0"/>
              <w:right w:val="nil"/>
            </w:tcBorders>
            <w:vAlign w:val="center"/>
          </w:tcPr>
          <w:p w14:paraId="42B495D7">
            <w:pPr>
              <w:adjustRightInd w:val="0"/>
              <w:spacing w:line="360" w:lineRule="auto"/>
              <w:jc w:val="center"/>
              <w:rPr>
                <w:rFonts w:ascii="宋体" w:hAnsi="宋体" w:eastAsia="宋体"/>
                <w:sz w:val="24"/>
                <w:szCs w:val="24"/>
              </w:rPr>
            </w:pPr>
            <w:r>
              <w:rPr>
                <w:rFonts w:ascii="宋体" w:hAnsi="宋体" w:eastAsia="宋体"/>
                <w:sz w:val="24"/>
                <w:szCs w:val="24"/>
              </w:rPr>
              <w:t>1</w:t>
            </w:r>
          </w:p>
        </w:tc>
        <w:tc>
          <w:tcPr>
            <w:tcW w:w="2380" w:type="dxa"/>
            <w:tcBorders>
              <w:top w:val="nil"/>
              <w:left w:val="single" w:color="auto" w:sz="6" w:space="0"/>
              <w:bottom w:val="single" w:color="auto" w:sz="6" w:space="0"/>
              <w:right w:val="nil"/>
            </w:tcBorders>
            <w:vAlign w:val="center"/>
          </w:tcPr>
          <w:p w14:paraId="7495E34A">
            <w:pPr>
              <w:adjustRightInd w:val="0"/>
              <w:spacing w:line="360" w:lineRule="auto"/>
              <w:jc w:val="center"/>
              <w:rPr>
                <w:rFonts w:ascii="宋体" w:hAnsi="宋体" w:eastAsia="宋体"/>
                <w:sz w:val="24"/>
                <w:szCs w:val="24"/>
              </w:rPr>
            </w:pPr>
          </w:p>
        </w:tc>
        <w:tc>
          <w:tcPr>
            <w:tcW w:w="1820" w:type="dxa"/>
            <w:tcBorders>
              <w:top w:val="nil"/>
              <w:left w:val="single" w:color="auto" w:sz="6" w:space="0"/>
              <w:bottom w:val="single" w:color="auto" w:sz="6" w:space="0"/>
              <w:right w:val="single" w:color="auto" w:sz="6" w:space="0"/>
            </w:tcBorders>
            <w:vAlign w:val="center"/>
          </w:tcPr>
          <w:p w14:paraId="3C4F7F36">
            <w:pPr>
              <w:adjustRightInd w:val="0"/>
              <w:spacing w:line="360" w:lineRule="auto"/>
              <w:jc w:val="center"/>
              <w:rPr>
                <w:rFonts w:ascii="宋体" w:hAnsi="宋体" w:eastAsia="宋体"/>
                <w:sz w:val="24"/>
                <w:szCs w:val="24"/>
              </w:rPr>
            </w:pPr>
          </w:p>
        </w:tc>
        <w:tc>
          <w:tcPr>
            <w:tcW w:w="1020" w:type="dxa"/>
            <w:tcBorders>
              <w:top w:val="nil"/>
              <w:left w:val="nil"/>
              <w:bottom w:val="single" w:color="000000" w:sz="6" w:space="0"/>
              <w:right w:val="single" w:color="000000" w:sz="6" w:space="0"/>
            </w:tcBorders>
          </w:tcPr>
          <w:p w14:paraId="5130D155">
            <w:pPr>
              <w:adjustRightInd w:val="0"/>
              <w:spacing w:line="360" w:lineRule="auto"/>
              <w:jc w:val="center"/>
              <w:rPr>
                <w:rFonts w:ascii="宋体" w:hAnsi="宋体" w:eastAsia="宋体"/>
                <w:sz w:val="24"/>
                <w:szCs w:val="24"/>
              </w:rPr>
            </w:pPr>
          </w:p>
        </w:tc>
        <w:tc>
          <w:tcPr>
            <w:tcW w:w="1020" w:type="dxa"/>
            <w:tcBorders>
              <w:top w:val="nil"/>
              <w:left w:val="single" w:color="000000" w:sz="6" w:space="0"/>
              <w:bottom w:val="single" w:color="000000" w:sz="6" w:space="0"/>
              <w:right w:val="nil"/>
            </w:tcBorders>
          </w:tcPr>
          <w:p w14:paraId="2E5B44F9">
            <w:pPr>
              <w:adjustRightInd w:val="0"/>
              <w:spacing w:line="360" w:lineRule="auto"/>
              <w:jc w:val="center"/>
              <w:rPr>
                <w:rFonts w:ascii="宋体" w:hAnsi="宋体" w:eastAsia="宋体"/>
                <w:sz w:val="24"/>
                <w:szCs w:val="24"/>
              </w:rPr>
            </w:pPr>
          </w:p>
        </w:tc>
        <w:tc>
          <w:tcPr>
            <w:tcW w:w="1320" w:type="dxa"/>
            <w:tcBorders>
              <w:top w:val="nil"/>
              <w:left w:val="single" w:color="auto" w:sz="6" w:space="0"/>
              <w:bottom w:val="single" w:color="auto" w:sz="6" w:space="0"/>
              <w:right w:val="nil"/>
            </w:tcBorders>
            <w:vAlign w:val="center"/>
          </w:tcPr>
          <w:p w14:paraId="6754408C">
            <w:pPr>
              <w:adjustRightInd w:val="0"/>
              <w:spacing w:line="360" w:lineRule="auto"/>
              <w:jc w:val="center"/>
              <w:rPr>
                <w:rFonts w:ascii="宋体" w:hAnsi="宋体" w:eastAsia="宋体"/>
                <w:sz w:val="24"/>
                <w:szCs w:val="24"/>
              </w:rPr>
            </w:pPr>
          </w:p>
        </w:tc>
        <w:tc>
          <w:tcPr>
            <w:tcW w:w="887" w:type="dxa"/>
            <w:tcBorders>
              <w:top w:val="nil"/>
              <w:left w:val="single" w:color="auto" w:sz="6" w:space="0"/>
              <w:bottom w:val="single" w:color="auto" w:sz="6" w:space="0"/>
              <w:right w:val="single" w:color="auto" w:sz="6" w:space="0"/>
            </w:tcBorders>
            <w:vAlign w:val="center"/>
          </w:tcPr>
          <w:p w14:paraId="634B21C3">
            <w:pPr>
              <w:adjustRightInd w:val="0"/>
              <w:spacing w:line="360" w:lineRule="auto"/>
              <w:jc w:val="center"/>
              <w:rPr>
                <w:rFonts w:ascii="宋体" w:hAnsi="宋体" w:eastAsia="宋体"/>
                <w:sz w:val="24"/>
                <w:szCs w:val="24"/>
              </w:rPr>
            </w:pPr>
          </w:p>
        </w:tc>
      </w:tr>
      <w:tr w14:paraId="23875F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0" w:hRule="atLeast"/>
        </w:trPr>
        <w:tc>
          <w:tcPr>
            <w:tcW w:w="868" w:type="dxa"/>
            <w:tcBorders>
              <w:top w:val="nil"/>
              <w:left w:val="single" w:color="auto" w:sz="6" w:space="0"/>
              <w:bottom w:val="single" w:color="auto" w:sz="6" w:space="0"/>
              <w:right w:val="nil"/>
            </w:tcBorders>
            <w:vAlign w:val="center"/>
          </w:tcPr>
          <w:p w14:paraId="3F0CD7EB">
            <w:pPr>
              <w:adjustRightInd w:val="0"/>
              <w:spacing w:line="360" w:lineRule="auto"/>
              <w:jc w:val="center"/>
              <w:rPr>
                <w:rFonts w:ascii="宋体" w:hAnsi="宋体" w:eastAsia="宋体"/>
                <w:sz w:val="24"/>
                <w:szCs w:val="24"/>
              </w:rPr>
            </w:pPr>
            <w:r>
              <w:rPr>
                <w:rFonts w:ascii="宋体" w:hAnsi="宋体" w:eastAsia="宋体"/>
                <w:sz w:val="24"/>
                <w:szCs w:val="24"/>
              </w:rPr>
              <w:t>2</w:t>
            </w:r>
          </w:p>
        </w:tc>
        <w:tc>
          <w:tcPr>
            <w:tcW w:w="2380" w:type="dxa"/>
            <w:tcBorders>
              <w:top w:val="nil"/>
              <w:left w:val="single" w:color="auto" w:sz="6" w:space="0"/>
              <w:bottom w:val="single" w:color="auto" w:sz="6" w:space="0"/>
              <w:right w:val="nil"/>
            </w:tcBorders>
            <w:vAlign w:val="center"/>
          </w:tcPr>
          <w:p w14:paraId="6E4C79F1">
            <w:pPr>
              <w:adjustRightInd w:val="0"/>
              <w:spacing w:line="360" w:lineRule="auto"/>
              <w:rPr>
                <w:rFonts w:ascii="宋体" w:hAnsi="宋体" w:eastAsia="宋体"/>
                <w:sz w:val="24"/>
                <w:szCs w:val="24"/>
              </w:rPr>
            </w:pPr>
          </w:p>
        </w:tc>
        <w:tc>
          <w:tcPr>
            <w:tcW w:w="1820" w:type="dxa"/>
            <w:tcBorders>
              <w:top w:val="nil"/>
              <w:left w:val="single" w:color="auto" w:sz="6" w:space="0"/>
              <w:bottom w:val="single" w:color="auto" w:sz="6" w:space="0"/>
              <w:right w:val="single" w:color="auto" w:sz="6" w:space="0"/>
            </w:tcBorders>
            <w:vAlign w:val="center"/>
          </w:tcPr>
          <w:p w14:paraId="7402B20F">
            <w:pPr>
              <w:adjustRightInd w:val="0"/>
              <w:spacing w:line="360" w:lineRule="auto"/>
              <w:rPr>
                <w:rFonts w:ascii="宋体" w:hAnsi="宋体" w:eastAsia="宋体"/>
                <w:sz w:val="24"/>
                <w:szCs w:val="24"/>
              </w:rPr>
            </w:pPr>
          </w:p>
        </w:tc>
        <w:tc>
          <w:tcPr>
            <w:tcW w:w="1020" w:type="dxa"/>
            <w:tcBorders>
              <w:top w:val="nil"/>
              <w:left w:val="nil"/>
              <w:bottom w:val="single" w:color="000000" w:sz="6" w:space="0"/>
              <w:right w:val="single" w:color="000000" w:sz="6" w:space="0"/>
            </w:tcBorders>
          </w:tcPr>
          <w:p w14:paraId="3EB05381">
            <w:pPr>
              <w:adjustRightInd w:val="0"/>
              <w:spacing w:line="360" w:lineRule="auto"/>
              <w:rPr>
                <w:rFonts w:ascii="宋体" w:hAnsi="宋体" w:eastAsia="宋体"/>
                <w:sz w:val="24"/>
                <w:szCs w:val="24"/>
              </w:rPr>
            </w:pPr>
          </w:p>
        </w:tc>
        <w:tc>
          <w:tcPr>
            <w:tcW w:w="1020" w:type="dxa"/>
            <w:tcBorders>
              <w:top w:val="nil"/>
              <w:left w:val="single" w:color="000000" w:sz="6" w:space="0"/>
              <w:bottom w:val="single" w:color="000000" w:sz="6" w:space="0"/>
              <w:right w:val="nil"/>
            </w:tcBorders>
          </w:tcPr>
          <w:p w14:paraId="4089755A">
            <w:pPr>
              <w:adjustRightInd w:val="0"/>
              <w:spacing w:line="360" w:lineRule="auto"/>
              <w:rPr>
                <w:rFonts w:ascii="宋体" w:hAnsi="宋体" w:eastAsia="宋体"/>
                <w:sz w:val="24"/>
                <w:szCs w:val="24"/>
              </w:rPr>
            </w:pPr>
          </w:p>
        </w:tc>
        <w:tc>
          <w:tcPr>
            <w:tcW w:w="1320" w:type="dxa"/>
            <w:tcBorders>
              <w:top w:val="nil"/>
              <w:left w:val="single" w:color="auto" w:sz="6" w:space="0"/>
              <w:bottom w:val="single" w:color="auto" w:sz="6" w:space="0"/>
              <w:right w:val="nil"/>
            </w:tcBorders>
            <w:vAlign w:val="center"/>
          </w:tcPr>
          <w:p w14:paraId="3053F85E">
            <w:pPr>
              <w:adjustRightInd w:val="0"/>
              <w:spacing w:line="360" w:lineRule="auto"/>
              <w:rPr>
                <w:rFonts w:ascii="宋体" w:hAnsi="宋体" w:eastAsia="宋体"/>
                <w:sz w:val="24"/>
                <w:szCs w:val="24"/>
              </w:rPr>
            </w:pPr>
          </w:p>
        </w:tc>
        <w:tc>
          <w:tcPr>
            <w:tcW w:w="887" w:type="dxa"/>
            <w:tcBorders>
              <w:top w:val="nil"/>
              <w:left w:val="single" w:color="auto" w:sz="6" w:space="0"/>
              <w:bottom w:val="single" w:color="auto" w:sz="6" w:space="0"/>
              <w:right w:val="single" w:color="auto" w:sz="6" w:space="0"/>
            </w:tcBorders>
            <w:vAlign w:val="center"/>
          </w:tcPr>
          <w:p w14:paraId="0CAEE7C8">
            <w:pPr>
              <w:adjustRightInd w:val="0"/>
              <w:spacing w:line="360" w:lineRule="auto"/>
              <w:rPr>
                <w:rFonts w:ascii="宋体" w:hAnsi="宋体" w:eastAsia="宋体"/>
                <w:sz w:val="24"/>
                <w:szCs w:val="24"/>
              </w:rPr>
            </w:pPr>
          </w:p>
        </w:tc>
      </w:tr>
    </w:tbl>
    <w:p w14:paraId="41CF1542">
      <w:pPr>
        <w:spacing w:line="360" w:lineRule="auto"/>
        <w:rPr>
          <w:rFonts w:ascii="宋体" w:hAnsi="宋体" w:eastAsia="宋体"/>
          <w:sz w:val="24"/>
          <w:szCs w:val="24"/>
        </w:rPr>
      </w:pPr>
      <w:r>
        <w:rPr>
          <w:rFonts w:ascii="宋体" w:hAnsi="宋体" w:eastAsia="宋体"/>
          <w:sz w:val="24"/>
          <w:szCs w:val="24"/>
        </w:rPr>
        <w:t>6.3</w:t>
      </w:r>
      <w:r>
        <w:rPr>
          <w:rFonts w:hint="eastAsia" w:ascii="宋体" w:hAnsi="宋体" w:eastAsia="宋体"/>
          <w:sz w:val="24"/>
          <w:szCs w:val="24"/>
        </w:rPr>
        <w:t>培训的时间、人数、地点等具体内容由三方商定。</w:t>
      </w:r>
    </w:p>
    <w:p w14:paraId="6CC6938B">
      <w:pPr>
        <w:spacing w:line="360" w:lineRule="auto"/>
        <w:rPr>
          <w:rFonts w:ascii="宋体" w:hAnsi="宋体" w:eastAsia="宋体"/>
          <w:sz w:val="24"/>
          <w:szCs w:val="24"/>
        </w:rPr>
      </w:pPr>
      <w:r>
        <w:rPr>
          <w:rFonts w:ascii="宋体" w:hAnsi="宋体" w:eastAsia="宋体"/>
          <w:sz w:val="24"/>
          <w:szCs w:val="24"/>
        </w:rPr>
        <w:t>6.4</w:t>
      </w:r>
      <w:r>
        <w:rPr>
          <w:rFonts w:hint="eastAsia" w:ascii="宋体" w:hAnsi="宋体" w:eastAsia="宋体"/>
          <w:sz w:val="24"/>
          <w:szCs w:val="24"/>
        </w:rPr>
        <w:t>若培训地点安排在报价人指定地点，则报价人为采购人和用户培训人员提供设备、场地、资料等培训条件，并提供食宿和交通方便。若培训地点安排在采购人或用户指定地点，则由采购人和用户为报价人员的培训人员提供设备、场地培训条件，报价人准备好资料等必须物品。</w:t>
      </w:r>
    </w:p>
    <w:p w14:paraId="3124A01A">
      <w:pPr>
        <w:pStyle w:val="2"/>
        <w:jc w:val="left"/>
        <w:rPr>
          <w:rFonts w:ascii="宋体" w:hAnsi="宋体"/>
          <w:sz w:val="24"/>
          <w:szCs w:val="24"/>
        </w:rPr>
      </w:pPr>
      <w:bookmarkStart w:id="53" w:name="_Toc1048257"/>
      <w:r>
        <w:rPr>
          <w:rFonts w:hint="eastAsia" w:ascii="宋体" w:hAnsi="宋体"/>
          <w:sz w:val="24"/>
          <w:szCs w:val="24"/>
        </w:rPr>
        <w:t>附件</w:t>
      </w:r>
      <w:r>
        <w:rPr>
          <w:rFonts w:ascii="宋体" w:hAnsi="宋体"/>
          <w:sz w:val="24"/>
          <w:szCs w:val="24"/>
        </w:rPr>
        <w:t xml:space="preserve">7 </w:t>
      </w:r>
      <w:r>
        <w:rPr>
          <w:rFonts w:hint="eastAsia" w:ascii="宋体" w:hAnsi="宋体"/>
          <w:sz w:val="24"/>
          <w:szCs w:val="24"/>
        </w:rPr>
        <w:t>分包与外购</w:t>
      </w:r>
      <w:bookmarkEnd w:id="50"/>
      <w:bookmarkEnd w:id="51"/>
      <w:bookmarkEnd w:id="52"/>
      <w:bookmarkEnd w:id="53"/>
    </w:p>
    <w:p w14:paraId="73FC4404">
      <w:pPr>
        <w:spacing w:line="360" w:lineRule="auto"/>
        <w:ind w:firstLine="420"/>
        <w:rPr>
          <w:rFonts w:ascii="宋体" w:hAnsi="宋体" w:eastAsia="宋体"/>
          <w:bCs/>
          <w:sz w:val="24"/>
          <w:szCs w:val="24"/>
        </w:rPr>
      </w:pPr>
      <w:r>
        <w:rPr>
          <w:rFonts w:ascii="宋体" w:hAnsi="宋体" w:eastAsia="宋体"/>
          <w:bCs/>
          <w:sz w:val="24"/>
          <w:szCs w:val="24"/>
        </w:rPr>
        <w:t>1</w:t>
      </w:r>
      <w:r>
        <w:rPr>
          <w:rFonts w:hint="eastAsia" w:ascii="宋体" w:hAnsi="宋体" w:eastAsia="宋体"/>
          <w:bCs/>
          <w:sz w:val="24"/>
          <w:szCs w:val="24"/>
        </w:rPr>
        <w:t>、本采购产品不得进行分包。</w:t>
      </w:r>
    </w:p>
    <w:p w14:paraId="06A9DCA7">
      <w:pPr>
        <w:spacing w:line="360" w:lineRule="auto"/>
        <w:ind w:firstLine="420"/>
        <w:rPr>
          <w:rFonts w:ascii="宋体" w:hAnsi="宋体" w:eastAsia="宋体"/>
          <w:bCs/>
          <w:sz w:val="24"/>
          <w:szCs w:val="24"/>
        </w:rPr>
      </w:pPr>
      <w:r>
        <w:rPr>
          <w:rFonts w:ascii="宋体" w:hAnsi="宋体" w:eastAsia="宋体"/>
          <w:bCs/>
          <w:sz w:val="24"/>
          <w:szCs w:val="24"/>
        </w:rPr>
        <w:t>2</w:t>
      </w:r>
      <w:r>
        <w:rPr>
          <w:rFonts w:hint="eastAsia" w:ascii="宋体" w:hAnsi="宋体" w:eastAsia="宋体"/>
          <w:bCs/>
          <w:sz w:val="24"/>
          <w:szCs w:val="24"/>
        </w:rPr>
        <w:t>、若报价人为代理商，必须出具相关代理</w:t>
      </w:r>
      <w:r>
        <w:rPr>
          <w:rFonts w:hint="eastAsia" w:ascii="宋体" w:hAnsi="宋体" w:eastAsia="宋体"/>
          <w:sz w:val="24"/>
          <w:szCs w:val="24"/>
        </w:rPr>
        <w:t>证明，被代理品牌的生产商的相关资料必须一并提供（生产厂家规模、技术能力，实验室规模）。</w:t>
      </w:r>
      <w:r>
        <w:rPr>
          <w:rFonts w:hint="eastAsia" w:ascii="宋体" w:hAnsi="宋体" w:eastAsia="宋体"/>
          <w:b/>
          <w:sz w:val="24"/>
          <w:szCs w:val="24"/>
          <w:em w:val="dot"/>
        </w:rPr>
        <w:t>合同签订必须是采购人、报价人和生厂商的三方合同。生产厂家与代理商连带责任。</w:t>
      </w:r>
    </w:p>
    <w:p w14:paraId="11C0A0A0">
      <w:pPr>
        <w:pStyle w:val="2"/>
        <w:jc w:val="left"/>
        <w:rPr>
          <w:bCs w:val="0"/>
          <w:szCs w:val="20"/>
        </w:rPr>
      </w:pPr>
      <w:r>
        <w:rPr>
          <w:rFonts w:ascii="宋体" w:hAnsi="宋体"/>
          <w:b w:val="0"/>
          <w:sz w:val="24"/>
          <w:szCs w:val="24"/>
        </w:rPr>
        <w:br w:type="page"/>
      </w:r>
      <w:bookmarkStart w:id="54" w:name="_Toc394471053"/>
      <w:bookmarkStart w:id="55" w:name="_Toc1048258"/>
      <w:bookmarkStart w:id="56" w:name="_Toc528448520"/>
      <w:bookmarkStart w:id="57" w:name="_Toc201065489"/>
      <w:bookmarkStart w:id="58" w:name="_Toc286159476"/>
      <w:bookmarkStart w:id="59" w:name="_Toc501817581"/>
      <w:bookmarkStart w:id="60" w:name="_Toc517056034"/>
      <w:r>
        <w:rPr>
          <w:rFonts w:hint="eastAsia"/>
        </w:rPr>
        <w:t>附件</w:t>
      </w:r>
      <w:r>
        <w:t xml:space="preserve">8 </w:t>
      </w:r>
      <w:r>
        <w:rPr>
          <w:rFonts w:hint="eastAsia"/>
        </w:rPr>
        <w:t>运行维护手册</w:t>
      </w:r>
      <w:bookmarkEnd w:id="54"/>
      <w:bookmarkEnd w:id="55"/>
      <w:bookmarkEnd w:id="56"/>
      <w:bookmarkEnd w:id="57"/>
      <w:bookmarkEnd w:id="58"/>
    </w:p>
    <w:p w14:paraId="5DE4E67D">
      <w:pPr>
        <w:spacing w:line="500" w:lineRule="exact"/>
      </w:pPr>
      <w:r>
        <w:rPr>
          <w:rFonts w:hint="eastAsia"/>
        </w:rPr>
        <w:t>运行维护手册格式要求如下：</w:t>
      </w:r>
    </w:p>
    <w:p w14:paraId="3F8ACE91">
      <w:pPr>
        <w:spacing w:line="500" w:lineRule="exact"/>
        <w:rPr>
          <w:sz w:val="28"/>
        </w:rPr>
      </w:pPr>
    </w:p>
    <w:p w14:paraId="2FFE16BF">
      <w:pPr>
        <w:spacing w:line="500" w:lineRule="exact"/>
        <w:rPr>
          <w:sz w:val="28"/>
        </w:rPr>
      </w:pPr>
    </w:p>
    <w:p w14:paraId="5CF99963">
      <w:pPr>
        <w:spacing w:line="500" w:lineRule="exact"/>
        <w:jc w:val="center"/>
        <w:rPr>
          <w:b/>
          <w:sz w:val="44"/>
        </w:rPr>
      </w:pPr>
      <w:r>
        <w:rPr>
          <w:rFonts w:hint="eastAsia"/>
          <w:b/>
          <w:sz w:val="44"/>
        </w:rPr>
        <w:t>伊犁新天煤化工有限责任公司</w:t>
      </w:r>
    </w:p>
    <w:p w14:paraId="275C7758">
      <w:pPr>
        <w:spacing w:line="360" w:lineRule="auto"/>
        <w:jc w:val="center"/>
        <w:rPr>
          <w:b/>
          <w:bCs/>
          <w:color w:val="000000"/>
          <w:sz w:val="72"/>
          <w:szCs w:val="72"/>
        </w:rPr>
      </w:pPr>
    </w:p>
    <w:p w14:paraId="047BFB1A">
      <w:pPr>
        <w:spacing w:line="500" w:lineRule="exact"/>
        <w:jc w:val="center"/>
        <w:rPr>
          <w:b/>
          <w:sz w:val="32"/>
        </w:rPr>
      </w:pPr>
      <w:r>
        <w:rPr>
          <w:rFonts w:hint="eastAsia"/>
          <w:b/>
          <w:sz w:val="36"/>
        </w:rPr>
        <w:t>反渗透系统</w:t>
      </w:r>
    </w:p>
    <w:p w14:paraId="61BE85EC">
      <w:pPr>
        <w:spacing w:line="500" w:lineRule="exact"/>
        <w:jc w:val="center"/>
        <w:rPr>
          <w:b/>
          <w:sz w:val="32"/>
        </w:rPr>
      </w:pPr>
    </w:p>
    <w:p w14:paraId="6AD30AE1">
      <w:pPr>
        <w:spacing w:line="500" w:lineRule="exact"/>
        <w:jc w:val="center"/>
        <w:rPr>
          <w:b/>
          <w:sz w:val="32"/>
        </w:rPr>
      </w:pPr>
    </w:p>
    <w:p w14:paraId="13D5B839">
      <w:pPr>
        <w:spacing w:line="500" w:lineRule="exact"/>
        <w:jc w:val="center"/>
        <w:rPr>
          <w:b/>
          <w:sz w:val="32"/>
        </w:rPr>
      </w:pPr>
    </w:p>
    <w:p w14:paraId="61CB2477">
      <w:pPr>
        <w:spacing w:line="500" w:lineRule="exact"/>
        <w:jc w:val="center"/>
        <w:rPr>
          <w:b/>
          <w:sz w:val="32"/>
        </w:rPr>
      </w:pPr>
      <w:r>
        <w:rPr>
          <w:rFonts w:hint="eastAsia"/>
          <w:b/>
          <w:sz w:val="32"/>
        </w:rPr>
        <w:t>药剂使用</w:t>
      </w:r>
    </w:p>
    <w:p w14:paraId="07B9883B">
      <w:pPr>
        <w:spacing w:line="500" w:lineRule="exact"/>
        <w:jc w:val="center"/>
        <w:rPr>
          <w:b/>
          <w:sz w:val="32"/>
        </w:rPr>
      </w:pPr>
    </w:p>
    <w:p w14:paraId="34E3CF35">
      <w:pPr>
        <w:spacing w:line="500" w:lineRule="exact"/>
        <w:jc w:val="center"/>
        <w:rPr>
          <w:b/>
          <w:sz w:val="32"/>
        </w:rPr>
      </w:pPr>
      <w:r>
        <w:rPr>
          <w:rFonts w:hint="eastAsia"/>
          <w:b/>
          <w:sz w:val="32"/>
        </w:rPr>
        <w:t>手</w:t>
      </w:r>
    </w:p>
    <w:p w14:paraId="43E65F7E">
      <w:pPr>
        <w:spacing w:line="500" w:lineRule="exact"/>
        <w:jc w:val="center"/>
        <w:rPr>
          <w:b/>
          <w:sz w:val="32"/>
        </w:rPr>
      </w:pPr>
    </w:p>
    <w:p w14:paraId="74DA1177">
      <w:pPr>
        <w:spacing w:line="500" w:lineRule="exact"/>
        <w:jc w:val="center"/>
        <w:rPr>
          <w:b/>
          <w:sz w:val="32"/>
        </w:rPr>
      </w:pPr>
      <w:r>
        <w:rPr>
          <w:rFonts w:hint="eastAsia"/>
          <w:b/>
          <w:sz w:val="32"/>
        </w:rPr>
        <w:t>册</w:t>
      </w:r>
    </w:p>
    <w:p w14:paraId="12BADD1E">
      <w:pPr>
        <w:spacing w:line="500" w:lineRule="exact"/>
        <w:jc w:val="center"/>
        <w:rPr>
          <w:b/>
          <w:sz w:val="24"/>
        </w:rPr>
      </w:pPr>
    </w:p>
    <w:p w14:paraId="7F734E7F">
      <w:pPr>
        <w:spacing w:line="500" w:lineRule="exact"/>
        <w:jc w:val="center"/>
        <w:rPr>
          <w:b/>
        </w:rPr>
      </w:pPr>
    </w:p>
    <w:p w14:paraId="3BEBE9A5">
      <w:pPr>
        <w:spacing w:line="500" w:lineRule="exact"/>
        <w:jc w:val="center"/>
        <w:rPr>
          <w:b/>
        </w:rPr>
      </w:pPr>
    </w:p>
    <w:p w14:paraId="134B63FA">
      <w:pPr>
        <w:spacing w:line="500" w:lineRule="exact"/>
        <w:jc w:val="center"/>
        <w:rPr>
          <w:b/>
        </w:rPr>
      </w:pPr>
    </w:p>
    <w:p w14:paraId="67AD18DB">
      <w:pPr>
        <w:spacing w:line="500" w:lineRule="exact"/>
        <w:jc w:val="center"/>
        <w:rPr>
          <w:b/>
        </w:rPr>
      </w:pPr>
    </w:p>
    <w:p w14:paraId="6AAB0F4C">
      <w:pPr>
        <w:spacing w:line="500" w:lineRule="exact"/>
        <w:jc w:val="center"/>
        <w:rPr>
          <w:b/>
        </w:rPr>
      </w:pPr>
    </w:p>
    <w:p w14:paraId="27025B82">
      <w:pPr>
        <w:spacing w:line="500" w:lineRule="exact"/>
        <w:jc w:val="center"/>
        <w:rPr>
          <w:b/>
        </w:rPr>
      </w:pPr>
    </w:p>
    <w:p w14:paraId="473B6960">
      <w:pPr>
        <w:spacing w:line="500" w:lineRule="exact"/>
        <w:jc w:val="center"/>
        <w:rPr>
          <w:b/>
        </w:rPr>
      </w:pPr>
    </w:p>
    <w:p w14:paraId="69D58607">
      <w:pPr>
        <w:spacing w:line="500" w:lineRule="exact"/>
        <w:jc w:val="center"/>
        <w:rPr>
          <w:b/>
        </w:rPr>
      </w:pPr>
    </w:p>
    <w:p w14:paraId="0EB71250">
      <w:pPr>
        <w:spacing w:line="500" w:lineRule="exact"/>
        <w:jc w:val="center"/>
        <w:rPr>
          <w:b/>
        </w:rPr>
      </w:pPr>
    </w:p>
    <w:p w14:paraId="4688A2FD">
      <w:pPr>
        <w:spacing w:line="500" w:lineRule="exact"/>
        <w:rPr>
          <w:sz w:val="24"/>
          <w:szCs w:val="24"/>
        </w:rPr>
      </w:pPr>
      <w:r>
        <w:rPr>
          <w:rFonts w:hint="eastAsia"/>
          <w:sz w:val="24"/>
          <w:szCs w:val="24"/>
        </w:rPr>
        <w:t>要求：一式套</w:t>
      </w:r>
    </w:p>
    <w:p w14:paraId="0822A2CE">
      <w:pPr>
        <w:spacing w:line="500" w:lineRule="exact"/>
        <w:rPr>
          <w:sz w:val="24"/>
          <w:szCs w:val="24"/>
        </w:rPr>
      </w:pPr>
      <w:r>
        <w:rPr>
          <w:rFonts w:hint="eastAsia"/>
          <w:sz w:val="24"/>
          <w:szCs w:val="24"/>
        </w:rPr>
        <w:t>纸张：</w:t>
      </w:r>
      <w:r>
        <w:rPr>
          <w:sz w:val="24"/>
          <w:szCs w:val="24"/>
        </w:rPr>
        <w:t>A4</w:t>
      </w:r>
    </w:p>
    <w:p w14:paraId="37A43C99">
      <w:pPr>
        <w:spacing w:line="500" w:lineRule="exact"/>
        <w:rPr>
          <w:sz w:val="24"/>
          <w:szCs w:val="24"/>
        </w:rPr>
      </w:pPr>
      <w:r>
        <w:rPr>
          <w:rFonts w:hint="eastAsia"/>
          <w:sz w:val="24"/>
          <w:szCs w:val="24"/>
        </w:rPr>
        <w:t>字体：宋体，小四号</w:t>
      </w:r>
    </w:p>
    <w:p w14:paraId="1E209E56">
      <w:pPr>
        <w:spacing w:line="500" w:lineRule="exact"/>
        <w:rPr>
          <w:sz w:val="24"/>
          <w:szCs w:val="24"/>
        </w:rPr>
      </w:pPr>
      <w:r>
        <w:rPr>
          <w:rFonts w:hint="eastAsia"/>
          <w:sz w:val="24"/>
          <w:szCs w:val="24"/>
        </w:rPr>
        <w:t>行间距：</w:t>
      </w:r>
      <w:r>
        <w:rPr>
          <w:sz w:val="24"/>
          <w:szCs w:val="24"/>
        </w:rPr>
        <w:t>1.5</w:t>
      </w:r>
      <w:r>
        <w:rPr>
          <w:rFonts w:hint="eastAsia"/>
          <w:sz w:val="24"/>
          <w:szCs w:val="24"/>
        </w:rPr>
        <w:t>倍</w:t>
      </w:r>
    </w:p>
    <w:p w14:paraId="0C969635">
      <w:pPr>
        <w:spacing w:line="500" w:lineRule="exact"/>
        <w:rPr>
          <w:sz w:val="24"/>
          <w:szCs w:val="24"/>
        </w:rPr>
      </w:pPr>
      <w:r>
        <w:rPr>
          <w:rFonts w:hint="eastAsia"/>
          <w:sz w:val="24"/>
          <w:szCs w:val="24"/>
        </w:rPr>
        <w:t>页边距（</w:t>
      </w:r>
      <w:r>
        <w:rPr>
          <w:sz w:val="24"/>
          <w:szCs w:val="24"/>
        </w:rPr>
        <w:t>mm</w:t>
      </w:r>
      <w:r>
        <w:rPr>
          <w:rFonts w:hint="eastAsia"/>
          <w:sz w:val="24"/>
          <w:szCs w:val="24"/>
        </w:rPr>
        <w:t>）：左</w:t>
      </w:r>
      <w:r>
        <w:rPr>
          <w:sz w:val="24"/>
          <w:szCs w:val="24"/>
        </w:rPr>
        <w:t xml:space="preserve">-30  </w:t>
      </w:r>
      <w:r>
        <w:rPr>
          <w:rFonts w:hint="eastAsia"/>
          <w:sz w:val="24"/>
          <w:szCs w:val="24"/>
        </w:rPr>
        <w:t>右</w:t>
      </w:r>
      <w:r>
        <w:rPr>
          <w:sz w:val="24"/>
          <w:szCs w:val="24"/>
        </w:rPr>
        <w:t xml:space="preserve">-25  </w:t>
      </w:r>
      <w:r>
        <w:rPr>
          <w:rFonts w:hint="eastAsia"/>
          <w:sz w:val="24"/>
          <w:szCs w:val="24"/>
        </w:rPr>
        <w:t>上</w:t>
      </w:r>
      <w:r>
        <w:rPr>
          <w:sz w:val="24"/>
          <w:szCs w:val="24"/>
        </w:rPr>
        <w:t xml:space="preserve">-30  </w:t>
      </w:r>
      <w:r>
        <w:rPr>
          <w:rFonts w:hint="eastAsia"/>
          <w:sz w:val="24"/>
          <w:szCs w:val="24"/>
        </w:rPr>
        <w:t>下</w:t>
      </w:r>
      <w:r>
        <w:rPr>
          <w:sz w:val="24"/>
          <w:szCs w:val="24"/>
        </w:rPr>
        <w:t>-40</w:t>
      </w:r>
    </w:p>
    <w:p w14:paraId="612195EA">
      <w:pPr>
        <w:spacing w:line="500" w:lineRule="exact"/>
        <w:rPr>
          <w:sz w:val="24"/>
          <w:szCs w:val="24"/>
        </w:rPr>
      </w:pPr>
      <w:r>
        <w:rPr>
          <w:rFonts w:hint="eastAsia"/>
          <w:sz w:val="24"/>
          <w:szCs w:val="24"/>
        </w:rPr>
        <w:t>页眉：</w:t>
      </w:r>
      <w:r>
        <w:rPr>
          <w:sz w:val="24"/>
          <w:szCs w:val="24"/>
        </w:rPr>
        <w:t>XX</w:t>
      </w:r>
      <w:r>
        <w:rPr>
          <w:rFonts w:hint="eastAsia"/>
          <w:sz w:val="24"/>
          <w:szCs w:val="24"/>
        </w:rPr>
        <w:t>运行维护手册</w:t>
      </w:r>
    </w:p>
    <w:p w14:paraId="5C2A5E70">
      <w:pPr>
        <w:spacing w:line="500" w:lineRule="exact"/>
        <w:rPr>
          <w:sz w:val="24"/>
          <w:szCs w:val="24"/>
        </w:rPr>
      </w:pPr>
      <w:r>
        <w:rPr>
          <w:rFonts w:hint="eastAsia"/>
          <w:sz w:val="24"/>
          <w:szCs w:val="24"/>
        </w:rPr>
        <w:t>注：在正式提交前，先由采购人审定。</w:t>
      </w:r>
    </w:p>
    <w:p w14:paraId="02E66BD9">
      <w:pPr>
        <w:spacing w:line="500" w:lineRule="exact"/>
        <w:rPr>
          <w:sz w:val="24"/>
          <w:szCs w:val="24"/>
        </w:rPr>
      </w:pPr>
    </w:p>
    <w:p w14:paraId="441C1DE4">
      <w:pPr>
        <w:pStyle w:val="7"/>
        <w:snapToGrid w:val="0"/>
        <w:ind w:firstLine="480"/>
        <w:rPr>
          <w:rFonts w:hAnsi="宋体"/>
          <w:sz w:val="24"/>
          <w:szCs w:val="24"/>
        </w:rPr>
      </w:pPr>
      <w:r>
        <w:rPr>
          <w:rFonts w:hint="eastAsia" w:hAnsi="宋体"/>
          <w:sz w:val="24"/>
          <w:szCs w:val="24"/>
        </w:rPr>
        <w:t>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43FDBEE9">
      <w:pPr>
        <w:pStyle w:val="7"/>
        <w:snapToGrid w:val="0"/>
        <w:ind w:firstLine="480"/>
        <w:rPr>
          <w:rFonts w:hAnsi="宋体"/>
          <w:sz w:val="24"/>
          <w:szCs w:val="24"/>
        </w:rPr>
      </w:pPr>
      <w:r>
        <w:rPr>
          <w:rFonts w:hint="eastAsia" w:hAnsi="宋体"/>
          <w:sz w:val="24"/>
          <w:szCs w:val="24"/>
        </w:rPr>
        <w:t>该手册应详细地叙述和说明产品构造，使新来的操作和维护人员能够研究和理解设备的功能的控制方法。</w:t>
      </w:r>
    </w:p>
    <w:bookmarkEnd w:id="59"/>
    <w:bookmarkEnd w:id="60"/>
    <w:p w14:paraId="72C74A45">
      <w:pPr>
        <w:pStyle w:val="7"/>
        <w:snapToGrid w:val="0"/>
        <w:ind w:firstLine="480"/>
        <w:rPr>
          <w:rFonts w:hAnsi="宋体"/>
          <w:sz w:val="24"/>
          <w:szCs w:val="24"/>
        </w:rPr>
      </w:pPr>
      <w:bookmarkStart w:id="61" w:name="_Toc286159477"/>
      <w:bookmarkStart w:id="62" w:name="_Toc394471054"/>
      <w:r>
        <w:rPr>
          <w:rFonts w:hint="eastAsia" w:hAnsi="宋体"/>
          <w:sz w:val="24"/>
          <w:szCs w:val="24"/>
        </w:rPr>
        <w:t>手册中应能够快速查阅运行参数、药剂说明书、操作、维护和安全程度。</w:t>
      </w:r>
    </w:p>
    <w:p w14:paraId="59EFF724">
      <w:pPr>
        <w:pStyle w:val="7"/>
        <w:snapToGrid w:val="0"/>
        <w:ind w:firstLine="480"/>
        <w:rPr>
          <w:rFonts w:hAnsi="宋体"/>
          <w:sz w:val="24"/>
          <w:szCs w:val="24"/>
        </w:rPr>
      </w:pPr>
      <w:r>
        <w:rPr>
          <w:rFonts w:hint="eastAsia" w:hAnsi="宋体"/>
          <w:sz w:val="24"/>
          <w:szCs w:val="24"/>
        </w:rPr>
        <w:t>运行和维护手册应包括，但不限于下述内容：</w:t>
      </w:r>
    </w:p>
    <w:p w14:paraId="4444A7C0">
      <w:pPr>
        <w:pStyle w:val="7"/>
        <w:snapToGrid w:val="0"/>
        <w:ind w:firstLine="480"/>
        <w:rPr>
          <w:rFonts w:hAnsi="宋体" w:cs="Arial"/>
          <w:sz w:val="24"/>
          <w:szCs w:val="24"/>
        </w:rPr>
      </w:pPr>
      <w:r>
        <w:rPr>
          <w:rFonts w:hint="eastAsia" w:hAnsi="宋体" w:cs="Arial"/>
          <w:sz w:val="24"/>
          <w:szCs w:val="24"/>
        </w:rPr>
        <w:t>1．药剂概述，包括药剂说明、功能说明、技术规范等。</w:t>
      </w:r>
    </w:p>
    <w:p w14:paraId="1CC5B4DE">
      <w:pPr>
        <w:pStyle w:val="7"/>
        <w:snapToGrid w:val="0"/>
        <w:ind w:firstLine="480"/>
        <w:rPr>
          <w:rFonts w:hAnsi="宋体" w:cs="Arial"/>
          <w:sz w:val="24"/>
          <w:szCs w:val="24"/>
        </w:rPr>
      </w:pPr>
      <w:r>
        <w:rPr>
          <w:rFonts w:hint="eastAsia" w:hAnsi="宋体" w:cs="Arial"/>
          <w:sz w:val="24"/>
          <w:szCs w:val="24"/>
        </w:rPr>
        <w:t>2．药剂使用操作程序及注意事项。</w:t>
      </w:r>
    </w:p>
    <w:p w14:paraId="46BD9E1A">
      <w:pPr>
        <w:pStyle w:val="7"/>
        <w:snapToGrid w:val="0"/>
        <w:ind w:firstLine="480"/>
        <w:rPr>
          <w:rFonts w:hAnsi="宋体" w:cs="Arial"/>
          <w:sz w:val="24"/>
          <w:szCs w:val="24"/>
        </w:rPr>
      </w:pPr>
      <w:r>
        <w:rPr>
          <w:rFonts w:hint="eastAsia" w:hAnsi="宋体" w:cs="Arial"/>
          <w:sz w:val="24"/>
          <w:szCs w:val="24"/>
        </w:rPr>
        <w:t>3．药剂使用联锁和保护功能说明。</w:t>
      </w:r>
    </w:p>
    <w:p w14:paraId="481A90F9">
      <w:pPr>
        <w:pStyle w:val="7"/>
        <w:snapToGrid w:val="0"/>
        <w:ind w:firstLine="480"/>
        <w:rPr>
          <w:rFonts w:hAnsi="宋体" w:cs="Arial"/>
          <w:sz w:val="24"/>
          <w:szCs w:val="24"/>
        </w:rPr>
      </w:pPr>
      <w:r>
        <w:rPr>
          <w:rFonts w:hint="eastAsia" w:hAnsi="宋体" w:cs="Arial"/>
          <w:sz w:val="24"/>
          <w:szCs w:val="24"/>
        </w:rPr>
        <w:t>4．药剂使用的应急预案</w:t>
      </w:r>
    </w:p>
    <w:p w14:paraId="593E500E">
      <w:pPr>
        <w:pStyle w:val="7"/>
        <w:snapToGrid w:val="0"/>
        <w:ind w:firstLine="480"/>
        <w:rPr>
          <w:rFonts w:hAnsi="宋体" w:cs="Arial"/>
          <w:sz w:val="24"/>
          <w:szCs w:val="24"/>
        </w:rPr>
      </w:pPr>
      <w:r>
        <w:rPr>
          <w:rFonts w:hint="eastAsia" w:hAnsi="宋体" w:cs="Arial"/>
          <w:sz w:val="24"/>
          <w:szCs w:val="24"/>
        </w:rPr>
        <w:t>5、附件：药剂的安全技术说明书</w:t>
      </w:r>
    </w:p>
    <w:p w14:paraId="21FF1283">
      <w:pPr>
        <w:pStyle w:val="7"/>
        <w:snapToGrid w:val="0"/>
        <w:ind w:firstLine="480"/>
        <w:rPr>
          <w:rFonts w:hAnsi="宋体" w:cs="Arial"/>
          <w:sz w:val="24"/>
          <w:szCs w:val="24"/>
        </w:rPr>
      </w:pPr>
      <w:r>
        <w:rPr>
          <w:rFonts w:hint="eastAsia" w:hAnsi="宋体" w:cs="Arial"/>
          <w:sz w:val="24"/>
          <w:szCs w:val="24"/>
        </w:rPr>
        <w:t>为便于使用和查阅，手册应分成卷，每一卷包括封面的最大厚度为50mm。</w:t>
      </w:r>
    </w:p>
    <w:p w14:paraId="3C268592">
      <w:pPr>
        <w:tabs>
          <w:tab w:val="left" w:pos="360"/>
        </w:tabs>
        <w:spacing w:line="500" w:lineRule="exact"/>
        <w:rPr>
          <w:sz w:val="24"/>
          <w:szCs w:val="24"/>
        </w:rPr>
      </w:pPr>
      <w:r>
        <w:rPr>
          <w:rFonts w:hint="eastAsia" w:hAnsi="宋体"/>
          <w:sz w:val="24"/>
          <w:szCs w:val="24"/>
        </w:rPr>
        <w:t>每一卷的版式应尽可能地一致，每一部分的系统、药剂等描述顺序也应一致。</w:t>
      </w:r>
    </w:p>
    <w:p w14:paraId="54A9B58E">
      <w:pPr>
        <w:widowControl/>
        <w:rPr>
          <w:b/>
          <w:kern w:val="44"/>
          <w:sz w:val="24"/>
          <w:szCs w:val="24"/>
        </w:rPr>
      </w:pPr>
    </w:p>
    <w:bookmarkEnd w:id="61"/>
    <w:bookmarkEnd w:id="62"/>
    <w:p w14:paraId="15C5B601">
      <w:pPr>
        <w:pStyle w:val="2"/>
        <w:jc w:val="left"/>
        <w:rPr>
          <w:sz w:val="32"/>
        </w:rPr>
      </w:pPr>
      <w:r>
        <w:rPr>
          <w:b w:val="0"/>
          <w:sz w:val="24"/>
          <w:szCs w:val="24"/>
        </w:rPr>
        <w:br w:type="page"/>
      </w:r>
      <w:bookmarkStart w:id="63" w:name="_Toc397175925"/>
      <w:bookmarkStart w:id="64" w:name="_Toc397131869"/>
      <w:bookmarkStart w:id="65" w:name="_Toc396528500"/>
      <w:bookmarkStart w:id="66" w:name="_Toc517056038"/>
      <w:bookmarkStart w:id="67" w:name="_Toc396988670"/>
      <w:bookmarkStart w:id="68" w:name="_Toc396527854"/>
      <w:bookmarkStart w:id="69" w:name="_Toc397174654"/>
      <w:bookmarkStart w:id="70" w:name="_Toc399318779"/>
      <w:bookmarkStart w:id="71" w:name="_Toc1048259"/>
      <w:bookmarkStart w:id="72" w:name="_Toc501940892"/>
      <w:bookmarkStart w:id="73" w:name="_Toc396990284"/>
      <w:bookmarkStart w:id="74" w:name="_Toc396529293"/>
      <w:bookmarkStart w:id="75" w:name="_Toc399326523"/>
      <w:bookmarkStart w:id="76" w:name="_Toc286159478"/>
      <w:bookmarkStart w:id="77" w:name="_Toc394471055"/>
      <w:bookmarkStart w:id="78" w:name="_Toc396528069"/>
      <w:r>
        <w:rPr>
          <w:rFonts w:hint="eastAsia"/>
        </w:rPr>
        <w:t>附件</w:t>
      </w:r>
      <w:r>
        <w:t>9</w:t>
      </w:r>
      <w:r>
        <w:rPr>
          <w:rFonts w:hint="eastAsia"/>
        </w:rPr>
        <w:t>技术差异表</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BCCD41D">
      <w:pPr>
        <w:pStyle w:val="5"/>
        <w:spacing w:line="320" w:lineRule="exact"/>
        <w:jc w:val="center"/>
        <w:rPr>
          <w:rFonts w:ascii="Arial" w:hAnsi="Arial" w:cs="Arial"/>
          <w:szCs w:val="24"/>
        </w:rPr>
      </w:pPr>
      <w:r>
        <w:rPr>
          <w:rFonts w:hint="eastAsia" w:ascii="Arial" w:hAnsi="Arial" w:cs="Arial"/>
          <w:szCs w:val="24"/>
        </w:rPr>
        <w:t>技术部分差异表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343"/>
        <w:gridCol w:w="2489"/>
        <w:gridCol w:w="900"/>
        <w:gridCol w:w="2607"/>
        <w:gridCol w:w="1199"/>
      </w:tblGrid>
      <w:tr w14:paraId="5A26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710" w:type="dxa"/>
            <w:vMerge w:val="restart"/>
            <w:tcBorders>
              <w:top w:val="single" w:color="auto" w:sz="4" w:space="0"/>
              <w:left w:val="single" w:color="auto" w:sz="4" w:space="0"/>
              <w:bottom w:val="single" w:color="auto" w:sz="4" w:space="0"/>
              <w:right w:val="single" w:color="auto" w:sz="4" w:space="0"/>
            </w:tcBorders>
            <w:vAlign w:val="center"/>
          </w:tcPr>
          <w:p w14:paraId="6EEADD4C">
            <w:pPr>
              <w:adjustRightInd w:val="0"/>
              <w:spacing w:line="360" w:lineRule="auto"/>
              <w:jc w:val="center"/>
              <w:rPr>
                <w:b/>
                <w:sz w:val="18"/>
                <w:szCs w:val="18"/>
              </w:rPr>
            </w:pPr>
            <w:r>
              <w:rPr>
                <w:rFonts w:hint="eastAsia" w:hAnsi="宋体"/>
                <w:b/>
                <w:sz w:val="18"/>
                <w:szCs w:val="18"/>
              </w:rPr>
              <w:t>序号</w:t>
            </w:r>
          </w:p>
        </w:tc>
        <w:tc>
          <w:tcPr>
            <w:tcW w:w="3832" w:type="dxa"/>
            <w:gridSpan w:val="2"/>
            <w:tcBorders>
              <w:top w:val="single" w:color="auto" w:sz="4" w:space="0"/>
              <w:left w:val="single" w:color="auto" w:sz="4" w:space="0"/>
              <w:bottom w:val="single" w:color="auto" w:sz="4" w:space="0"/>
              <w:right w:val="single" w:color="auto" w:sz="4" w:space="0"/>
            </w:tcBorders>
            <w:vAlign w:val="center"/>
          </w:tcPr>
          <w:p w14:paraId="43ECE3F4">
            <w:pPr>
              <w:adjustRightInd w:val="0"/>
              <w:spacing w:line="360" w:lineRule="auto"/>
              <w:jc w:val="center"/>
              <w:rPr>
                <w:b/>
                <w:sz w:val="18"/>
                <w:szCs w:val="18"/>
              </w:rPr>
            </w:pPr>
            <w:r>
              <w:rPr>
                <w:rFonts w:hint="eastAsia" w:hAnsi="宋体"/>
                <w:b/>
                <w:sz w:val="18"/>
                <w:szCs w:val="18"/>
              </w:rPr>
              <w:t>招标文件</w:t>
            </w:r>
          </w:p>
        </w:tc>
        <w:tc>
          <w:tcPr>
            <w:tcW w:w="3507" w:type="dxa"/>
            <w:gridSpan w:val="2"/>
            <w:tcBorders>
              <w:top w:val="single" w:color="auto" w:sz="4" w:space="0"/>
              <w:left w:val="single" w:color="auto" w:sz="4" w:space="0"/>
              <w:bottom w:val="single" w:color="auto" w:sz="4" w:space="0"/>
              <w:right w:val="single" w:color="auto" w:sz="4" w:space="0"/>
            </w:tcBorders>
            <w:vAlign w:val="center"/>
          </w:tcPr>
          <w:p w14:paraId="7AA8BC6C">
            <w:pPr>
              <w:adjustRightInd w:val="0"/>
              <w:spacing w:line="360" w:lineRule="auto"/>
              <w:jc w:val="center"/>
              <w:rPr>
                <w:b/>
                <w:sz w:val="18"/>
                <w:szCs w:val="18"/>
              </w:rPr>
            </w:pPr>
            <w:r>
              <w:rPr>
                <w:rFonts w:hint="eastAsia" w:hAnsi="宋体"/>
                <w:b/>
                <w:sz w:val="18"/>
                <w:szCs w:val="18"/>
              </w:rPr>
              <w:t>投标文件</w:t>
            </w:r>
          </w:p>
        </w:tc>
        <w:tc>
          <w:tcPr>
            <w:tcW w:w="1199" w:type="dxa"/>
            <w:vMerge w:val="restart"/>
            <w:tcBorders>
              <w:top w:val="single" w:color="auto" w:sz="4" w:space="0"/>
              <w:left w:val="single" w:color="auto" w:sz="4" w:space="0"/>
              <w:bottom w:val="single" w:color="auto" w:sz="4" w:space="0"/>
              <w:right w:val="single" w:color="auto" w:sz="4" w:space="0"/>
            </w:tcBorders>
            <w:vAlign w:val="center"/>
          </w:tcPr>
          <w:p w14:paraId="26538AFF">
            <w:pPr>
              <w:adjustRightInd w:val="0"/>
              <w:spacing w:line="360" w:lineRule="auto"/>
              <w:jc w:val="center"/>
              <w:rPr>
                <w:b/>
                <w:sz w:val="18"/>
                <w:szCs w:val="18"/>
              </w:rPr>
            </w:pPr>
            <w:r>
              <w:rPr>
                <w:rFonts w:hint="eastAsia" w:hAnsi="宋体"/>
                <w:b/>
                <w:sz w:val="18"/>
                <w:szCs w:val="18"/>
              </w:rPr>
              <w:t>备注</w:t>
            </w:r>
          </w:p>
        </w:tc>
      </w:tr>
      <w:tr w14:paraId="2CB1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710" w:type="dxa"/>
            <w:vMerge w:val="continue"/>
            <w:tcBorders>
              <w:top w:val="single" w:color="auto" w:sz="4" w:space="0"/>
              <w:left w:val="single" w:color="auto" w:sz="4" w:space="0"/>
              <w:bottom w:val="single" w:color="auto" w:sz="4" w:space="0"/>
              <w:right w:val="single" w:color="auto" w:sz="4" w:space="0"/>
            </w:tcBorders>
            <w:vAlign w:val="center"/>
          </w:tcPr>
          <w:p w14:paraId="0B5BB989">
            <w:pPr>
              <w:widowControl/>
              <w:rPr>
                <w:b/>
                <w:sz w:val="18"/>
                <w:szCs w:val="18"/>
              </w:rPr>
            </w:pPr>
          </w:p>
        </w:tc>
        <w:tc>
          <w:tcPr>
            <w:tcW w:w="1343" w:type="dxa"/>
            <w:tcBorders>
              <w:top w:val="single" w:color="auto" w:sz="4" w:space="0"/>
              <w:left w:val="single" w:color="auto" w:sz="4" w:space="0"/>
              <w:bottom w:val="single" w:color="auto" w:sz="4" w:space="0"/>
              <w:right w:val="single" w:color="auto" w:sz="4" w:space="0"/>
            </w:tcBorders>
            <w:vAlign w:val="center"/>
          </w:tcPr>
          <w:p w14:paraId="66C8B2EF">
            <w:pPr>
              <w:adjustRightInd w:val="0"/>
              <w:spacing w:line="360" w:lineRule="auto"/>
              <w:jc w:val="center"/>
              <w:rPr>
                <w:b/>
                <w:sz w:val="18"/>
                <w:szCs w:val="18"/>
              </w:rPr>
            </w:pPr>
            <w:r>
              <w:rPr>
                <w:rFonts w:hint="eastAsia" w:hAnsi="宋体"/>
                <w:b/>
                <w:sz w:val="18"/>
                <w:szCs w:val="18"/>
              </w:rPr>
              <w:t>条目</w:t>
            </w:r>
          </w:p>
        </w:tc>
        <w:tc>
          <w:tcPr>
            <w:tcW w:w="2489" w:type="dxa"/>
            <w:tcBorders>
              <w:top w:val="single" w:color="auto" w:sz="4" w:space="0"/>
              <w:left w:val="single" w:color="auto" w:sz="4" w:space="0"/>
              <w:bottom w:val="single" w:color="auto" w:sz="4" w:space="0"/>
              <w:right w:val="single" w:color="auto" w:sz="4" w:space="0"/>
            </w:tcBorders>
            <w:vAlign w:val="center"/>
          </w:tcPr>
          <w:p w14:paraId="13B343F0">
            <w:pPr>
              <w:adjustRightInd w:val="0"/>
              <w:spacing w:line="360" w:lineRule="auto"/>
              <w:jc w:val="center"/>
              <w:rPr>
                <w:b/>
                <w:sz w:val="18"/>
                <w:szCs w:val="18"/>
              </w:rPr>
            </w:pPr>
            <w:r>
              <w:rPr>
                <w:rFonts w:hint="eastAsia" w:hAnsi="宋体"/>
                <w:b/>
                <w:sz w:val="18"/>
                <w:szCs w:val="18"/>
              </w:rPr>
              <w:t>简要内容</w:t>
            </w:r>
          </w:p>
        </w:tc>
        <w:tc>
          <w:tcPr>
            <w:tcW w:w="900" w:type="dxa"/>
            <w:tcBorders>
              <w:top w:val="single" w:color="auto" w:sz="4" w:space="0"/>
              <w:left w:val="single" w:color="auto" w:sz="4" w:space="0"/>
              <w:bottom w:val="single" w:color="auto" w:sz="4" w:space="0"/>
              <w:right w:val="single" w:color="auto" w:sz="4" w:space="0"/>
            </w:tcBorders>
            <w:vAlign w:val="center"/>
          </w:tcPr>
          <w:p w14:paraId="5ABF2093">
            <w:pPr>
              <w:adjustRightInd w:val="0"/>
              <w:spacing w:line="360" w:lineRule="auto"/>
              <w:jc w:val="center"/>
              <w:rPr>
                <w:b/>
                <w:sz w:val="18"/>
                <w:szCs w:val="18"/>
              </w:rPr>
            </w:pPr>
            <w:r>
              <w:rPr>
                <w:rFonts w:hint="eastAsia" w:hAnsi="宋体"/>
                <w:b/>
                <w:sz w:val="18"/>
                <w:szCs w:val="18"/>
              </w:rPr>
              <w:t>条目</w:t>
            </w:r>
          </w:p>
        </w:tc>
        <w:tc>
          <w:tcPr>
            <w:tcW w:w="2607" w:type="dxa"/>
            <w:tcBorders>
              <w:top w:val="single" w:color="auto" w:sz="4" w:space="0"/>
              <w:left w:val="single" w:color="auto" w:sz="4" w:space="0"/>
              <w:bottom w:val="single" w:color="auto" w:sz="4" w:space="0"/>
              <w:right w:val="single" w:color="auto" w:sz="4" w:space="0"/>
            </w:tcBorders>
            <w:vAlign w:val="center"/>
          </w:tcPr>
          <w:p w14:paraId="15881B94">
            <w:pPr>
              <w:adjustRightInd w:val="0"/>
              <w:spacing w:line="360" w:lineRule="auto"/>
              <w:jc w:val="center"/>
              <w:rPr>
                <w:b/>
                <w:sz w:val="18"/>
                <w:szCs w:val="18"/>
              </w:rPr>
            </w:pPr>
            <w:r>
              <w:rPr>
                <w:rFonts w:hint="eastAsia" w:hAnsi="宋体"/>
                <w:b/>
                <w:sz w:val="18"/>
                <w:szCs w:val="18"/>
              </w:rPr>
              <w:t>简要内容</w:t>
            </w:r>
          </w:p>
        </w:tc>
        <w:tc>
          <w:tcPr>
            <w:tcW w:w="1199" w:type="dxa"/>
            <w:vMerge w:val="continue"/>
            <w:tcBorders>
              <w:top w:val="single" w:color="auto" w:sz="4" w:space="0"/>
              <w:left w:val="single" w:color="auto" w:sz="4" w:space="0"/>
              <w:bottom w:val="single" w:color="auto" w:sz="4" w:space="0"/>
              <w:right w:val="single" w:color="auto" w:sz="4" w:space="0"/>
            </w:tcBorders>
            <w:vAlign w:val="center"/>
          </w:tcPr>
          <w:p w14:paraId="4878DC00">
            <w:pPr>
              <w:widowControl/>
              <w:rPr>
                <w:b/>
                <w:sz w:val="18"/>
                <w:szCs w:val="18"/>
              </w:rPr>
            </w:pPr>
          </w:p>
        </w:tc>
      </w:tr>
      <w:tr w14:paraId="3B54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252AFD86">
            <w:pPr>
              <w:adjustRightInd w:val="0"/>
              <w:spacing w:line="360" w:lineRule="auto"/>
              <w:jc w:val="center"/>
              <w:rPr>
                <w:sz w:val="18"/>
                <w:szCs w:val="18"/>
              </w:rPr>
            </w:pPr>
            <w:r>
              <w:rPr>
                <w:sz w:val="18"/>
                <w:szCs w:val="18"/>
              </w:rPr>
              <w:t>1</w:t>
            </w:r>
          </w:p>
        </w:tc>
        <w:tc>
          <w:tcPr>
            <w:tcW w:w="1343" w:type="dxa"/>
            <w:tcBorders>
              <w:top w:val="single" w:color="auto" w:sz="4" w:space="0"/>
              <w:left w:val="single" w:color="auto" w:sz="4" w:space="0"/>
              <w:bottom w:val="single" w:color="auto" w:sz="4" w:space="0"/>
              <w:right w:val="single" w:color="auto" w:sz="4" w:space="0"/>
            </w:tcBorders>
            <w:vAlign w:val="center"/>
          </w:tcPr>
          <w:p w14:paraId="243A0323">
            <w:pPr>
              <w:adjustRightInd w:val="0"/>
              <w:spacing w:line="360" w:lineRule="auto"/>
              <w:jc w:val="center"/>
              <w:rPr>
                <w:sz w:val="18"/>
                <w:szCs w:val="18"/>
              </w:rPr>
            </w:pPr>
          </w:p>
        </w:tc>
        <w:tc>
          <w:tcPr>
            <w:tcW w:w="2489" w:type="dxa"/>
            <w:tcBorders>
              <w:top w:val="single" w:color="auto" w:sz="4" w:space="0"/>
              <w:left w:val="single" w:color="auto" w:sz="4" w:space="0"/>
              <w:bottom w:val="single" w:color="auto" w:sz="4" w:space="0"/>
              <w:right w:val="single" w:color="auto" w:sz="4" w:space="0"/>
            </w:tcBorders>
            <w:vAlign w:val="center"/>
          </w:tcPr>
          <w:p w14:paraId="4BBB3357">
            <w:pPr>
              <w:adjustRightInd w:val="0"/>
              <w:spacing w:line="360" w:lineRule="auto"/>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vAlign w:val="center"/>
          </w:tcPr>
          <w:p w14:paraId="28FC4879">
            <w:pPr>
              <w:adjustRightInd w:val="0"/>
              <w:spacing w:line="360" w:lineRule="auto"/>
              <w:jc w:val="center"/>
              <w:rPr>
                <w:sz w:val="18"/>
                <w:szCs w:val="18"/>
              </w:rPr>
            </w:pPr>
          </w:p>
        </w:tc>
        <w:tc>
          <w:tcPr>
            <w:tcW w:w="2607" w:type="dxa"/>
            <w:tcBorders>
              <w:top w:val="single" w:color="auto" w:sz="4" w:space="0"/>
              <w:left w:val="single" w:color="auto" w:sz="4" w:space="0"/>
              <w:bottom w:val="single" w:color="auto" w:sz="4" w:space="0"/>
              <w:right w:val="single" w:color="auto" w:sz="4" w:space="0"/>
            </w:tcBorders>
            <w:vAlign w:val="center"/>
          </w:tcPr>
          <w:p w14:paraId="2FDFA656">
            <w:pPr>
              <w:adjustRightInd w:val="0"/>
              <w:spacing w:line="360" w:lineRule="auto"/>
              <w:jc w:val="center"/>
              <w:rPr>
                <w:sz w:val="18"/>
                <w:szCs w:val="18"/>
              </w:rPr>
            </w:pPr>
          </w:p>
        </w:tc>
        <w:tc>
          <w:tcPr>
            <w:tcW w:w="1199" w:type="dxa"/>
            <w:tcBorders>
              <w:top w:val="single" w:color="auto" w:sz="4" w:space="0"/>
              <w:left w:val="single" w:color="auto" w:sz="4" w:space="0"/>
              <w:bottom w:val="single" w:color="auto" w:sz="4" w:space="0"/>
              <w:right w:val="single" w:color="auto" w:sz="4" w:space="0"/>
            </w:tcBorders>
            <w:vAlign w:val="center"/>
          </w:tcPr>
          <w:p w14:paraId="2473B97E">
            <w:pPr>
              <w:adjustRightInd w:val="0"/>
              <w:spacing w:line="360" w:lineRule="auto"/>
              <w:jc w:val="center"/>
              <w:rPr>
                <w:sz w:val="18"/>
                <w:szCs w:val="18"/>
              </w:rPr>
            </w:pPr>
          </w:p>
        </w:tc>
      </w:tr>
      <w:tr w14:paraId="0DF37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10" w:type="dxa"/>
            <w:tcBorders>
              <w:top w:val="single" w:color="auto" w:sz="4" w:space="0"/>
              <w:left w:val="single" w:color="auto" w:sz="4" w:space="0"/>
              <w:bottom w:val="single" w:color="auto" w:sz="4" w:space="0"/>
              <w:right w:val="single" w:color="auto" w:sz="4" w:space="0"/>
            </w:tcBorders>
            <w:vAlign w:val="center"/>
          </w:tcPr>
          <w:p w14:paraId="19D59F2D">
            <w:pPr>
              <w:adjustRightInd w:val="0"/>
              <w:spacing w:line="360" w:lineRule="auto"/>
              <w:jc w:val="center"/>
              <w:rPr>
                <w:sz w:val="18"/>
                <w:szCs w:val="18"/>
              </w:rPr>
            </w:pPr>
            <w:r>
              <w:rPr>
                <w:sz w:val="18"/>
                <w:szCs w:val="18"/>
              </w:rPr>
              <w:t>2</w:t>
            </w:r>
          </w:p>
        </w:tc>
        <w:tc>
          <w:tcPr>
            <w:tcW w:w="1343" w:type="dxa"/>
            <w:tcBorders>
              <w:top w:val="single" w:color="auto" w:sz="4" w:space="0"/>
              <w:left w:val="single" w:color="auto" w:sz="4" w:space="0"/>
              <w:bottom w:val="single" w:color="auto" w:sz="4" w:space="0"/>
              <w:right w:val="single" w:color="auto" w:sz="4" w:space="0"/>
            </w:tcBorders>
            <w:vAlign w:val="center"/>
          </w:tcPr>
          <w:p w14:paraId="19238856">
            <w:pPr>
              <w:adjustRightInd w:val="0"/>
              <w:spacing w:line="360" w:lineRule="auto"/>
              <w:jc w:val="center"/>
              <w:rPr>
                <w:sz w:val="18"/>
                <w:szCs w:val="18"/>
              </w:rPr>
            </w:pPr>
          </w:p>
        </w:tc>
        <w:tc>
          <w:tcPr>
            <w:tcW w:w="2489" w:type="dxa"/>
            <w:tcBorders>
              <w:top w:val="single" w:color="auto" w:sz="4" w:space="0"/>
              <w:left w:val="single" w:color="auto" w:sz="4" w:space="0"/>
              <w:bottom w:val="single" w:color="auto" w:sz="4" w:space="0"/>
              <w:right w:val="single" w:color="auto" w:sz="4" w:space="0"/>
            </w:tcBorders>
            <w:vAlign w:val="center"/>
          </w:tcPr>
          <w:p w14:paraId="04F009AE">
            <w:pPr>
              <w:adjustRightInd w:val="0"/>
              <w:spacing w:line="360" w:lineRule="auto"/>
              <w:jc w:val="center"/>
              <w:rPr>
                <w:sz w:val="18"/>
                <w:szCs w:val="18"/>
              </w:rPr>
            </w:pPr>
          </w:p>
        </w:tc>
        <w:tc>
          <w:tcPr>
            <w:tcW w:w="900" w:type="dxa"/>
            <w:tcBorders>
              <w:top w:val="single" w:color="auto" w:sz="4" w:space="0"/>
              <w:left w:val="single" w:color="auto" w:sz="4" w:space="0"/>
              <w:bottom w:val="single" w:color="auto" w:sz="4" w:space="0"/>
              <w:right w:val="single" w:color="auto" w:sz="4" w:space="0"/>
            </w:tcBorders>
            <w:vAlign w:val="center"/>
          </w:tcPr>
          <w:p w14:paraId="604B7E3F">
            <w:pPr>
              <w:adjustRightInd w:val="0"/>
              <w:spacing w:line="360" w:lineRule="auto"/>
              <w:jc w:val="center"/>
              <w:rPr>
                <w:sz w:val="18"/>
                <w:szCs w:val="18"/>
              </w:rPr>
            </w:pPr>
          </w:p>
        </w:tc>
        <w:tc>
          <w:tcPr>
            <w:tcW w:w="2607" w:type="dxa"/>
            <w:tcBorders>
              <w:top w:val="single" w:color="auto" w:sz="4" w:space="0"/>
              <w:left w:val="single" w:color="auto" w:sz="4" w:space="0"/>
              <w:bottom w:val="single" w:color="auto" w:sz="4" w:space="0"/>
              <w:right w:val="single" w:color="auto" w:sz="4" w:space="0"/>
            </w:tcBorders>
            <w:vAlign w:val="center"/>
          </w:tcPr>
          <w:p w14:paraId="6DD142C1">
            <w:pPr>
              <w:adjustRightInd w:val="0"/>
              <w:spacing w:line="360" w:lineRule="auto"/>
              <w:jc w:val="center"/>
              <w:rPr>
                <w:sz w:val="18"/>
                <w:szCs w:val="18"/>
              </w:rPr>
            </w:pPr>
          </w:p>
        </w:tc>
        <w:tc>
          <w:tcPr>
            <w:tcW w:w="1199" w:type="dxa"/>
            <w:tcBorders>
              <w:top w:val="single" w:color="auto" w:sz="4" w:space="0"/>
              <w:left w:val="single" w:color="auto" w:sz="4" w:space="0"/>
              <w:bottom w:val="single" w:color="auto" w:sz="4" w:space="0"/>
              <w:right w:val="single" w:color="auto" w:sz="4" w:space="0"/>
            </w:tcBorders>
            <w:vAlign w:val="center"/>
          </w:tcPr>
          <w:p w14:paraId="05508CDB">
            <w:pPr>
              <w:adjustRightInd w:val="0"/>
              <w:spacing w:line="360" w:lineRule="auto"/>
              <w:jc w:val="center"/>
              <w:rPr>
                <w:sz w:val="18"/>
                <w:szCs w:val="18"/>
              </w:rPr>
            </w:pPr>
          </w:p>
        </w:tc>
      </w:tr>
    </w:tbl>
    <w:p w14:paraId="42594DA1">
      <w:pPr>
        <w:spacing w:line="500" w:lineRule="exact"/>
        <w:ind w:firstLine="420"/>
      </w:pPr>
    </w:p>
    <w:p w14:paraId="31FCA5F5">
      <w:pPr>
        <w:pStyle w:val="2"/>
        <w:jc w:val="left"/>
      </w:pPr>
      <w:r>
        <w:rPr>
          <w:b w:val="0"/>
          <w:sz w:val="32"/>
        </w:rPr>
        <w:br w:type="page"/>
      </w:r>
      <w:bookmarkStart w:id="79" w:name="_Toc394471056"/>
      <w:bookmarkStart w:id="80" w:name="_Toc1048260"/>
      <w:r>
        <w:rPr>
          <w:rFonts w:hint="eastAsia"/>
        </w:rPr>
        <w:t>附件</w:t>
      </w:r>
      <w:r>
        <w:t>10</w:t>
      </w:r>
      <w:r>
        <w:rPr>
          <w:rFonts w:hint="eastAsia"/>
        </w:rPr>
        <w:t>附图</w:t>
      </w:r>
      <w:bookmarkEnd w:id="79"/>
      <w:bookmarkEnd w:id="80"/>
    </w:p>
    <w:p w14:paraId="0415F157">
      <w:pPr>
        <w:tabs>
          <w:tab w:val="left" w:pos="600"/>
          <w:tab w:val="left" w:pos="720"/>
          <w:tab w:val="left" w:pos="840"/>
          <w:tab w:val="left" w:pos="1080"/>
          <w:tab w:val="left" w:pos="1320"/>
          <w:tab w:val="left" w:pos="1680"/>
          <w:tab w:val="left" w:pos="2040"/>
        </w:tabs>
        <w:rPr>
          <w:b/>
          <w:sz w:val="24"/>
          <w:szCs w:val="24"/>
        </w:rPr>
      </w:pPr>
      <w:r>
        <w:rPr>
          <w:rFonts w:hint="eastAsia"/>
          <w:sz w:val="24"/>
          <w:szCs w:val="24"/>
        </w:rPr>
        <w:t>（根据需要提供相关资料图纸）</w:t>
      </w:r>
    </w:p>
    <w:p w14:paraId="1443C09E">
      <w:pPr>
        <w:tabs>
          <w:tab w:val="left" w:pos="600"/>
          <w:tab w:val="left" w:pos="720"/>
          <w:tab w:val="left" w:pos="840"/>
          <w:tab w:val="left" w:pos="1080"/>
          <w:tab w:val="left" w:pos="1320"/>
          <w:tab w:val="left" w:pos="1680"/>
          <w:tab w:val="left" w:pos="2040"/>
        </w:tabs>
        <w:rPr>
          <w:sz w:val="30"/>
          <w:szCs w:val="30"/>
        </w:rPr>
      </w:pPr>
    </w:p>
    <w:p w14:paraId="056EEF85">
      <w:pPr>
        <w:pStyle w:val="2"/>
        <w:jc w:val="left"/>
        <w:rPr>
          <w:sz w:val="32"/>
          <w:szCs w:val="20"/>
        </w:rPr>
      </w:pPr>
      <w:r>
        <w:rPr>
          <w:b w:val="0"/>
          <w:sz w:val="32"/>
        </w:rPr>
        <w:br w:type="page"/>
      </w:r>
      <w:bookmarkStart w:id="81" w:name="_Toc286159480"/>
      <w:bookmarkStart w:id="82" w:name="_Toc394471057"/>
      <w:bookmarkStart w:id="83" w:name="_Toc346199017"/>
      <w:bookmarkStart w:id="84" w:name="_Toc1048261"/>
      <w:r>
        <w:rPr>
          <w:rFonts w:hint="eastAsia"/>
        </w:rPr>
        <w:t>附件</w:t>
      </w:r>
      <w:r>
        <w:t>11</w:t>
      </w:r>
      <w:r>
        <w:rPr>
          <w:rFonts w:hint="eastAsia"/>
        </w:rPr>
        <w:t>性能考核</w:t>
      </w:r>
      <w:bookmarkEnd w:id="81"/>
      <w:r>
        <w:rPr>
          <w:rFonts w:hint="eastAsia"/>
        </w:rPr>
        <w:t>条款</w:t>
      </w:r>
      <w:bookmarkEnd w:id="82"/>
      <w:bookmarkEnd w:id="83"/>
      <w:bookmarkEnd w:id="84"/>
    </w:p>
    <w:p w14:paraId="6F611BB1">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1</w:t>
      </w:r>
      <w:r>
        <w:rPr>
          <w:rFonts w:hint="eastAsia"/>
          <w:sz w:val="24"/>
          <w:szCs w:val="24"/>
        </w:rPr>
        <w:t>关于产品质量</w:t>
      </w:r>
    </w:p>
    <w:p w14:paraId="631DD53E">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1.1</w:t>
      </w:r>
      <w:r>
        <w:rPr>
          <w:rFonts w:hint="eastAsia"/>
          <w:sz w:val="24"/>
          <w:szCs w:val="24"/>
        </w:rPr>
        <w:t>若用户进行到货抽检的检测结果显示产品质量不合格，则此批产品由报价人负责退回，同时报价人应在</w:t>
      </w:r>
      <w:r>
        <w:rPr>
          <w:sz w:val="24"/>
          <w:szCs w:val="24"/>
        </w:rPr>
        <w:t>7</w:t>
      </w:r>
      <w:r>
        <w:rPr>
          <w:rFonts w:hint="eastAsia"/>
          <w:sz w:val="24"/>
          <w:szCs w:val="24"/>
        </w:rPr>
        <w:t>天内（对于急需的产品应在</w:t>
      </w:r>
      <w:r>
        <w:rPr>
          <w:sz w:val="24"/>
          <w:szCs w:val="24"/>
        </w:rPr>
        <w:t>3</w:t>
      </w:r>
      <w:r>
        <w:rPr>
          <w:rFonts w:hint="eastAsia"/>
          <w:sz w:val="24"/>
          <w:szCs w:val="24"/>
        </w:rPr>
        <w:t>天内）重新提供符合质量要求的产品，所有费用由报价人承担。</w:t>
      </w:r>
    </w:p>
    <w:p w14:paraId="2D6B6BDB">
      <w:pPr>
        <w:tabs>
          <w:tab w:val="left" w:pos="600"/>
          <w:tab w:val="left" w:pos="720"/>
          <w:tab w:val="left" w:pos="840"/>
          <w:tab w:val="left" w:pos="1080"/>
          <w:tab w:val="left" w:pos="1320"/>
          <w:tab w:val="left" w:pos="1680"/>
          <w:tab w:val="left" w:pos="2040"/>
        </w:tabs>
        <w:spacing w:line="360" w:lineRule="auto"/>
        <w:ind w:firstLine="480" w:firstLineChars="200"/>
        <w:rPr>
          <w:sz w:val="24"/>
          <w:szCs w:val="24"/>
        </w:rPr>
      </w:pPr>
      <w:r>
        <w:rPr>
          <w:rFonts w:hint="eastAsia"/>
          <w:sz w:val="24"/>
          <w:szCs w:val="24"/>
        </w:rPr>
        <w:t>若双方对产品质量发生异议时，由采购人或采购人授权委托人在双方见证下抽检样品送至第三方权威检验机构进行仲裁检验。在检验结果出具前，报价人应先负责退回此批产品并重新提供符合质量要求的产品以满足用户生产需要。</w:t>
      </w:r>
    </w:p>
    <w:p w14:paraId="69848B87">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1.2</w:t>
      </w:r>
      <w:r>
        <w:rPr>
          <w:rFonts w:hint="eastAsia"/>
          <w:sz w:val="24"/>
          <w:szCs w:val="24"/>
        </w:rPr>
        <w:t>采购人有权对报价人的产品进行定期或不定期抽检，采样和检验方法保证符合国家</w:t>
      </w:r>
      <w:r>
        <w:rPr>
          <w:sz w:val="24"/>
          <w:szCs w:val="24"/>
        </w:rPr>
        <w:t>/</w:t>
      </w:r>
      <w:r>
        <w:rPr>
          <w:rFonts w:hint="eastAsia"/>
          <w:sz w:val="24"/>
          <w:szCs w:val="24"/>
        </w:rPr>
        <w:t>行业标准规定，抽检的样品送至第三方权威检验机构进行检验。</w:t>
      </w:r>
    </w:p>
    <w:p w14:paraId="62129299">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1.3</w:t>
      </w:r>
      <w:r>
        <w:rPr>
          <w:rFonts w:hint="eastAsia"/>
          <w:sz w:val="24"/>
          <w:szCs w:val="24"/>
        </w:rPr>
        <w:t>无论是在采购人或用户的到货验收中，或是在定期、不定期的质量抽检中，若属首次发现报价人提供的产品质量不合格的，此批产品必须退回（若用户此时已使用部分或全部产品，则剩余的部分退回），此批产品全部不得进行结算；同时，报价人必须接受合同中相应商务条款考核。若属第二次发现产品质量不合格的，在报价人接受商务条款考核的同时，采购人有权立即终止报价人对于此种产品的供货权。</w:t>
      </w:r>
    </w:p>
    <w:p w14:paraId="2FF4F91F">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1.4</w:t>
      </w:r>
      <w:r>
        <w:rPr>
          <w:rFonts w:hint="eastAsia"/>
          <w:sz w:val="24"/>
          <w:szCs w:val="24"/>
        </w:rPr>
        <w:t>若因产品质量问题造成用户设备损坏或引发安全事故的，报价人应承担全部责任、赔偿采购人及用户的经济损失，同时采购人有权立即终止与报价人的合作，并取消报价人的合格供应商资格。</w:t>
      </w:r>
    </w:p>
    <w:p w14:paraId="57F26B4B">
      <w:pPr>
        <w:tabs>
          <w:tab w:val="left" w:pos="600"/>
          <w:tab w:val="left" w:pos="720"/>
          <w:tab w:val="left" w:pos="840"/>
          <w:tab w:val="left" w:pos="1080"/>
          <w:tab w:val="left" w:pos="1320"/>
          <w:tab w:val="left" w:pos="1680"/>
          <w:tab w:val="left" w:pos="2040"/>
        </w:tabs>
        <w:spacing w:line="360" w:lineRule="auto"/>
        <w:rPr>
          <w:sz w:val="24"/>
          <w:szCs w:val="24"/>
        </w:rPr>
      </w:pPr>
      <w:r>
        <w:rPr>
          <w:sz w:val="24"/>
          <w:szCs w:val="24"/>
        </w:rPr>
        <w:t>2</w:t>
      </w:r>
      <w:r>
        <w:rPr>
          <w:rFonts w:hint="eastAsia"/>
          <w:sz w:val="24"/>
          <w:szCs w:val="24"/>
        </w:rPr>
        <w:t>关于产品性能</w:t>
      </w:r>
    </w:p>
    <w:p w14:paraId="2E175333">
      <w:pPr>
        <w:tabs>
          <w:tab w:val="left" w:pos="600"/>
          <w:tab w:val="left" w:pos="720"/>
          <w:tab w:val="left" w:pos="840"/>
          <w:tab w:val="left" w:pos="1080"/>
          <w:tab w:val="left" w:pos="1320"/>
          <w:tab w:val="left" w:pos="1680"/>
          <w:tab w:val="left" w:pos="2040"/>
        </w:tabs>
        <w:spacing w:line="360" w:lineRule="auto"/>
        <w:ind w:firstLine="480" w:firstLineChars="200"/>
        <w:rPr>
          <w:sz w:val="24"/>
          <w:szCs w:val="24"/>
        </w:rPr>
      </w:pPr>
      <w:r>
        <w:rPr>
          <w:rFonts w:hint="eastAsia"/>
          <w:sz w:val="24"/>
          <w:szCs w:val="24"/>
        </w:rPr>
        <w:t>在按照报价人提供的方法正确使用产品的条件下，报价人应保证使用效果符合技术性能要求。若产品无效或效果达不到要求的，因此造成用户设备损坏、不能正常运行，甚至引发安全、环境事故的，报价人必须承担全部责任并赔偿采购人及用户的经济损失，同时采购人有权立即终止与报价人的合作，并取消报价人的合格供应商资格。</w:t>
      </w:r>
    </w:p>
    <w:p w14:paraId="16CAF455">
      <w:pPr>
        <w:spacing w:line="360" w:lineRule="auto"/>
        <w:rPr>
          <w:sz w:val="24"/>
          <w:szCs w:val="24"/>
        </w:rPr>
      </w:pPr>
      <w:r>
        <w:rPr>
          <w:sz w:val="24"/>
          <w:szCs w:val="24"/>
        </w:rPr>
        <w:t>3</w:t>
      </w:r>
      <w:r>
        <w:rPr>
          <w:rFonts w:hint="eastAsia"/>
          <w:sz w:val="24"/>
          <w:szCs w:val="24"/>
        </w:rPr>
        <w:t>关于技术服务</w:t>
      </w:r>
    </w:p>
    <w:p w14:paraId="622BED2D">
      <w:pPr>
        <w:spacing w:line="360" w:lineRule="auto"/>
        <w:ind w:firstLine="435"/>
        <w:rPr>
          <w:sz w:val="24"/>
          <w:szCs w:val="24"/>
        </w:rPr>
      </w:pPr>
      <w:r>
        <w:rPr>
          <w:rFonts w:hint="eastAsia"/>
          <w:sz w:val="24"/>
          <w:szCs w:val="24"/>
        </w:rPr>
        <w:t>报价人必须承诺派遣</w:t>
      </w:r>
      <w:r>
        <w:rPr>
          <w:rFonts w:hint="eastAsia" w:hAnsi="宋体"/>
          <w:sz w:val="24"/>
          <w:szCs w:val="24"/>
        </w:rPr>
        <w:t>至少</w:t>
      </w:r>
      <w:r>
        <w:rPr>
          <w:rFonts w:hAnsi="宋体"/>
          <w:sz w:val="24"/>
          <w:szCs w:val="24"/>
        </w:rPr>
        <w:t>1</w:t>
      </w:r>
      <w:r>
        <w:rPr>
          <w:rFonts w:hint="eastAsia" w:hAnsi="宋体"/>
          <w:sz w:val="24"/>
          <w:szCs w:val="24"/>
        </w:rPr>
        <w:t>名对口专职技术人员按照要求进行技术服务工作</w:t>
      </w:r>
      <w:r>
        <w:rPr>
          <w:rFonts w:hint="eastAsia"/>
          <w:sz w:val="24"/>
          <w:szCs w:val="24"/>
        </w:rPr>
        <w:t>，采购人对专职技术人员有提出更换的权力</w:t>
      </w:r>
      <w:r>
        <w:rPr>
          <w:rFonts w:hint="eastAsia" w:hAnsi="宋体"/>
          <w:sz w:val="24"/>
          <w:szCs w:val="24"/>
        </w:rPr>
        <w:t>。若报价人实际未按要求提供技术服务的，发现一次扣除报价人履约保证金的</w:t>
      </w:r>
      <w:r>
        <w:rPr>
          <w:rFonts w:hAnsi="宋体"/>
          <w:sz w:val="24"/>
          <w:szCs w:val="24"/>
        </w:rPr>
        <w:t>10%</w:t>
      </w:r>
      <w:r>
        <w:rPr>
          <w:rFonts w:hint="eastAsia" w:hAnsi="宋体"/>
          <w:sz w:val="24"/>
          <w:szCs w:val="24"/>
        </w:rPr>
        <w:t>；若超过</w:t>
      </w:r>
      <w:r>
        <w:rPr>
          <w:rFonts w:hAnsi="宋体"/>
          <w:sz w:val="24"/>
          <w:szCs w:val="24"/>
        </w:rPr>
        <w:t>3</w:t>
      </w:r>
      <w:r>
        <w:rPr>
          <w:rFonts w:hint="eastAsia" w:hAnsi="宋体"/>
          <w:sz w:val="24"/>
          <w:szCs w:val="24"/>
        </w:rPr>
        <w:t>次以上未提供服务的，在</w:t>
      </w:r>
      <w:r>
        <w:rPr>
          <w:rFonts w:hint="eastAsia"/>
          <w:sz w:val="24"/>
          <w:szCs w:val="24"/>
        </w:rPr>
        <w:t>合同期满后，采购人不得续签合同，并取消报价人的合格供应商资格。</w:t>
      </w:r>
    </w:p>
    <w:p w14:paraId="1BAF047C">
      <w:pPr>
        <w:spacing w:line="360" w:lineRule="auto"/>
        <w:rPr>
          <w:szCs w:val="24"/>
        </w:rPr>
      </w:pPr>
      <w:r>
        <w:br w:type="page"/>
      </w:r>
      <w:bookmarkStart w:id="85" w:name="_Toc394471058"/>
      <w:bookmarkStart w:id="86" w:name="_Toc1048262"/>
      <w:r>
        <w:rPr>
          <w:rFonts w:hint="eastAsia" w:ascii="Times New Roman" w:hAnsi="Times New Roman" w:eastAsia="宋体" w:cs="Times New Roman"/>
          <w:b/>
          <w:bCs/>
          <w:kern w:val="44"/>
          <w:sz w:val="44"/>
          <w:szCs w:val="44"/>
        </w:rPr>
        <w:t>附件</w:t>
      </w:r>
      <w:r>
        <w:rPr>
          <w:rFonts w:ascii="Times New Roman" w:hAnsi="Times New Roman" w:eastAsia="宋体" w:cs="Times New Roman"/>
          <w:b/>
          <w:bCs/>
          <w:kern w:val="44"/>
          <w:sz w:val="44"/>
          <w:szCs w:val="44"/>
        </w:rPr>
        <w:t>12</w:t>
      </w:r>
      <w:r>
        <w:rPr>
          <w:rFonts w:hint="eastAsia" w:ascii="Times New Roman" w:hAnsi="Times New Roman" w:eastAsia="宋体" w:cs="Times New Roman"/>
          <w:b/>
          <w:bCs/>
          <w:kern w:val="44"/>
          <w:sz w:val="44"/>
          <w:szCs w:val="44"/>
        </w:rPr>
        <w:t>报价人需要说明的其他问题（技术特点、质保体系及售后服务承诺等）</w:t>
      </w:r>
      <w:bookmarkEnd w:id="85"/>
      <w:bookmarkEnd w:id="86"/>
    </w:p>
    <w:p w14:paraId="0F3C27C3">
      <w:pPr>
        <w:pStyle w:val="9"/>
        <w:rPr>
          <w:sz w:val="24"/>
          <w:szCs w:val="24"/>
        </w:rPr>
      </w:pPr>
      <w:r>
        <w:rPr>
          <w:rFonts w:hint="eastAsia"/>
          <w:sz w:val="24"/>
          <w:szCs w:val="24"/>
        </w:rPr>
        <w:t>报价人提供在专业技术、设备设施、人员组织、业绩经验等方面具有设计、制造、质量控制、经营管理的相应的资格和能力的资料。</w:t>
      </w:r>
    </w:p>
    <w:p w14:paraId="7BD3EE32">
      <w:pPr>
        <w:spacing w:line="360" w:lineRule="auto"/>
        <w:rPr>
          <w:sz w:val="24"/>
          <w:szCs w:val="24"/>
        </w:rPr>
      </w:pPr>
      <w:r>
        <w:rPr>
          <w:sz w:val="24"/>
          <w:szCs w:val="24"/>
        </w:rPr>
        <w:t>1</w:t>
      </w:r>
      <w:r>
        <w:rPr>
          <w:rFonts w:hint="eastAsia"/>
          <w:sz w:val="24"/>
          <w:szCs w:val="24"/>
        </w:rPr>
        <w:t>报价人可对用户反渗透系统的运行方式、运行管理等方面提出合理化建议。</w:t>
      </w:r>
    </w:p>
    <w:p w14:paraId="277CC831">
      <w:pPr>
        <w:spacing w:line="360" w:lineRule="auto"/>
        <w:rPr>
          <w:sz w:val="24"/>
          <w:szCs w:val="24"/>
        </w:rPr>
      </w:pPr>
      <w:r>
        <w:rPr>
          <w:sz w:val="24"/>
          <w:szCs w:val="24"/>
        </w:rPr>
        <w:t>2</w:t>
      </w:r>
      <w:r>
        <w:rPr>
          <w:rFonts w:hint="eastAsia"/>
          <w:sz w:val="24"/>
          <w:szCs w:val="24"/>
        </w:rPr>
        <w:t>报价人可提供的在上述技术要求中未提及的、对用户确实有好处的服务内容。</w:t>
      </w:r>
    </w:p>
    <w:p w14:paraId="32F9A5CE">
      <w:pPr>
        <w:spacing w:line="360" w:lineRule="auto"/>
        <w:rPr>
          <w:sz w:val="24"/>
          <w:szCs w:val="24"/>
        </w:rPr>
      </w:pPr>
      <w:r>
        <w:rPr>
          <w:sz w:val="24"/>
          <w:szCs w:val="24"/>
        </w:rPr>
        <w:t>3</w:t>
      </w:r>
      <w:r>
        <w:rPr>
          <w:rFonts w:hint="eastAsia"/>
          <w:sz w:val="24"/>
          <w:szCs w:val="24"/>
        </w:rPr>
        <w:t>报价人提供的报价药品在相关领域取得的奖励或专利。</w:t>
      </w:r>
    </w:p>
    <w:p w14:paraId="2B73A324">
      <w:pPr>
        <w:spacing w:line="360" w:lineRule="auto"/>
        <w:rPr>
          <w:sz w:val="24"/>
          <w:szCs w:val="24"/>
        </w:rPr>
      </w:pPr>
      <w:r>
        <w:rPr>
          <w:sz w:val="24"/>
          <w:szCs w:val="24"/>
        </w:rPr>
        <w:t>4</w:t>
      </w:r>
      <w:r>
        <w:rPr>
          <w:rFonts w:hint="eastAsia"/>
          <w:sz w:val="24"/>
          <w:szCs w:val="24"/>
        </w:rPr>
        <w:t>其它应提供的材料信息。</w:t>
      </w:r>
    </w:p>
    <w:p w14:paraId="7254C48E">
      <w:pPr>
        <w:pStyle w:val="2"/>
        <w:jc w:val="left"/>
      </w:pPr>
      <w:r>
        <w:rPr>
          <w:b w:val="0"/>
          <w:sz w:val="24"/>
          <w:szCs w:val="24"/>
        </w:rPr>
        <w:br w:type="page"/>
      </w:r>
      <w:bookmarkStart w:id="87" w:name="_Toc394471059"/>
      <w:bookmarkStart w:id="88" w:name="_Toc1048263"/>
      <w:r>
        <w:rPr>
          <w:rFonts w:hint="eastAsia"/>
        </w:rPr>
        <w:t>附件</w:t>
      </w:r>
      <w:r>
        <w:t>13</w:t>
      </w:r>
      <w:r>
        <w:rPr>
          <w:rFonts w:hint="eastAsia"/>
        </w:rPr>
        <w:t>业绩及用户评价</w:t>
      </w:r>
      <w:bookmarkEnd w:id="87"/>
      <w:bookmarkEnd w:id="88"/>
    </w:p>
    <w:p w14:paraId="64473210">
      <w:pPr>
        <w:spacing w:line="360" w:lineRule="auto"/>
        <w:ind w:firstLine="420" w:firstLineChars="200"/>
        <w:rPr>
          <w:rFonts w:hAnsi="宋体"/>
          <w:szCs w:val="24"/>
        </w:rPr>
      </w:pPr>
      <w:r>
        <w:rPr>
          <w:rFonts w:hint="eastAsia" w:hAnsi="宋体"/>
          <w:szCs w:val="24"/>
        </w:rPr>
        <w:t>报价人应提供生产资质证明，并提供近三年相关业绩证明材料（含用户反馈评价）等。用户反馈评价必须与业绩一致。</w:t>
      </w:r>
    </w:p>
    <w:p w14:paraId="15DC62A3">
      <w:pPr>
        <w:spacing w:line="360" w:lineRule="auto"/>
        <w:ind w:firstLine="420" w:firstLineChars="200"/>
        <w:rPr>
          <w:rFonts w:hAnsi="宋体"/>
          <w:szCs w:val="24"/>
        </w:rPr>
      </w:pPr>
      <w:r>
        <w:rPr>
          <w:rFonts w:hint="eastAsia" w:hAnsi="宋体"/>
          <w:szCs w:val="24"/>
        </w:rPr>
        <w:t>业绩表格式建议如下（膜阻垢剂、清洗剂的业绩应分别单列）：</w:t>
      </w:r>
    </w:p>
    <w:tbl>
      <w:tblPr>
        <w:tblStyle w:val="1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17"/>
        <w:gridCol w:w="1801"/>
        <w:gridCol w:w="1435"/>
        <w:gridCol w:w="1842"/>
        <w:gridCol w:w="1842"/>
        <w:gridCol w:w="1843"/>
      </w:tblGrid>
      <w:tr w14:paraId="5415FC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8" w:hRule="atLeast"/>
          <w:tblHeader/>
          <w:jc w:val="center"/>
        </w:trPr>
        <w:tc>
          <w:tcPr>
            <w:tcW w:w="717" w:type="dxa"/>
            <w:vAlign w:val="center"/>
          </w:tcPr>
          <w:p w14:paraId="3A18D817">
            <w:pPr>
              <w:jc w:val="center"/>
              <w:rPr>
                <w:bCs/>
                <w:szCs w:val="24"/>
              </w:rPr>
            </w:pPr>
            <w:r>
              <w:rPr>
                <w:rFonts w:hAnsi="宋体"/>
                <w:bCs/>
                <w:szCs w:val="24"/>
              </w:rPr>
              <w:t>序号</w:t>
            </w:r>
          </w:p>
        </w:tc>
        <w:tc>
          <w:tcPr>
            <w:tcW w:w="1801" w:type="dxa"/>
            <w:vAlign w:val="center"/>
          </w:tcPr>
          <w:p w14:paraId="756D5AF8">
            <w:pPr>
              <w:jc w:val="center"/>
              <w:rPr>
                <w:bCs/>
                <w:szCs w:val="24"/>
              </w:rPr>
            </w:pPr>
            <w:r>
              <w:rPr>
                <w:rFonts w:hint="eastAsia" w:hAnsi="宋体"/>
                <w:bCs/>
                <w:szCs w:val="24"/>
              </w:rPr>
              <w:t>使用</w:t>
            </w:r>
            <w:r>
              <w:rPr>
                <w:rFonts w:hAnsi="宋体"/>
                <w:bCs/>
                <w:szCs w:val="24"/>
              </w:rPr>
              <w:t>单位</w:t>
            </w:r>
          </w:p>
        </w:tc>
        <w:tc>
          <w:tcPr>
            <w:tcW w:w="1435" w:type="dxa"/>
            <w:vAlign w:val="center"/>
          </w:tcPr>
          <w:p w14:paraId="0E16E39F">
            <w:pPr>
              <w:jc w:val="center"/>
              <w:rPr>
                <w:bCs/>
                <w:szCs w:val="24"/>
              </w:rPr>
            </w:pPr>
            <w:r>
              <w:rPr>
                <w:rFonts w:hAnsi="宋体"/>
                <w:bCs/>
                <w:szCs w:val="24"/>
              </w:rPr>
              <w:t>机组</w:t>
            </w:r>
            <w:r>
              <w:rPr>
                <w:rFonts w:hint="eastAsia" w:hAnsi="宋体"/>
                <w:bCs/>
                <w:szCs w:val="24"/>
              </w:rPr>
              <w:t>容量</w:t>
            </w:r>
          </w:p>
        </w:tc>
        <w:tc>
          <w:tcPr>
            <w:tcW w:w="1842" w:type="dxa"/>
            <w:vAlign w:val="center"/>
          </w:tcPr>
          <w:p w14:paraId="77A4C4BF">
            <w:pPr>
              <w:jc w:val="center"/>
              <w:rPr>
                <w:rFonts w:hAnsi="宋体"/>
                <w:bCs/>
                <w:szCs w:val="24"/>
              </w:rPr>
            </w:pPr>
            <w:r>
              <w:rPr>
                <w:rFonts w:hint="eastAsia" w:hAnsi="宋体"/>
                <w:bCs/>
                <w:szCs w:val="24"/>
              </w:rPr>
              <w:t>反渗透系统出力及套数</w:t>
            </w:r>
          </w:p>
        </w:tc>
        <w:tc>
          <w:tcPr>
            <w:tcW w:w="1842" w:type="dxa"/>
            <w:vAlign w:val="center"/>
          </w:tcPr>
          <w:p w14:paraId="7310FA9E">
            <w:pPr>
              <w:jc w:val="center"/>
              <w:rPr>
                <w:rFonts w:hAnsi="宋体"/>
                <w:bCs/>
                <w:szCs w:val="24"/>
              </w:rPr>
            </w:pPr>
            <w:r>
              <w:rPr>
                <w:rFonts w:hint="eastAsia" w:hAnsi="宋体"/>
                <w:bCs/>
                <w:szCs w:val="24"/>
              </w:rPr>
              <w:t>使用的药品及其型号</w:t>
            </w:r>
          </w:p>
        </w:tc>
        <w:tc>
          <w:tcPr>
            <w:tcW w:w="1843" w:type="dxa"/>
            <w:vAlign w:val="center"/>
          </w:tcPr>
          <w:p w14:paraId="4B7D6FED">
            <w:pPr>
              <w:jc w:val="center"/>
              <w:rPr>
                <w:bCs/>
                <w:szCs w:val="24"/>
              </w:rPr>
            </w:pPr>
            <w:r>
              <w:rPr>
                <w:rFonts w:hAnsi="宋体"/>
                <w:bCs/>
                <w:szCs w:val="24"/>
              </w:rPr>
              <w:t>使用时间</w:t>
            </w:r>
          </w:p>
        </w:tc>
      </w:tr>
      <w:tr w14:paraId="0BE40C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717" w:type="dxa"/>
            <w:vAlign w:val="center"/>
          </w:tcPr>
          <w:p w14:paraId="02B40D95">
            <w:pPr>
              <w:jc w:val="center"/>
              <w:rPr>
                <w:szCs w:val="24"/>
              </w:rPr>
            </w:pPr>
            <w:r>
              <w:rPr>
                <w:szCs w:val="24"/>
              </w:rPr>
              <w:t>1</w:t>
            </w:r>
          </w:p>
        </w:tc>
        <w:tc>
          <w:tcPr>
            <w:tcW w:w="1801" w:type="dxa"/>
            <w:vAlign w:val="center"/>
          </w:tcPr>
          <w:p w14:paraId="6B8237D1">
            <w:pPr>
              <w:jc w:val="center"/>
              <w:rPr>
                <w:szCs w:val="24"/>
              </w:rPr>
            </w:pPr>
          </w:p>
        </w:tc>
        <w:tc>
          <w:tcPr>
            <w:tcW w:w="1435" w:type="dxa"/>
            <w:vAlign w:val="center"/>
          </w:tcPr>
          <w:p w14:paraId="5EBB50FB">
            <w:pPr>
              <w:jc w:val="center"/>
              <w:rPr>
                <w:szCs w:val="24"/>
              </w:rPr>
            </w:pPr>
          </w:p>
        </w:tc>
        <w:tc>
          <w:tcPr>
            <w:tcW w:w="1842" w:type="dxa"/>
            <w:vAlign w:val="center"/>
          </w:tcPr>
          <w:p w14:paraId="502AA20E">
            <w:pPr>
              <w:jc w:val="center"/>
              <w:rPr>
                <w:szCs w:val="24"/>
              </w:rPr>
            </w:pPr>
          </w:p>
        </w:tc>
        <w:tc>
          <w:tcPr>
            <w:tcW w:w="1842" w:type="dxa"/>
            <w:vAlign w:val="center"/>
          </w:tcPr>
          <w:p w14:paraId="463EE1ED">
            <w:pPr>
              <w:jc w:val="center"/>
              <w:rPr>
                <w:szCs w:val="24"/>
              </w:rPr>
            </w:pPr>
          </w:p>
        </w:tc>
        <w:tc>
          <w:tcPr>
            <w:tcW w:w="1843" w:type="dxa"/>
            <w:vAlign w:val="center"/>
          </w:tcPr>
          <w:p w14:paraId="4C8F19EE">
            <w:pPr>
              <w:jc w:val="center"/>
              <w:rPr>
                <w:szCs w:val="24"/>
              </w:rPr>
            </w:pPr>
          </w:p>
        </w:tc>
      </w:tr>
      <w:tr w14:paraId="325CF8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6" w:hRule="atLeast"/>
          <w:jc w:val="center"/>
        </w:trPr>
        <w:tc>
          <w:tcPr>
            <w:tcW w:w="717" w:type="dxa"/>
            <w:vAlign w:val="center"/>
          </w:tcPr>
          <w:p w14:paraId="7D308E0D">
            <w:pPr>
              <w:jc w:val="center"/>
              <w:rPr>
                <w:szCs w:val="24"/>
              </w:rPr>
            </w:pPr>
            <w:r>
              <w:rPr>
                <w:szCs w:val="24"/>
              </w:rPr>
              <w:t>2</w:t>
            </w:r>
          </w:p>
        </w:tc>
        <w:tc>
          <w:tcPr>
            <w:tcW w:w="1801" w:type="dxa"/>
            <w:vAlign w:val="center"/>
          </w:tcPr>
          <w:p w14:paraId="06D60EA0">
            <w:pPr>
              <w:spacing w:line="240" w:lineRule="exact"/>
              <w:jc w:val="center"/>
              <w:rPr>
                <w:szCs w:val="24"/>
              </w:rPr>
            </w:pPr>
          </w:p>
        </w:tc>
        <w:tc>
          <w:tcPr>
            <w:tcW w:w="1435" w:type="dxa"/>
            <w:vAlign w:val="center"/>
          </w:tcPr>
          <w:p w14:paraId="6E3354EB">
            <w:pPr>
              <w:jc w:val="center"/>
              <w:rPr>
                <w:szCs w:val="24"/>
              </w:rPr>
            </w:pPr>
          </w:p>
        </w:tc>
        <w:tc>
          <w:tcPr>
            <w:tcW w:w="1842" w:type="dxa"/>
            <w:vAlign w:val="center"/>
          </w:tcPr>
          <w:p w14:paraId="59133646">
            <w:pPr>
              <w:jc w:val="center"/>
              <w:rPr>
                <w:szCs w:val="24"/>
              </w:rPr>
            </w:pPr>
          </w:p>
        </w:tc>
        <w:tc>
          <w:tcPr>
            <w:tcW w:w="1842" w:type="dxa"/>
            <w:vAlign w:val="center"/>
          </w:tcPr>
          <w:p w14:paraId="117E0B04">
            <w:pPr>
              <w:jc w:val="center"/>
              <w:rPr>
                <w:szCs w:val="24"/>
              </w:rPr>
            </w:pPr>
          </w:p>
        </w:tc>
        <w:tc>
          <w:tcPr>
            <w:tcW w:w="1843" w:type="dxa"/>
            <w:vAlign w:val="center"/>
          </w:tcPr>
          <w:p w14:paraId="39EDF082">
            <w:pPr>
              <w:jc w:val="center"/>
              <w:rPr>
                <w:szCs w:val="24"/>
              </w:rPr>
            </w:pPr>
          </w:p>
        </w:tc>
      </w:tr>
      <w:tr w14:paraId="719B24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717" w:type="dxa"/>
            <w:vAlign w:val="center"/>
          </w:tcPr>
          <w:p w14:paraId="217CBE91">
            <w:pPr>
              <w:jc w:val="center"/>
              <w:rPr>
                <w:szCs w:val="24"/>
              </w:rPr>
            </w:pPr>
            <w:r>
              <w:rPr>
                <w:szCs w:val="24"/>
              </w:rPr>
              <w:t>3</w:t>
            </w:r>
          </w:p>
        </w:tc>
        <w:tc>
          <w:tcPr>
            <w:tcW w:w="1801" w:type="dxa"/>
            <w:vAlign w:val="center"/>
          </w:tcPr>
          <w:p w14:paraId="2E0B8524">
            <w:pPr>
              <w:jc w:val="center"/>
              <w:rPr>
                <w:szCs w:val="24"/>
              </w:rPr>
            </w:pPr>
          </w:p>
        </w:tc>
        <w:tc>
          <w:tcPr>
            <w:tcW w:w="1435" w:type="dxa"/>
            <w:vAlign w:val="center"/>
          </w:tcPr>
          <w:p w14:paraId="78638F9E">
            <w:pPr>
              <w:jc w:val="center"/>
              <w:rPr>
                <w:szCs w:val="24"/>
              </w:rPr>
            </w:pPr>
          </w:p>
        </w:tc>
        <w:tc>
          <w:tcPr>
            <w:tcW w:w="1842" w:type="dxa"/>
            <w:vAlign w:val="center"/>
          </w:tcPr>
          <w:p w14:paraId="25E04699">
            <w:pPr>
              <w:jc w:val="center"/>
              <w:rPr>
                <w:szCs w:val="24"/>
              </w:rPr>
            </w:pPr>
          </w:p>
        </w:tc>
        <w:tc>
          <w:tcPr>
            <w:tcW w:w="1842" w:type="dxa"/>
            <w:vAlign w:val="center"/>
          </w:tcPr>
          <w:p w14:paraId="61B21F14">
            <w:pPr>
              <w:jc w:val="center"/>
              <w:rPr>
                <w:szCs w:val="24"/>
              </w:rPr>
            </w:pPr>
          </w:p>
        </w:tc>
        <w:tc>
          <w:tcPr>
            <w:tcW w:w="1843" w:type="dxa"/>
            <w:vAlign w:val="center"/>
          </w:tcPr>
          <w:p w14:paraId="7859A66E">
            <w:pPr>
              <w:jc w:val="center"/>
              <w:rPr>
                <w:szCs w:val="24"/>
              </w:rPr>
            </w:pPr>
          </w:p>
        </w:tc>
      </w:tr>
      <w:tr w14:paraId="5E9498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7" w:hRule="atLeast"/>
          <w:jc w:val="center"/>
        </w:trPr>
        <w:tc>
          <w:tcPr>
            <w:tcW w:w="717" w:type="dxa"/>
            <w:vAlign w:val="center"/>
          </w:tcPr>
          <w:p w14:paraId="248E6241">
            <w:pPr>
              <w:jc w:val="center"/>
              <w:rPr>
                <w:szCs w:val="24"/>
              </w:rPr>
            </w:pPr>
            <w:r>
              <w:rPr>
                <w:szCs w:val="24"/>
              </w:rPr>
              <w:t>4</w:t>
            </w:r>
          </w:p>
        </w:tc>
        <w:tc>
          <w:tcPr>
            <w:tcW w:w="1801" w:type="dxa"/>
            <w:vAlign w:val="center"/>
          </w:tcPr>
          <w:p w14:paraId="42421FF9">
            <w:pPr>
              <w:spacing w:line="240" w:lineRule="exact"/>
              <w:jc w:val="center"/>
              <w:rPr>
                <w:szCs w:val="24"/>
              </w:rPr>
            </w:pPr>
          </w:p>
        </w:tc>
        <w:tc>
          <w:tcPr>
            <w:tcW w:w="1435" w:type="dxa"/>
            <w:vAlign w:val="center"/>
          </w:tcPr>
          <w:p w14:paraId="62A2091D">
            <w:pPr>
              <w:jc w:val="center"/>
              <w:rPr>
                <w:szCs w:val="24"/>
              </w:rPr>
            </w:pPr>
          </w:p>
        </w:tc>
        <w:tc>
          <w:tcPr>
            <w:tcW w:w="1842" w:type="dxa"/>
            <w:vAlign w:val="center"/>
          </w:tcPr>
          <w:p w14:paraId="57CD5707">
            <w:pPr>
              <w:jc w:val="center"/>
              <w:rPr>
                <w:szCs w:val="24"/>
              </w:rPr>
            </w:pPr>
          </w:p>
        </w:tc>
        <w:tc>
          <w:tcPr>
            <w:tcW w:w="1842" w:type="dxa"/>
            <w:vAlign w:val="center"/>
          </w:tcPr>
          <w:p w14:paraId="7E9B2159">
            <w:pPr>
              <w:jc w:val="center"/>
              <w:rPr>
                <w:szCs w:val="24"/>
              </w:rPr>
            </w:pPr>
          </w:p>
        </w:tc>
        <w:tc>
          <w:tcPr>
            <w:tcW w:w="1843" w:type="dxa"/>
            <w:vAlign w:val="center"/>
          </w:tcPr>
          <w:p w14:paraId="39E7CCD3">
            <w:pPr>
              <w:jc w:val="center"/>
              <w:rPr>
                <w:szCs w:val="24"/>
              </w:rPr>
            </w:pPr>
          </w:p>
        </w:tc>
      </w:tr>
      <w:tr w14:paraId="74D77B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03" w:hRule="atLeast"/>
          <w:jc w:val="center"/>
        </w:trPr>
        <w:tc>
          <w:tcPr>
            <w:tcW w:w="717" w:type="dxa"/>
            <w:vAlign w:val="center"/>
          </w:tcPr>
          <w:p w14:paraId="1FE1AB8F">
            <w:pPr>
              <w:jc w:val="center"/>
              <w:rPr>
                <w:szCs w:val="24"/>
              </w:rPr>
            </w:pPr>
            <w:r>
              <w:rPr>
                <w:szCs w:val="24"/>
              </w:rPr>
              <w:t>5</w:t>
            </w:r>
          </w:p>
        </w:tc>
        <w:tc>
          <w:tcPr>
            <w:tcW w:w="1801" w:type="dxa"/>
            <w:vAlign w:val="center"/>
          </w:tcPr>
          <w:p w14:paraId="7D2E3E54">
            <w:pPr>
              <w:spacing w:line="240" w:lineRule="exact"/>
              <w:jc w:val="center"/>
              <w:rPr>
                <w:szCs w:val="24"/>
              </w:rPr>
            </w:pPr>
          </w:p>
        </w:tc>
        <w:tc>
          <w:tcPr>
            <w:tcW w:w="1435" w:type="dxa"/>
            <w:vAlign w:val="center"/>
          </w:tcPr>
          <w:p w14:paraId="1F49B382">
            <w:pPr>
              <w:jc w:val="center"/>
              <w:rPr>
                <w:szCs w:val="24"/>
              </w:rPr>
            </w:pPr>
          </w:p>
        </w:tc>
        <w:tc>
          <w:tcPr>
            <w:tcW w:w="1842" w:type="dxa"/>
            <w:vAlign w:val="center"/>
          </w:tcPr>
          <w:p w14:paraId="45F4FDA5">
            <w:pPr>
              <w:jc w:val="center"/>
              <w:rPr>
                <w:szCs w:val="24"/>
              </w:rPr>
            </w:pPr>
          </w:p>
        </w:tc>
        <w:tc>
          <w:tcPr>
            <w:tcW w:w="1842" w:type="dxa"/>
            <w:vAlign w:val="center"/>
          </w:tcPr>
          <w:p w14:paraId="66D1C704">
            <w:pPr>
              <w:jc w:val="center"/>
              <w:rPr>
                <w:szCs w:val="24"/>
              </w:rPr>
            </w:pPr>
          </w:p>
        </w:tc>
        <w:tc>
          <w:tcPr>
            <w:tcW w:w="1843" w:type="dxa"/>
            <w:vAlign w:val="center"/>
          </w:tcPr>
          <w:p w14:paraId="68C751A5">
            <w:pPr>
              <w:jc w:val="center"/>
              <w:rPr>
                <w:szCs w:val="24"/>
              </w:rPr>
            </w:pPr>
          </w:p>
        </w:tc>
      </w:tr>
    </w:tbl>
    <w:p w14:paraId="26E7FFB2">
      <w:pPr>
        <w:tabs>
          <w:tab w:val="left" w:pos="630"/>
        </w:tabs>
        <w:spacing w:line="360" w:lineRule="auto"/>
        <w:rPr>
          <w:szCs w:val="24"/>
        </w:rPr>
      </w:pPr>
    </w:p>
    <w:p w14:paraId="4A70B75E">
      <w:pPr>
        <w:tabs>
          <w:tab w:val="left" w:pos="630"/>
        </w:tabs>
        <w:spacing w:line="360" w:lineRule="auto"/>
        <w:rPr>
          <w:szCs w:val="24"/>
        </w:rPr>
      </w:pPr>
    </w:p>
    <w:p w14:paraId="14B3EC82">
      <w:pPr>
        <w:spacing w:line="360" w:lineRule="auto"/>
        <w:rPr>
          <w:b/>
          <w:szCs w:val="24"/>
        </w:rPr>
      </w:pPr>
    </w:p>
    <w:p w14:paraId="02419E4C">
      <w:pPr>
        <w:spacing w:line="360" w:lineRule="auto"/>
        <w:rPr>
          <w:szCs w:val="24"/>
        </w:rPr>
      </w:pPr>
    </w:p>
    <w:p w14:paraId="375F0C9D">
      <w:pPr>
        <w:pStyle w:val="2"/>
        <w:jc w:val="left"/>
        <w:rPr>
          <w:szCs w:val="20"/>
        </w:rPr>
      </w:pPr>
    </w:p>
    <w:p w14:paraId="31A6FD67">
      <w:pPr>
        <w:spacing w:line="360" w:lineRule="auto"/>
      </w:pPr>
      <w:r>
        <w:rPr>
          <w:rFonts w:hint="eastAsia"/>
        </w:rPr>
        <w:t>附件：新天煤化工反渗透系统参数</w:t>
      </w:r>
    </w:p>
    <w:p w14:paraId="6BD81900"/>
    <w:p w14:paraId="6A31FDF6"/>
    <w:p w14:paraId="3AD93315"/>
    <w:p w14:paraId="6C2F3343"/>
    <w:p w14:paraId="7193C668"/>
    <w:p w14:paraId="689691A9"/>
    <w:p w14:paraId="3D6B7B70"/>
    <w:p w14:paraId="3577E5C0"/>
    <w:p w14:paraId="4AC8E1C0"/>
    <w:p w14:paraId="23014B67"/>
    <w:p w14:paraId="0A09726F"/>
    <w:p w14:paraId="15D854CB"/>
    <w:p w14:paraId="1A889C1A"/>
    <w:p w14:paraId="1D5C4977"/>
    <w:p w14:paraId="655F94D0">
      <w:pPr>
        <w:pStyle w:val="2"/>
        <w:numPr>
          <w:ilvl w:val="0"/>
          <w:numId w:val="7"/>
        </w:numPr>
        <w:spacing w:beforeLines="50" w:afterLines="100" w:line="360" w:lineRule="auto"/>
      </w:pPr>
      <w:r>
        <w:rPr>
          <w:rFonts w:hint="eastAsia"/>
          <w:u w:val="single"/>
        </w:rPr>
        <w:t>伊犁新天煤化工有限责任公司</w:t>
      </w:r>
    </w:p>
    <w:p w14:paraId="24938589">
      <w:pPr>
        <w:pStyle w:val="2"/>
        <w:numPr>
          <w:ilvl w:val="0"/>
          <w:numId w:val="0"/>
        </w:numPr>
        <w:spacing w:beforeLines="50" w:afterLines="100" w:line="360" w:lineRule="auto"/>
        <w:ind w:leftChars="0"/>
      </w:pPr>
      <w:r>
        <w:rPr>
          <w:rFonts w:hint="eastAsia"/>
        </w:rPr>
        <w:t>202</w:t>
      </w:r>
      <w:r>
        <w:rPr>
          <w:rFonts w:hint="eastAsia"/>
          <w:lang w:val="en-US" w:eastAsia="zh-CN"/>
        </w:rPr>
        <w:t>5</w:t>
      </w:r>
      <w:r>
        <w:rPr>
          <w:rFonts w:hint="eastAsia"/>
        </w:rPr>
        <w:t>年-202</w:t>
      </w:r>
      <w:r>
        <w:rPr>
          <w:rFonts w:hint="eastAsia"/>
          <w:lang w:val="en-US" w:eastAsia="zh-CN"/>
        </w:rPr>
        <w:t>7</w:t>
      </w:r>
      <w:r>
        <w:rPr>
          <w:rFonts w:hint="eastAsia"/>
        </w:rPr>
        <w:t>年一级反渗透两年进水量：</w:t>
      </w:r>
      <w:r>
        <w:rPr>
          <w:rFonts w:hint="eastAsia"/>
          <w:u w:val="single"/>
        </w:rPr>
        <w:t>6</w:t>
      </w:r>
      <w:r>
        <w:rPr>
          <w:rFonts w:hint="eastAsia"/>
          <w:u w:val="single"/>
          <w:lang w:val="en-US" w:eastAsia="zh-CN"/>
        </w:rPr>
        <w:t>88</w:t>
      </w:r>
      <w:r>
        <w:rPr>
          <w:rFonts w:hint="eastAsia"/>
          <w:u w:val="single"/>
        </w:rPr>
        <w:t>0</w:t>
      </w:r>
      <w:r>
        <w:rPr>
          <w:rFonts w:hint="eastAsia"/>
        </w:rPr>
        <w:t xml:space="preserve">万吨 </w:t>
      </w:r>
    </w:p>
    <w:p w14:paraId="2CC2C716">
      <w:pPr>
        <w:spacing w:beforeLines="50" w:afterLines="50" w:line="360" w:lineRule="auto"/>
        <w:rPr>
          <w:sz w:val="24"/>
        </w:rPr>
      </w:pPr>
      <w:r>
        <w:rPr>
          <w:rFonts w:hint="eastAsia"/>
          <w:sz w:val="24"/>
        </w:rPr>
        <w:t>1、反渗透系统</w:t>
      </w:r>
    </w:p>
    <w:p w14:paraId="16D22B16">
      <w:pPr>
        <w:pStyle w:val="6"/>
        <w:jc w:val="center"/>
      </w:pPr>
      <w:r>
        <w:t>表</w:t>
      </w:r>
      <w:r>
        <w:rPr>
          <w:rFonts w:hint="eastAsia"/>
        </w:rPr>
        <w:t>1.1 新天煤化工反渗透系统</w:t>
      </w:r>
    </w:p>
    <w:tbl>
      <w:tblPr>
        <w:tblStyle w:val="14"/>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
        <w:gridCol w:w="1607"/>
        <w:gridCol w:w="1569"/>
        <w:gridCol w:w="675"/>
        <w:gridCol w:w="1169"/>
        <w:gridCol w:w="1778"/>
        <w:gridCol w:w="1275"/>
      </w:tblGrid>
      <w:tr w14:paraId="46CAF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694EE5B1">
            <w:pPr>
              <w:jc w:val="center"/>
              <w:rPr>
                <w:b/>
                <w:bCs/>
                <w:sz w:val="18"/>
                <w:szCs w:val="18"/>
              </w:rPr>
            </w:pPr>
            <w:r>
              <w:rPr>
                <w:rFonts w:hint="eastAsia"/>
                <w:b/>
                <w:bCs/>
                <w:sz w:val="18"/>
                <w:szCs w:val="18"/>
              </w:rPr>
              <w:t>序号</w:t>
            </w:r>
          </w:p>
        </w:tc>
        <w:tc>
          <w:tcPr>
            <w:tcW w:w="1607" w:type="dxa"/>
            <w:vAlign w:val="center"/>
          </w:tcPr>
          <w:p w14:paraId="1CFE5DB0">
            <w:pPr>
              <w:widowControl/>
              <w:jc w:val="center"/>
              <w:rPr>
                <w:rFonts w:ascii="宋体" w:hAnsi="宋体" w:cs="宋体"/>
                <w:color w:val="000000"/>
              </w:rPr>
            </w:pPr>
            <w:r>
              <w:rPr>
                <w:rFonts w:hint="eastAsia" w:ascii="宋体" w:hAnsi="宋体" w:cs="宋体"/>
                <w:color w:val="000000"/>
              </w:rPr>
              <w:t>系统出力</w:t>
            </w:r>
          </w:p>
        </w:tc>
        <w:tc>
          <w:tcPr>
            <w:tcW w:w="1569" w:type="dxa"/>
            <w:vAlign w:val="center"/>
          </w:tcPr>
          <w:p w14:paraId="7CB87178">
            <w:pPr>
              <w:widowControl/>
              <w:jc w:val="center"/>
              <w:rPr>
                <w:rFonts w:ascii="宋体" w:hAnsi="宋体" w:cs="宋体"/>
                <w:color w:val="000000"/>
              </w:rPr>
            </w:pPr>
            <w:r>
              <w:rPr>
                <w:rFonts w:hint="eastAsia" w:ascii="宋体" w:hAnsi="宋体" w:cs="宋体"/>
                <w:color w:val="000000"/>
              </w:rPr>
              <w:t>膜元件型号</w:t>
            </w:r>
          </w:p>
        </w:tc>
        <w:tc>
          <w:tcPr>
            <w:tcW w:w="675" w:type="dxa"/>
            <w:vAlign w:val="center"/>
          </w:tcPr>
          <w:p w14:paraId="5E8F9A9D">
            <w:pPr>
              <w:widowControl/>
              <w:jc w:val="center"/>
              <w:rPr>
                <w:rFonts w:ascii="宋体" w:hAnsi="宋体" w:cs="宋体"/>
                <w:color w:val="000000"/>
              </w:rPr>
            </w:pPr>
            <w:r>
              <w:rPr>
                <w:rFonts w:hint="eastAsia" w:ascii="宋体" w:hAnsi="宋体" w:cs="宋体"/>
                <w:color w:val="000000"/>
              </w:rPr>
              <w:t>厂家</w:t>
            </w:r>
          </w:p>
        </w:tc>
        <w:tc>
          <w:tcPr>
            <w:tcW w:w="1169" w:type="dxa"/>
          </w:tcPr>
          <w:p w14:paraId="522F3DCF">
            <w:pPr>
              <w:widowControl/>
              <w:jc w:val="center"/>
              <w:rPr>
                <w:rFonts w:ascii="宋体" w:hAnsi="宋体" w:cs="宋体"/>
                <w:color w:val="000000"/>
              </w:rPr>
            </w:pPr>
            <w:r>
              <w:rPr>
                <w:rFonts w:hint="eastAsia" w:ascii="宋体" w:hAnsi="宋体" w:cs="宋体"/>
                <w:color w:val="000000"/>
              </w:rPr>
              <w:t>回收率</w:t>
            </w:r>
          </w:p>
        </w:tc>
        <w:tc>
          <w:tcPr>
            <w:tcW w:w="1778" w:type="dxa"/>
          </w:tcPr>
          <w:p w14:paraId="16179420">
            <w:pPr>
              <w:widowControl/>
              <w:jc w:val="center"/>
              <w:rPr>
                <w:rFonts w:ascii="宋体" w:hAnsi="宋体" w:cs="宋体"/>
                <w:color w:val="000000"/>
              </w:rPr>
            </w:pPr>
            <w:r>
              <w:rPr>
                <w:rFonts w:hint="eastAsia" w:ascii="宋体" w:hAnsi="宋体" w:cs="宋体"/>
                <w:color w:val="000000"/>
              </w:rPr>
              <w:t>是否无磷或低磷</w:t>
            </w:r>
          </w:p>
          <w:p w14:paraId="5DCDD2AC">
            <w:pPr>
              <w:widowControl/>
              <w:jc w:val="center"/>
              <w:rPr>
                <w:rFonts w:ascii="宋体" w:hAnsi="宋体" w:cs="宋体"/>
                <w:color w:val="000000"/>
              </w:rPr>
            </w:pPr>
          </w:p>
        </w:tc>
        <w:tc>
          <w:tcPr>
            <w:tcW w:w="1275" w:type="dxa"/>
            <w:vAlign w:val="center"/>
          </w:tcPr>
          <w:p w14:paraId="16E6493B">
            <w:pPr>
              <w:widowControl/>
              <w:jc w:val="center"/>
              <w:rPr>
                <w:rFonts w:ascii="宋体" w:hAnsi="宋体" w:cs="宋体"/>
                <w:color w:val="000000"/>
              </w:rPr>
            </w:pPr>
            <w:r>
              <w:rPr>
                <w:rFonts w:hint="eastAsia" w:ascii="宋体" w:hAnsi="宋体" w:cs="宋体"/>
                <w:color w:val="000000"/>
              </w:rPr>
              <w:t>备注</w:t>
            </w:r>
          </w:p>
        </w:tc>
      </w:tr>
      <w:tr w14:paraId="6193B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792DE13E">
            <w:pPr>
              <w:jc w:val="center"/>
              <w:rPr>
                <w:sz w:val="18"/>
                <w:szCs w:val="18"/>
              </w:rPr>
            </w:pPr>
            <w:r>
              <w:rPr>
                <w:rFonts w:hint="eastAsia"/>
                <w:sz w:val="18"/>
                <w:szCs w:val="18"/>
              </w:rPr>
              <w:t>1</w:t>
            </w:r>
          </w:p>
        </w:tc>
        <w:tc>
          <w:tcPr>
            <w:tcW w:w="1607" w:type="dxa"/>
            <w:vAlign w:val="center"/>
          </w:tcPr>
          <w:p w14:paraId="623D6E4A">
            <w:pPr>
              <w:widowControl/>
              <w:jc w:val="center"/>
              <w:rPr>
                <w:rFonts w:ascii="宋体" w:hAnsi="宋体" w:cs="宋体"/>
                <w:color w:val="000000"/>
              </w:rPr>
            </w:pPr>
            <w:r>
              <w:rPr>
                <w:rFonts w:hint="eastAsia" w:ascii="宋体" w:hAnsi="宋体" w:cs="宋体"/>
                <w:color w:val="000000"/>
              </w:rPr>
              <w:t>8*210吨/小时</w:t>
            </w:r>
          </w:p>
        </w:tc>
        <w:tc>
          <w:tcPr>
            <w:tcW w:w="1569" w:type="dxa"/>
            <w:vAlign w:val="center"/>
          </w:tcPr>
          <w:p w14:paraId="56031025">
            <w:pPr>
              <w:widowControl/>
              <w:jc w:val="center"/>
              <w:rPr>
                <w:rFonts w:ascii="宋体" w:hAnsi="宋体" w:cs="宋体"/>
                <w:color w:val="000000"/>
              </w:rPr>
            </w:pPr>
            <w:r>
              <w:rPr>
                <w:rFonts w:hint="eastAsia" w:ascii="宋体" w:hAnsi="宋体" w:cs="宋体"/>
                <w:color w:val="000000"/>
              </w:rPr>
              <w:t>BW-8040</w:t>
            </w:r>
          </w:p>
        </w:tc>
        <w:tc>
          <w:tcPr>
            <w:tcW w:w="675" w:type="dxa"/>
            <w:vAlign w:val="center"/>
          </w:tcPr>
          <w:p w14:paraId="2FBF42DC">
            <w:pPr>
              <w:widowControl/>
              <w:jc w:val="center"/>
              <w:rPr>
                <w:rFonts w:hint="default" w:ascii="宋体" w:hAnsi="宋体" w:cs="宋体" w:eastAsiaTheme="minorEastAsia"/>
                <w:color w:val="000000"/>
                <w:lang w:val="en-US" w:eastAsia="zh-CN"/>
              </w:rPr>
            </w:pPr>
            <w:r>
              <w:rPr>
                <w:rFonts w:hint="eastAsia" w:ascii="宋体" w:hAnsi="宋体" w:cs="宋体"/>
                <w:color w:val="000000"/>
                <w:lang w:val="en-US" w:eastAsia="zh-CN"/>
              </w:rPr>
              <w:t>沁森</w:t>
            </w:r>
          </w:p>
        </w:tc>
        <w:tc>
          <w:tcPr>
            <w:tcW w:w="1169" w:type="dxa"/>
          </w:tcPr>
          <w:p w14:paraId="44B9FC42">
            <w:pPr>
              <w:widowControl/>
              <w:jc w:val="center"/>
              <w:rPr>
                <w:rFonts w:ascii="宋体" w:hAnsi="宋体" w:cs="宋体"/>
                <w:color w:val="000000"/>
              </w:rPr>
            </w:pPr>
            <w:r>
              <w:rPr>
                <w:rFonts w:hint="eastAsia" w:ascii="宋体" w:hAnsi="宋体" w:cs="宋体"/>
                <w:color w:val="000000"/>
              </w:rPr>
              <w:t>75%</w:t>
            </w:r>
          </w:p>
        </w:tc>
        <w:tc>
          <w:tcPr>
            <w:tcW w:w="1778" w:type="dxa"/>
            <w:vMerge w:val="restart"/>
            <w:vAlign w:val="center"/>
          </w:tcPr>
          <w:p w14:paraId="4113A078">
            <w:pPr>
              <w:widowControl/>
              <w:jc w:val="center"/>
              <w:rPr>
                <w:rFonts w:ascii="宋体" w:hAnsi="宋体" w:cs="宋体"/>
                <w:color w:val="000000"/>
              </w:rPr>
            </w:pPr>
            <w:r>
              <w:rPr>
                <w:rFonts w:hint="eastAsia" w:ascii="宋体" w:hAnsi="宋体" w:cs="宋体"/>
                <w:color w:val="000000"/>
              </w:rPr>
              <w:t>原则上使用低磷</w:t>
            </w:r>
          </w:p>
        </w:tc>
        <w:tc>
          <w:tcPr>
            <w:tcW w:w="1275" w:type="dxa"/>
            <w:vAlign w:val="center"/>
          </w:tcPr>
          <w:p w14:paraId="7325B102">
            <w:pPr>
              <w:widowControl/>
              <w:jc w:val="center"/>
              <w:rPr>
                <w:rFonts w:ascii="宋体" w:hAnsi="宋体" w:cs="宋体"/>
                <w:color w:val="000000"/>
              </w:rPr>
            </w:pPr>
            <w:r>
              <w:rPr>
                <w:rFonts w:hint="eastAsia"/>
              </w:rPr>
              <w:t>一级反渗透</w:t>
            </w:r>
          </w:p>
        </w:tc>
      </w:tr>
      <w:tr w14:paraId="20C5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3B2F8C15">
            <w:pPr>
              <w:jc w:val="center"/>
              <w:rPr>
                <w:sz w:val="18"/>
                <w:szCs w:val="18"/>
              </w:rPr>
            </w:pPr>
            <w:r>
              <w:rPr>
                <w:rFonts w:hint="eastAsia"/>
                <w:sz w:val="18"/>
                <w:szCs w:val="18"/>
              </w:rPr>
              <w:t>2</w:t>
            </w:r>
          </w:p>
        </w:tc>
        <w:tc>
          <w:tcPr>
            <w:tcW w:w="1607" w:type="dxa"/>
            <w:vAlign w:val="center"/>
          </w:tcPr>
          <w:p w14:paraId="0B1F8D9A">
            <w:pPr>
              <w:widowControl/>
              <w:jc w:val="center"/>
              <w:rPr>
                <w:rFonts w:ascii="宋体" w:hAnsi="宋体" w:cs="宋体"/>
                <w:color w:val="000000"/>
              </w:rPr>
            </w:pPr>
            <w:r>
              <w:rPr>
                <w:rFonts w:hint="eastAsia" w:ascii="宋体" w:hAnsi="宋体" w:cs="宋体"/>
                <w:color w:val="000000"/>
              </w:rPr>
              <w:t>4*150吨/小时</w:t>
            </w:r>
          </w:p>
        </w:tc>
        <w:tc>
          <w:tcPr>
            <w:tcW w:w="1569" w:type="dxa"/>
            <w:vAlign w:val="center"/>
          </w:tcPr>
          <w:p w14:paraId="06E39CE4">
            <w:pPr>
              <w:widowControl/>
              <w:jc w:val="center"/>
              <w:rPr>
                <w:rFonts w:hint="default" w:ascii="宋体" w:hAnsi="宋体" w:cs="宋体" w:eastAsiaTheme="minorEastAsia"/>
                <w:color w:val="000000"/>
                <w:lang w:val="en-US" w:eastAsia="zh-CN"/>
              </w:rPr>
            </w:pPr>
            <w:r>
              <w:rPr>
                <w:rFonts w:hint="eastAsia" w:ascii="宋体" w:hAnsi="宋体" w:cs="宋体"/>
                <w:color w:val="000000"/>
                <w:lang w:val="en-US" w:eastAsia="zh-CN"/>
              </w:rPr>
              <w:t>SW30XFR-400</w:t>
            </w:r>
          </w:p>
        </w:tc>
        <w:tc>
          <w:tcPr>
            <w:tcW w:w="675" w:type="dxa"/>
            <w:vAlign w:val="center"/>
          </w:tcPr>
          <w:p w14:paraId="6736CBD5">
            <w:pPr>
              <w:widowControl/>
              <w:jc w:val="center"/>
              <w:rPr>
                <w:rFonts w:hint="eastAsia" w:ascii="宋体" w:hAnsi="宋体" w:cs="宋体"/>
                <w:color w:val="000000"/>
              </w:rPr>
            </w:pPr>
            <w:r>
              <w:rPr>
                <w:rFonts w:hint="eastAsia" w:ascii="宋体" w:hAnsi="宋体" w:cs="宋体"/>
                <w:color w:val="000000"/>
                <w:lang w:val="en-US" w:eastAsia="zh-CN"/>
              </w:rPr>
              <w:t>杜邦</w:t>
            </w:r>
            <w:r>
              <w:rPr>
                <w:rFonts w:hint="eastAsia" w:ascii="宋体" w:hAnsi="宋体" w:cs="宋体"/>
                <w:color w:val="000000"/>
              </w:rPr>
              <w:t>0h</w:t>
            </w:r>
          </w:p>
        </w:tc>
        <w:tc>
          <w:tcPr>
            <w:tcW w:w="1169" w:type="dxa"/>
          </w:tcPr>
          <w:p w14:paraId="3252FD29">
            <w:pPr>
              <w:widowControl/>
              <w:jc w:val="center"/>
              <w:rPr>
                <w:rFonts w:hint="eastAsia" w:ascii="宋体" w:hAnsi="宋体" w:cs="宋体"/>
                <w:color w:val="000000"/>
              </w:rPr>
            </w:pPr>
            <w:r>
              <w:rPr>
                <w:rFonts w:hint="eastAsia" w:ascii="宋体" w:hAnsi="宋体" w:cs="宋体"/>
                <w:color w:val="000000"/>
              </w:rPr>
              <w:t>55%</w:t>
            </w:r>
          </w:p>
        </w:tc>
        <w:tc>
          <w:tcPr>
            <w:tcW w:w="1778" w:type="dxa"/>
            <w:vMerge w:val="continue"/>
          </w:tcPr>
          <w:p w14:paraId="62DD3C46">
            <w:pPr>
              <w:widowControl/>
              <w:jc w:val="center"/>
              <w:rPr>
                <w:rFonts w:ascii="宋体" w:hAnsi="宋体" w:cs="宋体"/>
                <w:color w:val="000000"/>
              </w:rPr>
            </w:pPr>
          </w:p>
        </w:tc>
        <w:tc>
          <w:tcPr>
            <w:tcW w:w="1275" w:type="dxa"/>
            <w:vAlign w:val="center"/>
          </w:tcPr>
          <w:p w14:paraId="514D3A93">
            <w:pPr>
              <w:widowControl/>
              <w:jc w:val="center"/>
              <w:rPr>
                <w:rFonts w:ascii="宋体" w:hAnsi="宋体" w:cs="宋体"/>
                <w:color w:val="000000"/>
              </w:rPr>
            </w:pPr>
            <w:r>
              <w:rPr>
                <w:rFonts w:hint="eastAsia" w:ascii="宋体" w:hAnsi="宋体" w:cs="宋体"/>
                <w:color w:val="000000"/>
              </w:rPr>
              <w:t>海淡反渗透</w:t>
            </w:r>
          </w:p>
        </w:tc>
      </w:tr>
      <w:tr w14:paraId="31B78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695C51AC">
            <w:pPr>
              <w:jc w:val="center"/>
              <w:rPr>
                <w:sz w:val="18"/>
                <w:szCs w:val="18"/>
              </w:rPr>
            </w:pPr>
            <w:r>
              <w:rPr>
                <w:rFonts w:hint="eastAsia"/>
                <w:sz w:val="18"/>
                <w:szCs w:val="18"/>
              </w:rPr>
              <w:t>3</w:t>
            </w:r>
          </w:p>
        </w:tc>
        <w:tc>
          <w:tcPr>
            <w:tcW w:w="1607" w:type="dxa"/>
            <w:vAlign w:val="center"/>
          </w:tcPr>
          <w:p w14:paraId="0A16DDE0">
            <w:pPr>
              <w:widowControl/>
              <w:jc w:val="center"/>
              <w:rPr>
                <w:rFonts w:ascii="宋体" w:hAnsi="宋体" w:cs="宋体"/>
                <w:color w:val="000000"/>
              </w:rPr>
            </w:pPr>
            <w:r>
              <w:rPr>
                <w:rFonts w:hint="eastAsia" w:ascii="宋体" w:hAnsi="宋体" w:cs="宋体"/>
                <w:color w:val="000000"/>
              </w:rPr>
              <w:t>8*</w:t>
            </w:r>
            <w:r>
              <w:rPr>
                <w:rFonts w:hint="eastAsia" w:ascii="宋体" w:hAnsi="宋体" w:cs="宋体"/>
                <w:color w:val="000000"/>
                <w:lang w:val="en-US" w:eastAsia="zh-CN"/>
              </w:rPr>
              <w:t>173</w:t>
            </w:r>
            <w:r>
              <w:rPr>
                <w:rFonts w:hint="eastAsia" w:ascii="宋体" w:hAnsi="宋体" w:cs="宋体"/>
                <w:color w:val="000000"/>
              </w:rPr>
              <w:t>吨/小时</w:t>
            </w:r>
          </w:p>
        </w:tc>
        <w:tc>
          <w:tcPr>
            <w:tcW w:w="1569" w:type="dxa"/>
            <w:vAlign w:val="center"/>
          </w:tcPr>
          <w:p w14:paraId="08BE2612">
            <w:pPr>
              <w:widowControl/>
              <w:jc w:val="center"/>
              <w:rPr>
                <w:rFonts w:ascii="宋体" w:hAnsi="宋体" w:cs="宋体"/>
                <w:color w:val="000000"/>
              </w:rPr>
            </w:pPr>
            <w:r>
              <w:rPr>
                <w:rFonts w:hint="eastAsia" w:ascii="宋体" w:hAnsi="宋体" w:cs="宋体"/>
                <w:color w:val="000000"/>
              </w:rPr>
              <w:t>BW-8040</w:t>
            </w:r>
          </w:p>
        </w:tc>
        <w:tc>
          <w:tcPr>
            <w:tcW w:w="675" w:type="dxa"/>
            <w:vAlign w:val="center"/>
          </w:tcPr>
          <w:p w14:paraId="308DBBC6">
            <w:pPr>
              <w:widowControl/>
              <w:jc w:val="center"/>
              <w:rPr>
                <w:rFonts w:hint="eastAsia" w:ascii="宋体" w:hAnsi="宋体" w:cs="宋体"/>
                <w:color w:val="000000"/>
              </w:rPr>
            </w:pPr>
            <w:r>
              <w:rPr>
                <w:rFonts w:hint="eastAsia" w:ascii="宋体" w:hAnsi="宋体" w:cs="宋体"/>
                <w:color w:val="000000"/>
              </w:rPr>
              <w:t>东丽</w:t>
            </w:r>
          </w:p>
        </w:tc>
        <w:tc>
          <w:tcPr>
            <w:tcW w:w="1169" w:type="dxa"/>
          </w:tcPr>
          <w:p w14:paraId="5DF3332E">
            <w:pPr>
              <w:widowControl/>
              <w:jc w:val="center"/>
              <w:rPr>
                <w:rFonts w:hint="eastAsia" w:ascii="宋体" w:hAnsi="宋体" w:cs="宋体"/>
                <w:color w:val="000000"/>
              </w:rPr>
            </w:pPr>
            <w:r>
              <w:rPr>
                <w:rFonts w:hint="eastAsia" w:ascii="宋体" w:hAnsi="宋体" w:cs="宋体"/>
                <w:color w:val="000000"/>
              </w:rPr>
              <w:t>75%</w:t>
            </w:r>
          </w:p>
        </w:tc>
        <w:tc>
          <w:tcPr>
            <w:tcW w:w="1778" w:type="dxa"/>
            <w:vMerge w:val="continue"/>
          </w:tcPr>
          <w:p w14:paraId="3E530D88">
            <w:pPr>
              <w:widowControl/>
              <w:jc w:val="center"/>
              <w:rPr>
                <w:rFonts w:ascii="宋体" w:hAnsi="宋体" w:cs="宋体"/>
                <w:color w:val="000000"/>
              </w:rPr>
            </w:pPr>
          </w:p>
        </w:tc>
        <w:tc>
          <w:tcPr>
            <w:tcW w:w="1275" w:type="dxa"/>
            <w:vAlign w:val="center"/>
          </w:tcPr>
          <w:p w14:paraId="16848F74">
            <w:pPr>
              <w:widowControl/>
              <w:jc w:val="center"/>
              <w:rPr>
                <w:rFonts w:ascii="宋体" w:hAnsi="宋体" w:cs="宋体"/>
                <w:color w:val="000000"/>
              </w:rPr>
            </w:pPr>
            <w:r>
              <w:rPr>
                <w:rFonts w:hint="eastAsia"/>
              </w:rPr>
              <w:t>一级反渗透</w:t>
            </w:r>
          </w:p>
        </w:tc>
      </w:tr>
      <w:tr w14:paraId="0799D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1F3AE5A0">
            <w:pPr>
              <w:jc w:val="center"/>
              <w:rPr>
                <w:sz w:val="18"/>
                <w:szCs w:val="18"/>
              </w:rPr>
            </w:pPr>
            <w:r>
              <w:rPr>
                <w:rFonts w:hint="eastAsia"/>
                <w:sz w:val="18"/>
                <w:szCs w:val="18"/>
              </w:rPr>
              <w:t>4</w:t>
            </w:r>
          </w:p>
        </w:tc>
        <w:tc>
          <w:tcPr>
            <w:tcW w:w="1607" w:type="dxa"/>
            <w:vAlign w:val="center"/>
          </w:tcPr>
          <w:p w14:paraId="0ACDDDDC">
            <w:pPr>
              <w:widowControl/>
              <w:jc w:val="center"/>
              <w:rPr>
                <w:rFonts w:ascii="宋体" w:hAnsi="宋体" w:cs="宋体"/>
                <w:color w:val="000000"/>
              </w:rPr>
            </w:pPr>
            <w:r>
              <w:rPr>
                <w:rFonts w:hint="eastAsia" w:ascii="宋体" w:hAnsi="宋体" w:cs="宋体"/>
                <w:color w:val="000000"/>
              </w:rPr>
              <w:t>8*153吨/小时</w:t>
            </w:r>
          </w:p>
        </w:tc>
        <w:tc>
          <w:tcPr>
            <w:tcW w:w="1569" w:type="dxa"/>
            <w:vAlign w:val="center"/>
          </w:tcPr>
          <w:p w14:paraId="6ACF3273">
            <w:pPr>
              <w:widowControl/>
              <w:jc w:val="center"/>
              <w:rPr>
                <w:rFonts w:ascii="宋体" w:hAnsi="宋体" w:cs="宋体"/>
                <w:color w:val="000000"/>
              </w:rPr>
            </w:pPr>
            <w:r>
              <w:rPr>
                <w:rFonts w:hint="eastAsia" w:ascii="宋体" w:hAnsi="宋体" w:cs="宋体"/>
                <w:color w:val="000000"/>
              </w:rPr>
              <w:t>BW-8040</w:t>
            </w:r>
          </w:p>
        </w:tc>
        <w:tc>
          <w:tcPr>
            <w:tcW w:w="675" w:type="dxa"/>
            <w:vAlign w:val="center"/>
          </w:tcPr>
          <w:p w14:paraId="113CEAB1">
            <w:pPr>
              <w:widowControl/>
              <w:jc w:val="center"/>
              <w:rPr>
                <w:rFonts w:ascii="宋体" w:hAnsi="宋体" w:cs="宋体"/>
                <w:color w:val="000000"/>
              </w:rPr>
            </w:pPr>
            <w:r>
              <w:rPr>
                <w:rFonts w:hint="eastAsia" w:ascii="宋体" w:hAnsi="宋体" w:cs="宋体"/>
                <w:color w:val="000000"/>
              </w:rPr>
              <w:t>沁森</w:t>
            </w:r>
          </w:p>
        </w:tc>
        <w:tc>
          <w:tcPr>
            <w:tcW w:w="1169" w:type="dxa"/>
          </w:tcPr>
          <w:p w14:paraId="3B321857">
            <w:pPr>
              <w:widowControl/>
              <w:jc w:val="center"/>
              <w:rPr>
                <w:rFonts w:ascii="宋体" w:hAnsi="宋体" w:cs="宋体"/>
                <w:color w:val="000000"/>
              </w:rPr>
            </w:pPr>
            <w:r>
              <w:rPr>
                <w:rFonts w:hint="eastAsia" w:ascii="宋体" w:hAnsi="宋体" w:cs="宋体"/>
                <w:color w:val="000000"/>
              </w:rPr>
              <w:t>75%</w:t>
            </w:r>
          </w:p>
        </w:tc>
        <w:tc>
          <w:tcPr>
            <w:tcW w:w="1778" w:type="dxa"/>
            <w:vMerge w:val="continue"/>
          </w:tcPr>
          <w:p w14:paraId="158AE7A3">
            <w:pPr>
              <w:widowControl/>
              <w:jc w:val="center"/>
              <w:rPr>
                <w:rFonts w:ascii="宋体" w:hAnsi="宋体" w:cs="宋体"/>
                <w:color w:val="000000"/>
              </w:rPr>
            </w:pPr>
          </w:p>
        </w:tc>
        <w:tc>
          <w:tcPr>
            <w:tcW w:w="1275" w:type="dxa"/>
            <w:vAlign w:val="center"/>
          </w:tcPr>
          <w:p w14:paraId="639282D7">
            <w:pPr>
              <w:widowControl/>
              <w:jc w:val="center"/>
            </w:pPr>
            <w:r>
              <w:rPr>
                <w:rFonts w:hint="eastAsia"/>
              </w:rPr>
              <w:t>一级反渗透</w:t>
            </w:r>
          </w:p>
        </w:tc>
      </w:tr>
      <w:tr w14:paraId="4913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7E549DDD">
            <w:pPr>
              <w:jc w:val="center"/>
              <w:rPr>
                <w:sz w:val="18"/>
                <w:szCs w:val="18"/>
              </w:rPr>
            </w:pPr>
            <w:r>
              <w:rPr>
                <w:rFonts w:hint="eastAsia"/>
                <w:sz w:val="18"/>
                <w:szCs w:val="18"/>
              </w:rPr>
              <w:t>5</w:t>
            </w:r>
          </w:p>
        </w:tc>
        <w:tc>
          <w:tcPr>
            <w:tcW w:w="1607" w:type="dxa"/>
            <w:vAlign w:val="center"/>
          </w:tcPr>
          <w:p w14:paraId="54359F1F">
            <w:pPr>
              <w:widowControl/>
              <w:jc w:val="center"/>
              <w:rPr>
                <w:rFonts w:ascii="宋体" w:hAnsi="宋体" w:cs="宋体"/>
                <w:color w:val="000000"/>
              </w:rPr>
            </w:pPr>
            <w:r>
              <w:rPr>
                <w:rFonts w:hint="eastAsia" w:ascii="宋体" w:hAnsi="宋体" w:cs="宋体"/>
                <w:color w:val="000000"/>
              </w:rPr>
              <w:t>8*76.5吨/小时</w:t>
            </w:r>
          </w:p>
        </w:tc>
        <w:tc>
          <w:tcPr>
            <w:tcW w:w="1569" w:type="dxa"/>
            <w:vAlign w:val="center"/>
          </w:tcPr>
          <w:p w14:paraId="7DB98250">
            <w:pPr>
              <w:widowControl/>
              <w:jc w:val="center"/>
              <w:rPr>
                <w:rFonts w:ascii="宋体" w:hAnsi="宋体" w:cs="宋体"/>
                <w:color w:val="000000"/>
              </w:rPr>
            </w:pPr>
            <w:r>
              <w:rPr>
                <w:rFonts w:hint="eastAsia" w:ascii="宋体" w:hAnsi="宋体" w:cs="宋体"/>
                <w:color w:val="000000"/>
              </w:rPr>
              <w:t>BW-8040</w:t>
            </w:r>
          </w:p>
        </w:tc>
        <w:tc>
          <w:tcPr>
            <w:tcW w:w="675" w:type="dxa"/>
            <w:vAlign w:val="center"/>
          </w:tcPr>
          <w:p w14:paraId="04B86D4E">
            <w:pPr>
              <w:widowControl/>
              <w:jc w:val="center"/>
              <w:rPr>
                <w:rFonts w:ascii="宋体" w:hAnsi="宋体" w:cs="宋体"/>
                <w:color w:val="000000"/>
              </w:rPr>
            </w:pPr>
            <w:r>
              <w:rPr>
                <w:rFonts w:hint="eastAsia" w:ascii="宋体" w:hAnsi="宋体" w:cs="宋体"/>
                <w:color w:val="000000"/>
              </w:rPr>
              <w:t>沁森</w:t>
            </w:r>
          </w:p>
        </w:tc>
        <w:tc>
          <w:tcPr>
            <w:tcW w:w="1169" w:type="dxa"/>
          </w:tcPr>
          <w:p w14:paraId="777F9137">
            <w:pPr>
              <w:widowControl/>
              <w:jc w:val="center"/>
              <w:rPr>
                <w:rFonts w:ascii="宋体" w:hAnsi="宋体" w:cs="宋体"/>
                <w:color w:val="000000"/>
              </w:rPr>
            </w:pPr>
            <w:r>
              <w:rPr>
                <w:rFonts w:hint="eastAsia" w:ascii="宋体" w:hAnsi="宋体" w:cs="宋体"/>
                <w:color w:val="000000"/>
              </w:rPr>
              <w:t>50%</w:t>
            </w:r>
          </w:p>
        </w:tc>
        <w:tc>
          <w:tcPr>
            <w:tcW w:w="1778" w:type="dxa"/>
            <w:vMerge w:val="continue"/>
          </w:tcPr>
          <w:p w14:paraId="636B981D">
            <w:pPr>
              <w:widowControl/>
              <w:jc w:val="center"/>
              <w:rPr>
                <w:rFonts w:ascii="宋体" w:hAnsi="宋体" w:cs="宋体"/>
                <w:color w:val="000000"/>
              </w:rPr>
            </w:pPr>
          </w:p>
        </w:tc>
        <w:tc>
          <w:tcPr>
            <w:tcW w:w="1275" w:type="dxa"/>
            <w:vAlign w:val="center"/>
          </w:tcPr>
          <w:p w14:paraId="5965105C">
            <w:pPr>
              <w:widowControl/>
              <w:jc w:val="center"/>
            </w:pPr>
            <w:r>
              <w:rPr>
                <w:rFonts w:hint="eastAsia"/>
              </w:rPr>
              <w:t>浓水反渗透</w:t>
            </w:r>
          </w:p>
        </w:tc>
      </w:tr>
      <w:tr w14:paraId="35AFE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443" w:type="dxa"/>
            <w:vAlign w:val="center"/>
          </w:tcPr>
          <w:p w14:paraId="2AA0E77B">
            <w:pPr>
              <w:jc w:val="center"/>
              <w:rPr>
                <w:sz w:val="18"/>
                <w:szCs w:val="18"/>
              </w:rPr>
            </w:pPr>
            <w:r>
              <w:rPr>
                <w:rFonts w:hint="eastAsia"/>
                <w:sz w:val="18"/>
                <w:szCs w:val="18"/>
              </w:rPr>
              <w:t>6</w:t>
            </w:r>
          </w:p>
        </w:tc>
        <w:tc>
          <w:tcPr>
            <w:tcW w:w="1607" w:type="dxa"/>
            <w:vAlign w:val="center"/>
          </w:tcPr>
          <w:p w14:paraId="68A7F3CC">
            <w:pPr>
              <w:widowControl/>
              <w:jc w:val="center"/>
              <w:rPr>
                <w:rFonts w:ascii="宋体" w:hAnsi="宋体" w:cs="宋体"/>
                <w:color w:val="000000"/>
              </w:rPr>
            </w:pPr>
            <w:r>
              <w:rPr>
                <w:rFonts w:hint="eastAsia" w:ascii="宋体" w:hAnsi="宋体" w:cs="宋体"/>
                <w:color w:val="000000"/>
              </w:rPr>
              <w:t>2*40吨/小时</w:t>
            </w:r>
          </w:p>
        </w:tc>
        <w:tc>
          <w:tcPr>
            <w:tcW w:w="1569" w:type="dxa"/>
            <w:vAlign w:val="center"/>
          </w:tcPr>
          <w:p w14:paraId="7B2092DF">
            <w:pPr>
              <w:widowControl/>
              <w:jc w:val="center"/>
              <w:rPr>
                <w:rFonts w:ascii="宋体" w:hAnsi="宋体" w:cs="宋体"/>
                <w:color w:val="000000"/>
              </w:rPr>
            </w:pPr>
          </w:p>
        </w:tc>
        <w:tc>
          <w:tcPr>
            <w:tcW w:w="675" w:type="dxa"/>
            <w:vAlign w:val="center"/>
          </w:tcPr>
          <w:p w14:paraId="3AF6B32C">
            <w:pPr>
              <w:widowControl/>
              <w:jc w:val="center"/>
              <w:rPr>
                <w:rFonts w:hint="default" w:ascii="宋体" w:hAnsi="宋体" w:cs="宋体" w:eastAsiaTheme="minorEastAsia"/>
                <w:color w:val="000000"/>
                <w:lang w:val="en-US" w:eastAsia="zh-CN"/>
              </w:rPr>
            </w:pPr>
            <w:r>
              <w:rPr>
                <w:rFonts w:hint="eastAsia" w:ascii="宋体" w:hAnsi="宋体" w:cs="宋体"/>
                <w:color w:val="000000"/>
                <w:lang w:val="en-US" w:eastAsia="zh-CN"/>
              </w:rPr>
              <w:t>碟滤V</w:t>
            </w:r>
          </w:p>
        </w:tc>
        <w:tc>
          <w:tcPr>
            <w:tcW w:w="1169" w:type="dxa"/>
          </w:tcPr>
          <w:p w14:paraId="63A15B7E">
            <w:pPr>
              <w:widowControl/>
              <w:jc w:val="center"/>
              <w:rPr>
                <w:rFonts w:ascii="宋体" w:hAnsi="宋体" w:cs="宋体"/>
                <w:color w:val="000000"/>
              </w:rPr>
            </w:pPr>
            <w:r>
              <w:rPr>
                <w:rFonts w:hint="eastAsia" w:ascii="宋体" w:hAnsi="宋体" w:cs="宋体"/>
                <w:color w:val="000000"/>
              </w:rPr>
              <w:t>75%</w:t>
            </w:r>
          </w:p>
        </w:tc>
        <w:tc>
          <w:tcPr>
            <w:tcW w:w="1778" w:type="dxa"/>
            <w:vMerge w:val="continue"/>
          </w:tcPr>
          <w:p w14:paraId="77966744">
            <w:pPr>
              <w:widowControl/>
              <w:jc w:val="center"/>
              <w:rPr>
                <w:rFonts w:ascii="宋体" w:hAnsi="宋体" w:cs="宋体"/>
                <w:color w:val="000000"/>
              </w:rPr>
            </w:pPr>
          </w:p>
        </w:tc>
        <w:tc>
          <w:tcPr>
            <w:tcW w:w="1275" w:type="dxa"/>
            <w:vAlign w:val="center"/>
          </w:tcPr>
          <w:p w14:paraId="78F473A8">
            <w:pPr>
              <w:widowControl/>
              <w:jc w:val="center"/>
            </w:pPr>
            <w:r>
              <w:rPr>
                <w:rFonts w:hint="eastAsia"/>
              </w:rPr>
              <w:t>DTRO</w:t>
            </w:r>
          </w:p>
        </w:tc>
      </w:tr>
    </w:tbl>
    <w:p w14:paraId="3BD5C8BF"/>
    <w:p w14:paraId="1CFAD9FA">
      <w:pPr>
        <w:numPr>
          <w:ilvl w:val="0"/>
          <w:numId w:val="8"/>
        </w:numPr>
        <w:spacing w:beforeLines="50" w:afterLines="50" w:line="360" w:lineRule="auto"/>
        <w:rPr>
          <w:sz w:val="24"/>
        </w:rPr>
      </w:pPr>
      <w:r>
        <w:rPr>
          <w:rFonts w:hint="eastAsia"/>
          <w:sz w:val="24"/>
        </w:rPr>
        <w:t>因进水水质不同，数据略有差别（最近1年的参数）</w:t>
      </w:r>
    </w:p>
    <w:p w14:paraId="420082F7">
      <w:pPr>
        <w:pStyle w:val="6"/>
        <w:jc w:val="center"/>
      </w:pPr>
      <w:r>
        <w:t>表</w:t>
      </w:r>
      <w:r>
        <w:rPr>
          <w:rFonts w:hint="eastAsia"/>
        </w:rPr>
        <w:t xml:space="preserve">1.2  </w:t>
      </w:r>
      <w:r>
        <w:rPr>
          <w:rFonts w:hint="eastAsia"/>
          <w:u w:val="single"/>
        </w:rPr>
        <w:t>202</w:t>
      </w:r>
      <w:r>
        <w:rPr>
          <w:rFonts w:hint="eastAsia"/>
          <w:u w:val="single"/>
          <w:lang w:val="en-US" w:eastAsia="zh-CN"/>
        </w:rPr>
        <w:t>5</w:t>
      </w:r>
      <w:r>
        <w:rPr>
          <w:rFonts w:hint="eastAsia"/>
          <w:u w:val="single"/>
        </w:rPr>
        <w:t>年新天煤化工</w:t>
      </w:r>
      <w:r>
        <w:rPr>
          <w:rFonts w:hint="eastAsia"/>
        </w:rPr>
        <w:t xml:space="preserve"> 进水水质</w:t>
      </w:r>
    </w:p>
    <w:tbl>
      <w:tblPr>
        <w:tblStyle w:val="14"/>
        <w:tblW w:w="7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276"/>
        <w:gridCol w:w="1701"/>
        <w:gridCol w:w="1701"/>
      </w:tblGrid>
      <w:tr w14:paraId="540F2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blHeader/>
        </w:trPr>
        <w:tc>
          <w:tcPr>
            <w:tcW w:w="3085" w:type="dxa"/>
            <w:vAlign w:val="center"/>
          </w:tcPr>
          <w:p w14:paraId="23B056A2">
            <w:pPr>
              <w:widowControl/>
              <w:jc w:val="center"/>
              <w:rPr>
                <w:rFonts w:ascii="宋体" w:hAnsi="宋体" w:cs="宋体"/>
                <w:color w:val="000000"/>
              </w:rPr>
            </w:pPr>
            <w:r>
              <w:rPr>
                <w:rFonts w:hint="eastAsia" w:ascii="宋体" w:hAnsi="宋体" w:cs="宋体"/>
                <w:color w:val="000000"/>
              </w:rPr>
              <w:t>项目</w:t>
            </w:r>
          </w:p>
        </w:tc>
        <w:tc>
          <w:tcPr>
            <w:tcW w:w="1276" w:type="dxa"/>
            <w:vAlign w:val="center"/>
          </w:tcPr>
          <w:p w14:paraId="3A9C074F">
            <w:pPr>
              <w:widowControl/>
              <w:jc w:val="center"/>
              <w:rPr>
                <w:rFonts w:ascii="宋体" w:hAnsi="宋体" w:cs="宋体"/>
                <w:color w:val="000000"/>
              </w:rPr>
            </w:pPr>
            <w:r>
              <w:rPr>
                <w:rFonts w:hint="eastAsia" w:ascii="宋体" w:hAnsi="宋体" w:cs="宋体"/>
                <w:color w:val="000000"/>
              </w:rPr>
              <w:t>符号</w:t>
            </w:r>
          </w:p>
        </w:tc>
        <w:tc>
          <w:tcPr>
            <w:tcW w:w="1701" w:type="dxa"/>
            <w:vAlign w:val="center"/>
          </w:tcPr>
          <w:p w14:paraId="0DCB5526">
            <w:pPr>
              <w:widowControl/>
              <w:jc w:val="center"/>
              <w:rPr>
                <w:rFonts w:ascii="宋体" w:hAnsi="宋体" w:cs="宋体"/>
                <w:color w:val="000000"/>
              </w:rPr>
            </w:pPr>
            <w:r>
              <w:rPr>
                <w:rFonts w:hint="eastAsia" w:ascii="宋体" w:hAnsi="宋体" w:cs="宋体"/>
                <w:color w:val="000000"/>
              </w:rPr>
              <w:t>单位</w:t>
            </w:r>
          </w:p>
        </w:tc>
        <w:tc>
          <w:tcPr>
            <w:tcW w:w="1701" w:type="dxa"/>
            <w:vAlign w:val="center"/>
          </w:tcPr>
          <w:p w14:paraId="1B992656">
            <w:pPr>
              <w:widowControl/>
              <w:jc w:val="center"/>
              <w:rPr>
                <w:rFonts w:ascii="宋体" w:hAnsi="宋体" w:cs="宋体"/>
                <w:color w:val="000000"/>
              </w:rPr>
            </w:pPr>
            <w:r>
              <w:rPr>
                <w:rFonts w:hint="eastAsia" w:ascii="宋体" w:hAnsi="宋体" w:cs="宋体"/>
                <w:color w:val="000000"/>
              </w:rPr>
              <w:t>数值</w:t>
            </w:r>
          </w:p>
        </w:tc>
      </w:tr>
      <w:tr w14:paraId="6B8E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2B1E79BC">
            <w:pPr>
              <w:widowControl/>
              <w:jc w:val="center"/>
              <w:rPr>
                <w:rFonts w:ascii="宋体" w:hAnsi="宋体" w:cs="宋体"/>
                <w:color w:val="000000"/>
              </w:rPr>
            </w:pPr>
            <w:r>
              <w:rPr>
                <w:rFonts w:hint="eastAsia" w:ascii="宋体" w:hAnsi="宋体" w:cs="宋体"/>
                <w:color w:val="000000"/>
              </w:rPr>
              <w:t>pH值(25℃)</w:t>
            </w:r>
          </w:p>
        </w:tc>
        <w:tc>
          <w:tcPr>
            <w:tcW w:w="1276" w:type="dxa"/>
            <w:vAlign w:val="center"/>
          </w:tcPr>
          <w:p w14:paraId="1F38EE77">
            <w:pPr>
              <w:widowControl/>
              <w:jc w:val="center"/>
              <w:rPr>
                <w:rFonts w:ascii="宋体" w:hAnsi="宋体" w:cs="宋体"/>
                <w:color w:val="000000"/>
              </w:rPr>
            </w:pPr>
          </w:p>
        </w:tc>
        <w:tc>
          <w:tcPr>
            <w:tcW w:w="1701" w:type="dxa"/>
            <w:vAlign w:val="center"/>
          </w:tcPr>
          <w:p w14:paraId="2B619AD0">
            <w:pPr>
              <w:widowControl/>
              <w:jc w:val="center"/>
              <w:rPr>
                <w:rFonts w:ascii="宋体" w:hAnsi="宋体" w:cs="宋体"/>
                <w:color w:val="000000"/>
              </w:rPr>
            </w:pPr>
          </w:p>
        </w:tc>
        <w:tc>
          <w:tcPr>
            <w:tcW w:w="1701" w:type="dxa"/>
            <w:vAlign w:val="center"/>
          </w:tcPr>
          <w:p w14:paraId="4E34E8BA">
            <w:pPr>
              <w:widowControl/>
              <w:jc w:val="center"/>
              <w:rPr>
                <w:rFonts w:ascii="宋体" w:hAnsi="宋体" w:cs="宋体"/>
                <w:color w:val="000000"/>
              </w:rPr>
            </w:pPr>
            <w:r>
              <w:rPr>
                <w:rFonts w:hint="eastAsia" w:ascii="宋体" w:hAnsi="宋体" w:cs="宋体"/>
                <w:color w:val="000000"/>
                <w:lang w:val="en-US" w:eastAsia="zh-CN"/>
              </w:rPr>
              <w:t>6.8</w:t>
            </w:r>
            <w:r>
              <w:rPr>
                <w:rFonts w:hint="eastAsia" w:ascii="宋体" w:hAnsi="宋体" w:cs="宋体"/>
                <w:color w:val="000000"/>
              </w:rPr>
              <w:t>-8.5</w:t>
            </w:r>
          </w:p>
        </w:tc>
      </w:tr>
      <w:tr w14:paraId="5F55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4F55F875">
            <w:pPr>
              <w:widowControl/>
              <w:jc w:val="center"/>
              <w:rPr>
                <w:rFonts w:ascii="宋体" w:hAnsi="宋体" w:cs="宋体"/>
                <w:color w:val="000000"/>
              </w:rPr>
            </w:pPr>
            <w:r>
              <w:rPr>
                <w:rFonts w:hint="eastAsia" w:ascii="宋体" w:hAnsi="宋体" w:cs="宋体"/>
                <w:color w:val="000000"/>
              </w:rPr>
              <w:t>化学耗氧量</w:t>
            </w:r>
          </w:p>
        </w:tc>
        <w:tc>
          <w:tcPr>
            <w:tcW w:w="1276" w:type="dxa"/>
            <w:vAlign w:val="center"/>
          </w:tcPr>
          <w:p w14:paraId="7F216888">
            <w:pPr>
              <w:widowControl/>
              <w:jc w:val="center"/>
              <w:rPr>
                <w:rFonts w:ascii="宋体" w:hAnsi="宋体" w:cs="宋体"/>
                <w:color w:val="000000"/>
              </w:rPr>
            </w:pPr>
            <w:r>
              <w:rPr>
                <w:rFonts w:hint="eastAsia" w:ascii="宋体" w:hAnsi="宋体" w:cs="宋体"/>
                <w:color w:val="000000"/>
              </w:rPr>
              <w:t>CODMn</w:t>
            </w:r>
          </w:p>
        </w:tc>
        <w:tc>
          <w:tcPr>
            <w:tcW w:w="1701" w:type="dxa"/>
            <w:vAlign w:val="center"/>
          </w:tcPr>
          <w:p w14:paraId="726CE4C4">
            <w:pPr>
              <w:widowControl/>
              <w:jc w:val="center"/>
              <w:rPr>
                <w:rFonts w:ascii="宋体" w:hAnsi="宋体" w:cs="宋体"/>
                <w:color w:val="000000"/>
              </w:rPr>
            </w:pPr>
            <w:r>
              <w:rPr>
                <w:rFonts w:hint="eastAsia" w:ascii="宋体" w:hAnsi="宋体" w:cs="宋体"/>
                <w:color w:val="000000"/>
              </w:rPr>
              <w:t>mg/L</w:t>
            </w:r>
          </w:p>
        </w:tc>
        <w:tc>
          <w:tcPr>
            <w:tcW w:w="1701" w:type="dxa"/>
            <w:vAlign w:val="center"/>
          </w:tcPr>
          <w:p w14:paraId="63F730DE">
            <w:pPr>
              <w:widowControl/>
              <w:jc w:val="center"/>
              <w:rPr>
                <w:rFonts w:ascii="宋体" w:hAnsi="宋体" w:cs="宋体"/>
                <w:color w:val="000000"/>
              </w:rPr>
            </w:pPr>
            <w:r>
              <w:rPr>
                <w:rFonts w:hint="eastAsia" w:ascii="宋体" w:hAnsi="宋体" w:cs="宋体"/>
                <w:color w:val="000000"/>
              </w:rPr>
              <w:t>≤20或150</w:t>
            </w:r>
          </w:p>
        </w:tc>
      </w:tr>
      <w:tr w14:paraId="2A35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0DA4F01B">
            <w:pPr>
              <w:widowControl/>
              <w:jc w:val="center"/>
              <w:rPr>
                <w:rFonts w:ascii="宋体" w:hAnsi="宋体" w:cs="宋体"/>
                <w:color w:val="000000"/>
              </w:rPr>
            </w:pPr>
            <w:r>
              <w:rPr>
                <w:rFonts w:hint="eastAsia" w:ascii="宋体" w:hAnsi="宋体" w:cs="宋体"/>
                <w:color w:val="000000"/>
              </w:rPr>
              <w:t>电导率</w:t>
            </w:r>
          </w:p>
        </w:tc>
        <w:tc>
          <w:tcPr>
            <w:tcW w:w="1276" w:type="dxa"/>
            <w:vAlign w:val="center"/>
          </w:tcPr>
          <w:p w14:paraId="744A0159">
            <w:pPr>
              <w:widowControl/>
              <w:jc w:val="center"/>
              <w:rPr>
                <w:rFonts w:ascii="宋体" w:hAnsi="宋体" w:cs="宋体"/>
                <w:color w:val="000000"/>
              </w:rPr>
            </w:pPr>
          </w:p>
        </w:tc>
        <w:tc>
          <w:tcPr>
            <w:tcW w:w="1701" w:type="dxa"/>
            <w:vAlign w:val="center"/>
          </w:tcPr>
          <w:p w14:paraId="17A4B5A5">
            <w:pPr>
              <w:widowControl/>
              <w:jc w:val="center"/>
              <w:rPr>
                <w:rFonts w:ascii="宋体" w:hAnsi="宋体" w:cs="宋体"/>
                <w:color w:val="000000"/>
              </w:rPr>
            </w:pPr>
            <w:r>
              <w:rPr>
                <w:rFonts w:hint="eastAsia" w:ascii="宋体" w:hAnsi="宋体" w:cs="宋体"/>
                <w:color w:val="000000"/>
              </w:rPr>
              <w:t>us/cm</w:t>
            </w:r>
          </w:p>
        </w:tc>
        <w:tc>
          <w:tcPr>
            <w:tcW w:w="1701" w:type="dxa"/>
            <w:vAlign w:val="center"/>
          </w:tcPr>
          <w:p w14:paraId="6D6D9C85">
            <w:pPr>
              <w:widowControl/>
              <w:jc w:val="center"/>
              <w:rPr>
                <w:rFonts w:ascii="宋体" w:hAnsi="宋体" w:cs="宋体"/>
                <w:color w:val="000000"/>
              </w:rPr>
            </w:pPr>
            <w:r>
              <w:rPr>
                <w:rFonts w:hint="eastAsia" w:ascii="宋体" w:hAnsi="宋体" w:cs="宋体"/>
                <w:color w:val="000000"/>
                <w:lang w:val="en-US" w:eastAsia="zh-CN"/>
              </w:rPr>
              <w:t>35</w:t>
            </w:r>
            <w:r>
              <w:rPr>
                <w:rFonts w:hint="eastAsia" w:ascii="宋体" w:hAnsi="宋体" w:cs="宋体"/>
                <w:color w:val="000000"/>
              </w:rPr>
              <w:t>0-35000</w:t>
            </w:r>
          </w:p>
        </w:tc>
      </w:tr>
      <w:tr w14:paraId="265B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1CEE3D5B">
            <w:pPr>
              <w:widowControl/>
              <w:jc w:val="center"/>
              <w:rPr>
                <w:rFonts w:hint="eastAsia" w:ascii="宋体" w:hAnsi="宋体" w:cs="宋体" w:eastAsiaTheme="minorEastAsia"/>
                <w:color w:val="000000"/>
                <w:lang w:val="en-US" w:eastAsia="zh-CN"/>
              </w:rPr>
            </w:pPr>
            <w:r>
              <w:rPr>
                <w:rFonts w:hint="eastAsia" w:ascii="宋体" w:hAnsi="宋体" w:cs="宋体"/>
                <w:color w:val="000000"/>
                <w:lang w:val="en-US" w:eastAsia="zh-CN"/>
              </w:rPr>
              <w:t>总酚</w:t>
            </w:r>
          </w:p>
        </w:tc>
        <w:tc>
          <w:tcPr>
            <w:tcW w:w="1276" w:type="dxa"/>
            <w:vAlign w:val="center"/>
          </w:tcPr>
          <w:p w14:paraId="3F1FD41E">
            <w:pPr>
              <w:widowControl/>
              <w:jc w:val="center"/>
              <w:rPr>
                <w:rFonts w:ascii="宋体" w:hAnsi="宋体" w:cs="宋体"/>
                <w:color w:val="000000"/>
              </w:rPr>
            </w:pPr>
          </w:p>
        </w:tc>
        <w:tc>
          <w:tcPr>
            <w:tcW w:w="1701" w:type="dxa"/>
            <w:vAlign w:val="center"/>
          </w:tcPr>
          <w:p w14:paraId="2C6E7123">
            <w:pPr>
              <w:widowControl/>
              <w:jc w:val="center"/>
              <w:rPr>
                <w:rFonts w:hint="default" w:ascii="宋体" w:hAnsi="宋体" w:cs="宋体" w:eastAsiaTheme="minorEastAsia"/>
                <w:color w:val="000000"/>
                <w:lang w:val="en-US" w:eastAsia="zh-CN"/>
              </w:rPr>
            </w:pPr>
            <w:r>
              <w:rPr>
                <w:rFonts w:hint="eastAsia" w:ascii="宋体" w:hAnsi="宋体" w:cs="宋体"/>
                <w:color w:val="000000"/>
                <w:lang w:val="en-US" w:eastAsia="zh-CN"/>
              </w:rPr>
              <w:t>Mg/L</w:t>
            </w:r>
          </w:p>
        </w:tc>
        <w:tc>
          <w:tcPr>
            <w:tcW w:w="1701" w:type="dxa"/>
            <w:vAlign w:val="center"/>
          </w:tcPr>
          <w:p w14:paraId="78616617">
            <w:pPr>
              <w:widowControl/>
              <w:jc w:val="center"/>
              <w:rPr>
                <w:rFonts w:hint="default" w:ascii="宋体" w:hAnsi="宋体" w:cs="宋体"/>
                <w:color w:val="000000"/>
                <w:lang w:val="en-US" w:eastAsia="zh-CN"/>
              </w:rPr>
            </w:pPr>
            <w:r>
              <w:rPr>
                <w:rFonts w:hint="eastAsia" w:ascii="宋体" w:hAnsi="宋体" w:cs="宋体"/>
                <w:color w:val="000000"/>
                <w:lang w:val="en-US" w:eastAsia="zh-CN"/>
              </w:rPr>
              <w:t>＜20</w:t>
            </w:r>
          </w:p>
        </w:tc>
      </w:tr>
      <w:tr w14:paraId="0C8E0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09972658">
            <w:pPr>
              <w:widowControl/>
              <w:jc w:val="center"/>
              <w:rPr>
                <w:rFonts w:hint="default" w:ascii="宋体" w:hAnsi="宋体" w:cs="宋体"/>
                <w:color w:val="000000"/>
                <w:lang w:val="en-US" w:eastAsia="zh-CN"/>
              </w:rPr>
            </w:pPr>
            <w:r>
              <w:rPr>
                <w:rFonts w:hint="eastAsia" w:ascii="宋体" w:hAnsi="宋体" w:cs="宋体"/>
                <w:color w:val="000000"/>
                <w:lang w:val="en-US" w:eastAsia="zh-CN"/>
              </w:rPr>
              <w:t>总硬度</w:t>
            </w:r>
          </w:p>
        </w:tc>
        <w:tc>
          <w:tcPr>
            <w:tcW w:w="1276" w:type="dxa"/>
            <w:vAlign w:val="center"/>
          </w:tcPr>
          <w:p w14:paraId="168AD9D0">
            <w:pPr>
              <w:widowControl/>
              <w:jc w:val="center"/>
              <w:rPr>
                <w:rFonts w:ascii="宋体" w:hAnsi="宋体" w:cs="宋体"/>
                <w:color w:val="000000"/>
              </w:rPr>
            </w:pPr>
          </w:p>
        </w:tc>
        <w:tc>
          <w:tcPr>
            <w:tcW w:w="1701" w:type="dxa"/>
            <w:vAlign w:val="center"/>
          </w:tcPr>
          <w:p w14:paraId="189A7A5F">
            <w:pPr>
              <w:widowControl/>
              <w:jc w:val="center"/>
              <w:rPr>
                <w:rFonts w:hint="eastAsia" w:ascii="宋体" w:hAnsi="宋体" w:cs="宋体"/>
                <w:color w:val="000000"/>
                <w:lang w:val="en-US" w:eastAsia="zh-CN"/>
              </w:rPr>
            </w:pPr>
            <w:r>
              <w:rPr>
                <w:rFonts w:hint="eastAsia" w:ascii="宋体" w:hAnsi="宋体" w:cs="宋体"/>
                <w:color w:val="000000"/>
                <w:lang w:val="en-US" w:eastAsia="zh-CN"/>
              </w:rPr>
              <w:t>Mg/L</w:t>
            </w:r>
          </w:p>
        </w:tc>
        <w:tc>
          <w:tcPr>
            <w:tcW w:w="1701" w:type="dxa"/>
            <w:vAlign w:val="center"/>
          </w:tcPr>
          <w:p w14:paraId="43C4E140">
            <w:pPr>
              <w:widowControl/>
              <w:jc w:val="center"/>
              <w:rPr>
                <w:rFonts w:hint="default" w:ascii="宋体" w:hAnsi="宋体" w:cs="宋体"/>
                <w:color w:val="000000"/>
                <w:lang w:val="en-US" w:eastAsia="zh-CN"/>
              </w:rPr>
            </w:pPr>
            <w:r>
              <w:rPr>
                <w:rFonts w:hint="eastAsia" w:ascii="宋体" w:hAnsi="宋体" w:cs="宋体"/>
                <w:color w:val="000000"/>
                <w:lang w:val="en-US" w:eastAsia="zh-CN"/>
              </w:rPr>
              <w:t>＜350</w:t>
            </w:r>
          </w:p>
        </w:tc>
      </w:tr>
      <w:tr w14:paraId="2D9E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3085" w:type="dxa"/>
            <w:vAlign w:val="center"/>
          </w:tcPr>
          <w:p w14:paraId="71F144D0">
            <w:pPr>
              <w:widowControl/>
              <w:jc w:val="center"/>
              <w:rPr>
                <w:rFonts w:hint="default" w:ascii="宋体" w:hAnsi="宋体" w:cs="宋体"/>
                <w:color w:val="000000"/>
                <w:lang w:val="en-US" w:eastAsia="zh-CN"/>
              </w:rPr>
            </w:pPr>
            <w:r>
              <w:rPr>
                <w:rFonts w:hint="eastAsia" w:ascii="宋体" w:hAnsi="宋体" w:cs="宋体"/>
                <w:color w:val="000000"/>
                <w:lang w:val="en-US" w:eastAsia="zh-CN"/>
              </w:rPr>
              <w:t>总碱度</w:t>
            </w:r>
          </w:p>
        </w:tc>
        <w:tc>
          <w:tcPr>
            <w:tcW w:w="1276" w:type="dxa"/>
            <w:vAlign w:val="center"/>
          </w:tcPr>
          <w:p w14:paraId="27434635">
            <w:pPr>
              <w:widowControl/>
              <w:jc w:val="center"/>
              <w:rPr>
                <w:rFonts w:ascii="宋体" w:hAnsi="宋体" w:cs="宋体"/>
                <w:color w:val="000000"/>
              </w:rPr>
            </w:pPr>
          </w:p>
        </w:tc>
        <w:tc>
          <w:tcPr>
            <w:tcW w:w="1701" w:type="dxa"/>
            <w:vAlign w:val="center"/>
          </w:tcPr>
          <w:p w14:paraId="10DCA723">
            <w:pPr>
              <w:widowControl/>
              <w:jc w:val="center"/>
              <w:rPr>
                <w:rFonts w:hint="eastAsia" w:ascii="宋体" w:hAnsi="宋体" w:cs="宋体"/>
                <w:color w:val="000000"/>
                <w:lang w:val="en-US" w:eastAsia="zh-CN"/>
              </w:rPr>
            </w:pPr>
            <w:r>
              <w:rPr>
                <w:rFonts w:hint="eastAsia" w:ascii="宋体" w:hAnsi="宋体" w:cs="宋体"/>
                <w:color w:val="000000"/>
                <w:lang w:val="en-US" w:eastAsia="zh-CN"/>
              </w:rPr>
              <w:t>Mg/L</w:t>
            </w:r>
          </w:p>
        </w:tc>
        <w:tc>
          <w:tcPr>
            <w:tcW w:w="1701" w:type="dxa"/>
            <w:vAlign w:val="center"/>
          </w:tcPr>
          <w:p w14:paraId="35CC4ED3">
            <w:pPr>
              <w:widowControl/>
              <w:jc w:val="center"/>
              <w:rPr>
                <w:rFonts w:hint="default" w:ascii="宋体" w:hAnsi="宋体" w:cs="宋体"/>
                <w:color w:val="000000"/>
                <w:lang w:val="en-US" w:eastAsia="zh-CN"/>
              </w:rPr>
            </w:pPr>
            <w:r>
              <w:rPr>
                <w:rFonts w:hint="eastAsia" w:ascii="宋体" w:hAnsi="宋体" w:cs="宋体"/>
                <w:color w:val="000000"/>
                <w:lang w:val="en-US" w:eastAsia="zh-CN"/>
              </w:rPr>
              <w:t>＜600</w:t>
            </w:r>
          </w:p>
        </w:tc>
      </w:tr>
    </w:tbl>
    <w:p w14:paraId="7B1E0B37">
      <w:pPr>
        <w:widowControl/>
        <w:jc w:val="center"/>
        <w:rPr>
          <w:rFonts w:ascii="宋体" w:hAnsi="宋体" w:cs="宋体"/>
          <w:color w:val="000000"/>
        </w:rPr>
      </w:pPr>
    </w:p>
    <w:p w14:paraId="5776F710">
      <w:pPr>
        <w:widowControl/>
        <w:ind w:firstLine="420" w:firstLineChars="200"/>
        <w:jc w:val="left"/>
        <w:rPr>
          <w:rFonts w:hint="default" w:ascii="宋体" w:hAnsi="宋体" w:cs="宋体" w:eastAsiaTheme="minorEastAsia"/>
          <w:color w:val="000000"/>
          <w:lang w:val="en-US" w:eastAsia="zh-CN"/>
        </w:rPr>
      </w:pPr>
      <w:r>
        <w:rPr>
          <w:rFonts w:hint="eastAsia" w:ascii="宋体" w:hAnsi="宋体" w:cs="宋体"/>
          <w:color w:val="000000"/>
        </w:rPr>
        <w:t>原水电导</w:t>
      </w:r>
      <w:r>
        <w:rPr>
          <w:rFonts w:hint="eastAsia" w:ascii="宋体" w:hAnsi="宋体" w:cs="宋体"/>
          <w:color w:val="000000"/>
          <w:lang w:val="en-US" w:eastAsia="zh-CN"/>
        </w:rPr>
        <w:t>＜7</w:t>
      </w:r>
      <w:r>
        <w:rPr>
          <w:rFonts w:hint="eastAsia" w:ascii="宋体" w:hAnsi="宋体" w:cs="宋体"/>
          <w:color w:val="000000"/>
        </w:rPr>
        <w:t>00μs/cm；回用水电导在</w:t>
      </w:r>
      <w:r>
        <w:rPr>
          <w:rFonts w:hint="eastAsia" w:ascii="宋体" w:hAnsi="宋体" w:cs="宋体"/>
          <w:color w:val="000000"/>
          <w:lang w:val="en-US" w:eastAsia="zh-CN"/>
        </w:rPr>
        <w:t>3</w:t>
      </w:r>
      <w:r>
        <w:rPr>
          <w:rFonts w:hint="eastAsia" w:ascii="宋体" w:hAnsi="宋体" w:cs="宋体"/>
          <w:color w:val="000000"/>
        </w:rPr>
        <w:t>000-</w:t>
      </w:r>
      <w:r>
        <w:rPr>
          <w:rFonts w:hint="eastAsia" w:ascii="宋体" w:hAnsi="宋体" w:cs="宋体"/>
          <w:color w:val="000000"/>
          <w:lang w:val="en-US" w:eastAsia="zh-CN"/>
        </w:rPr>
        <w:t>7</w:t>
      </w:r>
      <w:r>
        <w:rPr>
          <w:rFonts w:hint="eastAsia" w:ascii="宋体" w:hAnsi="宋体" w:cs="宋体"/>
          <w:color w:val="000000"/>
        </w:rPr>
        <w:t>000μs/cm范围内；浓盐水处理电导在</w:t>
      </w:r>
      <w:r>
        <w:rPr>
          <w:rFonts w:hint="eastAsia" w:ascii="宋体" w:hAnsi="宋体" w:cs="宋体"/>
          <w:color w:val="000000"/>
          <w:lang w:val="en-US" w:eastAsia="zh-CN"/>
        </w:rPr>
        <w:t>＜</w:t>
      </w:r>
      <w:r>
        <w:rPr>
          <w:rFonts w:hint="eastAsia" w:ascii="宋体" w:hAnsi="宋体" w:cs="宋体"/>
          <w:color w:val="000000"/>
        </w:rPr>
        <w:t>35000μs/cm。</w:t>
      </w:r>
    </w:p>
    <w:p w14:paraId="4AF082D9">
      <w:pPr>
        <w:jc w:val="left"/>
      </w:pPr>
    </w:p>
    <w:p w14:paraId="68FB32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0C4350"/>
    <w:multiLevelType w:val="multilevel"/>
    <w:tmpl w:val="2E0C4350"/>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B4B598C"/>
    <w:multiLevelType w:val="multilevel"/>
    <w:tmpl w:val="3B4B598C"/>
    <w:lvl w:ilvl="0" w:tentative="0">
      <w:start w:val="1"/>
      <w:numFmt w:val="decimalEnclosedCircle"/>
      <w:lvlText w:val="%1"/>
      <w:lvlJc w:val="left"/>
      <w:pPr>
        <w:tabs>
          <w:tab w:val="left" w:pos="360"/>
        </w:tabs>
        <w:ind w:left="360" w:hanging="36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077056"/>
    <w:multiLevelType w:val="multilevel"/>
    <w:tmpl w:val="44077056"/>
    <w:lvl w:ilvl="0" w:tentative="0">
      <w:start w:val="1"/>
      <w:numFmt w:val="decimal"/>
      <w:pStyle w:val="29"/>
      <w:lvlText w:val="%1"/>
      <w:lvlJc w:val="left"/>
      <w:pPr>
        <w:ind w:left="425" w:hanging="425"/>
      </w:pPr>
    </w:lvl>
    <w:lvl w:ilvl="1" w:tentative="0">
      <w:start w:val="1"/>
      <w:numFmt w:val="decimal"/>
      <w:pStyle w:val="30"/>
      <w:lvlText w:val="%1.%2"/>
      <w:lvlJc w:val="left"/>
      <w:pPr>
        <w:snapToGrid w:val="0"/>
        <w:ind w:left="992" w:hanging="567"/>
      </w:pPr>
      <w:rPr>
        <w:rFonts w:ascii="Times New Roman" w:hAnsi="Times New Roman" w:cs="Times New Roman"/>
        <w:b/>
        <w:bCs w:val="0"/>
        <w:i w:val="0"/>
        <w:iCs w:val="0"/>
        <w:caps w:val="0"/>
        <w:smallCaps w:val="0"/>
        <w:strike w:val="0"/>
        <w:dstrike w:val="0"/>
        <w:outline w:val="0"/>
        <w:shadow w:val="0"/>
        <w:emboss w:val="0"/>
        <w:imprint w:val="0"/>
        <w:vanish w:val="0"/>
        <w:color w:val="000000"/>
        <w:spacing w:val="0"/>
        <w:w w:val="1"/>
        <w:kern w:val="0"/>
        <w:position w:val="0"/>
        <w:szCs w:val="2"/>
        <w:u w:val="none"/>
        <w:vertAlign w:val="baseline"/>
      </w:rPr>
    </w:lvl>
    <w:lvl w:ilvl="2" w:tentative="0">
      <w:start w:val="1"/>
      <w:numFmt w:val="decimal"/>
      <w:pStyle w:val="31"/>
      <w:lvlText w:val="%1.%2.%3"/>
      <w:lvlJc w:val="left"/>
      <w:pPr>
        <w:ind w:left="1418" w:hanging="567"/>
      </w:pPr>
    </w:lvl>
    <w:lvl w:ilvl="3" w:tentative="0">
      <w:start w:val="1"/>
      <w:numFmt w:val="decimal"/>
      <w:pStyle w:val="4"/>
      <w:lvlText w:val="%1.%2.%3.%4"/>
      <w:lvlJc w:val="left"/>
      <w:pPr>
        <w:snapToGrid w:val="0"/>
        <w:ind w:left="1701" w:hanging="708"/>
      </w:pPr>
      <w:rPr>
        <w:rFonts w:ascii="Times New Roman" w:hAnsi="Times New Roman" w:cs="Times New Roman"/>
        <w:b w:val="0"/>
        <w:bCs w:val="0"/>
        <w:i w:val="0"/>
        <w:iCs w:val="0"/>
        <w:caps w:val="0"/>
        <w:smallCaps w:val="0"/>
        <w:strike w:val="0"/>
        <w:dstrike w:val="0"/>
        <w:outline w:val="0"/>
        <w:shadow w:val="0"/>
        <w:emboss w:val="0"/>
        <w:imprint w:val="0"/>
        <w:vanish w:val="0"/>
        <w:color w:val="000000"/>
        <w:spacing w:val="0"/>
        <w:w w:val="1"/>
        <w:kern w:val="0"/>
        <w:position w:val="0"/>
        <w:szCs w:val="2"/>
        <w:u w:val="none"/>
        <w:vertAlign w:val="baseline"/>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5581290B"/>
    <w:multiLevelType w:val="singleLevel"/>
    <w:tmpl w:val="5581290B"/>
    <w:lvl w:ilvl="0" w:tentative="0">
      <w:start w:val="2"/>
      <w:numFmt w:val="decimal"/>
      <w:suff w:val="nothing"/>
      <w:lvlText w:val="%1、"/>
      <w:lvlJc w:val="left"/>
    </w:lvl>
  </w:abstractNum>
  <w:abstractNum w:abstractNumId="4">
    <w:nsid w:val="576CF681"/>
    <w:multiLevelType w:val="singleLevel"/>
    <w:tmpl w:val="576CF681"/>
    <w:lvl w:ilvl="0" w:tentative="0">
      <w:start w:val="1"/>
      <w:numFmt w:val="decimal"/>
      <w:suff w:val="nothing"/>
      <w:lvlText w:val="%1）"/>
      <w:lvlJc w:val="left"/>
      <w:pPr>
        <w:ind w:left="0" w:firstLine="0"/>
      </w:pPr>
    </w:lvl>
  </w:abstractNum>
  <w:abstractNum w:abstractNumId="5">
    <w:nsid w:val="6F403CEF"/>
    <w:multiLevelType w:val="multilevel"/>
    <w:tmpl w:val="6F403CE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5OWJlYzU1MDNkZGM0MzQ1ZTZiYjVhZGNjN2E1YzIifQ=="/>
  </w:docVars>
  <w:rsids>
    <w:rsidRoot w:val="00780CBF"/>
    <w:rsid w:val="000672D5"/>
    <w:rsid w:val="00134619"/>
    <w:rsid w:val="001A25F1"/>
    <w:rsid w:val="002C5ADB"/>
    <w:rsid w:val="00356DEF"/>
    <w:rsid w:val="003B5769"/>
    <w:rsid w:val="004160D9"/>
    <w:rsid w:val="00485265"/>
    <w:rsid w:val="004969F8"/>
    <w:rsid w:val="00662A70"/>
    <w:rsid w:val="00711D97"/>
    <w:rsid w:val="00780CBF"/>
    <w:rsid w:val="00890F53"/>
    <w:rsid w:val="008A4608"/>
    <w:rsid w:val="00936037"/>
    <w:rsid w:val="00982EBA"/>
    <w:rsid w:val="00B065BD"/>
    <w:rsid w:val="00C814AD"/>
    <w:rsid w:val="00DE0847"/>
    <w:rsid w:val="00E03E51"/>
    <w:rsid w:val="00E46082"/>
    <w:rsid w:val="01DD1E9F"/>
    <w:rsid w:val="043B10FF"/>
    <w:rsid w:val="0A486323"/>
    <w:rsid w:val="0B0E30C9"/>
    <w:rsid w:val="0C913FB2"/>
    <w:rsid w:val="0CBB102F"/>
    <w:rsid w:val="0DFF319D"/>
    <w:rsid w:val="11F4691A"/>
    <w:rsid w:val="162E2871"/>
    <w:rsid w:val="1A0702B6"/>
    <w:rsid w:val="1C47643B"/>
    <w:rsid w:val="1CEE2D5A"/>
    <w:rsid w:val="1F813B73"/>
    <w:rsid w:val="1FAD0CAB"/>
    <w:rsid w:val="22145011"/>
    <w:rsid w:val="22405E06"/>
    <w:rsid w:val="25ED1938"/>
    <w:rsid w:val="27734588"/>
    <w:rsid w:val="282D0BDB"/>
    <w:rsid w:val="28FB2A87"/>
    <w:rsid w:val="2AE15CAC"/>
    <w:rsid w:val="2E304F81"/>
    <w:rsid w:val="2EA94D33"/>
    <w:rsid w:val="2ED718A0"/>
    <w:rsid w:val="30973041"/>
    <w:rsid w:val="38CA755B"/>
    <w:rsid w:val="397D1296"/>
    <w:rsid w:val="3D112421"/>
    <w:rsid w:val="3D232155"/>
    <w:rsid w:val="3E854E75"/>
    <w:rsid w:val="3FAE21A9"/>
    <w:rsid w:val="41432DC5"/>
    <w:rsid w:val="419B3319"/>
    <w:rsid w:val="41D81760"/>
    <w:rsid w:val="42FB3958"/>
    <w:rsid w:val="45010FCD"/>
    <w:rsid w:val="46A2233C"/>
    <w:rsid w:val="46B5206F"/>
    <w:rsid w:val="49CB1BAA"/>
    <w:rsid w:val="4B117A90"/>
    <w:rsid w:val="4B29302C"/>
    <w:rsid w:val="4BCB40E3"/>
    <w:rsid w:val="4CF51418"/>
    <w:rsid w:val="51A11B6E"/>
    <w:rsid w:val="549E05E7"/>
    <w:rsid w:val="54BA7253"/>
    <w:rsid w:val="55E22755"/>
    <w:rsid w:val="577F3288"/>
    <w:rsid w:val="593826B0"/>
    <w:rsid w:val="5B274D0F"/>
    <w:rsid w:val="5BBE156E"/>
    <w:rsid w:val="5E7D74BF"/>
    <w:rsid w:val="5E856373"/>
    <w:rsid w:val="5F697A43"/>
    <w:rsid w:val="5FCB425A"/>
    <w:rsid w:val="60583D40"/>
    <w:rsid w:val="62AC0373"/>
    <w:rsid w:val="66292DD9"/>
    <w:rsid w:val="67550FD9"/>
    <w:rsid w:val="693E3CEF"/>
    <w:rsid w:val="6C5850C7"/>
    <w:rsid w:val="6DE44E65"/>
    <w:rsid w:val="6F3B6D06"/>
    <w:rsid w:val="6F457B85"/>
    <w:rsid w:val="70293003"/>
    <w:rsid w:val="70381498"/>
    <w:rsid w:val="718030F6"/>
    <w:rsid w:val="72CF2171"/>
    <w:rsid w:val="7B670E83"/>
    <w:rsid w:val="7C0E57A2"/>
    <w:rsid w:val="7D307C0B"/>
    <w:rsid w:val="7EE03426"/>
    <w:rsid w:val="7F87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keepLines/>
      <w:spacing w:before="340" w:after="330" w:line="576" w:lineRule="auto"/>
      <w:outlineLvl w:val="0"/>
    </w:pPr>
    <w:rPr>
      <w:rFonts w:ascii="Times New Roman" w:hAnsi="Times New Roman" w:eastAsia="宋体" w:cs="Times New Roman"/>
      <w:b/>
      <w:bCs/>
      <w:kern w:val="44"/>
      <w:sz w:val="44"/>
      <w:szCs w:val="44"/>
    </w:rPr>
  </w:style>
  <w:style w:type="paragraph" w:styleId="3">
    <w:name w:val="heading 2"/>
    <w:basedOn w:val="1"/>
    <w:next w:val="1"/>
    <w:link w:val="3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5"/>
    <w:link w:val="20"/>
    <w:unhideWhenUsed/>
    <w:qFormat/>
    <w:uiPriority w:val="9"/>
    <w:pPr>
      <w:keepNext/>
      <w:numPr>
        <w:ilvl w:val="3"/>
        <w:numId w:val="1"/>
      </w:numPr>
      <w:adjustRightInd w:val="0"/>
      <w:spacing w:line="360" w:lineRule="auto"/>
      <w:ind w:left="0" w:firstLine="0"/>
      <w:jc w:val="left"/>
      <w:outlineLvl w:val="3"/>
    </w:pPr>
    <w:rPr>
      <w:rFonts w:ascii="宋体" w:hAnsi="Times New Roman" w:eastAsia="宋体" w:cs="宋体"/>
      <w:kern w:val="0"/>
      <w:sz w:val="24"/>
      <w:szCs w:val="2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3"/>
    <w:semiHidden/>
    <w:unhideWhenUsed/>
    <w:qFormat/>
    <w:uiPriority w:val="0"/>
    <w:pPr>
      <w:ind w:firstLine="420"/>
    </w:pPr>
  </w:style>
  <w:style w:type="paragraph" w:styleId="6">
    <w:name w:val="caption"/>
    <w:basedOn w:val="1"/>
    <w:next w:val="1"/>
    <w:qFormat/>
    <w:uiPriority w:val="0"/>
    <w:rPr>
      <w:rFonts w:ascii="Arial" w:hAnsi="Arial" w:eastAsia="黑体" w:cs="Times New Roman"/>
      <w:sz w:val="20"/>
      <w:szCs w:val="24"/>
    </w:rPr>
  </w:style>
  <w:style w:type="paragraph" w:styleId="7">
    <w:name w:val="Body Text"/>
    <w:basedOn w:val="1"/>
    <w:link w:val="22"/>
    <w:unhideWhenUsed/>
    <w:qFormat/>
    <w:uiPriority w:val="1"/>
    <w:pPr>
      <w:spacing w:after="120"/>
    </w:pPr>
    <w:rPr>
      <w:rFonts w:ascii="Times New Roman" w:hAnsi="Times New Roman" w:eastAsia="宋体" w:cs="Times New Roman"/>
      <w:szCs w:val="20"/>
    </w:rPr>
  </w:style>
  <w:style w:type="paragraph" w:styleId="8">
    <w:name w:val="Date"/>
    <w:basedOn w:val="1"/>
    <w:next w:val="1"/>
    <w:link w:val="38"/>
    <w:semiHidden/>
    <w:unhideWhenUsed/>
    <w:qFormat/>
    <w:uiPriority w:val="99"/>
    <w:pPr>
      <w:ind w:left="100" w:leftChars="2500"/>
    </w:pPr>
  </w:style>
  <w:style w:type="paragraph" w:styleId="9">
    <w:name w:val="Body Text Indent 2"/>
    <w:basedOn w:val="1"/>
    <w:link w:val="25"/>
    <w:semiHidden/>
    <w:unhideWhenUsed/>
    <w:qFormat/>
    <w:uiPriority w:val="99"/>
    <w:pPr>
      <w:spacing w:after="120" w:line="480" w:lineRule="auto"/>
      <w:ind w:left="420" w:leftChars="200"/>
    </w:pPr>
    <w:rPr>
      <w:rFonts w:ascii="Times New Roman" w:hAnsi="Times New Roman" w:eastAsia="宋体" w:cs="Times New Roman"/>
      <w:szCs w:val="20"/>
    </w:rPr>
  </w:style>
  <w:style w:type="paragraph" w:styleId="10">
    <w:name w:val="footer"/>
    <w:basedOn w:val="1"/>
    <w:link w:val="18"/>
    <w:semiHidden/>
    <w:unhideWhenUsed/>
    <w:qFormat/>
    <w:uiPriority w:val="99"/>
    <w:pPr>
      <w:tabs>
        <w:tab w:val="center" w:pos="4153"/>
        <w:tab w:val="right" w:pos="8306"/>
      </w:tabs>
      <w:snapToGrid w:val="0"/>
      <w:jc w:val="left"/>
    </w:pPr>
    <w:rPr>
      <w:sz w:val="18"/>
      <w:szCs w:val="18"/>
    </w:rPr>
  </w:style>
  <w:style w:type="paragraph" w:styleId="11">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spacing w:before="360"/>
    </w:pPr>
    <w:rPr>
      <w:rFonts w:ascii="Arial" w:hAnsi="Arial" w:cs="Arial"/>
      <w:b/>
      <w:bCs/>
      <w:caps/>
      <w:szCs w:val="24"/>
    </w:rPr>
  </w:style>
  <w:style w:type="paragraph" w:styleId="13">
    <w:name w:val="Title"/>
    <w:basedOn w:val="1"/>
    <w:next w:val="1"/>
    <w:link w:val="24"/>
    <w:qFormat/>
    <w:uiPriority w:val="10"/>
    <w:pPr>
      <w:adjustRightInd w:val="0"/>
      <w:spacing w:before="240" w:after="60" w:line="360" w:lineRule="atLeast"/>
      <w:jc w:val="center"/>
      <w:outlineLvl w:val="0"/>
    </w:pPr>
    <w:rPr>
      <w:rFonts w:ascii="Cambria" w:hAnsi="Cambria" w:eastAsia="宋体" w:cs="Times New Roman"/>
      <w:b/>
      <w:bCs/>
      <w:kern w:val="0"/>
      <w:sz w:val="32"/>
      <w:szCs w:val="32"/>
    </w:rPr>
  </w:style>
  <w:style w:type="character" w:styleId="16">
    <w:name w:val="Hyperlink"/>
    <w:unhideWhenUsed/>
    <w:qFormat/>
    <w:uiPriority w:val="99"/>
    <w:rPr>
      <w:color w:val="0000FF"/>
      <w:u w:val="single"/>
    </w:rPr>
  </w:style>
  <w:style w:type="character" w:customStyle="1" w:styleId="17">
    <w:name w:val="页眉 Char"/>
    <w:basedOn w:val="15"/>
    <w:link w:val="11"/>
    <w:semiHidden/>
    <w:qFormat/>
    <w:uiPriority w:val="99"/>
    <w:rPr>
      <w:sz w:val="18"/>
      <w:szCs w:val="18"/>
    </w:rPr>
  </w:style>
  <w:style w:type="character" w:customStyle="1" w:styleId="18">
    <w:name w:val="页脚 Char"/>
    <w:basedOn w:val="15"/>
    <w:link w:val="10"/>
    <w:semiHidden/>
    <w:qFormat/>
    <w:uiPriority w:val="99"/>
    <w:rPr>
      <w:sz w:val="18"/>
      <w:szCs w:val="18"/>
    </w:rPr>
  </w:style>
  <w:style w:type="character" w:customStyle="1" w:styleId="19">
    <w:name w:val="标题 1 Char"/>
    <w:basedOn w:val="15"/>
    <w:link w:val="2"/>
    <w:qFormat/>
    <w:uiPriority w:val="0"/>
    <w:rPr>
      <w:rFonts w:ascii="Times New Roman" w:hAnsi="Times New Roman" w:eastAsia="宋体" w:cs="Times New Roman"/>
      <w:b/>
      <w:bCs/>
      <w:kern w:val="44"/>
      <w:sz w:val="44"/>
      <w:szCs w:val="44"/>
    </w:rPr>
  </w:style>
  <w:style w:type="character" w:customStyle="1" w:styleId="20">
    <w:name w:val="标题 4 Char"/>
    <w:basedOn w:val="15"/>
    <w:link w:val="4"/>
    <w:qFormat/>
    <w:uiPriority w:val="9"/>
    <w:rPr>
      <w:rFonts w:ascii="宋体" w:hAnsi="Times New Roman" w:eastAsia="宋体" w:cs="宋体"/>
      <w:kern w:val="0"/>
      <w:sz w:val="24"/>
      <w:szCs w:val="20"/>
    </w:rPr>
  </w:style>
  <w:style w:type="character" w:customStyle="1" w:styleId="21">
    <w:name w:val="正文文本 Char"/>
    <w:basedOn w:val="15"/>
    <w:link w:val="7"/>
    <w:semiHidden/>
    <w:qFormat/>
    <w:uiPriority w:val="99"/>
  </w:style>
  <w:style w:type="character" w:customStyle="1" w:styleId="22">
    <w:name w:val="正文文本 Char1"/>
    <w:link w:val="7"/>
    <w:qFormat/>
    <w:uiPriority w:val="1"/>
    <w:rPr>
      <w:rFonts w:ascii="Times New Roman" w:hAnsi="Times New Roman" w:eastAsia="宋体" w:cs="Times New Roman"/>
      <w:szCs w:val="20"/>
    </w:rPr>
  </w:style>
  <w:style w:type="character" w:customStyle="1" w:styleId="23">
    <w:name w:val="正文缩进 Char1"/>
    <w:link w:val="5"/>
    <w:semiHidden/>
    <w:qFormat/>
    <w:locked/>
    <w:uiPriority w:val="0"/>
  </w:style>
  <w:style w:type="character" w:customStyle="1" w:styleId="24">
    <w:name w:val="标题 Char"/>
    <w:basedOn w:val="15"/>
    <w:link w:val="13"/>
    <w:qFormat/>
    <w:uiPriority w:val="10"/>
    <w:rPr>
      <w:rFonts w:ascii="Cambria" w:hAnsi="Cambria" w:eastAsia="宋体" w:cs="Times New Roman"/>
      <w:b/>
      <w:bCs/>
      <w:kern w:val="0"/>
      <w:sz w:val="32"/>
      <w:szCs w:val="32"/>
    </w:rPr>
  </w:style>
  <w:style w:type="character" w:customStyle="1" w:styleId="25">
    <w:name w:val="正文文本缩进 2 Char"/>
    <w:basedOn w:val="15"/>
    <w:link w:val="9"/>
    <w:semiHidden/>
    <w:qFormat/>
    <w:uiPriority w:val="99"/>
    <w:rPr>
      <w:rFonts w:ascii="Times New Roman" w:hAnsi="Times New Roman" w:eastAsia="宋体" w:cs="Times New Roman"/>
      <w:szCs w:val="20"/>
    </w:rPr>
  </w:style>
  <w:style w:type="paragraph" w:styleId="26">
    <w:name w:val="List Paragraph"/>
    <w:basedOn w:val="1"/>
    <w:qFormat/>
    <w:uiPriority w:val="99"/>
    <w:pPr>
      <w:adjustRightInd w:val="0"/>
      <w:spacing w:line="360" w:lineRule="atLeast"/>
      <w:ind w:firstLine="420" w:firstLineChars="200"/>
      <w:jc w:val="left"/>
    </w:pPr>
    <w:rPr>
      <w:rFonts w:ascii="Times New Roman" w:hAnsi="Times New Roman" w:eastAsia="宋体" w:cs="Times New Roman"/>
      <w:kern w:val="0"/>
      <w:sz w:val="24"/>
      <w:szCs w:val="20"/>
    </w:rPr>
  </w:style>
  <w:style w:type="character" w:customStyle="1" w:styleId="27">
    <w:name w:val="正文1 Char Char"/>
    <w:link w:val="28"/>
    <w:qFormat/>
    <w:locked/>
    <w:uiPriority w:val="0"/>
    <w:rPr>
      <w:rFonts w:ascii="宋体" w:hAnsi="宋体"/>
      <w:sz w:val="24"/>
    </w:rPr>
  </w:style>
  <w:style w:type="paragraph" w:customStyle="1" w:styleId="28">
    <w:name w:val="正文1"/>
    <w:basedOn w:val="1"/>
    <w:link w:val="27"/>
    <w:qFormat/>
    <w:uiPriority w:val="0"/>
    <w:pPr>
      <w:adjustRightInd w:val="0"/>
      <w:spacing w:line="360" w:lineRule="atLeast"/>
      <w:jc w:val="left"/>
    </w:pPr>
    <w:rPr>
      <w:rFonts w:ascii="宋体" w:hAnsi="宋体"/>
      <w:sz w:val="24"/>
    </w:rPr>
  </w:style>
  <w:style w:type="paragraph" w:customStyle="1" w:styleId="29">
    <w:name w:val="1级标题"/>
    <w:basedOn w:val="2"/>
    <w:next w:val="1"/>
    <w:qFormat/>
    <w:uiPriority w:val="0"/>
    <w:pPr>
      <w:keepNext w:val="0"/>
      <w:keepLines w:val="0"/>
      <w:widowControl/>
      <w:numPr>
        <w:ilvl w:val="0"/>
        <w:numId w:val="1"/>
      </w:numPr>
      <w:snapToGrid w:val="0"/>
      <w:spacing w:before="120" w:after="120" w:line="240" w:lineRule="auto"/>
      <w:jc w:val="left"/>
    </w:pPr>
    <w:rPr>
      <w:rFonts w:ascii="Arial" w:hAnsi="Arial"/>
      <w:sz w:val="30"/>
    </w:rPr>
  </w:style>
  <w:style w:type="paragraph" w:customStyle="1" w:styleId="30">
    <w:name w:val="2级标题"/>
    <w:basedOn w:val="3"/>
    <w:next w:val="1"/>
    <w:qFormat/>
    <w:uiPriority w:val="0"/>
    <w:pPr>
      <w:keepNext w:val="0"/>
      <w:keepLines w:val="0"/>
      <w:numPr>
        <w:ilvl w:val="1"/>
        <w:numId w:val="1"/>
      </w:numPr>
      <w:tabs>
        <w:tab w:val="left" w:pos="360"/>
      </w:tabs>
      <w:adjustRightInd w:val="0"/>
      <w:snapToGrid/>
      <w:spacing w:before="0" w:after="0" w:line="360" w:lineRule="auto"/>
      <w:ind w:left="0" w:firstLine="0"/>
    </w:pPr>
    <w:rPr>
      <w:rFonts w:ascii="Arial" w:hAnsi="Arial" w:eastAsia="宋体" w:cs="Arial"/>
      <w:sz w:val="24"/>
      <w:szCs w:val="24"/>
    </w:rPr>
  </w:style>
  <w:style w:type="paragraph" w:customStyle="1" w:styleId="31">
    <w:name w:val="3级标题"/>
    <w:basedOn w:val="1"/>
    <w:qFormat/>
    <w:uiPriority w:val="0"/>
    <w:pPr>
      <w:numPr>
        <w:ilvl w:val="2"/>
        <w:numId w:val="1"/>
      </w:numPr>
      <w:adjustRightInd w:val="0"/>
      <w:spacing w:line="360" w:lineRule="atLeast"/>
      <w:jc w:val="left"/>
    </w:pPr>
    <w:rPr>
      <w:rFonts w:ascii="Times New Roman" w:hAnsi="Times New Roman" w:eastAsia="宋体" w:cs="Times New Roman"/>
      <w:kern w:val="0"/>
      <w:sz w:val="24"/>
      <w:szCs w:val="20"/>
    </w:rPr>
  </w:style>
  <w:style w:type="character" w:customStyle="1" w:styleId="32">
    <w:name w:val="样式4 Char"/>
    <w:link w:val="33"/>
    <w:qFormat/>
    <w:locked/>
    <w:uiPriority w:val="0"/>
    <w:rPr>
      <w:rFonts w:ascii="宋体" w:hAnsi="宋体" w:cs="宋体"/>
      <w:b/>
      <w:bCs/>
      <w:kern w:val="44"/>
      <w:sz w:val="32"/>
      <w:szCs w:val="44"/>
    </w:rPr>
  </w:style>
  <w:style w:type="paragraph" w:customStyle="1" w:styleId="33">
    <w:name w:val="样式4"/>
    <w:basedOn w:val="2"/>
    <w:link w:val="32"/>
    <w:qFormat/>
    <w:uiPriority w:val="0"/>
    <w:pPr>
      <w:spacing w:line="360" w:lineRule="auto"/>
    </w:pPr>
    <w:rPr>
      <w:rFonts w:ascii="宋体" w:hAnsi="宋体" w:cs="宋体" w:eastAsiaTheme="minorEastAsia"/>
      <w:sz w:val="32"/>
    </w:rPr>
  </w:style>
  <w:style w:type="paragraph" w:customStyle="1" w:styleId="34">
    <w:name w:val="正文－3"/>
    <w:basedOn w:val="1"/>
    <w:qFormat/>
    <w:uiPriority w:val="0"/>
    <w:pPr>
      <w:adjustRightInd w:val="0"/>
      <w:spacing w:line="360" w:lineRule="auto"/>
      <w:ind w:firstLine="480" w:firstLineChars="200"/>
      <w:jc w:val="left"/>
    </w:pPr>
    <w:rPr>
      <w:rFonts w:ascii="Times New Roman" w:hAnsi="Times New Roman" w:eastAsia="宋体" w:cs="宋体"/>
      <w:kern w:val="0"/>
      <w:sz w:val="24"/>
      <w:szCs w:val="20"/>
    </w:rPr>
  </w:style>
  <w:style w:type="paragraph" w:customStyle="1" w:styleId="35">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character" w:customStyle="1" w:styleId="36">
    <w:name w:val="fontstyle01"/>
    <w:qFormat/>
    <w:uiPriority w:val="0"/>
    <w:rPr>
      <w:rFonts w:hint="eastAsia" w:ascii="宋体" w:hAnsi="宋体" w:eastAsia="宋体"/>
      <w:color w:val="000000"/>
      <w:sz w:val="24"/>
      <w:szCs w:val="24"/>
    </w:rPr>
  </w:style>
  <w:style w:type="character" w:customStyle="1" w:styleId="37">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38">
    <w:name w:val="日期 Char"/>
    <w:basedOn w:val="15"/>
    <w:link w:val="8"/>
    <w:semiHidden/>
    <w:qFormat/>
    <w:uiPriority w:val="99"/>
  </w:style>
  <w:style w:type="paragraph" w:customStyle="1" w:styleId="39">
    <w:name w:val="TOC 标题2"/>
    <w:basedOn w:val="2"/>
    <w:next w:val="1"/>
    <w:semiHidden/>
    <w:unhideWhenUsed/>
    <w:qFormat/>
    <w:uiPriority w:val="39"/>
    <w:pPr>
      <w:adjustRightInd w:val="0"/>
      <w:spacing w:line="578" w:lineRule="atLeast"/>
      <w:jc w:val="left"/>
      <w:textAlignment w:val="baseline"/>
      <w:outlineLvl w:val="9"/>
    </w:pPr>
    <w:rPr>
      <w:rFonts w:ascii="Times New Roman"/>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10271</Words>
  <Characters>10946</Characters>
  <Lines>88</Lines>
  <Paragraphs>24</Paragraphs>
  <TotalTime>0</TotalTime>
  <ScaleCrop>false</ScaleCrop>
  <LinksUpToDate>false</LinksUpToDate>
  <CharactersWithSpaces>11195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2023-03-03T06:20:00Z</dcterms:created>
  <dc:creator>zjth</dc:creator>
  <cp:lastModifiedBy>陈涌顺</cp:lastModifiedBy>
  <cp:lastPrinted>2025-05-12T10:38:00Z</cp:lastPrinted>
  <dcterms:modified xsi:type="dcterms:W3CDTF">2025-07-08T04:24:55Z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eyJoZGlkIjoiN2Y4MTI2M2FmY2YyZDkwYTZlZjEzMGUxMWIwM2Y3MzIiLCJ1c2VySWQiOiIxNjI0Mzk3NTQ3In0=</vt:lpwstr>
  </property>
  <property fmtid="{D5CDD505-2E9C-101B-9397-08002B2CF9AE}" pid="3" name="KSOProductBuildVer">
    <vt:lpwstr>2052-12.1.0.21541</vt:lpwstr>
  </property>
  <property fmtid="{D5CDD505-2E9C-101B-9397-08002B2CF9AE}" pid="4" name="ICV">
    <vt:lpwstr>2ADFEDE3E5454BF3BA0718DD054CDBBC_13</vt:lpwstr>
  </property>
</Properties>
</file>