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auto"/>
          <w:sz w:val="48"/>
          <w:szCs w:val="48"/>
        </w:rPr>
      </w:pPr>
    </w:p>
    <w:p>
      <w:pPr>
        <w:jc w:val="center"/>
        <w:rPr>
          <w:rFonts w:hint="eastAsia" w:ascii="宋体" w:hAnsi="宋体" w:cs="宋体"/>
          <w:b/>
          <w:color w:val="auto"/>
          <w:sz w:val="48"/>
          <w:szCs w:val="48"/>
          <w:u w:val="single"/>
        </w:rPr>
      </w:pPr>
    </w:p>
    <w:p>
      <w:pPr>
        <w:spacing w:line="360" w:lineRule="auto"/>
        <w:jc w:val="center"/>
        <w:rPr>
          <w:rFonts w:hint="default" w:ascii="Times New Roman" w:hAnsi="Times New Roman" w:cs="Times New Roman"/>
          <w:b/>
          <w:bCs/>
          <w:kern w:val="0"/>
          <w:sz w:val="44"/>
          <w:szCs w:val="44"/>
          <w:lang w:val="zh-CN"/>
        </w:rPr>
      </w:pPr>
      <w:r>
        <w:rPr>
          <w:rFonts w:hint="default" w:ascii="宋体" w:hAnsi="宋体" w:eastAsia="宋体" w:cs="宋体"/>
          <w:b/>
          <w:color w:val="auto"/>
          <w:sz w:val="48"/>
          <w:szCs w:val="48"/>
          <w:lang w:val="en-US" w:eastAsia="zh-CN"/>
        </w:rPr>
        <w:t>浙江浙能北仑发电有限公司</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color w:val="auto"/>
          <w:sz w:val="48"/>
          <w:szCs w:val="48"/>
          <w:lang w:val="en-US" w:eastAsia="zh-CN"/>
        </w:rPr>
      </w:pPr>
      <w:r>
        <w:rPr>
          <w:rFonts w:hint="eastAsia" w:ascii="宋体" w:hAnsi="宋体" w:eastAsia="宋体" w:cs="宋体"/>
          <w:b/>
          <w:color w:val="auto"/>
          <w:sz w:val="48"/>
          <w:szCs w:val="48"/>
          <w:lang w:val="en-US" w:eastAsia="zh-CN"/>
        </w:rPr>
        <w:t>4、5</w:t>
      </w:r>
      <w:r>
        <w:rPr>
          <w:rFonts w:hint="eastAsia" w:ascii="宋体" w:hAnsi="宋体" w:eastAsia="宋体" w:cs="宋体"/>
          <w:b/>
          <w:color w:val="auto"/>
          <w:sz w:val="48"/>
          <w:szCs w:val="48"/>
          <w:lang w:val="zh-CN" w:eastAsia="zh-CN"/>
        </w:rPr>
        <w:t>号机组发变组保护及智能变送器改造项目</w:t>
      </w:r>
    </w:p>
    <w:p>
      <w:pPr>
        <w:jc w:val="center"/>
        <w:rPr>
          <w:rFonts w:hint="eastAsia" w:ascii="宋体" w:hAnsi="宋体" w:cs="宋体"/>
          <w:b/>
          <w:color w:val="auto"/>
          <w:sz w:val="48"/>
          <w:szCs w:val="48"/>
        </w:rPr>
      </w:pPr>
    </w:p>
    <w:p>
      <w:pPr>
        <w:jc w:val="center"/>
        <w:rPr>
          <w:rFonts w:hint="eastAsia" w:ascii="宋体" w:hAnsi="宋体" w:cs="宋体"/>
          <w:b/>
          <w:color w:val="auto"/>
          <w:sz w:val="48"/>
          <w:szCs w:val="48"/>
          <w:u w:val="single"/>
        </w:rPr>
      </w:pPr>
    </w:p>
    <w:p>
      <w:pPr>
        <w:jc w:val="center"/>
        <w:rPr>
          <w:rFonts w:hint="eastAsia" w:ascii="宋体" w:hAnsi="宋体" w:cs="宋体"/>
          <w:b/>
          <w:color w:val="auto"/>
          <w:sz w:val="48"/>
          <w:szCs w:val="48"/>
        </w:rPr>
      </w:pPr>
      <w:r>
        <w:rPr>
          <w:rFonts w:hint="eastAsia" w:ascii="宋体" w:hAnsi="宋体" w:cs="宋体"/>
          <w:b/>
          <w:color w:val="auto"/>
          <w:sz w:val="48"/>
          <w:szCs w:val="48"/>
        </w:rPr>
        <w:t>发变组保护设备</w:t>
      </w:r>
      <w:r>
        <w:rPr>
          <w:rFonts w:hint="eastAsia" w:ascii="宋体" w:hAnsi="宋体" w:cs="宋体"/>
          <w:b/>
          <w:color w:val="auto"/>
          <w:sz w:val="48"/>
          <w:szCs w:val="48"/>
          <w:lang w:eastAsia="zh-CN"/>
        </w:rPr>
        <w:t>（</w:t>
      </w:r>
      <w:r>
        <w:rPr>
          <w:rFonts w:hint="eastAsia" w:ascii="宋体" w:hAnsi="宋体" w:cs="宋体"/>
          <w:b/>
          <w:color w:val="auto"/>
          <w:sz w:val="48"/>
          <w:szCs w:val="48"/>
          <w:lang w:val="en-US" w:eastAsia="zh-CN"/>
        </w:rPr>
        <w:t>第一标段</w:t>
      </w:r>
      <w:r>
        <w:rPr>
          <w:rFonts w:hint="eastAsia" w:ascii="宋体" w:hAnsi="宋体" w:cs="宋体"/>
          <w:b/>
          <w:color w:val="auto"/>
          <w:sz w:val="48"/>
          <w:szCs w:val="48"/>
          <w:lang w:eastAsia="zh-CN"/>
        </w:rPr>
        <w:t>）及智能变送器设备</w:t>
      </w:r>
      <w:r>
        <w:rPr>
          <w:rFonts w:hint="eastAsia" w:ascii="宋体" w:hAnsi="宋体" w:cs="宋体"/>
          <w:b/>
          <w:color w:val="auto"/>
          <w:sz w:val="48"/>
          <w:szCs w:val="48"/>
          <w:lang w:val="en-US" w:eastAsia="zh-CN"/>
        </w:rPr>
        <w:t>技术规范书</w:t>
      </w:r>
    </w:p>
    <w:p>
      <w:pPr>
        <w:jc w:val="center"/>
        <w:rPr>
          <w:rFonts w:hint="eastAsia" w:ascii="宋体" w:hAnsi="宋体" w:cs="宋体"/>
          <w:color w:val="auto"/>
          <w:sz w:val="48"/>
          <w:szCs w:val="48"/>
        </w:rPr>
      </w:pPr>
    </w:p>
    <w:p>
      <w:pPr>
        <w:jc w:val="center"/>
        <w:rPr>
          <w:rFonts w:hint="eastAsia" w:ascii="宋体" w:hAnsi="宋体" w:cs="宋体"/>
          <w:color w:val="auto"/>
          <w:sz w:val="48"/>
          <w:szCs w:val="48"/>
        </w:rPr>
      </w:pPr>
    </w:p>
    <w:p>
      <w:pPr>
        <w:jc w:val="center"/>
        <w:rPr>
          <w:rFonts w:hint="eastAsia" w:ascii="宋体" w:hAnsi="宋体" w:cs="宋体"/>
          <w:color w:val="auto"/>
          <w:sz w:val="48"/>
          <w:szCs w:val="48"/>
        </w:rPr>
      </w:pPr>
    </w:p>
    <w:p>
      <w:pPr>
        <w:jc w:val="center"/>
        <w:rPr>
          <w:rFonts w:hint="eastAsia" w:ascii="宋体" w:hAnsi="宋体" w:cs="宋体"/>
          <w:b/>
          <w:color w:val="auto"/>
          <w:sz w:val="48"/>
          <w:szCs w:val="48"/>
        </w:rPr>
      </w:pPr>
      <w:bookmarkStart w:id="0" w:name="_Toc286153212"/>
      <w:bookmarkStart w:id="1" w:name="_Toc215298563"/>
      <w:bookmarkStart w:id="2" w:name="_Toc215298661"/>
      <w:bookmarkStart w:id="3" w:name="_Toc215298515"/>
      <w:r>
        <w:rPr>
          <w:rFonts w:hint="eastAsia" w:ascii="宋体" w:hAnsi="宋体" w:cs="宋体"/>
          <w:b/>
          <w:color w:val="auto"/>
          <w:sz w:val="48"/>
          <w:szCs w:val="48"/>
        </w:rPr>
        <w:t>技术规范</w:t>
      </w:r>
      <w:bookmarkEnd w:id="0"/>
      <w:bookmarkEnd w:id="1"/>
      <w:bookmarkEnd w:id="2"/>
      <w:bookmarkEnd w:id="3"/>
      <w:r>
        <w:rPr>
          <w:rFonts w:hint="eastAsia" w:ascii="宋体" w:hAnsi="宋体" w:cs="宋体"/>
          <w:b/>
          <w:color w:val="auto"/>
          <w:sz w:val="48"/>
          <w:szCs w:val="48"/>
        </w:rPr>
        <w:t>书</w:t>
      </w:r>
    </w:p>
    <w:p>
      <w:pPr>
        <w:widowControl/>
        <w:ind w:firstLine="0" w:firstLineChars="0"/>
        <w:jc w:val="center"/>
        <w:rPr>
          <w:rFonts w:hint="eastAsia" w:ascii="宋体" w:hAnsi="宋体" w:cs="宋体"/>
          <w:b/>
          <w:color w:val="auto"/>
          <w:sz w:val="44"/>
          <w:szCs w:val="44"/>
        </w:rPr>
      </w:pPr>
      <w:r>
        <w:rPr>
          <w:rFonts w:hint="eastAsia" w:ascii="宋体" w:hAnsi="宋体" w:cs="宋体"/>
          <w:color w:val="auto"/>
        </w:rPr>
        <w:br w:type="page"/>
      </w:r>
      <w:r>
        <w:rPr>
          <w:rFonts w:hint="eastAsia" w:ascii="宋体" w:hAnsi="宋体" w:cs="宋体"/>
          <w:b/>
          <w:color w:val="auto"/>
          <w:sz w:val="36"/>
          <w:szCs w:val="36"/>
        </w:rPr>
        <w:t>目录</w:t>
      </w:r>
    </w:p>
    <w:p>
      <w:pPr>
        <w:spacing w:line="360" w:lineRule="auto"/>
        <w:rPr>
          <w:rStyle w:val="20"/>
          <w:rFonts w:hint="eastAsia" w:ascii="宋体" w:hAnsi="宋体" w:cs="宋体"/>
          <w:b/>
          <w:bCs/>
          <w:caps/>
          <w:color w:val="auto"/>
        </w:rPr>
      </w:pP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bCs/>
          <w:color w:val="auto"/>
        </w:rPr>
        <w:fldChar w:fldCharType="begin"/>
      </w:r>
      <w:r>
        <w:rPr>
          <w:rStyle w:val="20"/>
          <w:rFonts w:hint="eastAsia" w:ascii="宋体" w:hAnsi="宋体" w:cs="宋体"/>
          <w:bCs/>
          <w:color w:val="auto"/>
        </w:rPr>
        <w:instrText xml:space="preserve"> TOC \o "1-1" \h \z \u </w:instrText>
      </w:r>
      <w:r>
        <w:rPr>
          <w:rStyle w:val="20"/>
          <w:rFonts w:hint="eastAsia" w:ascii="宋体" w:hAnsi="宋体" w:cs="宋体"/>
          <w:bCs/>
          <w:color w:val="auto"/>
        </w:rPr>
        <w:fldChar w:fldCharType="separate"/>
      </w: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"_Toc526944929"</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 xml:space="preserve">附件1 </w:t>
      </w:r>
      <w:r>
        <w:rPr>
          <w:rStyle w:val="20"/>
          <w:rFonts w:hint="eastAsia" w:ascii="宋体" w:hAnsi="宋体" w:cs="宋体"/>
          <w:color w:val="auto"/>
          <w:sz w:val="24"/>
          <w:szCs w:val="24"/>
          <w:lang w:val="en-US" w:eastAsia="zh-CN"/>
        </w:rPr>
        <w:t xml:space="preserve"> </w:t>
      </w:r>
      <w:r>
        <w:rPr>
          <w:rStyle w:val="20"/>
          <w:rFonts w:hint="eastAsia" w:ascii="宋体" w:hAnsi="宋体" w:cs="宋体"/>
          <w:color w:val="auto"/>
        </w:rPr>
        <w:t>技术规范</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"_Toc526944930"</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附件2  供货范围</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"_Toc526944931"</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附件3  技术资料及交付进度</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"_Toc526944932"</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附件4  设备交货进度</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"_Toc526944933"</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附件5  设备监造、检验和性能验收试验</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"_Toc526944934"</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附件6  技术服务和联络</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"_Toc526944935"</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附件7  分包与外购</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"_Toc526944936"</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附件8  运行维护手册</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"_Toc526944937"</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附件9  大（部）件情况</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"_Toc526944938"</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附件10 技术差异表</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"_Toc526944939"</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附件11 附图</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"_Toc526944940"</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附件12 性能考核条款</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1"/>
          <w:szCs w:val="22"/>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"_Toc526944941"</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附件13 投标人需要说明的其他问题（质量承诺及售后服务承诺等）</w:t>
      </w:r>
      <w:r>
        <w:rPr>
          <w:rStyle w:val="20"/>
          <w:rFonts w:hint="eastAsia" w:ascii="宋体" w:hAnsi="宋体" w:cs="宋体"/>
          <w:color w:val="auto"/>
        </w:rPr>
        <w:fldChar w:fldCharType="end"/>
      </w:r>
    </w:p>
    <w:p>
      <w:pPr>
        <w:widowControl/>
        <w:spacing w:before="0" w:beforeLines="0" w:after="0" w:afterLines="0" w:line="360" w:lineRule="auto"/>
        <w:jc w:val="left"/>
        <w:rPr>
          <w:rFonts w:hint="eastAsia" w:ascii="宋体" w:hAnsi="宋体" w:cs="宋体"/>
          <w:color w:val="auto"/>
          <w:sz w:val="30"/>
          <w:szCs w:val="30"/>
        </w:rPr>
      </w:pPr>
      <w:r>
        <w:rPr>
          <w:rStyle w:val="20"/>
          <w:rFonts w:hint="eastAsia" w:ascii="宋体" w:hAnsi="宋体" w:cs="宋体"/>
          <w:bCs/>
          <w:color w:val="auto"/>
        </w:rPr>
        <w:fldChar w:fldCharType="end"/>
      </w:r>
      <w:r>
        <w:rPr>
          <w:rStyle w:val="20"/>
          <w:rFonts w:hint="eastAsia" w:ascii="宋体" w:hAnsi="宋体" w:cs="宋体"/>
          <w:bCs/>
          <w:color w:val="auto"/>
        </w:rPr>
        <w:br w:type="page"/>
      </w:r>
      <w:bookmarkStart w:id="4" w:name="_Toc526944929"/>
      <w:r>
        <w:rPr>
          <w:rFonts w:hint="eastAsia" w:asciiTheme="majorEastAsia" w:hAnsiTheme="majorEastAsia" w:eastAsiaTheme="majorEastAsia" w:cstheme="majorEastAsia"/>
          <w:b/>
          <w:bCs/>
          <w:color w:val="auto"/>
          <w:sz w:val="30"/>
          <w:szCs w:val="30"/>
        </w:rPr>
        <w:t>附件1 技术规范</w:t>
      </w:r>
      <w:bookmarkEnd w:id="4"/>
    </w:p>
    <w:p>
      <w:pPr>
        <w:pStyle w:val="24"/>
        <w:numPr>
          <w:ilvl w:val="-1"/>
          <w:numId w:val="0"/>
        </w:numPr>
        <w:adjustRightInd/>
        <w:spacing w:before="0" w:beforeLines="0" w:after="0" w:afterLines="0" w:line="360" w:lineRule="auto"/>
        <w:rPr>
          <w:rFonts w:hint="eastAsia" w:ascii="宋体" w:hAnsi="宋体" w:eastAsia="宋体" w:cs="宋体"/>
          <w:b/>
          <w:bCs/>
          <w:color w:val="auto"/>
          <w:sz w:val="28"/>
          <w:szCs w:val="28"/>
        </w:rPr>
      </w:pPr>
      <w:bookmarkStart w:id="5" w:name="_Toc96238072"/>
      <w:bookmarkStart w:id="6" w:name="_Toc170462597"/>
      <w:bookmarkStart w:id="7" w:name="_Toc170270571"/>
      <w:bookmarkStart w:id="8" w:name="_Toc223320089"/>
      <w:bookmarkStart w:id="9" w:name="_Toc536410859"/>
      <w:bookmarkStart w:id="10" w:name="_Toc513261526"/>
      <w:bookmarkStart w:id="11" w:name="_Toc513001933"/>
      <w:bookmarkStart w:id="12" w:name="_Toc501817560"/>
      <w:bookmarkStart w:id="13" w:name="_Toc223835839"/>
      <w:bookmarkStart w:id="14" w:name="_Toc512332294"/>
      <w:bookmarkStart w:id="15" w:name="_Toc529267697"/>
      <w:r>
        <w:rPr>
          <w:rFonts w:hint="eastAsia" w:ascii="宋体" w:hAnsi="宋体" w:eastAsia="宋体" w:cs="宋体"/>
          <w:b/>
          <w:bCs/>
          <w:color w:val="auto"/>
          <w:sz w:val="28"/>
          <w:szCs w:val="28"/>
          <w:lang w:val="en-US" w:eastAsia="zh-CN"/>
        </w:rPr>
        <w:t xml:space="preserve">1 </w:t>
      </w:r>
      <w:r>
        <w:rPr>
          <w:rFonts w:hint="eastAsia" w:ascii="宋体" w:hAnsi="宋体" w:eastAsia="宋体" w:cs="宋体"/>
          <w:b/>
          <w:bCs/>
          <w:color w:val="auto"/>
          <w:sz w:val="28"/>
          <w:szCs w:val="28"/>
        </w:rPr>
        <w:t>总则</w:t>
      </w:r>
      <w:bookmarkEnd w:id="5"/>
      <w:bookmarkEnd w:id="6"/>
      <w:bookmarkEnd w:id="7"/>
    </w:p>
    <w:p>
      <w:pPr>
        <w:pStyle w:val="24"/>
        <w:numPr>
          <w:ilvl w:val="-1"/>
          <w:numId w:val="0"/>
        </w:numPr>
        <w:spacing w:before="0" w:beforeLines="0" w:after="0" w:afterLines="0" w:line="360" w:lineRule="auto"/>
        <w:ind w:left="0" w:firstLine="0" w:firstLineChars="0"/>
        <w:rPr>
          <w:rFonts w:hint="eastAsia" w:ascii="宋体" w:hAnsi="宋体" w:cs="宋体"/>
          <w:b/>
          <w:bCs/>
          <w:color w:val="auto"/>
        </w:rPr>
      </w:pPr>
      <w:r>
        <w:rPr>
          <w:rFonts w:hint="eastAsia" w:ascii="宋体" w:hAnsi="宋体" w:cs="宋体"/>
          <w:b/>
          <w:bCs/>
          <w:color w:val="auto"/>
          <w:sz w:val="24"/>
          <w:szCs w:val="24"/>
          <w:lang w:val="en-US" w:eastAsia="zh-CN"/>
        </w:rPr>
        <w:t xml:space="preserve">1.1 </w:t>
      </w:r>
      <w:r>
        <w:rPr>
          <w:rFonts w:hint="eastAsia" w:ascii="宋体" w:hAnsi="宋体" w:cs="宋体"/>
          <w:b/>
          <w:bCs/>
          <w:color w:val="auto"/>
        </w:rPr>
        <w:t>一般规定</w:t>
      </w:r>
    </w:p>
    <w:p>
      <w:pPr>
        <w:spacing w:line="360" w:lineRule="auto"/>
        <w:rPr>
          <w:rFonts w:hint="eastAsia" w:ascii="宋体" w:hAnsi="宋体" w:cs="宋体"/>
          <w:color w:val="auto"/>
          <w:sz w:val="21"/>
          <w:szCs w:val="21"/>
        </w:rPr>
      </w:pPr>
      <w:r>
        <w:rPr>
          <w:rFonts w:hint="eastAsia" w:ascii="宋体" w:hAnsi="宋体" w:cs="宋体"/>
          <w:color w:val="auto"/>
          <w:sz w:val="21"/>
          <w:szCs w:val="21"/>
        </w:rPr>
        <w:t>1.1.1 本</w:t>
      </w:r>
      <w:r>
        <w:rPr>
          <w:rFonts w:hint="eastAsia" w:ascii="宋体" w:hAnsi="宋体" w:cs="宋体"/>
          <w:color w:val="auto"/>
          <w:sz w:val="21"/>
          <w:szCs w:val="21"/>
          <w:lang w:eastAsia="zh-CN"/>
        </w:rPr>
        <w:t>技术规范书</w:t>
      </w:r>
      <w:r>
        <w:rPr>
          <w:rFonts w:hint="eastAsia" w:ascii="宋体" w:hAnsi="宋体" w:cs="宋体"/>
          <w:color w:val="auto"/>
          <w:sz w:val="21"/>
          <w:szCs w:val="21"/>
        </w:rPr>
        <w:t>适用于</w:t>
      </w:r>
      <w:r>
        <w:rPr>
          <w:rFonts w:hint="eastAsia" w:ascii="宋体" w:hAnsi="宋体" w:cs="宋体"/>
          <w:color w:val="auto"/>
          <w:sz w:val="21"/>
          <w:szCs w:val="21"/>
          <w:u w:val="single"/>
          <w:lang w:eastAsia="zh-CN"/>
        </w:rPr>
        <w:t>浙江浙能北仑发电有限公司</w:t>
      </w:r>
      <w:r>
        <w:rPr>
          <w:rFonts w:hint="eastAsia" w:ascii="宋体" w:hAnsi="宋体" w:cs="宋体"/>
          <w:color w:val="auto"/>
          <w:sz w:val="21"/>
          <w:szCs w:val="21"/>
          <w:u w:val="single"/>
          <w:lang w:val="en-US" w:eastAsia="zh-CN"/>
        </w:rPr>
        <w:t>4、5号机组发变组保护及智能变送器改造</w:t>
      </w:r>
      <w:r>
        <w:rPr>
          <w:rFonts w:hint="eastAsia" w:ascii="宋体" w:hAnsi="宋体" w:cs="宋体"/>
          <w:color w:val="auto"/>
          <w:sz w:val="21"/>
          <w:szCs w:val="21"/>
        </w:rPr>
        <w:t>工程（</w:t>
      </w:r>
      <w:r>
        <w:rPr>
          <w:rFonts w:hint="eastAsia" w:ascii="宋体" w:hAnsi="宋体" w:cs="宋体"/>
          <w:color w:val="auto"/>
          <w:sz w:val="21"/>
          <w:szCs w:val="21"/>
          <w:u w:val="single"/>
          <w:lang w:eastAsia="zh-CN"/>
        </w:rPr>
        <w:t>6</w:t>
      </w:r>
      <w:r>
        <w:rPr>
          <w:rFonts w:hint="eastAsia" w:ascii="宋体" w:hAnsi="宋体" w:cs="宋体"/>
          <w:color w:val="auto"/>
          <w:sz w:val="21"/>
          <w:szCs w:val="21"/>
          <w:u w:val="single"/>
          <w:lang w:val="en-US" w:eastAsia="zh-CN"/>
        </w:rPr>
        <w:t>60</w:t>
      </w:r>
      <w:r>
        <w:rPr>
          <w:rFonts w:hint="eastAsia" w:ascii="宋体" w:hAnsi="宋体" w:cs="宋体"/>
          <w:color w:val="auto"/>
          <w:sz w:val="21"/>
          <w:szCs w:val="21"/>
          <w:u w:val="single"/>
        </w:rPr>
        <w:t>MW</w:t>
      </w:r>
      <w:r>
        <w:rPr>
          <w:rFonts w:hint="eastAsia" w:ascii="宋体" w:hAnsi="宋体" w:cs="宋体"/>
          <w:color w:val="auto"/>
          <w:sz w:val="21"/>
          <w:szCs w:val="21"/>
        </w:rPr>
        <w:t>）等级机组的发电机、励磁变、主变压器以及高压厂变微机型继电保护装置</w:t>
      </w:r>
      <w:r>
        <w:rPr>
          <w:rFonts w:hint="eastAsia" w:ascii="宋体" w:hAnsi="宋体" w:cs="宋体"/>
          <w:color w:val="auto"/>
          <w:sz w:val="21"/>
          <w:szCs w:val="21"/>
          <w:lang w:eastAsia="zh-CN"/>
        </w:rPr>
        <w:t>及智能变送器</w:t>
      </w:r>
      <w:r>
        <w:rPr>
          <w:rFonts w:hint="eastAsia" w:ascii="宋体" w:hAnsi="宋体" w:cs="宋体"/>
          <w:color w:val="auto"/>
          <w:sz w:val="21"/>
          <w:szCs w:val="21"/>
        </w:rPr>
        <w:t>，它提出了装置的功能设计、结构、性能、制造、安装和试验等方面的技术要求，以及供货现场技术服务。投标人投标时，应按项目分别详细说明技术方案并分别列出全部技术数据。</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1.1.2</w:t>
      </w:r>
      <w:r>
        <w:rPr>
          <w:rFonts w:hint="eastAsia" w:ascii="宋体" w:hAnsi="宋体" w:cs="宋体"/>
          <w:color w:val="auto"/>
          <w:spacing w:val="5"/>
          <w:sz w:val="21"/>
          <w:szCs w:val="21"/>
          <w:lang w:val="en-US" w:eastAsia="zh-CN"/>
        </w:rPr>
        <w:t xml:space="preserve"> </w:t>
      </w:r>
      <w:r>
        <w:rPr>
          <w:rFonts w:hint="eastAsia" w:ascii="宋体" w:hAnsi="宋体" w:cs="宋体"/>
          <w:color w:val="auto"/>
          <w:spacing w:val="5"/>
          <w:sz w:val="21"/>
          <w:szCs w:val="21"/>
        </w:rPr>
        <w:t>招标人在本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中提出了最低限度的技术要求，并未规定所有的技术要求和适用的标准，投标人应提供满足本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和所列标准要求的高质量产品及其相应服务。并必须同时满足国家有关安全、环保等强制性标准要求。</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1.1.3</w:t>
      </w:r>
      <w:r>
        <w:rPr>
          <w:rFonts w:hint="eastAsia" w:ascii="宋体" w:hAnsi="宋体" w:cs="宋体"/>
          <w:color w:val="auto"/>
          <w:spacing w:val="5"/>
          <w:sz w:val="21"/>
          <w:szCs w:val="21"/>
          <w:lang w:eastAsia="zh-CN"/>
        </w:rPr>
        <w:t xml:space="preserve"> </w:t>
      </w:r>
      <w:r>
        <w:rPr>
          <w:rFonts w:hint="eastAsia" w:ascii="宋体" w:hAnsi="宋体" w:cs="宋体"/>
          <w:color w:val="auto"/>
          <w:spacing w:val="5"/>
          <w:sz w:val="21"/>
          <w:szCs w:val="21"/>
        </w:rPr>
        <w:t>投标人应在投标文件中，对于</w:t>
      </w:r>
      <w:r>
        <w:rPr>
          <w:rFonts w:hint="eastAsia" w:ascii="宋体" w:hAnsi="宋体" w:cs="宋体"/>
          <w:color w:val="auto"/>
          <w:spacing w:val="5"/>
          <w:sz w:val="21"/>
          <w:szCs w:val="21"/>
          <w:lang w:eastAsia="zh-CN"/>
        </w:rPr>
        <w:t>本技术规范书</w:t>
      </w:r>
      <w:r>
        <w:rPr>
          <w:rFonts w:hint="eastAsia" w:ascii="宋体" w:hAnsi="宋体" w:cs="宋体"/>
          <w:color w:val="auto"/>
          <w:spacing w:val="5"/>
          <w:sz w:val="21"/>
          <w:szCs w:val="21"/>
        </w:rPr>
        <w:t>进行逐段应答，表明是否接受和同意本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的要求，如：接受和同意</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某条款的要求，则在该条款后注明：“理解并承诺完全响应上述条款的要求”；若针对某条款，投标人有特别的建议、方案、技术特点或差异，请在该条款下加以描述和说明，并在“技术差异表”中列出。</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1.1.4</w:t>
      </w:r>
      <w:r>
        <w:rPr>
          <w:rFonts w:hint="eastAsia" w:ascii="宋体" w:hAnsi="宋体" w:cs="宋体"/>
          <w:color w:val="auto"/>
          <w:spacing w:val="5"/>
          <w:sz w:val="21"/>
          <w:szCs w:val="21"/>
          <w:lang w:val="en-US" w:eastAsia="zh-CN"/>
        </w:rPr>
        <w:t xml:space="preserve"> </w:t>
      </w:r>
      <w:r>
        <w:rPr>
          <w:rFonts w:hint="eastAsia" w:ascii="宋体" w:hAnsi="宋体" w:cs="宋体"/>
          <w:color w:val="auto"/>
          <w:spacing w:val="5"/>
          <w:sz w:val="21"/>
          <w:szCs w:val="21"/>
        </w:rPr>
        <w:t>投标人如对本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有偏差(无论多少或微小)都必须清楚地表示在本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的附件“技术差异表”中。否则招标人将认为投标人完全接受和同意本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的要求。</w:t>
      </w:r>
    </w:p>
    <w:p>
      <w:pPr>
        <w:spacing w:line="360" w:lineRule="auto"/>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lang w:val="en-US" w:eastAsia="zh-CN"/>
        </w:rPr>
        <w:t>1.1.5</w:t>
      </w:r>
      <w:r>
        <w:rPr>
          <w:rFonts w:hint="eastAsia" w:ascii="宋体" w:hAnsi="宋体" w:eastAsia="宋体" w:cs="宋体"/>
          <w:color w:val="auto"/>
          <w:spacing w:val="5"/>
          <w:sz w:val="21"/>
          <w:szCs w:val="21"/>
        </w:rPr>
        <w:t>本技术部分如果引用了某一生产商及其专利、品牌的技术标准以便清楚地说明拟采购项目的技术标准时，则报价人提供的标的物采用的技术标准</w:t>
      </w:r>
      <w:r>
        <w:rPr>
          <w:rFonts w:hint="eastAsia" w:ascii="宋体" w:hAnsi="宋体" w:eastAsia="宋体" w:cs="宋体"/>
          <w:color w:val="auto"/>
          <w:spacing w:val="5"/>
          <w:sz w:val="21"/>
          <w:szCs w:val="21"/>
          <w:lang w:val="en-US" w:eastAsia="zh-CN"/>
        </w:rPr>
        <w:t>为</w:t>
      </w:r>
      <w:r>
        <w:rPr>
          <w:rFonts w:hint="eastAsia" w:ascii="宋体" w:hAnsi="宋体" w:eastAsia="宋体" w:cs="宋体"/>
          <w:color w:val="auto"/>
          <w:spacing w:val="5"/>
          <w:sz w:val="21"/>
          <w:szCs w:val="21"/>
        </w:rPr>
        <w:t>至少“相当于”该引用的技术标准。</w:t>
      </w:r>
    </w:p>
    <w:p>
      <w:pPr>
        <w:spacing w:line="360" w:lineRule="auto"/>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1.1.6</w:t>
      </w:r>
      <w:r>
        <w:rPr>
          <w:rFonts w:hint="eastAsia" w:ascii="宋体" w:hAnsi="宋体" w:eastAsia="宋体" w:cs="宋体"/>
          <w:color w:val="auto"/>
          <w:spacing w:val="5"/>
          <w:sz w:val="21"/>
          <w:szCs w:val="21"/>
        </w:rPr>
        <w:t>除采购文件另有规定外，列入本技术部分的所有工作内容均应包含在本项目报价中。</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w:t>
      </w:r>
      <w:r>
        <w:rPr>
          <w:rFonts w:hint="eastAsia" w:ascii="宋体" w:hAnsi="宋体" w:cs="宋体"/>
          <w:color w:val="auto"/>
          <w:spacing w:val="5"/>
          <w:sz w:val="21"/>
          <w:szCs w:val="21"/>
          <w:lang w:val="en-US" w:eastAsia="zh-CN"/>
        </w:rPr>
        <w:t xml:space="preserve">7 </w:t>
      </w:r>
      <w:r>
        <w:rPr>
          <w:rFonts w:hint="eastAsia" w:ascii="宋体" w:hAnsi="宋体" w:cs="宋体"/>
          <w:color w:val="auto"/>
          <w:spacing w:val="5"/>
          <w:sz w:val="21"/>
          <w:szCs w:val="21"/>
        </w:rPr>
        <w:t>投标人应执行本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所列标准，有不一致时，按较高标准执行。投标人在设备设计和制造中所涉及的各项规程、规范和标准必须遵循现行最新标准版本。若投标人所提供的投标文件前后有不一致的地方，应以更有利于设备安装运行、工程质量为原则，由招标人确定。</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w:t>
      </w:r>
      <w:r>
        <w:rPr>
          <w:rFonts w:hint="eastAsia" w:ascii="宋体" w:hAnsi="宋体" w:cs="宋体"/>
          <w:color w:val="auto"/>
          <w:spacing w:val="5"/>
          <w:sz w:val="21"/>
          <w:szCs w:val="21"/>
          <w:lang w:val="en-US" w:eastAsia="zh-CN"/>
        </w:rPr>
        <w:t xml:space="preserve">8 </w:t>
      </w:r>
      <w:r>
        <w:rPr>
          <w:rFonts w:hint="eastAsia" w:ascii="宋体" w:hAnsi="宋体" w:cs="宋体"/>
          <w:color w:val="auto"/>
          <w:spacing w:val="5"/>
          <w:sz w:val="21"/>
          <w:szCs w:val="21"/>
        </w:rPr>
        <w:t>在合同签定后，招标人有权因规范、标准、规程发生变化而提出一些补充要求，在设备投料生产前，投标人应在设计上给以修改。</w:t>
      </w:r>
    </w:p>
    <w:p>
      <w:pPr>
        <w:spacing w:line="360" w:lineRule="auto"/>
        <w:rPr>
          <w:rFonts w:hint="eastAsia" w:ascii="宋体" w:hAnsi="宋体" w:cs="宋体"/>
          <w:bCs/>
          <w:color w:val="auto"/>
          <w:sz w:val="21"/>
          <w:szCs w:val="21"/>
        </w:rPr>
      </w:pPr>
      <w:r>
        <w:rPr>
          <w:rFonts w:hint="eastAsia" w:ascii="宋体" w:hAnsi="宋体" w:cs="宋体"/>
          <w:color w:val="auto"/>
          <w:spacing w:val="5"/>
          <w:sz w:val="21"/>
          <w:szCs w:val="21"/>
        </w:rPr>
        <w:t>1.1.</w:t>
      </w:r>
      <w:r>
        <w:rPr>
          <w:rFonts w:hint="eastAsia" w:ascii="宋体" w:hAnsi="宋体" w:cs="宋体"/>
          <w:color w:val="auto"/>
          <w:spacing w:val="5"/>
          <w:sz w:val="21"/>
          <w:szCs w:val="21"/>
          <w:lang w:val="en-US" w:eastAsia="zh-CN"/>
        </w:rPr>
        <w:t xml:space="preserve">9 </w:t>
      </w:r>
      <w:r>
        <w:rPr>
          <w:rFonts w:hint="eastAsia" w:ascii="宋体" w:hAnsi="宋体" w:cs="宋体"/>
          <w:bCs/>
          <w:color w:val="auto"/>
          <w:sz w:val="21"/>
          <w:szCs w:val="21"/>
        </w:rPr>
        <w:t>设备采用的专利涉及到的全部费用均被认为已包含在设备报价中，投标人应保证招标人不承担有关设备专利的一切责任。</w:t>
      </w:r>
    </w:p>
    <w:p>
      <w:pPr>
        <w:spacing w:line="360" w:lineRule="auto"/>
        <w:rPr>
          <w:rFonts w:hint="eastAsia" w:ascii="宋体" w:hAnsi="宋体" w:cs="宋体"/>
          <w:color w:val="auto"/>
          <w:sz w:val="21"/>
          <w:szCs w:val="21"/>
        </w:rPr>
      </w:pPr>
      <w:r>
        <w:rPr>
          <w:rFonts w:hint="eastAsia" w:ascii="宋体" w:hAnsi="宋体" w:cs="宋体"/>
          <w:color w:val="auto"/>
          <w:spacing w:val="5"/>
          <w:sz w:val="21"/>
          <w:szCs w:val="21"/>
        </w:rPr>
        <w:t>1.1.</w:t>
      </w:r>
      <w:r>
        <w:rPr>
          <w:rFonts w:hint="eastAsia" w:ascii="宋体" w:hAnsi="宋体" w:cs="宋体"/>
          <w:color w:val="auto"/>
          <w:spacing w:val="5"/>
          <w:sz w:val="21"/>
          <w:szCs w:val="21"/>
          <w:lang w:val="en-US" w:eastAsia="zh-CN"/>
        </w:rPr>
        <w:t>10 本技术</w:t>
      </w:r>
      <w:r>
        <w:rPr>
          <w:rFonts w:hint="eastAsia" w:ascii="宋体" w:hAnsi="宋体" w:cs="宋体"/>
          <w:color w:val="auto"/>
          <w:sz w:val="21"/>
          <w:szCs w:val="21"/>
        </w:rPr>
        <w:t>规范书经招投标双方确认后，作为合同的附件，与合同正文具有同等的法律效力。</w:t>
      </w:r>
      <w:r>
        <w:rPr>
          <w:rFonts w:hint="eastAsia" w:ascii="宋体" w:hAnsi="宋体" w:cs="宋体"/>
          <w:color w:val="auto"/>
          <w:sz w:val="21"/>
          <w:szCs w:val="21"/>
          <w:lang w:eastAsia="zh-CN"/>
        </w:rPr>
        <w:t>投标人</w:t>
      </w:r>
      <w:r>
        <w:rPr>
          <w:rFonts w:hint="eastAsia" w:ascii="宋体" w:hAnsi="宋体" w:cs="宋体"/>
          <w:color w:val="auto"/>
          <w:sz w:val="21"/>
          <w:szCs w:val="21"/>
        </w:rPr>
        <w:t>中标后，投标文件经技术澄清后，承诺内容和技术协议具有同等约束力，与订货合同正文具有同等效力。</w:t>
      </w:r>
    </w:p>
    <w:p>
      <w:pPr>
        <w:tabs>
          <w:tab w:val="left" w:pos="2862"/>
        </w:tabs>
        <w:spacing w:line="360" w:lineRule="auto"/>
        <w:rPr>
          <w:rFonts w:hint="eastAsia" w:ascii="宋体" w:hAnsi="宋体" w:cs="宋体"/>
          <w:b/>
          <w:color w:val="auto"/>
          <w:sz w:val="21"/>
          <w:szCs w:val="21"/>
        </w:rPr>
      </w:pPr>
      <w:r>
        <w:rPr>
          <w:rFonts w:hint="eastAsia" w:ascii="宋体" w:hAnsi="宋体" w:cs="宋体"/>
          <w:b/>
          <w:color w:val="auto"/>
          <w:spacing w:val="5"/>
          <w:sz w:val="21"/>
          <w:szCs w:val="21"/>
        </w:rPr>
        <w:t>1.1.</w:t>
      </w:r>
      <w:r>
        <w:rPr>
          <w:rFonts w:hint="eastAsia" w:ascii="宋体" w:hAnsi="宋体" w:cs="宋体"/>
          <w:b/>
          <w:color w:val="auto"/>
          <w:spacing w:val="5"/>
          <w:sz w:val="21"/>
          <w:szCs w:val="21"/>
          <w:lang w:val="en-US" w:eastAsia="zh-CN"/>
        </w:rPr>
        <w:t xml:space="preserve">11 </w:t>
      </w:r>
      <w:r>
        <w:rPr>
          <w:rFonts w:hint="eastAsia" w:ascii="宋体" w:hAnsi="宋体" w:cs="宋体"/>
          <w:b/>
          <w:color w:val="auto"/>
          <w:sz w:val="21"/>
          <w:szCs w:val="21"/>
        </w:rPr>
        <w:t>投标人提供的投标产品应在国家或电力工业检验检测机构通过型式试验并提供相应的报告。</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1.1.1</w:t>
      </w:r>
      <w:r>
        <w:rPr>
          <w:rFonts w:hint="eastAsia" w:ascii="宋体" w:hAnsi="宋体" w:cs="宋体"/>
          <w:color w:val="auto"/>
          <w:spacing w:val="5"/>
          <w:sz w:val="21"/>
          <w:szCs w:val="21"/>
          <w:lang w:val="en-US" w:eastAsia="zh-CN"/>
        </w:rPr>
        <w:t>2</w:t>
      </w:r>
      <w:r>
        <w:rPr>
          <w:rFonts w:hint="eastAsia" w:ascii="宋体" w:hAnsi="宋体" w:cs="宋体"/>
          <w:color w:val="auto"/>
          <w:sz w:val="21"/>
          <w:szCs w:val="21"/>
        </w:rPr>
        <w:t>投标人应对所供设备进行编码，按照GB/T 50549《电厂标识系统编码标准》执行，满足招标人编码原则。</w:t>
      </w:r>
      <w:r>
        <w:rPr>
          <w:rFonts w:hint="eastAsia" w:ascii="宋体" w:hAnsi="宋体" w:cs="宋体"/>
          <w:color w:val="auto"/>
          <w:spacing w:val="5"/>
          <w:sz w:val="21"/>
          <w:szCs w:val="21"/>
        </w:rPr>
        <w:t>编码范围包括投标人所供系统、设备、部件和构筑物。</w:t>
      </w:r>
      <w:r>
        <w:rPr>
          <w:rFonts w:hint="eastAsia" w:ascii="宋体" w:hAnsi="宋体" w:cs="宋体"/>
          <w:color w:val="auto"/>
          <w:sz w:val="21"/>
          <w:szCs w:val="21"/>
        </w:rPr>
        <w:t>中标后，招标人将向投标人提供电厂标识系统的编码原则和要求，投标人应据此对其所提供的系统、设备、部件进行编码，并编制在提供的技术文件(包括图纸及说明书)中</w:t>
      </w:r>
      <w:r>
        <w:rPr>
          <w:rFonts w:hint="eastAsia" w:ascii="宋体" w:hAnsi="宋体" w:cs="宋体"/>
          <w:color w:val="auto"/>
          <w:spacing w:val="5"/>
          <w:sz w:val="21"/>
          <w:szCs w:val="21"/>
        </w:rPr>
        <w:t>。</w:t>
      </w:r>
    </w:p>
    <w:p>
      <w:pPr>
        <w:spacing w:line="360" w:lineRule="auto"/>
        <w:rPr>
          <w:rFonts w:hint="eastAsia" w:ascii="宋体" w:hAnsi="宋体" w:cs="宋体"/>
          <w:b/>
          <w:bCs/>
          <w:color w:val="auto"/>
          <w:spacing w:val="5"/>
          <w:sz w:val="21"/>
          <w:szCs w:val="21"/>
        </w:rPr>
      </w:pPr>
      <w:r>
        <w:rPr>
          <w:rFonts w:hint="eastAsia" w:ascii="宋体" w:hAnsi="宋体" w:cs="宋体"/>
          <w:b/>
          <w:bCs/>
          <w:color w:val="auto"/>
          <w:spacing w:val="5"/>
          <w:sz w:val="21"/>
          <w:szCs w:val="21"/>
        </w:rPr>
        <w:t>1.1.1</w:t>
      </w:r>
      <w:r>
        <w:rPr>
          <w:rFonts w:hint="eastAsia" w:ascii="宋体" w:hAnsi="宋体" w:cs="宋体"/>
          <w:b/>
          <w:bCs/>
          <w:color w:val="auto"/>
          <w:spacing w:val="5"/>
          <w:sz w:val="21"/>
          <w:szCs w:val="21"/>
          <w:lang w:val="en-US" w:eastAsia="zh-CN"/>
        </w:rPr>
        <w:t>3</w:t>
      </w:r>
      <w:r>
        <w:rPr>
          <w:rFonts w:hint="eastAsia" w:ascii="宋体" w:hAnsi="宋体" w:cs="宋体"/>
          <w:b/>
          <w:bCs/>
          <w:color w:val="auto"/>
          <w:spacing w:val="5"/>
          <w:sz w:val="21"/>
          <w:szCs w:val="21"/>
        </w:rPr>
        <w:t>应满足</w:t>
      </w:r>
      <w:r>
        <w:rPr>
          <w:rFonts w:hint="eastAsia" w:ascii="宋体" w:hAnsi="宋体" w:cs="宋体"/>
          <w:b/>
          <w:bCs/>
          <w:color w:val="auto"/>
          <w:spacing w:val="5"/>
          <w:sz w:val="21"/>
          <w:szCs w:val="21"/>
          <w:lang w:val="en-US" w:eastAsia="zh-CN"/>
        </w:rPr>
        <w:t>浙江</w:t>
      </w:r>
      <w:r>
        <w:rPr>
          <w:rFonts w:hint="eastAsia" w:ascii="宋体" w:hAnsi="宋体" w:cs="宋体"/>
          <w:b/>
          <w:bCs/>
          <w:color w:val="auto"/>
          <w:spacing w:val="5"/>
          <w:sz w:val="21"/>
          <w:szCs w:val="21"/>
        </w:rPr>
        <w:t>电网公司对网源协调的技术要求。</w:t>
      </w:r>
    </w:p>
    <w:p>
      <w:pPr>
        <w:spacing w:line="360" w:lineRule="auto"/>
        <w:rPr>
          <w:rFonts w:hint="default" w:ascii="宋体" w:hAnsi="宋体" w:eastAsia="宋体" w:cs="宋体"/>
          <w:b/>
          <w:bCs/>
          <w:color w:val="auto"/>
          <w:spacing w:val="5"/>
          <w:sz w:val="21"/>
          <w:szCs w:val="21"/>
          <w:lang w:val="en-US" w:eastAsia="zh-CN"/>
        </w:rPr>
      </w:pPr>
      <w:r>
        <w:rPr>
          <w:rFonts w:hint="eastAsia" w:ascii="宋体" w:hAnsi="宋体" w:cs="宋体"/>
          <w:b/>
          <w:bCs/>
          <w:color w:val="auto"/>
          <w:spacing w:val="5"/>
          <w:sz w:val="21"/>
          <w:szCs w:val="21"/>
        </w:rPr>
        <w:t>1.1.1</w:t>
      </w:r>
      <w:r>
        <w:rPr>
          <w:rFonts w:hint="eastAsia" w:ascii="宋体" w:hAnsi="宋体" w:cs="宋体"/>
          <w:b/>
          <w:bCs/>
          <w:color w:val="auto"/>
          <w:spacing w:val="5"/>
          <w:sz w:val="21"/>
          <w:szCs w:val="21"/>
          <w:lang w:val="en-US" w:eastAsia="zh-CN"/>
        </w:rPr>
        <w:t>4按照</w:t>
      </w:r>
      <w:r>
        <w:rPr>
          <w:rFonts w:hint="eastAsia" w:ascii="宋体" w:hAnsi="宋体" w:eastAsia="宋体" w:cs="宋体"/>
          <w:b/>
          <w:bCs/>
          <w:color w:val="auto"/>
          <w:spacing w:val="5"/>
          <w:sz w:val="21"/>
          <w:szCs w:val="21"/>
        </w:rPr>
        <w:t>华东电网对于500kV系统保护配置的要求，投标人应确保所提供的产品满足华东电网500kV系统继电保护的专门技术要求和设计组屏规范</w:t>
      </w:r>
      <w:r>
        <w:rPr>
          <w:rFonts w:hint="eastAsia" w:ascii="宋体" w:hAnsi="宋体" w:cs="宋体"/>
          <w:b/>
          <w:bCs/>
          <w:color w:val="auto"/>
          <w:spacing w:val="5"/>
          <w:sz w:val="21"/>
          <w:szCs w:val="21"/>
          <w:lang w:eastAsia="zh-CN"/>
        </w:rPr>
        <w:t>，</w:t>
      </w:r>
      <w:r>
        <w:rPr>
          <w:rFonts w:hint="eastAsia" w:ascii="宋体" w:hAnsi="宋体" w:cs="宋体"/>
          <w:b/>
          <w:bCs/>
          <w:color w:val="auto"/>
          <w:spacing w:val="5"/>
          <w:sz w:val="21"/>
          <w:szCs w:val="21"/>
          <w:lang w:val="en-US" w:eastAsia="zh-CN"/>
        </w:rPr>
        <w:t>且还应</w:t>
      </w:r>
      <w:r>
        <w:rPr>
          <w:rFonts w:hint="eastAsia" w:ascii="宋体" w:hAnsi="宋体" w:cs="宋体"/>
          <w:b/>
          <w:bCs/>
          <w:color w:val="auto"/>
          <w:spacing w:val="5"/>
          <w:sz w:val="21"/>
          <w:szCs w:val="21"/>
        </w:rPr>
        <w:t>满足</w:t>
      </w:r>
      <w:r>
        <w:rPr>
          <w:rFonts w:hint="eastAsia" w:ascii="宋体" w:hAnsi="宋体" w:cs="宋体"/>
          <w:b/>
          <w:bCs/>
          <w:color w:val="auto"/>
          <w:spacing w:val="5"/>
          <w:sz w:val="21"/>
          <w:szCs w:val="21"/>
          <w:u w:val="none"/>
        </w:rPr>
        <w:t>浙江电网</w:t>
      </w:r>
      <w:r>
        <w:rPr>
          <w:rFonts w:hint="eastAsia" w:ascii="宋体" w:hAnsi="宋体" w:cs="宋体"/>
          <w:b/>
          <w:bCs/>
          <w:color w:val="auto"/>
          <w:spacing w:val="5"/>
          <w:sz w:val="21"/>
          <w:szCs w:val="21"/>
        </w:rPr>
        <w:t>大型发电机组继电保护技术应用规范等要求</w:t>
      </w:r>
      <w:r>
        <w:rPr>
          <w:rFonts w:hint="eastAsia" w:ascii="宋体" w:hAnsi="宋体" w:cs="宋体"/>
          <w:b/>
          <w:bCs/>
          <w:color w:val="auto"/>
          <w:spacing w:val="5"/>
          <w:sz w:val="21"/>
          <w:szCs w:val="21"/>
          <w:lang w:eastAsia="zh-CN"/>
        </w:rPr>
        <w:t>；</w:t>
      </w:r>
      <w:r>
        <w:rPr>
          <w:rFonts w:hint="eastAsia" w:ascii="宋体" w:hAnsi="宋体" w:cs="宋体"/>
          <w:b/>
          <w:bCs/>
          <w:color w:val="auto"/>
          <w:spacing w:val="5"/>
          <w:sz w:val="21"/>
          <w:szCs w:val="21"/>
          <w:lang w:val="en-US" w:eastAsia="zh-CN"/>
        </w:rPr>
        <w:t>投标人还应负责发变组保护信息接入现有500kV继电保护信息子站以及与华东电网主站的通讯调试工作。</w:t>
      </w:r>
    </w:p>
    <w:p>
      <w:pPr>
        <w:spacing w:before="0" w:beforeLines="0" w:after="0" w:afterLines="0" w:line="360" w:lineRule="auto"/>
        <w:rPr>
          <w:rFonts w:hint="eastAsia" w:ascii="宋体" w:hAnsi="宋体" w:cs="宋体"/>
          <w:b/>
          <w:color w:val="auto"/>
        </w:rPr>
      </w:pPr>
      <w:bookmarkStart w:id="16" w:name="_Toc502332487"/>
      <w:bookmarkStart w:id="17" w:name="_Toc509632990"/>
      <w:bookmarkStart w:id="18" w:name="_Toc509632878"/>
      <w:bookmarkStart w:id="19" w:name="_Toc502331792"/>
      <w:bookmarkStart w:id="20" w:name="_Toc500906676"/>
      <w:bookmarkStart w:id="21" w:name="_Toc48273143"/>
      <w:bookmarkStart w:id="22" w:name="_Toc223836901"/>
      <w:r>
        <w:rPr>
          <w:rFonts w:hint="eastAsia" w:ascii="宋体" w:hAnsi="宋体" w:cs="宋体"/>
          <w:b/>
          <w:color w:val="auto"/>
        </w:rPr>
        <w:t>1.2 标准和规范</w:t>
      </w:r>
      <w:bookmarkEnd w:id="16"/>
      <w:bookmarkEnd w:id="17"/>
      <w:bookmarkEnd w:id="18"/>
      <w:bookmarkEnd w:id="19"/>
      <w:bookmarkEnd w:id="20"/>
      <w:bookmarkEnd w:id="21"/>
      <w:bookmarkEnd w:id="22"/>
    </w:p>
    <w:p>
      <w:pPr>
        <w:spacing w:line="360" w:lineRule="auto"/>
        <w:rPr>
          <w:rFonts w:hint="eastAsia" w:ascii="宋体" w:hAnsi="宋体" w:cs="宋体"/>
          <w:color w:val="auto"/>
          <w:sz w:val="21"/>
          <w:szCs w:val="21"/>
        </w:rPr>
      </w:pPr>
      <w:r>
        <w:rPr>
          <w:rFonts w:hint="eastAsia" w:ascii="宋体" w:hAnsi="宋体" w:cs="宋体"/>
          <w:color w:val="auto"/>
          <w:sz w:val="21"/>
          <w:szCs w:val="21"/>
        </w:rPr>
        <w:t>1.2.1 合同设备包括投标人向其他厂商购买的所有附件和设备。所有设备和附件都应符合相应的标准、规范或法规的最新版本的要求，除非另有特别外，投标期内有效的任何修正和补充都应包括在内。</w:t>
      </w:r>
    </w:p>
    <w:p>
      <w:pPr>
        <w:spacing w:line="360" w:lineRule="auto"/>
        <w:rPr>
          <w:rFonts w:hint="eastAsia" w:ascii="宋体" w:hAnsi="宋体" w:cs="宋体"/>
          <w:color w:val="auto"/>
          <w:sz w:val="21"/>
          <w:szCs w:val="21"/>
        </w:rPr>
      </w:pPr>
      <w:r>
        <w:rPr>
          <w:rFonts w:hint="eastAsia" w:ascii="宋体" w:hAnsi="宋体" w:cs="宋体"/>
          <w:color w:val="auto"/>
          <w:sz w:val="21"/>
          <w:szCs w:val="21"/>
        </w:rPr>
        <w:t>1.2.2 除非合同另有规定，均须遵守最新的国家标准(GB)和国际电工委员会(IEC)标准以及国际单位制(SI)标准。如采用合资或合作产品，还应遵守合作方国家标准，当上述标准不一致时按高标准执行。</w:t>
      </w:r>
    </w:p>
    <w:p>
      <w:pPr>
        <w:spacing w:line="360" w:lineRule="auto"/>
        <w:rPr>
          <w:rFonts w:hint="eastAsia" w:ascii="宋体" w:hAnsi="宋体" w:cs="宋体"/>
          <w:color w:val="auto"/>
          <w:sz w:val="21"/>
          <w:szCs w:val="21"/>
        </w:rPr>
      </w:pPr>
      <w:r>
        <w:rPr>
          <w:rFonts w:hint="eastAsia" w:ascii="宋体" w:hAnsi="宋体" w:cs="宋体"/>
          <w:color w:val="auto"/>
          <w:sz w:val="21"/>
          <w:szCs w:val="21"/>
        </w:rPr>
        <w:t>1.2.3 投标人提供的设备和配套件要符合以下标准但不局限于以下标准（按现行最新有效标准）：</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50171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电气装置安装工程盘、柜及二次</w:t>
      </w:r>
      <w:r>
        <w:rPr>
          <w:rFonts w:hint="eastAsia" w:ascii="宋体" w:hAnsi="宋体" w:eastAsia="宋体" w:cs="宋体"/>
          <w:color w:val="auto"/>
          <w:spacing w:val="5"/>
          <w:sz w:val="21"/>
          <w:szCs w:val="21"/>
          <w:lang w:val="en-US" w:eastAsia="zh-CN"/>
        </w:rPr>
        <w:t>回路接线</w:t>
      </w:r>
      <w:r>
        <w:rPr>
          <w:rFonts w:hint="eastAsia" w:ascii="宋体" w:hAnsi="宋体" w:eastAsia="宋体" w:cs="宋体"/>
          <w:color w:val="auto"/>
          <w:spacing w:val="5"/>
          <w:sz w:val="21"/>
          <w:szCs w:val="21"/>
        </w:rPr>
        <w:t>施工及验收规范</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2423</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电工电子产品环境试验</w:t>
      </w:r>
    </w:p>
    <w:p>
      <w:pPr>
        <w:spacing w:line="360" w:lineRule="auto"/>
        <w:ind w:firstLine="440" w:firstLineChars="200"/>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2887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计算机场地</w:t>
      </w:r>
      <w:r>
        <w:rPr>
          <w:rFonts w:hint="eastAsia" w:ascii="宋体" w:hAnsi="宋体" w:eastAsia="宋体" w:cs="宋体"/>
          <w:color w:val="auto"/>
          <w:spacing w:val="5"/>
          <w:sz w:val="21"/>
          <w:szCs w:val="21"/>
          <w:lang w:val="en-US" w:eastAsia="zh-CN"/>
        </w:rPr>
        <w:t>通用规范</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4208</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外壳防护等级</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7261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继电保护和安全自动装置基本试验方法</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11287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量度继电器和保护装置的振动、冲击、碰撞和地震试验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13926</w:t>
      </w:r>
      <w:r>
        <w:rPr>
          <w:rFonts w:hint="eastAsia" w:ascii="宋体" w:hAnsi="宋体" w:cs="宋体"/>
          <w:color w:val="auto"/>
          <w:spacing w:val="5"/>
          <w:sz w:val="21"/>
          <w:szCs w:val="21"/>
          <w:lang w:val="en-US" w:eastAsia="zh-CN"/>
        </w:rPr>
        <w:t>.1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工业过程测量和控制装置的电磁兼容性</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14285</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继电保护和安全自动装置技术规程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14537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量度继电器和保护装置的冲击和碰撞试验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14598.3</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量度继电器和保护装置的绝缘配合要求和试验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 xml:space="preserve">14598.9 </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辐射电磁场骚扰试验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14598.10</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电快速瞬变/脉冲群抗扰度试验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14598.13</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1MHz脉冲群抗扰度试验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14598.14</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静电放电试验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14598.17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射频场感应的传导骚扰抗扰度</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14598.18</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浪涌抗扰度试验</w:t>
      </w:r>
    </w:p>
    <w:p>
      <w:pPr>
        <w:spacing w:line="360" w:lineRule="auto"/>
        <w:ind w:firstLine="440" w:firstLineChars="200"/>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rPr>
        <w:t>GB/T 14598.19</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工频抗扰度试验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50065</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交流电气装置的接地设计规范</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50549</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电厂标识系统编码标准</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478</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继电保护及安全自动装置通用技术条件</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 587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继电保护和安全自动装置运行管理规程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671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 xml:space="preserve">发电机变压器组保护装置通用技术条件  </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667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远动设备及系统 第5部分 传输规约 第103篇 继电保护设备信息 接口配套标准</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 720</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电力系统继电保护柜、屏通用技术条件</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 769</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电力系统微机继电保护技术导则</w:t>
      </w:r>
    </w:p>
    <w:p>
      <w:pPr>
        <w:spacing w:line="360" w:lineRule="auto"/>
        <w:ind w:firstLine="440" w:firstLineChars="200"/>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rPr>
        <w:t>DL/T 995</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继电保护和电网安全自动装置检验规程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1870</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电力系统网源协调技术规程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5136</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火力发电厂、变电所二次接线设计技术规程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Q/GDW-11-271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浙江电网大型发电机组继电保护技术应用规范</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国家电网公司十八项电网重大反事故措施</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防止电力生产事故的二十五项重点要求</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电力监控系统安全防护规定</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这些法则和标准提出了最基本要求，如果根据投标人的意见并经</w:t>
      </w:r>
      <w:r>
        <w:rPr>
          <w:rFonts w:hint="eastAsia" w:ascii="宋体" w:hAnsi="宋体" w:cs="宋体"/>
          <w:color w:val="auto"/>
          <w:sz w:val="21"/>
          <w:szCs w:val="21"/>
          <w:lang w:val="en-US" w:eastAsia="zh-CN"/>
        </w:rPr>
        <w:t>招标人</w:t>
      </w:r>
      <w:r>
        <w:rPr>
          <w:rFonts w:hint="eastAsia" w:ascii="宋体" w:hAnsi="宋体" w:cs="宋体"/>
          <w:color w:val="auto"/>
          <w:sz w:val="21"/>
          <w:szCs w:val="21"/>
        </w:rPr>
        <w:t>接受，使用优于或更为经济的设计或材料</w:t>
      </w:r>
      <w:r>
        <w:rPr>
          <w:rFonts w:hint="eastAsia" w:ascii="宋体" w:hAnsi="宋体" w:cs="宋体"/>
          <w:color w:val="auto"/>
          <w:sz w:val="21"/>
          <w:szCs w:val="21"/>
          <w:lang w:eastAsia="zh-CN"/>
        </w:rPr>
        <w:t>，</w:t>
      </w:r>
      <w:r>
        <w:rPr>
          <w:rFonts w:hint="eastAsia" w:ascii="宋体" w:hAnsi="宋体" w:cs="宋体"/>
          <w:color w:val="auto"/>
          <w:sz w:val="21"/>
          <w:szCs w:val="21"/>
        </w:rPr>
        <w:t>并能使投标人设备良好地、连续地在本规范所规定的条件下运行时，则这些标准也可以由投标人超越。</w:t>
      </w:r>
    </w:p>
    <w:p>
      <w:pPr>
        <w:spacing w:line="360" w:lineRule="auto"/>
        <w:rPr>
          <w:rFonts w:hint="eastAsia" w:ascii="宋体" w:hAnsi="宋体" w:eastAsia="宋体" w:cs="宋体"/>
          <w:color w:val="auto"/>
          <w:sz w:val="21"/>
          <w:szCs w:val="21"/>
        </w:rPr>
      </w:pPr>
      <w:r>
        <w:rPr>
          <w:rFonts w:hint="eastAsia" w:ascii="宋体" w:hAnsi="宋体" w:cs="宋体"/>
          <w:color w:val="auto"/>
          <w:sz w:val="21"/>
          <w:szCs w:val="21"/>
        </w:rPr>
        <w:t xml:space="preserve">1.2.4 </w:t>
      </w:r>
      <w:r>
        <w:rPr>
          <w:rFonts w:hint="eastAsia" w:ascii="宋体" w:hAnsi="宋体" w:eastAsia="宋体" w:cs="宋体"/>
          <w:color w:val="auto"/>
          <w:sz w:val="21"/>
          <w:szCs w:val="21"/>
        </w:rPr>
        <w:t>如果投标人选用本</w:t>
      </w:r>
      <w:r>
        <w:rPr>
          <w:rFonts w:hint="eastAsia" w:ascii="宋体" w:hAnsi="宋体" w:eastAsia="宋体" w:cs="宋体"/>
          <w:color w:val="auto"/>
          <w:sz w:val="21"/>
          <w:szCs w:val="21"/>
          <w:lang w:val="en-US" w:eastAsia="zh-CN"/>
        </w:rPr>
        <w:t>规范</w:t>
      </w:r>
      <w:r>
        <w:rPr>
          <w:rFonts w:hint="eastAsia" w:ascii="宋体" w:hAnsi="宋体" w:eastAsia="宋体" w:cs="宋体"/>
          <w:color w:val="auto"/>
          <w:sz w:val="21"/>
          <w:szCs w:val="21"/>
        </w:rPr>
        <w:t>书上规定以外的标准时，则需提交这种替换标准供审查和分析，仅在投标人已证明替换标准相当或优于本</w:t>
      </w:r>
      <w:r>
        <w:rPr>
          <w:rFonts w:hint="eastAsia" w:ascii="宋体" w:hAnsi="宋体" w:eastAsia="宋体" w:cs="宋体"/>
          <w:color w:val="auto"/>
          <w:sz w:val="21"/>
          <w:szCs w:val="21"/>
          <w:lang w:val="en-US" w:eastAsia="zh-CN"/>
        </w:rPr>
        <w:t>技术规范</w:t>
      </w:r>
      <w:r>
        <w:rPr>
          <w:rFonts w:hint="eastAsia" w:ascii="宋体" w:hAnsi="宋体" w:eastAsia="宋体" w:cs="宋体"/>
          <w:color w:val="auto"/>
          <w:sz w:val="21"/>
          <w:szCs w:val="21"/>
        </w:rPr>
        <w:t>书规定的标准，并从招标人处获得书面认可后才能使用。提供审查的标准应为中文版本。</w:t>
      </w:r>
    </w:p>
    <w:p>
      <w:pPr>
        <w:spacing w:line="360" w:lineRule="auto"/>
        <w:rPr>
          <w:rFonts w:hint="eastAsia" w:ascii="宋体" w:hAnsi="宋体" w:cs="宋体"/>
          <w:color w:val="auto"/>
          <w:sz w:val="21"/>
          <w:szCs w:val="21"/>
        </w:rPr>
      </w:pPr>
      <w:r>
        <w:rPr>
          <w:rFonts w:hint="eastAsia" w:ascii="宋体" w:hAnsi="宋体" w:cs="宋体"/>
          <w:color w:val="auto"/>
          <w:sz w:val="21"/>
          <w:szCs w:val="21"/>
        </w:rPr>
        <w:t>1.2.5 当标准、规范之间出现矛盾时，投标人应将矛盾情况提交招标人，以便在开始生产前制定解决方案。</w:t>
      </w:r>
    </w:p>
    <w:p>
      <w:pPr>
        <w:spacing w:line="360" w:lineRule="auto"/>
        <w:rPr>
          <w:rFonts w:hint="eastAsia" w:ascii="宋体" w:hAnsi="宋体" w:cs="宋体"/>
          <w:color w:val="auto"/>
          <w:sz w:val="21"/>
          <w:szCs w:val="21"/>
        </w:rPr>
      </w:pPr>
      <w:r>
        <w:rPr>
          <w:rFonts w:hint="eastAsia" w:ascii="宋体" w:hAnsi="宋体" w:cs="宋体"/>
          <w:color w:val="auto"/>
          <w:sz w:val="21"/>
          <w:szCs w:val="21"/>
        </w:rPr>
        <w:t>1.2.6 所有螺栓、双头螺栓、螺纹、管螺纹、螺栓夹及螺母均应遵守国际标准化组织(ISO)和国际单位制(SI)的标准。</w:t>
      </w:r>
    </w:p>
    <w:p>
      <w:pPr>
        <w:spacing w:line="360" w:lineRule="auto"/>
        <w:rPr>
          <w:rFonts w:hint="eastAsia" w:ascii="宋体" w:hAnsi="宋体" w:cs="宋体"/>
          <w:color w:val="auto"/>
          <w:sz w:val="21"/>
          <w:szCs w:val="21"/>
        </w:rPr>
      </w:pPr>
      <w:r>
        <w:rPr>
          <w:rFonts w:hint="eastAsia" w:ascii="宋体" w:hAnsi="宋体" w:cs="宋体"/>
          <w:color w:val="auto"/>
          <w:sz w:val="21"/>
          <w:szCs w:val="21"/>
        </w:rPr>
        <w:t>1.2.7 合同签订后</w:t>
      </w:r>
      <w:r>
        <w:rPr>
          <w:rFonts w:hint="eastAsia" w:ascii="宋体" w:hAnsi="宋体" w:cs="宋体"/>
          <w:color w:val="auto"/>
          <w:sz w:val="21"/>
          <w:szCs w:val="21"/>
          <w:lang w:eastAsia="zh-CN"/>
        </w:rPr>
        <w:t>1</w:t>
      </w:r>
      <w:r>
        <w:rPr>
          <w:rFonts w:hint="eastAsia" w:ascii="宋体" w:hAnsi="宋体" w:cs="宋体"/>
          <w:color w:val="auto"/>
          <w:sz w:val="21"/>
          <w:szCs w:val="21"/>
        </w:rPr>
        <w:t>个月，投标人提出合同设备的设计﹑制造﹑装配﹑安装﹑调试﹑试运﹑验收﹑试验﹑运行和维护等标准清单给招标人，招标人确认。</w:t>
      </w:r>
    </w:p>
    <w:p>
      <w:pPr>
        <w:spacing w:line="360" w:lineRule="auto"/>
        <w:rPr>
          <w:rFonts w:hint="eastAsia" w:ascii="宋体" w:hAnsi="宋体" w:cs="宋体"/>
          <w:color w:val="auto"/>
          <w:kern w:val="0"/>
          <w:sz w:val="21"/>
          <w:szCs w:val="21"/>
        </w:rPr>
      </w:pPr>
      <w:r>
        <w:rPr>
          <w:rFonts w:hint="eastAsia" w:ascii="宋体" w:hAnsi="宋体" w:cs="宋体"/>
          <w:color w:val="auto"/>
          <w:sz w:val="21"/>
          <w:szCs w:val="21"/>
        </w:rPr>
        <w:t>1.2.8 投标人所供设备除满足以上及相关的标</w:t>
      </w:r>
      <w:r>
        <w:rPr>
          <w:rFonts w:hint="eastAsia" w:ascii="宋体" w:hAnsi="宋体" w:cs="宋体"/>
          <w:color w:val="auto"/>
          <w:spacing w:val="10"/>
          <w:sz w:val="21"/>
          <w:szCs w:val="21"/>
        </w:rPr>
        <w:t>准外还应</w:t>
      </w:r>
      <w:r>
        <w:rPr>
          <w:rFonts w:hint="eastAsia" w:ascii="宋体" w:hAnsi="宋体" w:cs="宋体"/>
          <w:color w:val="auto"/>
          <w:sz w:val="21"/>
          <w:szCs w:val="21"/>
        </w:rPr>
        <w:t>满足有关的</w:t>
      </w:r>
      <w:r>
        <w:rPr>
          <w:rFonts w:hint="eastAsia" w:ascii="宋体" w:hAnsi="宋体" w:cs="宋体"/>
          <w:color w:val="auto"/>
          <w:kern w:val="0"/>
          <w:sz w:val="21"/>
          <w:szCs w:val="21"/>
        </w:rPr>
        <w:t>安全、消防、环境保护等标准。</w:t>
      </w:r>
    </w:p>
    <w:bookmarkEnd w:id="8"/>
    <w:bookmarkEnd w:id="9"/>
    <w:bookmarkEnd w:id="10"/>
    <w:bookmarkEnd w:id="11"/>
    <w:bookmarkEnd w:id="12"/>
    <w:bookmarkEnd w:id="13"/>
    <w:bookmarkEnd w:id="14"/>
    <w:bookmarkEnd w:id="15"/>
    <w:p>
      <w:pPr>
        <w:numPr>
          <w:ilvl w:val="0"/>
          <w:numId w:val="0"/>
        </w:numPr>
        <w:spacing w:before="0" w:beforeLines="0" w:after="0" w:afterLines="0" w:line="360" w:lineRule="auto"/>
        <w:rPr>
          <w:rFonts w:hint="eastAsia" w:ascii="宋体" w:hAnsi="宋体" w:eastAsia="宋体" w:cs="宋体"/>
          <w:b/>
          <w:color w:val="auto"/>
          <w:sz w:val="28"/>
          <w:szCs w:val="28"/>
        </w:rPr>
      </w:pPr>
      <w:bookmarkStart w:id="23" w:name="_Toc513261527"/>
      <w:bookmarkStart w:id="24" w:name="_Toc536410860"/>
      <w:bookmarkStart w:id="25" w:name="_Toc223320090"/>
      <w:bookmarkStart w:id="26" w:name="_Toc513001934"/>
      <w:bookmarkStart w:id="27" w:name="_Toc223835840"/>
      <w:bookmarkStart w:id="28" w:name="_Toc529267698"/>
      <w:r>
        <w:rPr>
          <w:rFonts w:hint="eastAsia" w:ascii="宋体" w:hAnsi="宋体" w:cs="宋体"/>
          <w:b/>
          <w:color w:val="auto"/>
          <w:sz w:val="28"/>
          <w:szCs w:val="28"/>
          <w:lang w:val="en-US" w:eastAsia="zh-CN"/>
        </w:rPr>
        <w:t>2</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rPr>
        <w:t>工程概况</w:t>
      </w:r>
    </w:p>
    <w:p>
      <w:pPr>
        <w:spacing w:line="360" w:lineRule="auto"/>
        <w:rPr>
          <w:rFonts w:hint="eastAsia" w:ascii="宋体" w:hAnsi="宋体" w:eastAsia="宋体" w:cs="宋体"/>
          <w:b/>
          <w:bCs/>
          <w:color w:val="auto"/>
          <w:spacing w:val="5"/>
          <w:sz w:val="24"/>
          <w:szCs w:val="24"/>
        </w:rPr>
      </w:pPr>
      <w:r>
        <w:rPr>
          <w:rFonts w:hint="eastAsia" w:ascii="宋体" w:hAnsi="宋体" w:cs="宋体"/>
          <w:b/>
          <w:bCs/>
          <w:color w:val="auto"/>
          <w:spacing w:val="5"/>
          <w:sz w:val="24"/>
          <w:szCs w:val="24"/>
          <w:lang w:val="en-US" w:eastAsia="zh-CN"/>
        </w:rPr>
        <w:t>2</w:t>
      </w:r>
      <w:r>
        <w:rPr>
          <w:rFonts w:hint="eastAsia" w:ascii="宋体" w:hAnsi="宋体" w:eastAsia="宋体" w:cs="宋体"/>
          <w:b/>
          <w:bCs/>
          <w:color w:val="auto"/>
          <w:spacing w:val="5"/>
          <w:sz w:val="24"/>
          <w:szCs w:val="24"/>
        </w:rPr>
        <w:t>.1</w:t>
      </w:r>
      <w:r>
        <w:rPr>
          <w:rFonts w:hint="eastAsia" w:ascii="宋体" w:hAnsi="宋体" w:eastAsia="宋体" w:cs="宋体"/>
          <w:b/>
          <w:bCs/>
          <w:color w:val="auto"/>
          <w:spacing w:val="5"/>
          <w:sz w:val="24"/>
          <w:szCs w:val="24"/>
          <w:lang w:val="en-US" w:eastAsia="zh-CN"/>
        </w:rPr>
        <w:t xml:space="preserve"> </w:t>
      </w:r>
      <w:r>
        <w:rPr>
          <w:rFonts w:hint="eastAsia" w:ascii="宋体" w:hAnsi="宋体" w:cs="宋体"/>
          <w:b/>
          <w:bCs/>
          <w:color w:val="auto"/>
          <w:spacing w:val="5"/>
          <w:sz w:val="24"/>
          <w:szCs w:val="24"/>
        </w:rPr>
        <w:t>厂址条件及工程现状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color w:val="auto"/>
          <w:sz w:val="21"/>
          <w:szCs w:val="21"/>
          <w:lang w:eastAsia="zh-CN"/>
        </w:rPr>
      </w:pPr>
      <w:r>
        <w:rPr>
          <w:rFonts w:hint="eastAsia" w:ascii="宋体" w:hAnsi="宋体" w:cs="宋体"/>
          <w:color w:val="auto"/>
          <w:sz w:val="21"/>
          <w:szCs w:val="21"/>
          <w:lang w:val="en-US" w:eastAsia="zh-CN"/>
        </w:rPr>
        <w:t>浙江浙能北仑发电有限公司</w:t>
      </w:r>
      <w:r>
        <w:rPr>
          <w:rFonts w:hint="eastAsia" w:ascii="宋体" w:hAnsi="宋体" w:eastAsia="宋体" w:cs="宋体"/>
          <w:color w:val="auto"/>
          <w:sz w:val="21"/>
          <w:szCs w:val="21"/>
        </w:rPr>
        <w:t>位于浙江省宁波市北仑区，地处杭州湾口外金塘水道之南岸。电厂现装有</w:t>
      </w:r>
      <w:r>
        <w:rPr>
          <w:rFonts w:hint="eastAsia" w:ascii="宋体" w:hAnsi="宋体" w:cs="宋体"/>
          <w:color w:val="auto"/>
          <w:sz w:val="21"/>
          <w:szCs w:val="21"/>
          <w:lang w:eastAsia="zh-CN"/>
        </w:rPr>
        <w:t>三</w:t>
      </w:r>
      <w:r>
        <w:rPr>
          <w:rFonts w:hint="eastAsia" w:ascii="宋体" w:hAnsi="宋体" w:eastAsia="宋体" w:cs="宋体"/>
          <w:color w:val="auto"/>
          <w:sz w:val="21"/>
          <w:szCs w:val="21"/>
        </w:rPr>
        <w:t>台单机容量为6</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0MW超临界燃煤机组（</w:t>
      </w: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号、</w:t>
      </w: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号</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5号</w:t>
      </w:r>
      <w:r>
        <w:rPr>
          <w:rFonts w:hint="eastAsia" w:ascii="宋体" w:hAnsi="宋体" w:eastAsia="宋体" w:cs="宋体"/>
          <w:color w:val="auto"/>
          <w:sz w:val="21"/>
          <w:szCs w:val="21"/>
        </w:rPr>
        <w:t>机组）</w:t>
      </w:r>
      <w:r>
        <w:rPr>
          <w:rFonts w:hint="eastAsia" w:ascii="宋体" w:hAnsi="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4、5号</w:t>
      </w:r>
      <w:r>
        <w:rPr>
          <w:rFonts w:hint="eastAsia" w:ascii="宋体" w:hAnsi="宋体" w:eastAsia="宋体" w:cs="宋体"/>
          <w:color w:val="auto"/>
          <w:sz w:val="21"/>
          <w:szCs w:val="21"/>
        </w:rPr>
        <w:t>发变组保护目前采用北京四方厂家的CSC-300F微机型保护</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已运行了近1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年，</w:t>
      </w:r>
      <w:r>
        <w:rPr>
          <w:rFonts w:hint="eastAsia" w:ascii="宋体" w:hAnsi="宋体" w:eastAsia="宋体" w:cs="宋体"/>
          <w:color w:val="auto"/>
          <w:sz w:val="21"/>
          <w:szCs w:val="21"/>
          <w:lang w:eastAsia="zh-CN"/>
        </w:rPr>
        <w:t>总体运行情况良好，未发生保护装置误动、拒动情况，保证了机组可靠稳定运行</w:t>
      </w:r>
      <w:r>
        <w:rPr>
          <w:rFonts w:hint="eastAsia" w:ascii="宋体" w:hAnsi="宋体" w:eastAsia="宋体" w:cs="宋体"/>
          <w:color w:val="auto"/>
          <w:sz w:val="21"/>
          <w:szCs w:val="21"/>
        </w:rPr>
        <w:t>。</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4、5</w:t>
      </w:r>
      <w:r>
        <w:rPr>
          <w:rFonts w:hint="eastAsia" w:ascii="宋体" w:hAnsi="宋体" w:eastAsia="宋体" w:cs="宋体"/>
          <w:color w:val="auto"/>
          <w:sz w:val="21"/>
          <w:szCs w:val="21"/>
        </w:rPr>
        <w:t>号机变送器原使用日本DAIICHI公司和浙江涵普的模拟式变送器，从投产使用至今已运行</w:t>
      </w:r>
      <w:r>
        <w:rPr>
          <w:rFonts w:hint="eastAsia" w:ascii="宋体" w:hAnsi="宋体" w:eastAsia="宋体" w:cs="宋体"/>
          <w:color w:val="auto"/>
          <w:sz w:val="21"/>
          <w:szCs w:val="21"/>
          <w:lang w:eastAsia="zh-CN"/>
        </w:rPr>
        <w:t>超过</w:t>
      </w:r>
      <w:r>
        <w:rPr>
          <w:rFonts w:hint="eastAsia" w:ascii="宋体" w:hAnsi="宋体" w:eastAsia="宋体" w:cs="宋体"/>
          <w:color w:val="auto"/>
          <w:sz w:val="21"/>
          <w:szCs w:val="21"/>
        </w:rPr>
        <w:t>十年。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lang w:eastAsia="zh-CN"/>
        </w:rPr>
      </w:pPr>
      <w:r>
        <w:rPr>
          <w:rFonts w:hint="eastAsia" w:ascii="宋体" w:hAnsi="宋体" w:eastAsia="宋体" w:cs="宋体"/>
          <w:color w:val="auto"/>
          <w:sz w:val="21"/>
          <w:szCs w:val="21"/>
          <w:lang w:val="en-US" w:eastAsia="zh-CN"/>
        </w:rPr>
        <w:t>改造前4、5号机组发变组保护采用的是北京四方公司的CSC-300F微机型保护，已经连续运行了15年，到了产品使用寿命，也到了继电保护反措要求的更换周期。另外原发变组保护装置没有配置发电机匝间保护、励磁变差动保护、关主汽门的信号不符合仪控三取二的配置要求，也没有配置保护管理机将发变组保护的相关信息上送至调度</w:t>
      </w:r>
      <w:r>
        <w:rPr>
          <w:rFonts w:hint="eastAsia" w:ascii="宋体" w:hAnsi="宋体" w:cs="宋体"/>
          <w:color w:val="auto"/>
          <w:sz w:val="21"/>
          <w:szCs w:val="21"/>
          <w:lang w:val="en-US" w:eastAsia="zh-CN"/>
        </w:rPr>
        <w:t>，</w:t>
      </w:r>
      <w:r>
        <w:rPr>
          <w:rFonts w:hint="eastAsia" w:ascii="宋体" w:hAnsi="宋体" w:eastAsia="宋体" w:cs="宋体"/>
          <w:color w:val="auto"/>
          <w:sz w:val="21"/>
          <w:szCs w:val="21"/>
          <w:lang w:val="en-US" w:eastAsia="zh-CN"/>
        </w:rPr>
        <w:t>变压器组别、接线方式等整定值的菜单为隐含菜单，不利于现场人员核对。</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本次改造</w:t>
      </w:r>
      <w:r>
        <w:rPr>
          <w:rFonts w:hint="eastAsia" w:ascii="宋体" w:hAnsi="宋体" w:cs="宋体"/>
          <w:b/>
          <w:bCs/>
          <w:color w:val="auto"/>
          <w:sz w:val="21"/>
          <w:szCs w:val="21"/>
          <w:lang w:val="en-US" w:eastAsia="zh-CN"/>
        </w:rPr>
        <w:t>工程</w:t>
      </w:r>
      <w:r>
        <w:rPr>
          <w:rFonts w:hint="eastAsia" w:ascii="宋体" w:hAnsi="宋体" w:eastAsia="宋体" w:cs="宋体"/>
          <w:b/>
          <w:bCs/>
          <w:color w:val="auto"/>
          <w:sz w:val="21"/>
          <w:szCs w:val="21"/>
        </w:rPr>
        <w:t>项目为</w:t>
      </w:r>
      <w:r>
        <w:rPr>
          <w:rFonts w:hint="eastAsia" w:ascii="宋体" w:hAnsi="宋体" w:cs="宋体"/>
          <w:b/>
          <w:bCs/>
          <w:color w:val="auto"/>
          <w:sz w:val="21"/>
          <w:szCs w:val="21"/>
          <w:lang w:val="en-US" w:eastAsia="zh-CN"/>
        </w:rPr>
        <w:t>4、5</w:t>
      </w:r>
      <w:r>
        <w:rPr>
          <w:rFonts w:hint="eastAsia" w:ascii="宋体" w:hAnsi="宋体" w:eastAsia="宋体" w:cs="宋体"/>
          <w:b/>
          <w:bCs/>
          <w:color w:val="auto"/>
          <w:sz w:val="21"/>
          <w:szCs w:val="21"/>
        </w:rPr>
        <w:t>号发变组保护</w:t>
      </w:r>
      <w:r>
        <w:rPr>
          <w:rFonts w:hint="eastAsia" w:ascii="宋体" w:hAnsi="宋体" w:cs="宋体"/>
          <w:b/>
          <w:bCs/>
          <w:color w:val="auto"/>
          <w:sz w:val="21"/>
          <w:szCs w:val="21"/>
          <w:lang w:eastAsia="zh-CN"/>
        </w:rPr>
        <w:t>及智能变送器</w:t>
      </w:r>
      <w:r>
        <w:rPr>
          <w:rFonts w:hint="eastAsia" w:ascii="宋体" w:hAnsi="宋体" w:eastAsia="宋体" w:cs="宋体"/>
          <w:b/>
          <w:bCs/>
          <w:color w:val="auto"/>
          <w:sz w:val="21"/>
          <w:szCs w:val="21"/>
        </w:rPr>
        <w:t>改造。</w:t>
      </w:r>
    </w:p>
    <w:p>
      <w:pPr>
        <w:spacing w:line="360" w:lineRule="auto"/>
        <w:rPr>
          <w:rFonts w:hint="eastAsia" w:ascii="宋体" w:hAnsi="宋体" w:eastAsia="宋体" w:cs="宋体"/>
          <w:b/>
          <w:bCs/>
          <w:color w:val="auto"/>
          <w:spacing w:val="5"/>
          <w:sz w:val="24"/>
          <w:szCs w:val="24"/>
        </w:rPr>
      </w:pPr>
      <w:bookmarkStart w:id="29" w:name="_Toc63596320"/>
      <w:bookmarkStart w:id="30" w:name="_Toc58821141"/>
      <w:bookmarkStart w:id="31" w:name="_Toc173689273"/>
      <w:r>
        <w:rPr>
          <w:rFonts w:hint="eastAsia" w:ascii="宋体" w:hAnsi="宋体" w:eastAsia="宋体" w:cs="宋体"/>
          <w:b/>
          <w:bCs/>
          <w:color w:val="auto"/>
          <w:spacing w:val="5"/>
          <w:sz w:val="24"/>
          <w:szCs w:val="24"/>
          <w:lang w:val="en-US" w:eastAsia="zh-CN"/>
        </w:rPr>
        <w:t>2</w:t>
      </w:r>
      <w:r>
        <w:rPr>
          <w:rFonts w:hint="eastAsia" w:ascii="宋体" w:hAnsi="宋体" w:eastAsia="宋体" w:cs="宋体"/>
          <w:b/>
          <w:bCs/>
          <w:color w:val="auto"/>
          <w:spacing w:val="5"/>
          <w:sz w:val="24"/>
          <w:szCs w:val="24"/>
        </w:rPr>
        <w:t>.2 气象</w:t>
      </w:r>
      <w:r>
        <w:rPr>
          <w:rFonts w:hint="eastAsia" w:ascii="宋体" w:hAnsi="宋体" w:eastAsia="宋体" w:cs="宋体"/>
          <w:b/>
          <w:bCs/>
          <w:color w:val="auto"/>
          <w:spacing w:val="5"/>
          <w:sz w:val="24"/>
          <w:szCs w:val="24"/>
          <w:lang w:val="en-US" w:eastAsia="zh-CN"/>
        </w:rPr>
        <w:t>资料</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累年平均气温</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16.5℃</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年极端最高气温</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38.5℃（1988.7.20）</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年极端最低气温</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-6.6℃（1977.1.31）</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年平均气压</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1014.1hPa</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年平均水汽压</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16.9hPa</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最大水汽压</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41.8hPa（1990.6.7）</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最小水汽压</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1.0hPa（1993.1.1）</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年平均相对湿度</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79%</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最小相对湿度</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14%（1984.2. 3）</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年平均降水量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1316.7mm</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平均降水日数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150d（≥0.1mm）</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一日最大降水量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5"/>
          <w:sz w:val="21"/>
          <w:szCs w:val="21"/>
          <w:u w:val="single"/>
        </w:rPr>
        <w:t>160.9mm（1981.9.23）</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最多年降水日数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167d（1975年）</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最长连续降水日数及雨量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216.9 mm（1996.4.1~4.19）</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年平均蒸发量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1458.2mm</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最大年蒸发量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1831.9mm（1971年）</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最大月蒸发量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293.0mm（1971年7月）</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平均地面温度</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18.9℃</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最大积雪深度</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14cm（1977.1.30）</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平均雷暴日数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30.5d</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最多雷暴日数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44d（1980年）</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平均有雾日数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28.9d（能见度&lt;1000m）</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最多有雾日数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49d（1997、1999年）</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平均结冰日数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18.9d</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平均大风日数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47.0d</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最多大风日数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69d（1972年）</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平均风速</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5.1m/s</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最大风速</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 xml:space="preserve">28.0m/s </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极大风速</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34.3m/s E</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全年主导风向及频率</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9%（NW、NNW、ESE）</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夏季主导风向及频率</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12.3%（ESE）</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冬季主导风向及频率</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17.3%（NW）</w:t>
      </w:r>
    </w:p>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2.3 正常使用条件</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海拔高度：</w:t>
      </w:r>
      <w:r>
        <w:rPr>
          <w:rFonts w:hint="eastAsia" w:ascii="宋体" w:hAnsi="宋体" w:eastAsia="宋体" w:cs="宋体"/>
          <w:color w:val="auto"/>
          <w:spacing w:val="5"/>
          <w:sz w:val="21"/>
          <w:szCs w:val="21"/>
          <w:u w:val="single"/>
        </w:rPr>
        <w:t xml:space="preserve">3—4m </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最高气温：</w:t>
      </w:r>
      <w:r>
        <w:rPr>
          <w:rFonts w:hint="eastAsia" w:ascii="宋体" w:hAnsi="宋体" w:eastAsia="宋体" w:cs="宋体"/>
          <w:color w:val="auto"/>
          <w:spacing w:val="5"/>
          <w:sz w:val="21"/>
          <w:szCs w:val="21"/>
          <w:u w:val="single"/>
        </w:rPr>
        <w:t>40℃</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最低气温：</w:t>
      </w:r>
      <w:r>
        <w:rPr>
          <w:rFonts w:hint="eastAsia" w:ascii="宋体" w:hAnsi="宋体" w:eastAsia="宋体" w:cs="宋体"/>
          <w:color w:val="auto"/>
          <w:spacing w:val="5"/>
          <w:sz w:val="21"/>
          <w:szCs w:val="21"/>
          <w:u w:val="single"/>
        </w:rPr>
        <w:t>-10℃</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最大日温差:</w:t>
      </w:r>
      <w:r>
        <w:rPr>
          <w:rFonts w:hint="eastAsia" w:ascii="宋体" w:hAnsi="宋体" w:eastAsia="宋体" w:cs="宋体"/>
          <w:color w:val="auto"/>
          <w:spacing w:val="5"/>
          <w:sz w:val="21"/>
          <w:szCs w:val="21"/>
          <w:u w:val="single"/>
        </w:rPr>
        <w:t>20K</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最热月平均温度：</w:t>
      </w:r>
      <w:r>
        <w:rPr>
          <w:rFonts w:hint="eastAsia" w:ascii="宋体" w:hAnsi="宋体" w:eastAsia="宋体" w:cs="宋体"/>
          <w:color w:val="auto"/>
          <w:spacing w:val="5"/>
          <w:sz w:val="21"/>
          <w:szCs w:val="21"/>
          <w:u w:val="single"/>
        </w:rPr>
        <w:t>30℃</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最高年平均温度：</w:t>
      </w:r>
      <w:r>
        <w:rPr>
          <w:rFonts w:hint="eastAsia" w:ascii="宋体" w:hAnsi="宋体" w:eastAsia="宋体" w:cs="宋体"/>
          <w:color w:val="auto"/>
          <w:spacing w:val="5"/>
          <w:sz w:val="21"/>
          <w:szCs w:val="21"/>
          <w:u w:val="single"/>
        </w:rPr>
        <w:t>23℃</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耐地震能力按7度设防（正弦三个周波，安全系数1.67以上）</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地面水平加速度：</w:t>
      </w:r>
      <w:r>
        <w:rPr>
          <w:rFonts w:hint="eastAsia" w:ascii="宋体" w:hAnsi="宋体" w:eastAsia="宋体" w:cs="宋体"/>
          <w:color w:val="auto"/>
          <w:spacing w:val="5"/>
          <w:sz w:val="21"/>
          <w:szCs w:val="21"/>
          <w:u w:val="single"/>
        </w:rPr>
        <w:t>0.1g</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地面垂直加速度：</w:t>
      </w:r>
      <w:r>
        <w:rPr>
          <w:rFonts w:hint="eastAsia" w:ascii="宋体" w:hAnsi="宋体" w:eastAsia="宋体" w:cs="宋体"/>
          <w:color w:val="auto"/>
          <w:spacing w:val="5"/>
          <w:sz w:val="21"/>
          <w:szCs w:val="21"/>
          <w:u w:val="single"/>
        </w:rPr>
        <w:t>0.1g</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 xml:space="preserve">2.4 </w:t>
      </w:r>
      <w:bookmarkEnd w:id="29"/>
      <w:bookmarkEnd w:id="30"/>
      <w:bookmarkEnd w:id="31"/>
      <w:r>
        <w:rPr>
          <w:rFonts w:hint="eastAsia" w:ascii="宋体" w:hAnsi="宋体" w:eastAsia="宋体" w:cs="宋体"/>
          <w:b/>
          <w:color w:val="auto"/>
          <w:sz w:val="24"/>
          <w:szCs w:val="24"/>
          <w:lang w:val="en-US" w:eastAsia="zh-CN"/>
        </w:rPr>
        <w:t>工程条件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default" w:ascii="宋体" w:hAnsi="宋体" w:eastAsia="宋体" w:cs="宋体"/>
          <w:color w:val="auto"/>
          <w:kern w:val="2"/>
          <w:sz w:val="21"/>
          <w:szCs w:val="21"/>
          <w:lang w:val="en-US" w:eastAsia="zh-CN" w:bidi="ar-SA"/>
        </w:rPr>
      </w:pPr>
      <w:bookmarkStart w:id="32" w:name="_Hlt513197696"/>
      <w:bookmarkEnd w:id="32"/>
      <w:r>
        <w:rPr>
          <w:rFonts w:hint="eastAsia" w:ascii="宋体" w:hAnsi="宋体" w:eastAsia="宋体" w:cs="宋体"/>
          <w:color w:val="auto"/>
          <w:sz w:val="21"/>
          <w:szCs w:val="21"/>
        </w:rPr>
        <w:t>一</w:t>
      </w:r>
      <w:r>
        <w:rPr>
          <w:rFonts w:hint="eastAsia" w:ascii="宋体" w:hAnsi="宋体" w:eastAsia="宋体" w:cs="宋体"/>
          <w:color w:val="auto"/>
          <w:kern w:val="2"/>
          <w:sz w:val="21"/>
          <w:szCs w:val="21"/>
          <w:lang w:val="en-US" w:eastAsia="zh-CN" w:bidi="ar-SA"/>
        </w:rPr>
        <w:t>次系统为发变组单元接线的方式，</w:t>
      </w:r>
      <w:r>
        <w:rPr>
          <w:rFonts w:hint="eastAsia" w:ascii="宋体" w:hAnsi="宋体" w:cs="宋体"/>
          <w:color w:val="auto"/>
          <w:kern w:val="2"/>
          <w:sz w:val="21"/>
          <w:szCs w:val="21"/>
          <w:lang w:val="en-US" w:eastAsia="zh-CN" w:bidi="ar-SA"/>
        </w:rPr>
        <w:t>无</w:t>
      </w:r>
      <w:r>
        <w:rPr>
          <w:rFonts w:hint="eastAsia" w:ascii="宋体" w:hAnsi="宋体" w:eastAsia="宋体" w:cs="宋体"/>
          <w:color w:val="auto"/>
          <w:kern w:val="2"/>
          <w:sz w:val="21"/>
          <w:szCs w:val="21"/>
          <w:lang w:val="en-US" w:eastAsia="zh-CN" w:bidi="ar-SA"/>
        </w:rPr>
        <w:t>发电机出口断路器（GCB），主变高压侧以500kV电压接入系统，高压断路器为GIS结构的3/2断路器接线方式。</w:t>
      </w:r>
      <w:r>
        <w:rPr>
          <w:rFonts w:hint="eastAsia" w:ascii="宋体" w:hAnsi="宋体" w:cs="宋体"/>
          <w:color w:val="auto"/>
          <w:kern w:val="2"/>
          <w:sz w:val="21"/>
          <w:szCs w:val="21"/>
          <w:lang w:val="en-US" w:eastAsia="zh-CN" w:bidi="ar-SA"/>
        </w:rPr>
        <w:t>4</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５号机工程条件一致。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发电机额定容量：</w:t>
      </w:r>
      <w:r>
        <w:rPr>
          <w:rFonts w:hint="eastAsia" w:ascii="宋体" w:hAnsi="宋体" w:cs="宋体"/>
          <w:color w:val="auto"/>
          <w:kern w:val="2"/>
          <w:sz w:val="21"/>
          <w:szCs w:val="21"/>
          <w:u w:val="single"/>
          <w:lang w:val="en-US" w:eastAsia="zh-CN" w:bidi="ar-SA"/>
        </w:rPr>
        <w:t xml:space="preserve"> 742.8</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lang w:val="en-US" w:eastAsia="zh-CN" w:bidi="ar-SA"/>
        </w:rPr>
        <w:t>MVA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发电机额定电压：</w:t>
      </w:r>
      <w:r>
        <w:rPr>
          <w:rFonts w:hint="eastAsia" w:ascii="宋体"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20 </w:t>
      </w:r>
      <w:r>
        <w:rPr>
          <w:rFonts w:hint="eastAsia" w:ascii="宋体" w:hAnsi="宋体" w:eastAsia="宋体" w:cs="宋体"/>
          <w:color w:val="auto"/>
          <w:kern w:val="2"/>
          <w:sz w:val="21"/>
          <w:szCs w:val="21"/>
          <w:lang w:val="en-US" w:eastAsia="zh-CN" w:bidi="ar-SA"/>
        </w:rPr>
        <w:t>kV</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发电机出口断路器（GCB）：</w:t>
      </w:r>
      <w:r>
        <w:rPr>
          <w:rFonts w:hint="eastAsia" w:hAnsi="宋体" w:cs="宋体"/>
          <w:color w:val="auto"/>
          <w:kern w:val="2"/>
          <w:sz w:val="21"/>
          <w:szCs w:val="21"/>
          <w:u w:val="single"/>
          <w:lang w:val="en-US" w:eastAsia="zh-CN" w:bidi="ar-SA"/>
        </w:rPr>
        <w:t>无</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励磁变额定容量：</w:t>
      </w:r>
      <w:r>
        <w:rPr>
          <w:rFonts w:hint="eastAsia" w:hAnsi="宋体" w:cs="宋体"/>
          <w:color w:val="auto"/>
          <w:kern w:val="2"/>
          <w:sz w:val="21"/>
          <w:szCs w:val="21"/>
          <w:u w:val="single"/>
          <w:lang w:val="en-US" w:eastAsia="zh-CN" w:bidi="ar-SA"/>
        </w:rPr>
        <w:t xml:space="preserve"> 8700</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lang w:val="en-US" w:eastAsia="zh-CN" w:bidi="ar-SA"/>
        </w:rPr>
        <w:t>kVA</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励磁变联结组别：</w:t>
      </w:r>
      <w:r>
        <w:rPr>
          <w:rFonts w:hint="eastAsia" w:hAnsi="宋体" w:cs="宋体"/>
          <w:color w:val="auto"/>
          <w:kern w:val="2"/>
          <w:sz w:val="21"/>
          <w:szCs w:val="21"/>
          <w:u w:val="single"/>
          <w:lang w:val="en-US" w:eastAsia="zh-CN" w:bidi="ar-SA"/>
        </w:rPr>
        <w:t>Yd</w:t>
      </w:r>
      <w:r>
        <w:rPr>
          <w:rFonts w:hint="eastAsia" w:ascii="宋体" w:hAnsi="宋体" w:eastAsia="宋体" w:cs="宋体"/>
          <w:color w:val="auto"/>
          <w:kern w:val="2"/>
          <w:sz w:val="21"/>
          <w:szCs w:val="21"/>
          <w:u w:val="single"/>
          <w:lang w:val="en-US" w:eastAsia="zh-CN" w:bidi="ar-SA"/>
        </w:rPr>
        <w:t>1</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FF0000"/>
          <w:kern w:val="2"/>
          <w:sz w:val="21"/>
          <w:szCs w:val="21"/>
          <w:lang w:val="en-US" w:eastAsia="zh-CN" w:bidi="ar-SA"/>
        </w:rPr>
      </w:pPr>
      <w:r>
        <w:rPr>
          <w:rFonts w:hint="eastAsia" w:ascii="宋体" w:hAnsi="宋体" w:eastAsia="宋体" w:cs="宋体"/>
          <w:color w:val="auto"/>
          <w:kern w:val="2"/>
          <w:sz w:val="21"/>
          <w:szCs w:val="21"/>
          <w:lang w:val="en-US" w:eastAsia="zh-CN" w:bidi="ar-SA"/>
        </w:rPr>
        <w:t>励磁方式：自并励静止励磁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主变压器额定容量：</w:t>
      </w:r>
      <w:r>
        <w:rPr>
          <w:rFonts w:hint="eastAsia" w:ascii="宋体" w:hAnsi="宋体" w:cs="宋体"/>
          <w:color w:val="auto"/>
          <w:kern w:val="2"/>
          <w:sz w:val="21"/>
          <w:szCs w:val="21"/>
          <w:u w:val="single"/>
          <w:lang w:val="en-US" w:eastAsia="zh-CN" w:bidi="ar-SA"/>
        </w:rPr>
        <w:t xml:space="preserve"> 755</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lang w:val="en-US" w:eastAsia="zh-CN" w:bidi="ar-SA"/>
        </w:rPr>
        <w:t>MVA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主变压器高压侧额定电压：</w:t>
      </w:r>
      <w:r>
        <w:rPr>
          <w:rFonts w:hint="eastAsia" w:ascii="宋体" w:hAnsi="宋体" w:cs="宋体"/>
          <w:color w:val="auto"/>
          <w:kern w:val="2"/>
          <w:sz w:val="21"/>
          <w:szCs w:val="21"/>
          <w:u w:val="single"/>
          <w:lang w:val="en-US" w:eastAsia="zh-CN" w:bidi="ar-SA"/>
        </w:rPr>
        <w:t xml:space="preserve"> 525</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lang w:val="en-US" w:eastAsia="zh-CN" w:bidi="ar-SA"/>
        </w:rPr>
        <w:t>kV</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主变压器联结组别：</w:t>
      </w:r>
      <w:r>
        <w:rPr>
          <w:rFonts w:hint="eastAsia" w:ascii="宋体" w:hAnsi="宋体" w:eastAsia="宋体" w:cs="宋体"/>
          <w:color w:val="auto"/>
          <w:kern w:val="2"/>
          <w:sz w:val="21"/>
          <w:szCs w:val="21"/>
          <w:u w:val="single"/>
          <w:lang w:val="en-US" w:eastAsia="zh-CN" w:bidi="ar-SA"/>
        </w:rPr>
        <w:t>YnD11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高压厂变额定容量：</w:t>
      </w:r>
      <w:r>
        <w:rPr>
          <w:rFonts w:hint="eastAsia" w:ascii="宋体"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40 </w:t>
      </w:r>
      <w:r>
        <w:rPr>
          <w:rFonts w:hint="eastAsia" w:ascii="宋体" w:hAnsi="宋体" w:eastAsia="宋体" w:cs="宋体"/>
          <w:color w:val="auto"/>
          <w:kern w:val="2"/>
          <w:sz w:val="21"/>
          <w:szCs w:val="21"/>
          <w:lang w:val="en-US" w:eastAsia="zh-CN" w:bidi="ar-SA"/>
        </w:rPr>
        <w:t>MVA</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高压厂变额定电压：高压侧</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20 </w:t>
      </w:r>
      <w:r>
        <w:rPr>
          <w:rFonts w:hint="eastAsia" w:ascii="宋体" w:hAnsi="宋体" w:eastAsia="宋体" w:cs="宋体"/>
          <w:color w:val="auto"/>
          <w:kern w:val="2"/>
          <w:sz w:val="21"/>
          <w:szCs w:val="21"/>
          <w:lang w:val="en-US" w:eastAsia="zh-CN" w:bidi="ar-SA"/>
        </w:rPr>
        <w:t>kV</w:t>
      </w:r>
    </w:p>
    <w:p>
      <w:pPr>
        <w:pStyle w:val="9"/>
        <w:keepNext w:val="0"/>
        <w:keepLines w:val="0"/>
        <w:pageBreakBefore w:val="0"/>
        <w:widowControl w:val="0"/>
        <w:kinsoku/>
        <w:wordWrap/>
        <w:overflowPunct/>
        <w:topLinePunct w:val="0"/>
        <w:autoSpaceDE/>
        <w:autoSpaceDN/>
        <w:bidi w:val="0"/>
        <w:snapToGrid/>
        <w:spacing w:line="360" w:lineRule="auto"/>
        <w:ind w:firstLine="2310" w:firstLineChars="11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低压侧</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10.5kV/3.15kV </w:t>
      </w:r>
      <w:r>
        <w:rPr>
          <w:rFonts w:hint="eastAsia" w:ascii="宋体" w:hAnsi="宋体" w:eastAsia="宋体" w:cs="宋体"/>
          <w:color w:val="auto"/>
          <w:kern w:val="2"/>
          <w:sz w:val="21"/>
          <w:szCs w:val="21"/>
          <w:lang w:val="en-US" w:eastAsia="zh-CN" w:bidi="ar-SA"/>
        </w:rPr>
        <w:t>kV</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高压厂变联结组别：</w:t>
      </w:r>
      <w:r>
        <w:rPr>
          <w:rFonts w:hint="eastAsia" w:ascii="宋体" w:hAnsi="宋体" w:eastAsia="宋体" w:cs="宋体"/>
          <w:color w:val="auto"/>
          <w:kern w:val="2"/>
          <w:sz w:val="21"/>
          <w:szCs w:val="21"/>
          <w:u w:val="single"/>
          <w:lang w:val="en-US" w:eastAsia="zh-CN" w:bidi="ar-SA"/>
        </w:rPr>
        <w:t>DYn1Yn1</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高压厂变接地方式：</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10.5 </w:t>
      </w:r>
      <w:r>
        <w:rPr>
          <w:rFonts w:hint="eastAsia" w:ascii="宋体" w:hAnsi="宋体" w:eastAsia="宋体" w:cs="宋体"/>
          <w:color w:val="auto"/>
          <w:kern w:val="2"/>
          <w:sz w:val="21"/>
          <w:szCs w:val="21"/>
          <w:lang w:val="en-US" w:eastAsia="zh-CN" w:bidi="ar-SA"/>
        </w:rPr>
        <w:t>kV中性点接地电阻</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1</w:t>
      </w:r>
      <w:r>
        <w:rPr>
          <w:rFonts w:hint="eastAsia" w:hAnsi="宋体" w:cs="宋体"/>
          <w:color w:val="auto"/>
          <w:kern w:val="2"/>
          <w:sz w:val="21"/>
          <w:szCs w:val="21"/>
          <w:u w:val="single"/>
          <w:lang w:val="en-US" w:eastAsia="zh-CN" w:bidi="ar-SA"/>
        </w:rPr>
        <w:t>0</w:t>
      </w:r>
      <w:r>
        <w:rPr>
          <w:rFonts w:hint="eastAsia" w:ascii="宋体" w:hAnsi="宋体" w:eastAsia="宋体" w:cs="宋体"/>
          <w:color w:val="auto"/>
          <w:kern w:val="2"/>
          <w:sz w:val="21"/>
          <w:szCs w:val="21"/>
          <w:u w:val="single"/>
          <w:lang w:val="en-US" w:eastAsia="zh-CN" w:bidi="ar-SA"/>
        </w:rPr>
        <w:t xml:space="preserve">.2 </w:t>
      </w:r>
      <w:r>
        <w:rPr>
          <w:rFonts w:hint="eastAsia" w:ascii="宋体" w:hAnsi="宋体" w:eastAsia="宋体" w:cs="宋体"/>
          <w:color w:val="auto"/>
          <w:kern w:val="2"/>
          <w:sz w:val="21"/>
          <w:szCs w:val="21"/>
          <w:lang w:val="en-US" w:eastAsia="zh-CN" w:bidi="ar-SA"/>
        </w:rPr>
        <w:t>Ω</w:t>
      </w:r>
    </w:p>
    <w:p>
      <w:pPr>
        <w:pStyle w:val="9"/>
        <w:keepNext w:val="0"/>
        <w:keepLines w:val="0"/>
        <w:pageBreakBefore w:val="0"/>
        <w:widowControl w:val="0"/>
        <w:kinsoku/>
        <w:wordWrap/>
        <w:overflowPunct/>
        <w:topLinePunct w:val="0"/>
        <w:autoSpaceDE/>
        <w:autoSpaceDN/>
        <w:bidi w:val="0"/>
        <w:snapToGrid/>
        <w:spacing w:line="360" w:lineRule="auto"/>
        <w:ind w:firstLine="2310" w:firstLineChars="1100"/>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3.15 </w:t>
      </w:r>
      <w:r>
        <w:rPr>
          <w:rFonts w:hint="eastAsia" w:ascii="宋体" w:hAnsi="宋体" w:eastAsia="宋体" w:cs="宋体"/>
          <w:color w:val="auto"/>
          <w:kern w:val="2"/>
          <w:sz w:val="21"/>
          <w:szCs w:val="21"/>
          <w:lang w:val="en-US" w:eastAsia="zh-CN" w:bidi="ar-SA"/>
        </w:rPr>
        <w:t>kV中性点接地电阻</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0.40 </w:t>
      </w:r>
      <w:r>
        <w:rPr>
          <w:rFonts w:hint="eastAsia" w:ascii="宋体" w:hAnsi="宋体" w:eastAsia="宋体" w:cs="宋体"/>
          <w:color w:val="auto"/>
          <w:kern w:val="2"/>
          <w:sz w:val="21"/>
          <w:szCs w:val="21"/>
          <w:lang w:val="en-US" w:eastAsia="zh-CN" w:bidi="ar-SA"/>
        </w:rPr>
        <w:t>Ω</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u w:val="single"/>
          <w:lang w:val="en-US" w:eastAsia="zh-CN" w:bidi="ar-SA"/>
        </w:rPr>
      </w:pPr>
      <w:r>
        <w:rPr>
          <w:rFonts w:hint="eastAsia" w:ascii="宋体" w:hAnsi="宋体" w:eastAsia="宋体" w:cs="宋体"/>
          <w:color w:val="auto"/>
          <w:kern w:val="2"/>
          <w:sz w:val="21"/>
          <w:szCs w:val="21"/>
          <w:lang w:val="en-US" w:eastAsia="zh-CN" w:bidi="ar-SA"/>
        </w:rPr>
        <w:t>最大短路电流：500 kV侧</w:t>
      </w:r>
      <w:r>
        <w:rPr>
          <w:rFonts w:hint="eastAsia" w:hAnsi="宋体" w:cs="宋体"/>
          <w:color w:val="auto"/>
          <w:kern w:val="2"/>
          <w:sz w:val="21"/>
          <w:szCs w:val="21"/>
          <w:lang w:val="en-US" w:eastAsia="zh-CN" w:bidi="ar-SA"/>
        </w:rPr>
        <w:t xml:space="preserve"> </w:t>
      </w:r>
      <w:r>
        <w:rPr>
          <w:rFonts w:hint="eastAsia" w:hAnsi="宋体" w:cs="宋体"/>
          <w:color w:val="auto"/>
          <w:kern w:val="2"/>
          <w:sz w:val="21"/>
          <w:szCs w:val="21"/>
          <w:u w:val="single"/>
          <w:lang w:val="en-US" w:eastAsia="zh-CN" w:bidi="ar-SA"/>
        </w:rPr>
        <w:t>50k</w:t>
      </w:r>
      <w:r>
        <w:rPr>
          <w:rFonts w:hint="eastAsia" w:ascii="宋体" w:hAnsi="宋体" w:eastAsia="宋体" w:cs="宋体"/>
          <w:color w:val="auto"/>
          <w:kern w:val="2"/>
          <w:sz w:val="21"/>
          <w:szCs w:val="21"/>
          <w:u w:val="single"/>
          <w:lang w:val="en-US" w:eastAsia="zh-CN" w:bidi="ar-SA"/>
        </w:rPr>
        <w:t>A</w:t>
      </w:r>
    </w:p>
    <w:p>
      <w:pPr>
        <w:pStyle w:val="9"/>
        <w:keepNext w:val="0"/>
        <w:keepLines w:val="0"/>
        <w:pageBreakBefore w:val="0"/>
        <w:widowControl w:val="0"/>
        <w:kinsoku/>
        <w:wordWrap/>
        <w:overflowPunct/>
        <w:topLinePunct w:val="0"/>
        <w:autoSpaceDE/>
        <w:autoSpaceDN/>
        <w:bidi w:val="0"/>
        <w:snapToGrid/>
        <w:spacing w:line="360" w:lineRule="auto"/>
        <w:ind w:firstLine="1890" w:firstLineChars="9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发电机出口侧</w:t>
      </w:r>
      <w:r>
        <w:rPr>
          <w:rFonts w:hint="eastAsia" w:hAnsi="宋体" w:cs="宋体"/>
          <w:color w:val="auto"/>
          <w:kern w:val="2"/>
          <w:sz w:val="21"/>
          <w:szCs w:val="21"/>
          <w:lang w:val="en-US" w:eastAsia="zh-CN" w:bidi="ar-SA"/>
        </w:rPr>
        <w:t xml:space="preserve"> </w:t>
      </w:r>
      <w:r>
        <w:rPr>
          <w:rFonts w:hint="eastAsia" w:hAnsi="宋体" w:cs="宋体"/>
          <w:color w:val="auto"/>
          <w:kern w:val="2"/>
          <w:sz w:val="21"/>
          <w:szCs w:val="21"/>
          <w:u w:val="single"/>
          <w:lang w:val="en-US" w:eastAsia="zh-CN" w:bidi="ar-SA"/>
        </w:rPr>
        <w:t>200k</w:t>
      </w:r>
      <w:r>
        <w:rPr>
          <w:rFonts w:hint="eastAsia" w:ascii="宋体" w:hAnsi="宋体" w:eastAsia="宋体" w:cs="宋体"/>
          <w:color w:val="auto"/>
          <w:kern w:val="2"/>
          <w:sz w:val="21"/>
          <w:szCs w:val="21"/>
          <w:lang w:val="en-US" w:eastAsia="zh-CN" w:bidi="ar-SA"/>
        </w:rPr>
        <w:t>A</w:t>
      </w:r>
    </w:p>
    <w:p>
      <w:pPr>
        <w:pStyle w:val="9"/>
        <w:keepNext w:val="0"/>
        <w:keepLines w:val="0"/>
        <w:pageBreakBefore w:val="0"/>
        <w:widowControl w:val="0"/>
        <w:kinsoku/>
        <w:wordWrap/>
        <w:overflowPunct/>
        <w:topLinePunct w:val="0"/>
        <w:autoSpaceDE/>
        <w:autoSpaceDN/>
        <w:bidi w:val="0"/>
        <w:snapToGrid/>
        <w:spacing w:line="360" w:lineRule="auto"/>
        <w:ind w:firstLine="1890" w:firstLineChars="900"/>
        <w:rPr>
          <w:rFonts w:hint="eastAsia" w:ascii="宋体" w:hAnsi="宋体" w:eastAsia="宋体" w:cs="宋体"/>
          <w:color w:val="auto"/>
          <w:kern w:val="2"/>
          <w:sz w:val="21"/>
          <w:szCs w:val="21"/>
          <w:u w:val="single"/>
          <w:lang w:val="en-US" w:eastAsia="zh-CN" w:bidi="ar-SA"/>
        </w:rPr>
      </w:pPr>
      <w:r>
        <w:rPr>
          <w:rFonts w:hint="eastAsia" w:ascii="宋体" w:hAnsi="宋体" w:eastAsia="宋体" w:cs="宋体"/>
          <w:color w:val="auto"/>
          <w:kern w:val="2"/>
          <w:sz w:val="21"/>
          <w:szCs w:val="21"/>
          <w:lang w:val="en-US" w:eastAsia="zh-CN" w:bidi="ar-SA"/>
        </w:rPr>
        <w:t>高压厂变高压侧：</w:t>
      </w:r>
      <w:r>
        <w:rPr>
          <w:rFonts w:hint="eastAsia" w:ascii="宋体" w:hAnsi="宋体" w:eastAsia="宋体" w:cs="宋体"/>
          <w:color w:val="auto"/>
          <w:kern w:val="2"/>
          <w:sz w:val="21"/>
          <w:szCs w:val="21"/>
          <w:u w:val="single"/>
          <w:lang w:val="en-US" w:eastAsia="zh-CN" w:bidi="ar-SA"/>
        </w:rPr>
        <w:t>200kA</w:t>
      </w:r>
    </w:p>
    <w:p>
      <w:pPr>
        <w:pStyle w:val="9"/>
        <w:keepNext w:val="0"/>
        <w:keepLines w:val="0"/>
        <w:pageBreakBefore w:val="0"/>
        <w:widowControl w:val="0"/>
        <w:kinsoku/>
        <w:wordWrap/>
        <w:overflowPunct/>
        <w:topLinePunct w:val="0"/>
        <w:autoSpaceDE/>
        <w:autoSpaceDN/>
        <w:bidi w:val="0"/>
        <w:snapToGrid/>
        <w:spacing w:line="360" w:lineRule="auto"/>
        <w:ind w:firstLine="1890" w:firstLineChars="9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高压厂变低压侧A：</w:t>
      </w:r>
      <w:r>
        <w:rPr>
          <w:rFonts w:hint="eastAsia" w:ascii="宋体" w:hAnsi="宋体" w:eastAsia="宋体" w:cs="宋体"/>
          <w:color w:val="auto"/>
          <w:kern w:val="2"/>
          <w:sz w:val="21"/>
          <w:szCs w:val="21"/>
          <w:u w:val="single"/>
          <w:lang w:val="en-US" w:eastAsia="zh-CN" w:bidi="ar-SA"/>
        </w:rPr>
        <w:t>40kA</w:t>
      </w:r>
    </w:p>
    <w:p>
      <w:pPr>
        <w:pStyle w:val="9"/>
        <w:keepNext w:val="0"/>
        <w:keepLines w:val="0"/>
        <w:pageBreakBefore w:val="0"/>
        <w:widowControl w:val="0"/>
        <w:kinsoku/>
        <w:wordWrap/>
        <w:overflowPunct/>
        <w:topLinePunct w:val="0"/>
        <w:autoSpaceDE/>
        <w:autoSpaceDN/>
        <w:bidi w:val="0"/>
        <w:snapToGrid/>
        <w:spacing w:line="360" w:lineRule="auto"/>
        <w:ind w:firstLine="1890" w:firstLineChars="9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高压厂变低压侧B：</w:t>
      </w:r>
      <w:r>
        <w:rPr>
          <w:rFonts w:hint="eastAsia" w:ascii="宋体" w:hAnsi="宋体" w:eastAsia="宋体" w:cs="宋体"/>
          <w:color w:val="auto"/>
          <w:kern w:val="2"/>
          <w:sz w:val="21"/>
          <w:szCs w:val="21"/>
          <w:u w:val="single"/>
          <w:lang w:val="en-US" w:eastAsia="zh-CN" w:bidi="ar-SA"/>
        </w:rPr>
        <w:t>40kA</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安装形式：</w:t>
      </w:r>
      <w:r>
        <w:rPr>
          <w:rFonts w:hint="eastAsia" w:ascii="宋体" w:hAnsi="宋体" w:eastAsia="宋体" w:cs="宋体"/>
          <w:color w:val="auto"/>
          <w:kern w:val="2"/>
          <w:sz w:val="21"/>
          <w:szCs w:val="21"/>
          <w:u w:val="single"/>
          <w:lang w:val="en-US" w:eastAsia="zh-CN" w:bidi="ar-SA"/>
        </w:rPr>
        <w:t>室内</w:t>
      </w:r>
    </w:p>
    <w:bookmarkEnd w:id="23"/>
    <w:bookmarkEnd w:id="24"/>
    <w:bookmarkEnd w:id="25"/>
    <w:bookmarkEnd w:id="26"/>
    <w:bookmarkEnd w:id="27"/>
    <w:bookmarkEnd w:id="28"/>
    <w:p>
      <w:pPr>
        <w:numPr>
          <w:ilvl w:val="0"/>
          <w:numId w:val="0"/>
        </w:numPr>
        <w:spacing w:before="0" w:beforeLines="0" w:after="0" w:afterLines="0" w:line="360" w:lineRule="auto"/>
        <w:rPr>
          <w:rFonts w:hint="eastAsia"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3</w:t>
      </w:r>
      <w:r>
        <w:rPr>
          <w:rFonts w:hint="eastAsia" w:ascii="宋体" w:hAnsi="宋体" w:eastAsia="宋体" w:cs="宋体"/>
          <w:b/>
          <w:color w:val="auto"/>
          <w:sz w:val="28"/>
          <w:szCs w:val="28"/>
          <w:lang w:val="en-US" w:eastAsia="zh-CN"/>
        </w:rPr>
        <w:t xml:space="preserve"> </w:t>
      </w:r>
      <w:r>
        <w:rPr>
          <w:rFonts w:hint="eastAsia" w:ascii="宋体" w:hAnsi="宋体" w:cs="宋体"/>
          <w:b/>
          <w:color w:val="auto"/>
          <w:sz w:val="28"/>
          <w:szCs w:val="28"/>
          <w:lang w:val="en-US" w:eastAsia="zh-CN"/>
        </w:rPr>
        <w:t>设计和运行条件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 xml:space="preserve">3.1 </w:t>
      </w:r>
      <w:r>
        <w:rPr>
          <w:rFonts w:hint="eastAsia" w:ascii="宋体" w:hAnsi="宋体" w:eastAsia="宋体" w:cs="宋体"/>
          <w:b/>
          <w:color w:val="auto"/>
          <w:sz w:val="24"/>
          <w:szCs w:val="24"/>
          <w:lang w:val="en-US" w:eastAsia="zh-CN"/>
        </w:rPr>
        <w:t>基本技术条件</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型式：微机型保护装置</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t>3.2 控制电源</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3.2.1交流控制电源</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1）额定电压：220</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＋10％～－15％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2）波形：正弦，波形畸变不大于5％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3）频率：50</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Hz±0.5％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3.2.2 直流控制电源</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1）额定电压：115</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＋10％～－15％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2）波纹系数：不大于5％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3.2.3设备照明和维修电压:</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设备照明额定电压为220V；</w:t>
      </w:r>
    </w:p>
    <w:p>
      <w:pPr>
        <w:numPr>
          <w:ilvl w:val="0"/>
          <w:numId w:val="0"/>
        </w:numPr>
        <w:spacing w:line="360" w:lineRule="auto"/>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维修插座电源额定电压为380V,三相四线、50Hz；单相220V、20A。</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t>3.3 主要设备技术参数</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3.3.1 额定数据</w:t>
      </w:r>
    </w:p>
    <w:p>
      <w:pPr>
        <w:numPr>
          <w:ilvl w:val="0"/>
          <w:numId w:val="0"/>
        </w:numPr>
        <w:spacing w:line="360" w:lineRule="auto"/>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４、５号机相同</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1）</w:t>
      </w:r>
      <w:r>
        <w:rPr>
          <w:rFonts w:hint="eastAsia" w:ascii="宋体" w:hAnsi="宋体" w:eastAsia="宋体" w:cs="宋体"/>
          <w:color w:val="auto"/>
          <w:kern w:val="2"/>
          <w:sz w:val="21"/>
          <w:szCs w:val="21"/>
          <w:lang w:val="en-US" w:eastAsia="zh-CN" w:bidi="ar-SA"/>
        </w:rPr>
        <w:t>CT</w:t>
      </w:r>
      <w:r>
        <w:rPr>
          <w:rFonts w:hint="eastAsia" w:ascii="宋体" w:hAnsi="宋体" w:cs="宋体"/>
          <w:color w:val="auto"/>
          <w:kern w:val="2"/>
          <w:sz w:val="21"/>
          <w:szCs w:val="21"/>
          <w:lang w:val="en-US" w:eastAsia="zh-CN" w:bidi="ar-SA"/>
        </w:rPr>
        <w:t>参数</w:t>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500kV侧</w:t>
      </w:r>
      <w:r>
        <w:rPr>
          <w:rFonts w:hint="eastAsia" w:ascii="宋体" w:hAnsi="宋体" w:cs="宋体"/>
          <w:color w:val="auto"/>
          <w:kern w:val="2"/>
          <w:sz w:val="21"/>
          <w:szCs w:val="21"/>
          <w:lang w:val="en-US" w:eastAsia="zh-CN" w:bidi="ar-SA"/>
        </w:rPr>
        <w:t>串内CT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变比4000</w:t>
      </w:r>
      <w:r>
        <w:rPr>
          <w:rFonts w:hint="eastAsia" w:ascii="宋体" w:hAnsi="宋体" w:eastAsia="宋体" w:cs="宋体"/>
          <w:color w:val="auto"/>
          <w:kern w:val="2"/>
          <w:sz w:val="21"/>
          <w:szCs w:val="21"/>
          <w:lang w:val="en-US" w:eastAsia="zh-CN" w:bidi="ar-SA"/>
        </w:rPr>
        <w:t>/5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主变压器高压侧套管</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w:t>
      </w:r>
      <w:r>
        <w:rPr>
          <w:rFonts w:hint="eastAsia" w:ascii="宋体" w:hAnsi="宋体" w:eastAsia="宋体" w:cs="宋体"/>
          <w:color w:val="auto"/>
          <w:kern w:val="2"/>
          <w:sz w:val="21"/>
          <w:szCs w:val="21"/>
          <w:lang w:val="en-US" w:eastAsia="zh-CN" w:bidi="ar-SA"/>
        </w:rPr>
        <w:t>12</w:t>
      </w:r>
      <w:r>
        <w:rPr>
          <w:rFonts w:hint="eastAsia" w:ascii="宋体" w:hAnsi="宋体" w:cs="宋体"/>
          <w:color w:val="auto"/>
          <w:kern w:val="2"/>
          <w:sz w:val="21"/>
          <w:szCs w:val="21"/>
          <w:lang w:val="en-US" w:eastAsia="zh-CN" w:bidi="ar-SA"/>
        </w:rPr>
        <w:t>0</w:t>
      </w:r>
      <w:r>
        <w:rPr>
          <w:rFonts w:hint="eastAsia" w:ascii="宋体" w:hAnsi="宋体" w:eastAsia="宋体" w:cs="宋体"/>
          <w:color w:val="auto"/>
          <w:kern w:val="2"/>
          <w:sz w:val="21"/>
          <w:szCs w:val="21"/>
          <w:lang w:val="en-US" w:eastAsia="zh-CN" w:bidi="ar-SA"/>
        </w:rPr>
        <w:t>0/5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主变压器中性点零序</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变比1200</w:t>
      </w:r>
      <w:r>
        <w:rPr>
          <w:rFonts w:hint="eastAsia" w:ascii="宋体" w:hAnsi="宋体" w:eastAsia="宋体" w:cs="宋体"/>
          <w:color w:val="auto"/>
          <w:kern w:val="2"/>
          <w:sz w:val="21"/>
          <w:szCs w:val="21"/>
          <w:lang w:val="en-US" w:eastAsia="zh-CN" w:bidi="ar-SA"/>
        </w:rPr>
        <w:t>/5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发电机机端侧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w:t>
      </w:r>
      <w:r>
        <w:rPr>
          <w:rFonts w:hint="eastAsia" w:ascii="宋体" w:hAnsi="宋体" w:eastAsia="宋体" w:cs="宋体"/>
          <w:color w:val="auto"/>
          <w:kern w:val="2"/>
          <w:sz w:val="21"/>
          <w:szCs w:val="21"/>
          <w:lang w:val="en-US" w:eastAsia="zh-CN" w:bidi="ar-SA"/>
        </w:rPr>
        <w:t>25000/5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发电机中性点侧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w:t>
      </w:r>
      <w:r>
        <w:rPr>
          <w:rFonts w:hint="eastAsia" w:ascii="宋体" w:hAnsi="宋体" w:eastAsia="宋体" w:cs="宋体"/>
          <w:color w:val="auto"/>
          <w:kern w:val="2"/>
          <w:sz w:val="21"/>
          <w:szCs w:val="21"/>
          <w:lang w:val="en-US" w:eastAsia="zh-CN" w:bidi="ar-SA"/>
        </w:rPr>
        <w:t>25000/5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励磁变高压侧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变比4</w:t>
      </w:r>
      <w:r>
        <w:rPr>
          <w:rFonts w:hint="eastAsia" w:ascii="宋体" w:hAnsi="宋体" w:eastAsia="宋体" w:cs="宋体"/>
          <w:color w:val="auto"/>
          <w:kern w:val="2"/>
          <w:sz w:val="21"/>
          <w:szCs w:val="21"/>
          <w:lang w:val="en-US" w:eastAsia="zh-CN" w:bidi="ar-SA"/>
        </w:rPr>
        <w:t>00/</w:t>
      </w:r>
      <w:r>
        <w:rPr>
          <w:rFonts w:hint="eastAsia" w:ascii="宋体" w:hAnsi="宋体" w:cs="宋体"/>
          <w:color w:val="auto"/>
          <w:kern w:val="2"/>
          <w:sz w:val="21"/>
          <w:szCs w:val="21"/>
          <w:lang w:val="en-US" w:eastAsia="zh-CN" w:bidi="ar-SA"/>
        </w:rPr>
        <w:t>5</w:t>
      </w:r>
      <w:r>
        <w:rPr>
          <w:rFonts w:hint="eastAsia" w:ascii="宋体" w:hAnsi="宋体" w:eastAsia="宋体" w:cs="宋体"/>
          <w:color w:val="auto"/>
          <w:kern w:val="2"/>
          <w:sz w:val="21"/>
          <w:szCs w:val="21"/>
          <w:lang w:val="en-US" w:eastAsia="zh-CN" w:bidi="ar-SA"/>
        </w:rPr>
        <w:t xml:space="preserve"> A</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励磁变低压侧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变比5</w:t>
      </w:r>
      <w:r>
        <w:rPr>
          <w:rFonts w:hint="eastAsia" w:ascii="宋体" w:hAnsi="宋体" w:eastAsia="宋体" w:cs="宋体"/>
          <w:color w:val="auto"/>
          <w:kern w:val="2"/>
          <w:sz w:val="21"/>
          <w:szCs w:val="21"/>
          <w:lang w:val="en-US" w:eastAsia="zh-CN" w:bidi="ar-SA"/>
        </w:rPr>
        <w:t>000/</w:t>
      </w:r>
      <w:r>
        <w:rPr>
          <w:rFonts w:hint="eastAsia" w:ascii="宋体" w:hAnsi="宋体" w:cs="宋体"/>
          <w:color w:val="auto"/>
          <w:kern w:val="2"/>
          <w:sz w:val="21"/>
          <w:szCs w:val="21"/>
          <w:lang w:val="en-US" w:eastAsia="zh-CN" w:bidi="ar-SA"/>
        </w:rPr>
        <w:t>5</w:t>
      </w:r>
      <w:r>
        <w:rPr>
          <w:rFonts w:hint="eastAsia" w:ascii="宋体" w:hAnsi="宋体" w:eastAsia="宋体" w:cs="宋体"/>
          <w:color w:val="auto"/>
          <w:kern w:val="2"/>
          <w:sz w:val="21"/>
          <w:szCs w:val="21"/>
          <w:lang w:val="en-US" w:eastAsia="zh-CN" w:bidi="ar-SA"/>
        </w:rPr>
        <w:t xml:space="preserve">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高压厂变高压侧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变比1500</w:t>
      </w:r>
      <w:r>
        <w:rPr>
          <w:rFonts w:hint="eastAsia" w:ascii="宋体" w:hAnsi="宋体" w:eastAsia="宋体" w:cs="宋体"/>
          <w:color w:val="auto"/>
          <w:kern w:val="2"/>
          <w:sz w:val="21"/>
          <w:szCs w:val="21"/>
          <w:lang w:val="en-US" w:eastAsia="zh-CN" w:bidi="ar-SA"/>
        </w:rPr>
        <w:t>/5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高压厂变低压侧零序</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变比6</w:t>
      </w:r>
      <w:r>
        <w:rPr>
          <w:rFonts w:hint="eastAsia" w:ascii="宋体" w:hAnsi="宋体" w:eastAsia="宋体" w:cs="宋体"/>
          <w:color w:val="auto"/>
          <w:kern w:val="2"/>
          <w:sz w:val="21"/>
          <w:szCs w:val="21"/>
          <w:lang w:val="en-US" w:eastAsia="zh-CN" w:bidi="ar-SA"/>
        </w:rPr>
        <w:t>00/5 A</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厂用分支进线侧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变比3</w:t>
      </w:r>
      <w:r>
        <w:rPr>
          <w:rFonts w:hint="eastAsia" w:ascii="宋体" w:hAnsi="宋体" w:eastAsia="宋体" w:cs="宋体"/>
          <w:color w:val="auto"/>
          <w:kern w:val="2"/>
          <w:sz w:val="21"/>
          <w:szCs w:val="21"/>
          <w:lang w:val="en-US" w:eastAsia="zh-CN" w:bidi="ar-SA"/>
        </w:rPr>
        <w:t>000/5 A</w:t>
      </w:r>
      <w:r>
        <w:rPr>
          <w:rFonts w:hint="eastAsia" w:ascii="宋体" w:hAnsi="宋体" w:cs="宋体"/>
          <w:color w:val="auto"/>
          <w:kern w:val="2"/>
          <w:sz w:val="21"/>
          <w:szCs w:val="21"/>
          <w:lang w:val="en-US" w:eastAsia="zh-CN" w:bidi="ar-SA"/>
        </w:rPr>
        <w:tab/>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2）</w:t>
      </w:r>
      <w:r>
        <w:rPr>
          <w:rFonts w:hint="eastAsia" w:ascii="宋体" w:hAnsi="宋体" w:eastAsia="宋体" w:cs="宋体"/>
          <w:color w:val="auto"/>
          <w:kern w:val="2"/>
          <w:sz w:val="21"/>
          <w:szCs w:val="21"/>
          <w:lang w:val="en-US" w:eastAsia="zh-CN" w:bidi="ar-SA"/>
        </w:rPr>
        <w:t>PT二次电压：100</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3）</w:t>
      </w:r>
      <w:r>
        <w:rPr>
          <w:rFonts w:hint="eastAsia" w:ascii="宋体" w:hAnsi="宋体" w:eastAsia="宋体" w:cs="宋体"/>
          <w:color w:val="auto"/>
          <w:kern w:val="2"/>
          <w:sz w:val="21"/>
          <w:szCs w:val="21"/>
          <w:lang w:val="en-US" w:eastAsia="zh-CN" w:bidi="ar-SA"/>
        </w:rPr>
        <w:t>频率：50</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Hz</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 xml:space="preserve">3.3.2 </w:t>
      </w:r>
      <w:r>
        <w:rPr>
          <w:rFonts w:hint="eastAsia" w:ascii="宋体" w:hAnsi="宋体" w:eastAsia="宋体" w:cs="宋体"/>
          <w:color w:val="auto"/>
          <w:kern w:val="2"/>
          <w:sz w:val="21"/>
          <w:szCs w:val="21"/>
          <w:lang w:val="en-US" w:eastAsia="zh-CN" w:bidi="ar-SA"/>
        </w:rPr>
        <w:t>500kV断路器参数</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控制电压：DC</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115</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合闸电流：3.5 A</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跳闸电流：</w:t>
      </w:r>
      <w:r>
        <w:rPr>
          <w:rFonts w:hint="eastAsia" w:ascii="宋体" w:hAnsi="宋体" w:cs="宋体"/>
          <w:color w:val="auto"/>
          <w:kern w:val="2"/>
          <w:sz w:val="21"/>
          <w:szCs w:val="21"/>
          <w:lang w:val="en-US" w:eastAsia="zh-CN" w:bidi="ar-SA"/>
        </w:rPr>
        <w:t>3.5</w:t>
      </w:r>
      <w:r>
        <w:rPr>
          <w:rFonts w:hint="eastAsia" w:ascii="宋体" w:hAnsi="宋体" w:eastAsia="宋体" w:cs="宋体"/>
          <w:color w:val="auto"/>
          <w:kern w:val="2"/>
          <w:sz w:val="21"/>
          <w:szCs w:val="21"/>
          <w:lang w:val="en-US" w:eastAsia="zh-CN" w:bidi="ar-SA"/>
        </w:rPr>
        <w:t xml:space="preserve"> A（分相）</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操作方式：分相操作</w:t>
      </w:r>
    </w:p>
    <w:p>
      <w:pPr>
        <w:numPr>
          <w:ilvl w:val="0"/>
          <w:numId w:val="0"/>
        </w:numPr>
        <w:spacing w:line="360" w:lineRule="auto"/>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3.3.3 磁场断路器参数</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控制电压：DC 115</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合闸电流：3</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A</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跳闸电流：3 A</w:t>
      </w:r>
    </w:p>
    <w:p>
      <w:pPr>
        <w:numPr>
          <w:ilvl w:val="0"/>
          <w:numId w:val="0"/>
        </w:numPr>
        <w:spacing w:line="360" w:lineRule="auto"/>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3.3.4 中压断路器参数</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控制电压：DC 115</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合闸电流：3</w:t>
      </w:r>
      <w:r>
        <w:rPr>
          <w:rFonts w:hint="eastAsia" w:ascii="宋体" w:hAnsi="宋体" w:cs="宋体"/>
          <w:color w:val="auto"/>
          <w:kern w:val="2"/>
          <w:sz w:val="21"/>
          <w:szCs w:val="21"/>
          <w:lang w:val="en-US" w:eastAsia="zh-CN" w:bidi="ar-SA"/>
        </w:rPr>
        <w:t xml:space="preserve">.6 </w:t>
      </w:r>
      <w:r>
        <w:rPr>
          <w:rFonts w:hint="eastAsia" w:ascii="宋体" w:hAnsi="宋体" w:eastAsia="宋体" w:cs="宋体"/>
          <w:color w:val="auto"/>
          <w:kern w:val="2"/>
          <w:sz w:val="21"/>
          <w:szCs w:val="21"/>
          <w:lang w:val="en-US" w:eastAsia="zh-CN" w:bidi="ar-SA"/>
        </w:rPr>
        <w:t>A</w:t>
      </w:r>
    </w:p>
    <w:p>
      <w:pPr>
        <w:numPr>
          <w:ilvl w:val="0"/>
          <w:numId w:val="0"/>
        </w:numPr>
        <w:adjustRightInd/>
        <w:spacing w:before="0" w:after="0"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跳闸电流：3</w:t>
      </w:r>
      <w:r>
        <w:rPr>
          <w:rFonts w:hint="eastAsia" w:ascii="宋体" w:hAnsi="宋体" w:cs="宋体"/>
          <w:color w:val="auto"/>
          <w:kern w:val="2"/>
          <w:sz w:val="21"/>
          <w:szCs w:val="21"/>
          <w:lang w:val="en-US" w:eastAsia="zh-CN" w:bidi="ar-SA"/>
        </w:rPr>
        <w:t xml:space="preserve">.5 </w:t>
      </w:r>
      <w:r>
        <w:rPr>
          <w:rFonts w:hint="eastAsia" w:ascii="宋体" w:hAnsi="宋体" w:eastAsia="宋体" w:cs="宋体"/>
          <w:color w:val="auto"/>
          <w:kern w:val="2"/>
          <w:sz w:val="21"/>
          <w:szCs w:val="21"/>
          <w:lang w:val="en-US" w:eastAsia="zh-CN" w:bidi="ar-SA"/>
        </w:rPr>
        <w:t>A</w:t>
      </w:r>
    </w:p>
    <w:p>
      <w:pPr>
        <w:numPr>
          <w:ilvl w:val="-1"/>
          <w:numId w:val="0"/>
        </w:numPr>
        <w:spacing w:line="360" w:lineRule="auto"/>
        <w:ind w:left="0" w:firstLine="0" w:firstLineChars="0"/>
        <w:outlineLvl w:val="9"/>
        <w:rPr>
          <w:rFonts w:hint="eastAsia" w:ascii="宋体" w:hAnsi="宋体" w:eastAsia="宋体" w:cs="宋体"/>
          <w:b/>
          <w:color w:val="auto"/>
          <w:sz w:val="24"/>
          <w:szCs w:val="24"/>
        </w:rPr>
      </w:pPr>
      <w:r>
        <w:rPr>
          <w:rFonts w:hint="eastAsia" w:ascii="宋体" w:hAnsi="宋体" w:eastAsia="宋体" w:cs="宋体"/>
          <w:b/>
          <w:color w:val="auto"/>
          <w:kern w:val="2"/>
          <w:sz w:val="24"/>
          <w:szCs w:val="24"/>
          <w:lang w:val="en-US" w:eastAsia="zh-CN" w:bidi="ar-SA"/>
        </w:rPr>
        <w:t xml:space="preserve">3.4 </w:t>
      </w:r>
      <w:r>
        <w:rPr>
          <w:rFonts w:hint="eastAsia" w:ascii="宋体" w:hAnsi="宋体" w:eastAsia="宋体" w:cs="宋体"/>
          <w:b/>
          <w:color w:val="auto"/>
          <w:sz w:val="24"/>
          <w:szCs w:val="24"/>
        </w:rPr>
        <w:t>整套装置的主要功能</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 </w:t>
      </w:r>
      <w:r>
        <w:rPr>
          <w:rFonts w:hint="eastAsia" w:ascii="宋体" w:hAnsi="宋体" w:cs="宋体"/>
          <w:color w:val="auto"/>
          <w:sz w:val="21"/>
          <w:szCs w:val="21"/>
        </w:rPr>
        <w:t>微机保护的额定输入</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额定交流电流：5</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A、1</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A（详见保护配置图）</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额定交流电压：100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V（相间），100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V（零序电压）</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额定交流频率：50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Hz</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直流电源电压：</w:t>
      </w:r>
      <w:r>
        <w:rPr>
          <w:rFonts w:hint="eastAsia" w:ascii="宋体" w:hAnsi="宋体" w:cs="宋体"/>
          <w:color w:val="auto"/>
          <w:sz w:val="21"/>
          <w:szCs w:val="21"/>
          <w:u w:val="none"/>
        </w:rPr>
        <w:t>93.5</w:t>
      </w:r>
      <w:r>
        <w:rPr>
          <w:rFonts w:hint="eastAsia" w:ascii="宋体" w:hAnsi="宋体" w:eastAsia="宋体" w:cs="宋体"/>
          <w:color w:val="auto"/>
          <w:sz w:val="21"/>
          <w:szCs w:val="21"/>
          <w:u w:val="none"/>
        </w:rPr>
        <w:t>～</w:t>
      </w:r>
      <w:r>
        <w:rPr>
          <w:rFonts w:hint="eastAsia" w:ascii="宋体" w:hAnsi="宋体" w:cs="宋体"/>
          <w:color w:val="auto"/>
          <w:sz w:val="21"/>
          <w:szCs w:val="21"/>
          <w:u w:val="none"/>
        </w:rPr>
        <w:t>121</w:t>
      </w:r>
      <w:r>
        <w:rPr>
          <w:rFonts w:hint="eastAsia" w:ascii="宋体" w:hAnsi="宋体" w:eastAsia="宋体" w:cs="宋体"/>
          <w:color w:val="auto"/>
          <w:sz w:val="21"/>
          <w:szCs w:val="21"/>
          <w:u w:val="none"/>
          <w:lang w:val="en-US" w:eastAsia="zh-CN"/>
        </w:rPr>
        <w:t xml:space="preserve"> </w:t>
      </w:r>
      <w:r>
        <w:rPr>
          <w:rFonts w:hint="eastAsia" w:ascii="宋体" w:hAnsi="宋体" w:cs="宋体"/>
          <w:color w:val="auto"/>
          <w:sz w:val="21"/>
          <w:szCs w:val="21"/>
        </w:rPr>
        <w:t>V，电源波纹系数不大于5</w:t>
      </w:r>
      <w:r>
        <w:rPr>
          <w:rFonts w:hint="eastAsia" w:ascii="宋体" w:hAnsi="宋体" w:cs="宋体"/>
          <w:color w:val="auto"/>
          <w:sz w:val="21"/>
          <w:szCs w:val="21"/>
          <w:lang w:val="en-US" w:eastAsia="zh-CN"/>
        </w:rPr>
        <w:t xml:space="preserve"> </w:t>
      </w:r>
      <w:r>
        <w:rPr>
          <w:rFonts w:hint="eastAsia" w:ascii="宋体" w:hAnsi="宋体" w:cs="宋体"/>
          <w:color w:val="auto"/>
          <w:sz w:val="21"/>
          <w:szCs w:val="21"/>
          <w:lang w:eastAsia="zh-CN"/>
        </w:rPr>
        <w:t>％</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 </w:t>
      </w:r>
      <w:r>
        <w:rPr>
          <w:rFonts w:hint="eastAsia" w:ascii="宋体" w:hAnsi="宋体" w:cs="宋体"/>
          <w:color w:val="auto"/>
          <w:sz w:val="21"/>
          <w:szCs w:val="21"/>
        </w:rPr>
        <w:t>微机保护的过载能力</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交流电流回路：2倍额定电流，连续工作</w:t>
      </w:r>
    </w:p>
    <w:p>
      <w:pPr>
        <w:numPr>
          <w:ilvl w:val="0"/>
          <w:numId w:val="0"/>
        </w:numPr>
        <w:spacing w:line="360" w:lineRule="auto"/>
        <w:ind w:left="0" w:firstLine="1890" w:firstLineChars="900"/>
        <w:rPr>
          <w:rFonts w:hint="eastAsia" w:ascii="宋体" w:hAnsi="宋体" w:cs="宋体"/>
          <w:color w:val="auto"/>
          <w:sz w:val="21"/>
          <w:szCs w:val="21"/>
        </w:rPr>
      </w:pPr>
      <w:r>
        <w:rPr>
          <w:rFonts w:hint="eastAsia" w:ascii="宋体" w:hAnsi="宋体" w:cs="宋体"/>
          <w:color w:val="auto"/>
          <w:sz w:val="21"/>
          <w:szCs w:val="21"/>
        </w:rPr>
        <w:t>10倍额定电流，工作≥10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s</w:t>
      </w:r>
    </w:p>
    <w:p>
      <w:pPr>
        <w:numPr>
          <w:ilvl w:val="0"/>
          <w:numId w:val="0"/>
        </w:numPr>
        <w:spacing w:line="360" w:lineRule="auto"/>
        <w:ind w:firstLine="1890" w:firstLineChars="900"/>
        <w:rPr>
          <w:rFonts w:hint="eastAsia" w:ascii="宋体" w:hAnsi="宋体" w:cs="宋体"/>
          <w:color w:val="auto"/>
          <w:sz w:val="21"/>
          <w:szCs w:val="21"/>
        </w:rPr>
      </w:pPr>
      <w:r>
        <w:rPr>
          <w:rFonts w:hint="eastAsia" w:ascii="宋体" w:hAnsi="宋体" w:cs="宋体"/>
          <w:color w:val="auto"/>
          <w:sz w:val="21"/>
          <w:szCs w:val="21"/>
        </w:rPr>
        <w:t>40倍额定电流，工作≥1</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s</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交流电压回路：1.2倍额定电压连续工作</w:t>
      </w:r>
    </w:p>
    <w:p>
      <w:pPr>
        <w:pStyle w:val="10"/>
        <w:numPr>
          <w:ilvl w:val="-1"/>
          <w:numId w:val="0"/>
        </w:numPr>
        <w:adjustRightInd/>
        <w:snapToGrid/>
        <w:spacing w:line="360" w:lineRule="auto"/>
        <w:ind w:left="0" w:firstLine="0"/>
        <w:textAlignment w:val="auto"/>
        <w:rPr>
          <w:rFonts w:hint="eastAsia" w:ascii="宋体" w:hAnsi="宋体" w:cs="宋体"/>
          <w:color w:val="auto"/>
          <w:sz w:val="21"/>
          <w:szCs w:val="21"/>
        </w:rPr>
      </w:pPr>
      <w:r>
        <w:rPr>
          <w:rFonts w:hint="eastAsia" w:hAnsi="宋体" w:cs="宋体"/>
          <w:color w:val="auto"/>
          <w:kern w:val="2"/>
          <w:sz w:val="21"/>
          <w:szCs w:val="21"/>
          <w:lang w:val="en-US" w:eastAsia="zh-CN"/>
        </w:rPr>
        <w:t xml:space="preserve">3.4.3 </w:t>
      </w:r>
      <w:r>
        <w:rPr>
          <w:rFonts w:hint="eastAsia" w:ascii="宋体" w:hAnsi="宋体" w:cs="宋体"/>
          <w:color w:val="auto"/>
          <w:kern w:val="2"/>
          <w:sz w:val="21"/>
          <w:szCs w:val="21"/>
        </w:rPr>
        <w:t>装置应具有独立性、完整性和成套性。被保护设备包括发电机、励磁变、主变压器、高压厂变等，保护装置按上述元件双重化独立配置。非电量保护</w:t>
      </w:r>
      <w:r>
        <w:rPr>
          <w:rFonts w:hint="eastAsia" w:ascii="宋体" w:hAnsi="宋体" w:cs="宋体"/>
          <w:color w:val="auto"/>
          <w:sz w:val="21"/>
          <w:szCs w:val="21"/>
        </w:rPr>
        <w:t>单套配置。</w:t>
      </w:r>
      <w:r>
        <w:rPr>
          <w:rFonts w:hint="eastAsia" w:ascii="宋体" w:hAnsi="宋体" w:cs="宋体"/>
          <w:color w:val="auto"/>
          <w:kern w:val="2"/>
          <w:sz w:val="21"/>
          <w:szCs w:val="21"/>
        </w:rPr>
        <w:t>在成套装置内应具有被保护设备所必需的保护功能。</w:t>
      </w:r>
      <w:r>
        <w:rPr>
          <w:rFonts w:hint="eastAsia" w:ascii="宋体" w:hAnsi="宋体" w:cs="宋体"/>
          <w:color w:val="auto"/>
          <w:sz w:val="21"/>
          <w:szCs w:val="21"/>
        </w:rPr>
        <w:t>投标人应在投标时提供保护原理及实现方式的具体说明。</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3.4.4 </w:t>
      </w:r>
      <w:r>
        <w:rPr>
          <w:rFonts w:hint="eastAsia" w:ascii="宋体" w:hAnsi="宋体" w:cs="宋体"/>
          <w:color w:val="auto"/>
          <w:sz w:val="21"/>
          <w:szCs w:val="21"/>
        </w:rPr>
        <w:t>各种保护装置的动作特性应不受交流输入量的频率变化影响，特别在机组起动时的低频状态下。</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3.4.5 </w:t>
      </w:r>
      <w:r>
        <w:rPr>
          <w:rFonts w:hint="eastAsia" w:ascii="宋体" w:hAnsi="宋体" w:cs="宋体"/>
          <w:color w:val="auto"/>
          <w:sz w:val="21"/>
          <w:szCs w:val="21"/>
        </w:rPr>
        <w:t>各种保护装置测量元件设定值与实际动作值的误差应小于±3</w:t>
      </w:r>
      <w:r>
        <w:rPr>
          <w:rFonts w:hint="eastAsia" w:ascii="宋体" w:hAnsi="宋体" w:cs="宋体"/>
          <w:color w:val="auto"/>
          <w:sz w:val="21"/>
          <w:szCs w:val="21"/>
          <w:lang w:eastAsia="zh-CN"/>
        </w:rPr>
        <w:t>％</w:t>
      </w:r>
      <w:r>
        <w:rPr>
          <w:rFonts w:hint="eastAsia" w:ascii="宋体" w:hAnsi="宋体" w:cs="宋体"/>
          <w:color w:val="auto"/>
          <w:sz w:val="21"/>
          <w:szCs w:val="21"/>
        </w:rPr>
        <w:t>，时间元件的误差应小于±3</w:t>
      </w:r>
      <w:r>
        <w:rPr>
          <w:rFonts w:hint="eastAsia" w:ascii="宋体" w:hAnsi="宋体" w:cs="宋体"/>
          <w:color w:val="auto"/>
          <w:sz w:val="21"/>
          <w:szCs w:val="21"/>
          <w:lang w:eastAsia="zh-CN"/>
        </w:rPr>
        <w:t>％</w:t>
      </w:r>
      <w:r>
        <w:rPr>
          <w:rFonts w:hint="eastAsia" w:ascii="宋体" w:hAnsi="宋体" w:cs="宋体"/>
          <w:color w:val="auto"/>
          <w:sz w:val="21"/>
          <w:szCs w:val="21"/>
        </w:rPr>
        <w:t>。各种保护装置的CPU负荷率应小于30</w:t>
      </w:r>
      <w:r>
        <w:rPr>
          <w:rFonts w:hint="eastAsia" w:ascii="宋体" w:hAnsi="宋体" w:cs="宋体"/>
          <w:color w:val="auto"/>
          <w:sz w:val="21"/>
          <w:szCs w:val="21"/>
          <w:lang w:eastAsia="zh-CN"/>
        </w:rPr>
        <w:t>％</w:t>
      </w:r>
      <w:r>
        <w:rPr>
          <w:rFonts w:hint="eastAsia" w:ascii="宋体" w:hAnsi="宋体" w:cs="宋体"/>
          <w:color w:val="auto"/>
          <w:sz w:val="21"/>
          <w:szCs w:val="21"/>
        </w:rPr>
        <w:t>。</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3.4.6 </w:t>
      </w:r>
      <w:r>
        <w:rPr>
          <w:rFonts w:hint="eastAsia" w:ascii="宋体" w:hAnsi="宋体" w:cs="宋体"/>
          <w:color w:val="auto"/>
          <w:sz w:val="21"/>
          <w:szCs w:val="21"/>
        </w:rPr>
        <w:t>装置的强电开入回路应与装置保护电源隔离；开入回路的启动电压值不大于0.7倍额定电压值，且不小于0.55倍额定电压值。动作速度不小于10ms。</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3.4.7 </w:t>
      </w:r>
      <w:r>
        <w:rPr>
          <w:rFonts w:hint="eastAsia" w:ascii="宋体" w:hAnsi="宋体" w:cs="宋体"/>
          <w:color w:val="auto"/>
          <w:sz w:val="21"/>
          <w:szCs w:val="21"/>
        </w:rPr>
        <w:t>所有涉及直接跳闸的回路应采用启动电压值不大于0.7倍额定电压值，且不小于0.55倍额定电压值的中间继电器，并要求启动功率不低于5W。</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3.4.8 </w:t>
      </w:r>
      <w:r>
        <w:rPr>
          <w:rFonts w:hint="eastAsia" w:ascii="宋体" w:hAnsi="宋体" w:cs="宋体"/>
          <w:color w:val="auto"/>
          <w:sz w:val="21"/>
          <w:szCs w:val="21"/>
        </w:rPr>
        <w:t>各种保护装置应具备宽广的整定范围，当直流电源消失时整定值</w:t>
      </w:r>
      <w:r>
        <w:rPr>
          <w:rFonts w:hint="eastAsia" w:ascii="宋体" w:hAnsi="宋体" w:cs="宋体"/>
          <w:color w:val="auto"/>
          <w:sz w:val="21"/>
          <w:szCs w:val="21"/>
          <w:lang w:val="en-US" w:eastAsia="zh-CN"/>
        </w:rPr>
        <w:t>不应</w:t>
      </w:r>
      <w:r>
        <w:rPr>
          <w:rFonts w:hint="eastAsia" w:ascii="宋体" w:hAnsi="宋体" w:cs="宋体"/>
          <w:color w:val="auto"/>
          <w:sz w:val="21"/>
          <w:szCs w:val="21"/>
        </w:rPr>
        <w:t>丢失。</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3.4.9 </w:t>
      </w:r>
      <w:r>
        <w:rPr>
          <w:rFonts w:hint="eastAsia" w:ascii="宋体" w:hAnsi="宋体" w:cs="宋体"/>
          <w:color w:val="auto"/>
          <w:sz w:val="21"/>
          <w:szCs w:val="21"/>
        </w:rPr>
        <w:t>宜采用电流、电压电气量判别机组运行状态的变化，若采用外部输入接点判别时，输入接点异常时应能发出告警信号。</w:t>
      </w:r>
    </w:p>
    <w:p>
      <w:pPr>
        <w:pStyle w:val="10"/>
        <w:numPr>
          <w:ilvl w:val="-1"/>
          <w:numId w:val="0"/>
        </w:numPr>
        <w:adjustRightInd/>
        <w:snapToGrid/>
        <w:spacing w:line="360" w:lineRule="auto"/>
        <w:ind w:left="0" w:firstLine="0"/>
        <w:textAlignment w:val="auto"/>
        <w:rPr>
          <w:rFonts w:hint="eastAsia" w:ascii="宋体" w:hAnsi="宋体" w:cs="宋体"/>
          <w:color w:val="auto"/>
          <w:sz w:val="21"/>
          <w:szCs w:val="21"/>
        </w:rPr>
      </w:pPr>
      <w:r>
        <w:rPr>
          <w:rFonts w:hint="eastAsia" w:hAnsi="宋体" w:cs="宋体"/>
          <w:color w:val="auto"/>
          <w:kern w:val="2"/>
          <w:sz w:val="21"/>
          <w:szCs w:val="21"/>
          <w:lang w:val="en-US" w:eastAsia="zh-CN"/>
        </w:rPr>
        <w:t xml:space="preserve">3.4.10 </w:t>
      </w:r>
      <w:r>
        <w:rPr>
          <w:rFonts w:hint="eastAsia" w:ascii="宋体" w:hAnsi="宋体" w:cs="宋体"/>
          <w:color w:val="auto"/>
          <w:kern w:val="2"/>
          <w:sz w:val="21"/>
          <w:szCs w:val="21"/>
        </w:rPr>
        <w:t>保护装置应具备事件记录及故障录波等功能，当直流电源消失时，所记录的信息量不应丢失。</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3.4.11 </w:t>
      </w:r>
      <w:r>
        <w:rPr>
          <w:rFonts w:hint="eastAsia" w:ascii="宋体" w:hAnsi="宋体" w:cs="宋体"/>
          <w:color w:val="auto"/>
          <w:sz w:val="21"/>
          <w:szCs w:val="21"/>
        </w:rPr>
        <w:t>事件记录的分辨率应不大于1ms。故障录波每个录波的最大持续时间不小于10周波。</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3.4.12 </w:t>
      </w:r>
      <w:r>
        <w:rPr>
          <w:rFonts w:hint="eastAsia" w:ascii="宋体" w:hAnsi="宋体" w:cs="宋体"/>
          <w:color w:val="auto"/>
          <w:sz w:val="21"/>
          <w:szCs w:val="21"/>
        </w:rPr>
        <w:t>采样回路应采用A/D冗余结构（公用一个电压或电流源），采样频率不应低于1000Hz。保护装置的每个电流采样回路应能满足0.1I</w:t>
      </w:r>
      <w:r>
        <w:rPr>
          <w:rFonts w:hint="eastAsia" w:ascii="宋体" w:hAnsi="宋体" w:cs="宋体"/>
          <w:color w:val="auto"/>
          <w:sz w:val="21"/>
          <w:szCs w:val="21"/>
          <w:vertAlign w:val="subscript"/>
        </w:rPr>
        <w:t>N</w:t>
      </w:r>
      <w:r>
        <w:rPr>
          <w:rFonts w:hint="eastAsia" w:ascii="宋体" w:hAnsi="宋体" w:cs="宋体"/>
          <w:color w:val="auto"/>
          <w:sz w:val="21"/>
          <w:szCs w:val="21"/>
        </w:rPr>
        <w:t>以下使用要求，在（0.05～30）I</w:t>
      </w:r>
      <w:r>
        <w:rPr>
          <w:rFonts w:hint="eastAsia" w:ascii="宋体" w:hAnsi="宋体" w:cs="宋体"/>
          <w:color w:val="auto"/>
          <w:sz w:val="21"/>
          <w:szCs w:val="21"/>
          <w:vertAlign w:val="subscript"/>
        </w:rPr>
        <w:t>N</w:t>
      </w:r>
      <w:r>
        <w:rPr>
          <w:rFonts w:hint="eastAsia" w:ascii="宋体" w:hAnsi="宋体" w:cs="宋体"/>
          <w:color w:val="auto"/>
          <w:sz w:val="21"/>
          <w:szCs w:val="21"/>
        </w:rPr>
        <w:t>时相对误差不大于5</w:t>
      </w:r>
      <w:r>
        <w:rPr>
          <w:rFonts w:hint="eastAsia" w:ascii="宋体" w:hAnsi="宋体" w:cs="宋体"/>
          <w:color w:val="auto"/>
          <w:sz w:val="21"/>
          <w:szCs w:val="21"/>
          <w:lang w:eastAsia="zh-CN"/>
        </w:rPr>
        <w:t>％</w:t>
      </w:r>
      <w:r>
        <w:rPr>
          <w:rFonts w:hint="eastAsia" w:ascii="宋体" w:hAnsi="宋体" w:cs="宋体"/>
          <w:color w:val="auto"/>
          <w:sz w:val="21"/>
          <w:szCs w:val="21"/>
        </w:rPr>
        <w:t>或绝对误差不大于2</w:t>
      </w:r>
      <w:r>
        <w:rPr>
          <w:rFonts w:hint="eastAsia" w:ascii="宋体" w:hAnsi="宋体" w:cs="宋体"/>
          <w:color w:val="auto"/>
          <w:sz w:val="21"/>
          <w:szCs w:val="21"/>
          <w:lang w:eastAsia="zh-CN"/>
        </w:rPr>
        <w:t>％</w:t>
      </w:r>
      <w:r>
        <w:rPr>
          <w:rFonts w:hint="eastAsia" w:ascii="宋体" w:hAnsi="宋体" w:cs="宋体"/>
          <w:color w:val="auto"/>
          <w:sz w:val="21"/>
          <w:szCs w:val="21"/>
        </w:rPr>
        <w:t>I</w:t>
      </w:r>
      <w:r>
        <w:rPr>
          <w:rFonts w:hint="eastAsia" w:ascii="宋体" w:hAnsi="宋体" w:cs="宋体"/>
          <w:color w:val="auto"/>
          <w:sz w:val="21"/>
          <w:szCs w:val="21"/>
          <w:vertAlign w:val="subscript"/>
        </w:rPr>
        <w:t>N</w:t>
      </w:r>
      <w:r>
        <w:rPr>
          <w:rFonts w:hint="eastAsia" w:ascii="宋体" w:hAnsi="宋体" w:cs="宋体"/>
          <w:color w:val="auto"/>
          <w:sz w:val="21"/>
          <w:szCs w:val="21"/>
        </w:rPr>
        <w:t>。启动和故障判别功能宜由不同的CPU完成，保护出口宜由不同</w:t>
      </w:r>
      <w:r>
        <w:rPr>
          <w:rFonts w:hint="eastAsia" w:ascii="宋体" w:hAnsi="宋体" w:cs="宋体"/>
          <w:color w:val="auto"/>
          <w:sz w:val="21"/>
          <w:szCs w:val="21"/>
          <w:lang w:val="en-US" w:eastAsia="zh-CN"/>
        </w:rPr>
        <w:t>的</w:t>
      </w:r>
      <w:r>
        <w:rPr>
          <w:rFonts w:hint="eastAsia" w:ascii="宋体" w:hAnsi="宋体" w:cs="宋体"/>
          <w:color w:val="auto"/>
          <w:sz w:val="21"/>
          <w:szCs w:val="21"/>
        </w:rPr>
        <w:t>CPU控制。</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3.4.13 </w:t>
      </w:r>
      <w:r>
        <w:rPr>
          <w:rFonts w:hint="eastAsia" w:ascii="宋体" w:hAnsi="宋体" w:cs="宋体"/>
          <w:color w:val="auto"/>
          <w:sz w:val="21"/>
          <w:szCs w:val="21"/>
        </w:rPr>
        <w:t>保护装置应具有同步时钟对时功能，具有硬对时和软对时接口，可采用RS-485串行数据通信接口接收同步时钟发出IRIG-B（DC）时码作为对时信号源，对时误差&lt;1ms。</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3.4.14 </w:t>
      </w:r>
      <w:r>
        <w:rPr>
          <w:rFonts w:hint="eastAsia" w:ascii="宋体" w:hAnsi="宋体" w:cs="宋体"/>
          <w:color w:val="auto"/>
          <w:sz w:val="21"/>
          <w:szCs w:val="21"/>
        </w:rPr>
        <w:t>保护装置中的各类保护，应设有方便的投退功能，并能在装置面板上显示。设置跳闸出口压板。</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3.4.15 </w:t>
      </w:r>
      <w:r>
        <w:rPr>
          <w:rFonts w:hint="eastAsia" w:ascii="宋体" w:hAnsi="宋体" w:cs="宋体"/>
          <w:color w:val="auto"/>
          <w:sz w:val="21"/>
          <w:szCs w:val="21"/>
        </w:rPr>
        <w:t>保护装置应具备在线连续监视和自检功能，装置故障时，应发出相应的信号，且不能造成保护误动作。包括保护硬件损坏、功能失效和二次回路异常运行状态的自动检测。除出口继电器外，装置内的任一元件损坏时，装置不应误动作跳闸，自动检测回路应能发出告警或装置异常信号，并给出有关信息指明损坏元件的所在部位，在最不利情况下应能将故障定位至模块（插件）。</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3.4.16 </w:t>
      </w:r>
      <w:r>
        <w:rPr>
          <w:rFonts w:hint="eastAsia" w:ascii="宋体" w:hAnsi="宋体" w:cs="宋体"/>
          <w:color w:val="auto"/>
          <w:sz w:val="21"/>
          <w:szCs w:val="21"/>
        </w:rPr>
        <w:t>保护装置各保护软件在任何情况下都不得相互影响。</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3.4.17 </w:t>
      </w:r>
      <w:r>
        <w:rPr>
          <w:rFonts w:hint="eastAsia" w:ascii="宋体" w:hAnsi="宋体" w:eastAsia="宋体" w:cs="宋体"/>
          <w:b w:val="0"/>
          <w:bCs w:val="0"/>
          <w:color w:val="auto"/>
          <w:kern w:val="2"/>
          <w:sz w:val="21"/>
          <w:szCs w:val="21"/>
          <w:lang w:val="en-US" w:eastAsia="zh-CN" w:bidi="ar-SA"/>
        </w:rPr>
        <w:t>保护装置的主网口应按3路</w:t>
      </w:r>
      <w:r>
        <w:rPr>
          <w:rFonts w:hint="eastAsia" w:ascii="宋体" w:hAnsi="宋体" w:cs="宋体"/>
          <w:b w:val="0"/>
          <w:bCs w:val="0"/>
          <w:color w:val="auto"/>
          <w:kern w:val="2"/>
          <w:sz w:val="21"/>
          <w:szCs w:val="21"/>
          <w:lang w:val="en-US" w:eastAsia="zh-CN" w:bidi="ar-SA"/>
        </w:rPr>
        <w:t>网口</w:t>
      </w:r>
      <w:r>
        <w:rPr>
          <w:rFonts w:hint="eastAsia" w:ascii="宋体" w:hAnsi="宋体" w:eastAsia="宋体" w:cs="宋体"/>
          <w:b w:val="0"/>
          <w:bCs w:val="0"/>
          <w:color w:val="auto"/>
          <w:kern w:val="2"/>
          <w:sz w:val="21"/>
          <w:szCs w:val="21"/>
          <w:lang w:val="en-US" w:eastAsia="zh-CN" w:bidi="ar-SA"/>
        </w:rPr>
        <w:t>配置，发变组保护信息应</w:t>
      </w:r>
      <w:r>
        <w:rPr>
          <w:rFonts w:hint="eastAsia" w:cs="宋体"/>
          <w:b w:val="0"/>
          <w:bCs w:val="0"/>
          <w:color w:val="auto"/>
          <w:kern w:val="2"/>
          <w:sz w:val="21"/>
          <w:szCs w:val="21"/>
          <w:lang w:val="en-US" w:eastAsia="zh-CN" w:bidi="ar-SA"/>
        </w:rPr>
        <w:t>在保护管理机屏</w:t>
      </w:r>
      <w:r>
        <w:rPr>
          <w:rFonts w:hint="eastAsia" w:ascii="宋体" w:hAnsi="宋体" w:eastAsia="宋体" w:cs="宋体"/>
          <w:b w:val="0"/>
          <w:bCs w:val="0"/>
          <w:color w:val="auto"/>
          <w:kern w:val="2"/>
          <w:sz w:val="21"/>
          <w:szCs w:val="21"/>
          <w:lang w:val="en-US" w:eastAsia="zh-CN" w:bidi="ar-SA"/>
        </w:rPr>
        <w:t>组网后</w:t>
      </w:r>
      <w:r>
        <w:rPr>
          <w:rFonts w:hint="eastAsia" w:cs="宋体"/>
          <w:b w:val="0"/>
          <w:bCs w:val="0"/>
          <w:color w:val="auto"/>
          <w:kern w:val="2"/>
          <w:sz w:val="21"/>
          <w:szCs w:val="21"/>
          <w:lang w:val="en-US" w:eastAsia="zh-CN" w:bidi="ar-SA"/>
        </w:rPr>
        <w:t>通过</w:t>
      </w:r>
      <w:r>
        <w:rPr>
          <w:rFonts w:hint="eastAsia" w:ascii="宋体" w:hAnsi="宋体" w:eastAsia="宋体" w:cs="宋体"/>
          <w:b w:val="0"/>
          <w:bCs w:val="0"/>
          <w:color w:val="auto"/>
          <w:kern w:val="2"/>
          <w:sz w:val="21"/>
          <w:szCs w:val="21"/>
          <w:lang w:val="en-US" w:eastAsia="zh-CN" w:bidi="ar-SA"/>
        </w:rPr>
        <w:t>两台光交换机</w:t>
      </w:r>
      <w:r>
        <w:rPr>
          <w:rFonts w:hint="eastAsia" w:cs="宋体"/>
          <w:b w:val="0"/>
          <w:bCs w:val="0"/>
          <w:color w:val="auto"/>
          <w:kern w:val="2"/>
          <w:sz w:val="21"/>
          <w:szCs w:val="21"/>
          <w:lang w:val="en-US" w:eastAsia="zh-CN" w:bidi="ar-SA"/>
        </w:rPr>
        <w:t>双通道</w:t>
      </w:r>
      <w:r>
        <w:rPr>
          <w:rFonts w:hint="eastAsia" w:ascii="宋体" w:hAnsi="宋体" w:eastAsia="宋体" w:cs="宋体"/>
          <w:b w:val="0"/>
          <w:bCs w:val="0"/>
          <w:color w:val="auto"/>
          <w:kern w:val="2"/>
          <w:sz w:val="21"/>
          <w:szCs w:val="21"/>
          <w:lang w:val="en-US" w:eastAsia="zh-CN" w:bidi="ar-SA"/>
        </w:rPr>
        <w:t>送至</w:t>
      </w:r>
      <w:r>
        <w:rPr>
          <w:rFonts w:hint="eastAsia" w:ascii="宋体" w:hAnsi="宋体" w:cs="宋体"/>
          <w:b w:val="0"/>
          <w:bCs w:val="0"/>
          <w:color w:val="auto"/>
          <w:kern w:val="2"/>
          <w:sz w:val="21"/>
          <w:szCs w:val="21"/>
          <w:lang w:val="en-US" w:eastAsia="zh-CN" w:bidi="ar-SA"/>
        </w:rPr>
        <w:t>现有500kV</w:t>
      </w:r>
      <w:r>
        <w:rPr>
          <w:rFonts w:hint="eastAsia" w:cs="宋体"/>
          <w:b w:val="0"/>
          <w:bCs w:val="0"/>
          <w:color w:val="auto"/>
          <w:kern w:val="2"/>
          <w:sz w:val="21"/>
          <w:szCs w:val="21"/>
          <w:lang w:val="en-US" w:eastAsia="zh-CN" w:bidi="ar-SA"/>
        </w:rPr>
        <w:t>继电保护信息</w:t>
      </w:r>
      <w:r>
        <w:rPr>
          <w:rFonts w:hint="eastAsia" w:ascii="宋体" w:hAnsi="宋体" w:eastAsia="宋体" w:cs="宋体"/>
          <w:b w:val="0"/>
          <w:bCs w:val="0"/>
          <w:color w:val="auto"/>
          <w:kern w:val="2"/>
          <w:sz w:val="21"/>
          <w:szCs w:val="21"/>
          <w:lang w:val="en-US" w:eastAsia="zh-CN" w:bidi="ar-SA"/>
        </w:rPr>
        <w:t>子站</w:t>
      </w:r>
      <w:r>
        <w:rPr>
          <w:rFonts w:hint="eastAsia" w:ascii="宋体" w:hAnsi="宋体" w:cs="宋体"/>
          <w:b w:val="0"/>
          <w:bCs w:val="0"/>
          <w:color w:val="auto"/>
          <w:kern w:val="2"/>
          <w:sz w:val="21"/>
          <w:szCs w:val="21"/>
          <w:lang w:val="en-US" w:eastAsia="zh-CN" w:bidi="ar-SA"/>
        </w:rPr>
        <w:t>（上海泽鑫Z2000型继电保护故障信息系统）</w:t>
      </w:r>
      <w:r>
        <w:rPr>
          <w:rFonts w:hint="eastAsia" w:ascii="宋体" w:hAnsi="宋体" w:eastAsia="宋体" w:cs="宋体"/>
          <w:b w:val="0"/>
          <w:bCs w:val="0"/>
          <w:color w:val="auto"/>
          <w:kern w:val="2"/>
          <w:sz w:val="21"/>
          <w:szCs w:val="21"/>
          <w:lang w:val="en-US" w:eastAsia="zh-CN" w:bidi="ar-SA"/>
        </w:rPr>
        <w:t>。</w:t>
      </w:r>
    </w:p>
    <w:p>
      <w:pPr>
        <w:numPr>
          <w:ilvl w:val="-1"/>
          <w:numId w:val="0"/>
        </w:numPr>
        <w:snapToGrid/>
        <w:spacing w:line="360" w:lineRule="auto"/>
        <w:ind w:left="0" w:firstLine="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3.4.18 每台机组设置一块保护管理机屏，负责该台机组的各套保护装置的通讯接口的组合，并分别与每台机组的DCS或ECMS进行通信接口；提供接口并接入保护的数据网，传输保护装置的各种信息以及进行远方诊断和整定。保护管理机采用工控机，大于等于4核CPU，主频2.7GHz及以上，16G内存，1T硬盘配套提供后台监控软件，</w:t>
      </w:r>
      <w:r>
        <w:rPr>
          <w:rFonts w:hint="eastAsia" w:ascii="宋体" w:hAnsi="宋体" w:cs="宋体"/>
          <w:b/>
          <w:bCs/>
          <w:color w:val="auto"/>
          <w:sz w:val="21"/>
          <w:szCs w:val="21"/>
          <w:lang w:val="en-US" w:eastAsia="zh-CN"/>
        </w:rPr>
        <w:t>操作系统采用国产安全操作系统</w:t>
      </w:r>
      <w:r>
        <w:rPr>
          <w:rFonts w:hint="eastAsia" w:ascii="宋体" w:hAnsi="宋体" w:cs="宋体"/>
          <w:color w:val="auto"/>
          <w:sz w:val="21"/>
          <w:szCs w:val="21"/>
          <w:lang w:val="en-US" w:eastAsia="zh-CN"/>
        </w:rPr>
        <w:t>，并配置激光打印机。屏内设以太网交换机，保护管理机与保护装置采用以太网通讯。保护管理机需留有通过光缆与升压站的保护信息子站连接的接口。</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3.4.19 </w:t>
      </w:r>
      <w:r>
        <w:rPr>
          <w:rFonts w:hint="eastAsia" w:ascii="宋体" w:hAnsi="宋体" w:cs="宋体"/>
          <w:color w:val="auto"/>
          <w:sz w:val="21"/>
          <w:szCs w:val="21"/>
        </w:rPr>
        <w:t>所有保护装置在谐波、直流分量、励磁涌流及穿越性短路电流稳态和瞬态影响下，不应误动作。交、直流输入回路不应外接抗干扰元件来满足有关电磁兼容标准的要求。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3.4.20 </w:t>
      </w:r>
      <w:r>
        <w:rPr>
          <w:rFonts w:hint="eastAsia" w:ascii="宋体" w:hAnsi="宋体" w:cs="宋体"/>
          <w:color w:val="auto"/>
          <w:sz w:val="21"/>
          <w:szCs w:val="21"/>
        </w:rPr>
        <w:t>在雷电过电压、一次回路操作、配电装置故障及其它强干扰作用下，或在二次回路操作干扰下，在拉合直流电源、插件熔丝发生重复击穿火花时，所有保护装置（包括测量元件）均不应发生误动或拒动。</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3.4.21 </w:t>
      </w:r>
      <w:r>
        <w:rPr>
          <w:rFonts w:hint="eastAsia" w:ascii="宋体" w:hAnsi="宋体" w:cs="宋体"/>
          <w:color w:val="auto"/>
          <w:sz w:val="21"/>
          <w:szCs w:val="21"/>
        </w:rPr>
        <w:t>保护屏的直流电源</w:t>
      </w:r>
      <w:r>
        <w:rPr>
          <w:rFonts w:hint="eastAsia" w:ascii="宋体" w:hAnsi="宋体" w:cs="宋体"/>
          <w:color w:val="auto"/>
          <w:sz w:val="21"/>
          <w:szCs w:val="21"/>
          <w:lang w:val="en-US" w:eastAsia="zh-CN"/>
        </w:rPr>
        <w:t>应</w:t>
      </w:r>
      <w:r>
        <w:rPr>
          <w:rFonts w:hint="eastAsia" w:ascii="宋体" w:hAnsi="宋体" w:cs="宋体"/>
          <w:color w:val="auto"/>
          <w:sz w:val="21"/>
          <w:szCs w:val="21"/>
        </w:rPr>
        <w:t>经过直流空气开关接入，各保护装置的逻辑回路应由独立的逆变器供电。拉、合装置直流电源或直流电压缓慢下降及上升时，装置不应误动作。在直流电源恢复(包括缓慢恢复)至额定电压的80</w:t>
      </w:r>
      <w:r>
        <w:rPr>
          <w:rFonts w:hint="eastAsia" w:ascii="宋体" w:hAnsi="宋体" w:cs="宋体"/>
          <w:color w:val="auto"/>
          <w:sz w:val="21"/>
          <w:szCs w:val="21"/>
          <w:lang w:eastAsia="zh-CN"/>
        </w:rPr>
        <w:t>％</w:t>
      </w:r>
      <w:r>
        <w:rPr>
          <w:rFonts w:hint="eastAsia" w:ascii="宋体" w:hAnsi="宋体" w:cs="宋体"/>
          <w:color w:val="auto"/>
          <w:sz w:val="21"/>
          <w:szCs w:val="21"/>
        </w:rPr>
        <w:t>时直流逆变电源应能自动恢复。直流电源回路应有监视。当直流电源失去时，应发出相应信号，且不能造成保护装置误动作。直流空气开关采用B特性直流专用型</w:t>
      </w:r>
      <w:r>
        <w:rPr>
          <w:rFonts w:hint="eastAsia" w:ascii="宋体" w:hAnsi="宋体" w:cs="宋体"/>
          <w:color w:val="auto"/>
          <w:sz w:val="21"/>
          <w:szCs w:val="21"/>
          <w:lang w:val="en-US" w:eastAsia="zh-CN"/>
        </w:rPr>
        <w:t>空气开关</w:t>
      </w:r>
      <w:r>
        <w:rPr>
          <w:rFonts w:hint="eastAsia" w:ascii="宋体" w:hAnsi="宋体" w:cs="宋体"/>
          <w:color w:val="auto"/>
          <w:sz w:val="21"/>
          <w:szCs w:val="21"/>
        </w:rPr>
        <w:t>，</w:t>
      </w:r>
      <w:r>
        <w:rPr>
          <w:rFonts w:hint="eastAsia" w:ascii="宋体" w:hAnsi="宋体" w:cs="宋体"/>
          <w:color w:val="auto"/>
          <w:sz w:val="21"/>
          <w:szCs w:val="21"/>
          <w:lang w:val="en-US" w:eastAsia="zh-CN"/>
        </w:rPr>
        <w:t>空气开关</w:t>
      </w:r>
      <w:r>
        <w:rPr>
          <w:rFonts w:hint="eastAsia" w:ascii="宋体" w:hAnsi="宋体" w:cs="宋体"/>
          <w:color w:val="auto"/>
          <w:sz w:val="21"/>
          <w:szCs w:val="21"/>
        </w:rPr>
        <w:t>品牌选用ABB、西门子、施耐德或相当于，直流开断能力：</w:t>
      </w:r>
      <w:r>
        <w:rPr>
          <w:rFonts w:hint="eastAsia" w:ascii="宋体" w:hAnsi="宋体" w:cs="宋体"/>
          <w:color w:val="auto"/>
          <w:sz w:val="21"/>
          <w:szCs w:val="21"/>
          <w:u w:val="single"/>
        </w:rPr>
        <w:t>DC110V，10kA。</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3.4.22 </w:t>
      </w:r>
      <w:r>
        <w:rPr>
          <w:rFonts w:hint="eastAsia" w:ascii="宋体" w:hAnsi="宋体" w:cs="宋体"/>
          <w:color w:val="auto"/>
          <w:sz w:val="21"/>
          <w:szCs w:val="21"/>
        </w:rPr>
        <w:t>保护屏的交流电压</w:t>
      </w:r>
      <w:r>
        <w:rPr>
          <w:rFonts w:hint="eastAsia" w:ascii="宋体" w:hAnsi="宋体" w:cs="宋体"/>
          <w:color w:val="auto"/>
          <w:sz w:val="21"/>
          <w:szCs w:val="21"/>
          <w:lang w:val="en-US" w:eastAsia="zh-CN"/>
        </w:rPr>
        <w:t>应</w:t>
      </w:r>
      <w:r>
        <w:rPr>
          <w:rFonts w:hint="eastAsia" w:ascii="宋体" w:hAnsi="宋体" w:cs="宋体"/>
          <w:color w:val="auto"/>
          <w:sz w:val="21"/>
          <w:szCs w:val="21"/>
        </w:rPr>
        <w:t>经过交流空气开关接入，当电压互感器二次回路一相、两相或三相同时断线、失压时，接于该组电压互感器的保护装置应闭锁该装置中可能误动作的保护，并发出“电压互感器断线”告警信号。</w:t>
      </w:r>
    </w:p>
    <w:p>
      <w:pPr>
        <w:pStyle w:val="10"/>
        <w:numPr>
          <w:ilvl w:val="-1"/>
          <w:numId w:val="0"/>
        </w:numPr>
        <w:adjustRightInd/>
        <w:snapToGrid/>
        <w:spacing w:line="360" w:lineRule="auto"/>
        <w:ind w:left="0" w:firstLine="0"/>
        <w:textAlignment w:val="auto"/>
        <w:rPr>
          <w:rFonts w:hint="eastAsia" w:ascii="宋体" w:hAnsi="宋体" w:cs="宋体"/>
          <w:color w:val="auto"/>
          <w:kern w:val="2"/>
          <w:sz w:val="21"/>
          <w:szCs w:val="21"/>
        </w:rPr>
      </w:pPr>
      <w:r>
        <w:rPr>
          <w:rFonts w:hint="eastAsia" w:hAnsi="宋体" w:cs="宋体"/>
          <w:color w:val="auto"/>
          <w:kern w:val="2"/>
          <w:sz w:val="21"/>
          <w:szCs w:val="21"/>
          <w:lang w:val="en-US" w:eastAsia="zh-CN"/>
        </w:rPr>
        <w:t>3.4.23 在</w:t>
      </w:r>
      <w:r>
        <w:rPr>
          <w:rFonts w:hint="eastAsia" w:ascii="宋体" w:hAnsi="宋体" w:cs="宋体"/>
          <w:color w:val="auto"/>
          <w:kern w:val="2"/>
          <w:sz w:val="21"/>
          <w:szCs w:val="21"/>
        </w:rPr>
        <w:t>发电机励磁方式为机端静态励磁</w:t>
      </w:r>
      <w:r>
        <w:rPr>
          <w:rFonts w:hint="eastAsia" w:hAnsi="宋体" w:cs="宋体"/>
          <w:color w:val="auto"/>
          <w:kern w:val="2"/>
          <w:sz w:val="21"/>
          <w:szCs w:val="21"/>
          <w:lang w:val="en-US" w:eastAsia="zh-CN"/>
        </w:rPr>
        <w:t>时</w:t>
      </w:r>
      <w:r>
        <w:rPr>
          <w:rFonts w:hint="eastAsia" w:ascii="宋体" w:hAnsi="宋体" w:cs="宋体"/>
          <w:color w:val="auto"/>
          <w:kern w:val="2"/>
          <w:sz w:val="21"/>
          <w:szCs w:val="21"/>
        </w:rPr>
        <w:t>，后备保护应能满足以下情况发生时的正确动作：在机端及其邻近区域发生短路故障时，由于机端电压下降，引起励磁电压下降，进而导致短路电流衰减时。</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3.4.24 </w:t>
      </w:r>
      <w:r>
        <w:rPr>
          <w:rFonts w:hint="eastAsia" w:ascii="宋体" w:hAnsi="宋体" w:cs="宋体"/>
          <w:color w:val="auto"/>
          <w:sz w:val="21"/>
          <w:szCs w:val="21"/>
        </w:rPr>
        <w:t>各种保护装置的出口继电器可采用操作继电器箱。双重化保护的出口继电器也应独立装设。各种保护装置的出口继电器均采用快速型输出闭锁LOCKOUT输出保持继电器，且接点应有足够容量，可以直接跳开断路器。保护动作后在继电器上有明显的信号指示并可由运行人员手动复归。出口继电器的输出接点应满足逻辑图要求并留有四付备用接点。出口继电器的输出接点容量：在</w:t>
      </w:r>
      <w:r>
        <w:rPr>
          <w:rFonts w:hint="eastAsia" w:ascii="宋体" w:hAnsi="宋体" w:cs="宋体"/>
          <w:color w:val="auto"/>
          <w:sz w:val="21"/>
          <w:szCs w:val="21"/>
          <w:u w:val="none"/>
        </w:rPr>
        <w:t>110V</w:t>
      </w:r>
      <w:r>
        <w:rPr>
          <w:rFonts w:hint="eastAsia" w:ascii="宋体" w:hAnsi="宋体" w:cs="宋体"/>
          <w:color w:val="auto"/>
          <w:sz w:val="21"/>
          <w:szCs w:val="21"/>
        </w:rPr>
        <w:t>直流电压下的长期允许通过电流不小于10A，0.2秒30A。在直流电压110V电感回路中（T</w:t>
      </w:r>
      <w:r>
        <w:rPr>
          <w:rFonts w:hint="eastAsia" w:ascii="宋体" w:hAnsi="宋体" w:eastAsia="宋体" w:cs="宋体"/>
          <w:color w:val="auto"/>
          <w:sz w:val="21"/>
          <w:szCs w:val="21"/>
        </w:rPr>
        <w:t>&lt;</w:t>
      </w:r>
      <w:r>
        <w:rPr>
          <w:rFonts w:hint="eastAsia" w:ascii="宋体" w:hAnsi="宋体" w:cs="宋体"/>
          <w:color w:val="auto"/>
          <w:sz w:val="21"/>
          <w:szCs w:val="21"/>
        </w:rPr>
        <w:t>40ms）的断开容量不小于50W。继电器的动作时间不大于10ms。非电量保护应装设重动继电器，重动继电器启动功率应大于5W，启动电压应介于额定直流电压的55</w:t>
      </w:r>
      <w:r>
        <w:rPr>
          <w:rFonts w:hint="eastAsia" w:ascii="宋体" w:hAnsi="宋体" w:cs="宋体"/>
          <w:color w:val="auto"/>
          <w:sz w:val="21"/>
          <w:szCs w:val="21"/>
          <w:lang w:eastAsia="zh-CN"/>
        </w:rPr>
        <w:t>％</w:t>
      </w:r>
      <w:r>
        <w:rPr>
          <w:rFonts w:hint="eastAsia" w:ascii="宋体" w:hAnsi="宋体" w:cs="宋体"/>
          <w:color w:val="auto"/>
          <w:sz w:val="21"/>
          <w:szCs w:val="21"/>
        </w:rPr>
        <w:t>～70</w:t>
      </w:r>
      <w:r>
        <w:rPr>
          <w:rFonts w:hint="eastAsia" w:ascii="宋体" w:hAnsi="宋体" w:cs="宋体"/>
          <w:color w:val="auto"/>
          <w:sz w:val="21"/>
          <w:szCs w:val="21"/>
          <w:lang w:eastAsia="zh-CN"/>
        </w:rPr>
        <w:t>％</w:t>
      </w:r>
      <w:r>
        <w:rPr>
          <w:rFonts w:hint="eastAsia" w:ascii="宋体" w:hAnsi="宋体" w:cs="宋体"/>
          <w:color w:val="auto"/>
          <w:sz w:val="21"/>
          <w:szCs w:val="21"/>
        </w:rPr>
        <w:t>，动作时间应介于10～35ms。</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3.4.25</w:t>
      </w:r>
      <w:r>
        <w:rPr>
          <w:rFonts w:hint="eastAsia" w:ascii="宋体" w:hAnsi="宋体" w:cs="宋体"/>
          <w:color w:val="auto"/>
          <w:sz w:val="21"/>
          <w:szCs w:val="21"/>
        </w:rPr>
        <w:t>发变组保护应提供3付</w:t>
      </w:r>
      <w:r>
        <w:rPr>
          <w:rFonts w:hint="eastAsia" w:ascii="宋体" w:hAnsi="宋体" w:cs="宋体"/>
          <w:color w:val="auto"/>
          <w:sz w:val="21"/>
          <w:szCs w:val="21"/>
          <w:lang w:val="en-US" w:eastAsia="zh-CN"/>
        </w:rPr>
        <w:t>单独的</w:t>
      </w:r>
      <w:r>
        <w:rPr>
          <w:rFonts w:hint="eastAsia" w:ascii="宋体" w:hAnsi="宋体" w:cs="宋体"/>
          <w:color w:val="auto"/>
          <w:sz w:val="21"/>
          <w:szCs w:val="21"/>
        </w:rPr>
        <w:t>输出接点至汽机跳闸（</w:t>
      </w:r>
      <w:r>
        <w:rPr>
          <w:rFonts w:hint="eastAsia" w:ascii="宋体" w:hAnsi="宋体" w:cs="宋体"/>
          <w:color w:val="auto"/>
          <w:sz w:val="21"/>
          <w:szCs w:val="21"/>
          <w:lang w:eastAsia="zh-CN"/>
        </w:rPr>
        <w:t>每</w:t>
      </w:r>
      <w:r>
        <w:rPr>
          <w:rFonts w:hint="eastAsia" w:ascii="宋体" w:hAnsi="宋体" w:cs="宋体"/>
          <w:color w:val="auto"/>
          <w:sz w:val="21"/>
          <w:szCs w:val="21"/>
        </w:rPr>
        <w:t>个屏</w:t>
      </w:r>
      <w:r>
        <w:rPr>
          <w:rFonts w:hint="eastAsia" w:ascii="宋体" w:hAnsi="宋体" w:cs="宋体"/>
          <w:color w:val="auto"/>
          <w:sz w:val="21"/>
          <w:szCs w:val="21"/>
          <w:lang w:val="en-US" w:eastAsia="zh-CN"/>
        </w:rPr>
        <w:t>3</w:t>
      </w:r>
      <w:r>
        <w:rPr>
          <w:rFonts w:hint="eastAsia" w:ascii="宋体" w:hAnsi="宋体" w:cs="宋体"/>
          <w:color w:val="auto"/>
          <w:sz w:val="21"/>
          <w:szCs w:val="21"/>
        </w:rPr>
        <w:t>付，仪控DEH作为3取2用）。</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3.4.26 </w:t>
      </w:r>
      <w:r>
        <w:rPr>
          <w:rFonts w:hint="eastAsia" w:ascii="宋体" w:hAnsi="宋体" w:cs="宋体"/>
          <w:color w:val="auto"/>
          <w:sz w:val="21"/>
          <w:szCs w:val="21"/>
        </w:rPr>
        <w:t>起动断路器失灵保护的无源接点应为非闭锁型的快速返回接点。</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3.4.27 </w:t>
      </w:r>
      <w:r>
        <w:rPr>
          <w:rFonts w:hint="eastAsia" w:ascii="宋体" w:hAnsi="宋体" w:cs="宋体"/>
          <w:color w:val="auto"/>
          <w:sz w:val="21"/>
          <w:szCs w:val="21"/>
        </w:rPr>
        <w:t>保护装置的信号接点在</w:t>
      </w:r>
      <w:r>
        <w:rPr>
          <w:rFonts w:hint="eastAsia" w:ascii="宋体" w:hAnsi="宋体" w:cs="宋体"/>
          <w:color w:val="auto"/>
          <w:sz w:val="21"/>
          <w:szCs w:val="21"/>
          <w:u w:val="none"/>
        </w:rPr>
        <w:t>110V</w:t>
      </w:r>
      <w:r>
        <w:rPr>
          <w:rFonts w:hint="eastAsia" w:ascii="宋体" w:hAnsi="宋体" w:cs="宋体"/>
          <w:color w:val="auto"/>
          <w:sz w:val="21"/>
          <w:szCs w:val="21"/>
        </w:rPr>
        <w:t>直流电压下的长期允许通过电流不小于5A。装置每套保护输出</w:t>
      </w:r>
      <w:r>
        <w:rPr>
          <w:rFonts w:hint="eastAsia" w:ascii="宋体" w:hAnsi="宋体" w:cs="宋体"/>
          <w:color w:val="auto"/>
          <w:sz w:val="21"/>
          <w:szCs w:val="21"/>
          <w:lang w:val="en-US" w:eastAsia="zh-CN"/>
        </w:rPr>
        <w:t>三副</w:t>
      </w:r>
      <w:r>
        <w:rPr>
          <w:rFonts w:hint="eastAsia" w:ascii="宋体" w:hAnsi="宋体" w:cs="宋体"/>
          <w:color w:val="auto"/>
          <w:sz w:val="21"/>
          <w:szCs w:val="21"/>
        </w:rPr>
        <w:t>信号接点，其中一</w:t>
      </w:r>
      <w:r>
        <w:rPr>
          <w:rFonts w:hint="eastAsia" w:ascii="宋体" w:hAnsi="宋体" w:cs="宋体"/>
          <w:color w:val="auto"/>
          <w:sz w:val="21"/>
          <w:szCs w:val="21"/>
          <w:lang w:val="en-US" w:eastAsia="zh-CN"/>
        </w:rPr>
        <w:t>副</w:t>
      </w:r>
      <w:r>
        <w:rPr>
          <w:rFonts w:hint="eastAsia" w:ascii="宋体" w:hAnsi="宋体" w:cs="宋体"/>
          <w:color w:val="auto"/>
          <w:sz w:val="21"/>
          <w:szCs w:val="21"/>
        </w:rPr>
        <w:t>启动故障录波器，一</w:t>
      </w:r>
      <w:r>
        <w:rPr>
          <w:rFonts w:hint="eastAsia" w:ascii="宋体" w:hAnsi="宋体" w:cs="宋体"/>
          <w:color w:val="auto"/>
          <w:sz w:val="21"/>
          <w:szCs w:val="21"/>
          <w:lang w:val="en-US" w:eastAsia="zh-CN"/>
        </w:rPr>
        <w:t>副</w:t>
      </w:r>
      <w:r>
        <w:rPr>
          <w:rFonts w:hint="eastAsia" w:ascii="宋体" w:hAnsi="宋体" w:cs="宋体"/>
          <w:color w:val="auto"/>
          <w:sz w:val="21"/>
          <w:szCs w:val="21"/>
        </w:rPr>
        <w:t>送至DCS，一</w:t>
      </w:r>
      <w:r>
        <w:rPr>
          <w:rFonts w:hint="eastAsia" w:ascii="宋体" w:hAnsi="宋体" w:cs="宋体"/>
          <w:color w:val="auto"/>
          <w:sz w:val="21"/>
          <w:szCs w:val="21"/>
          <w:lang w:val="en-US" w:eastAsia="zh-CN"/>
        </w:rPr>
        <w:t>副</w:t>
      </w:r>
      <w:r>
        <w:rPr>
          <w:rFonts w:hint="eastAsia" w:ascii="宋体" w:hAnsi="宋体" w:cs="宋体"/>
          <w:color w:val="auto"/>
          <w:sz w:val="21"/>
          <w:szCs w:val="21"/>
        </w:rPr>
        <w:t>将发电机、主变、高压厂变等主保护信号和瓦斯信号接点发至远动遥信。</w:t>
      </w:r>
    </w:p>
    <w:p>
      <w:pPr>
        <w:numPr>
          <w:ilvl w:val="-1"/>
          <w:numId w:val="0"/>
        </w:numPr>
        <w:tabs>
          <w:tab w:val="left" w:pos="945"/>
        </w:tabs>
        <w:snapToGrid/>
        <w:spacing w:line="360" w:lineRule="auto"/>
        <w:ind w:left="0" w:firstLine="0"/>
        <w:rPr>
          <w:rFonts w:hint="eastAsia" w:ascii="宋体" w:hAnsi="宋体" w:cs="宋体"/>
          <w:color w:val="auto"/>
          <w:sz w:val="21"/>
          <w:szCs w:val="21"/>
          <w:shd w:val="pct10" w:color="auto" w:fill="FFFFFF"/>
        </w:rPr>
      </w:pPr>
      <w:r>
        <w:rPr>
          <w:rFonts w:hint="eastAsia" w:ascii="宋体" w:hAnsi="宋体" w:cs="宋体"/>
          <w:color w:val="auto"/>
          <w:sz w:val="21"/>
          <w:szCs w:val="21"/>
          <w:lang w:val="en-US" w:eastAsia="zh-CN"/>
        </w:rPr>
        <w:t xml:space="preserve">3.4.28 </w:t>
      </w:r>
      <w:r>
        <w:rPr>
          <w:rFonts w:hint="eastAsia" w:ascii="宋体" w:hAnsi="宋体" w:cs="宋体"/>
          <w:color w:val="auto"/>
          <w:sz w:val="21"/>
          <w:szCs w:val="21"/>
        </w:rPr>
        <w:t>招标人不对保护装置外壳设置专用的接地网，其接地接于主接地网，主接地网的接地电阻不大于0.5</w:t>
      </w:r>
      <w:r>
        <w:rPr>
          <w:rFonts w:hint="eastAsia" w:ascii="楷体" w:hAnsi="楷体" w:eastAsia="楷体" w:cs="楷体"/>
          <w:color w:val="auto"/>
          <w:sz w:val="21"/>
          <w:szCs w:val="21"/>
        </w:rPr>
        <w:t>Ω</w:t>
      </w:r>
      <w:r>
        <w:rPr>
          <w:rFonts w:hint="eastAsia" w:ascii="宋体" w:hAnsi="宋体" w:cs="宋体"/>
          <w:color w:val="auto"/>
          <w:sz w:val="21"/>
          <w:szCs w:val="21"/>
        </w:rPr>
        <w:t>。</w:t>
      </w:r>
    </w:p>
    <w:p>
      <w:pPr>
        <w:numPr>
          <w:ilvl w:val="0"/>
          <w:numId w:val="0"/>
        </w:numPr>
        <w:tabs>
          <w:tab w:val="left" w:pos="945"/>
        </w:tabs>
        <w:snapToGrid/>
        <w:spacing w:line="360" w:lineRule="auto"/>
        <w:rPr>
          <w:rFonts w:hint="eastAsia" w:ascii="宋体" w:hAnsi="宋体" w:cs="宋体"/>
          <w:color w:val="auto"/>
          <w:sz w:val="21"/>
          <w:szCs w:val="21"/>
        </w:rPr>
      </w:pPr>
      <w:r>
        <w:rPr>
          <w:rFonts w:hint="eastAsia" w:ascii="宋体" w:hAnsi="宋体" w:cs="宋体"/>
          <w:color w:val="auto"/>
          <w:sz w:val="21"/>
          <w:szCs w:val="21"/>
          <w:lang w:val="en-US" w:eastAsia="zh-CN"/>
        </w:rPr>
        <w:t xml:space="preserve">3.4.29 </w:t>
      </w:r>
      <w:r>
        <w:rPr>
          <w:rFonts w:hint="eastAsia" w:ascii="宋体" w:hAnsi="宋体" w:cs="宋体"/>
          <w:color w:val="auto"/>
          <w:sz w:val="21"/>
          <w:szCs w:val="21"/>
        </w:rPr>
        <w:t>发变组保护屏原则上设置如下：机组的发电机、主变压器、高压厂变、励磁变保护装置及出口继电器设一面屏</w:t>
      </w:r>
      <w:r>
        <w:rPr>
          <w:rFonts w:hint="eastAsia" w:ascii="宋体" w:hAnsi="宋体" w:cs="宋体"/>
          <w:color w:val="auto"/>
          <w:sz w:val="21"/>
          <w:szCs w:val="21"/>
          <w:lang w:val="en-US" w:eastAsia="zh-CN"/>
        </w:rPr>
        <w:t>A屏</w:t>
      </w:r>
      <w:r>
        <w:rPr>
          <w:rFonts w:hint="eastAsia" w:ascii="宋体" w:hAnsi="宋体" w:cs="宋体"/>
          <w:color w:val="auto"/>
          <w:sz w:val="21"/>
          <w:szCs w:val="21"/>
        </w:rPr>
        <w:t>（A</w:t>
      </w:r>
      <w:r>
        <w:rPr>
          <w:rFonts w:hint="eastAsia" w:ascii="宋体" w:hAnsi="宋体" w:cs="宋体"/>
          <w:color w:val="auto"/>
          <w:sz w:val="21"/>
          <w:szCs w:val="21"/>
          <w:lang w:val="en-US" w:eastAsia="zh-CN"/>
        </w:rPr>
        <w:t>屏</w:t>
      </w:r>
      <w:r>
        <w:rPr>
          <w:rFonts w:hint="eastAsia" w:ascii="宋体" w:hAnsi="宋体" w:cs="宋体"/>
          <w:color w:val="auto"/>
          <w:sz w:val="21"/>
          <w:szCs w:val="21"/>
        </w:rPr>
        <w:t>装设完整的主保护和后备保护及发电机转子接地保护），发变组非电量保护装置及出口继电器设一面屏C屏；设一面保护管理机屏D屏。</w:t>
      </w:r>
    </w:p>
    <w:p>
      <w:pPr>
        <w:numPr>
          <w:ilvl w:val="-1"/>
          <w:numId w:val="0"/>
        </w:numPr>
        <w:tabs>
          <w:tab w:val="left" w:pos="945"/>
        </w:tabs>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3.4.30 </w:t>
      </w:r>
      <w:r>
        <w:rPr>
          <w:rFonts w:hint="eastAsia" w:ascii="宋体" w:hAnsi="宋体" w:cs="宋体"/>
          <w:color w:val="auto"/>
          <w:sz w:val="21"/>
          <w:szCs w:val="21"/>
        </w:rPr>
        <w:t>至每个断路器的跳闸线圈的跳闸回路须有供回路投退的连接片，非电量保护须有供投退的连接片连接片投退应不影响各保护的信号出口。</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3.4.31 </w:t>
      </w:r>
      <w:r>
        <w:rPr>
          <w:rFonts w:hint="eastAsia" w:ascii="宋体" w:hAnsi="宋体" w:cs="宋体"/>
          <w:color w:val="auto"/>
          <w:sz w:val="21"/>
          <w:szCs w:val="21"/>
        </w:rPr>
        <w:t>每套保护装置的面板上至少应有下列LED指示灯：装置带电、各种保护动作。</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3.4.32 </w:t>
      </w:r>
      <w:r>
        <w:rPr>
          <w:rFonts w:hint="eastAsia" w:ascii="宋体" w:hAnsi="宋体" w:cs="宋体"/>
          <w:color w:val="auto"/>
          <w:sz w:val="21"/>
          <w:szCs w:val="21"/>
        </w:rPr>
        <w:t>各种保护动作的LED指示灯可以用保护装置面板上的复归按钮复归，或由输入复归命令复归。</w:t>
      </w:r>
    </w:p>
    <w:p>
      <w:pPr>
        <w:pStyle w:val="10"/>
        <w:numPr>
          <w:ilvl w:val="-1"/>
          <w:numId w:val="0"/>
        </w:numPr>
        <w:adjustRightInd/>
        <w:snapToGrid/>
        <w:spacing w:line="360" w:lineRule="auto"/>
        <w:ind w:left="0" w:firstLine="0"/>
        <w:textAlignment w:val="auto"/>
        <w:rPr>
          <w:rFonts w:hint="eastAsia" w:ascii="宋体" w:hAnsi="宋体" w:cs="宋体"/>
          <w:color w:val="auto"/>
          <w:kern w:val="2"/>
          <w:sz w:val="21"/>
          <w:szCs w:val="21"/>
        </w:rPr>
      </w:pPr>
      <w:r>
        <w:rPr>
          <w:rFonts w:hint="eastAsia" w:hAnsi="宋体" w:cs="宋体"/>
          <w:color w:val="auto"/>
          <w:kern w:val="2"/>
          <w:sz w:val="21"/>
          <w:szCs w:val="21"/>
          <w:lang w:val="en-US" w:eastAsia="zh-CN"/>
        </w:rPr>
        <w:t xml:space="preserve">3.4.33 </w:t>
      </w:r>
      <w:r>
        <w:rPr>
          <w:rFonts w:hint="eastAsia" w:ascii="宋体" w:hAnsi="宋体" w:cs="宋体"/>
          <w:color w:val="auto"/>
          <w:kern w:val="2"/>
          <w:sz w:val="21"/>
          <w:szCs w:val="21"/>
        </w:rPr>
        <w:t>投标人应提供微机型保护装置调试、整定和维护等可安装的全套软件</w:t>
      </w:r>
      <w:r>
        <w:rPr>
          <w:rFonts w:hint="eastAsia" w:hAnsi="宋体" w:cs="宋体"/>
          <w:color w:val="auto"/>
          <w:kern w:val="2"/>
          <w:sz w:val="21"/>
          <w:szCs w:val="21"/>
          <w:lang w:val="en-US" w:eastAsia="zh-CN"/>
        </w:rPr>
        <w:t>和工具</w:t>
      </w:r>
      <w:r>
        <w:rPr>
          <w:rFonts w:hint="eastAsia" w:ascii="宋体" w:hAnsi="宋体" w:cs="宋体"/>
          <w:color w:val="auto"/>
          <w:kern w:val="2"/>
          <w:sz w:val="21"/>
          <w:szCs w:val="21"/>
        </w:rPr>
        <w:t>。</w:t>
      </w:r>
    </w:p>
    <w:p>
      <w:pPr>
        <w:numPr>
          <w:ilvl w:val="-1"/>
          <w:numId w:val="0"/>
        </w:numPr>
        <w:snapToGrid/>
        <w:spacing w:line="360" w:lineRule="auto"/>
        <w:ind w:left="0" w:firstLine="0"/>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 xml:space="preserve">3.4.34 </w:t>
      </w:r>
      <w:r>
        <w:rPr>
          <w:rFonts w:hint="eastAsia" w:ascii="宋体" w:hAnsi="宋体" w:cs="宋体"/>
          <w:color w:val="auto"/>
          <w:kern w:val="0"/>
          <w:sz w:val="21"/>
          <w:szCs w:val="21"/>
        </w:rPr>
        <w:t>保护装置的温度特性：室内温度在-10℃～+50℃；最大变化率10℃/h；相对湿度5</w:t>
      </w:r>
      <w:r>
        <w:rPr>
          <w:rFonts w:hint="eastAsia" w:ascii="宋体" w:hAnsi="宋体" w:cs="宋体"/>
          <w:color w:val="auto"/>
          <w:kern w:val="0"/>
          <w:sz w:val="21"/>
          <w:szCs w:val="21"/>
          <w:lang w:eastAsia="zh-CN"/>
        </w:rPr>
        <w:t>％</w:t>
      </w:r>
      <w:r>
        <w:rPr>
          <w:rFonts w:hint="eastAsia" w:ascii="宋体" w:hAnsi="宋体" w:cs="宋体"/>
          <w:color w:val="auto"/>
          <w:kern w:val="0"/>
          <w:sz w:val="21"/>
          <w:szCs w:val="21"/>
        </w:rPr>
        <w:t>～95</w:t>
      </w:r>
      <w:r>
        <w:rPr>
          <w:rFonts w:hint="eastAsia" w:ascii="宋体" w:hAnsi="宋体" w:cs="宋体"/>
          <w:color w:val="auto"/>
          <w:kern w:val="0"/>
          <w:sz w:val="21"/>
          <w:szCs w:val="21"/>
          <w:lang w:eastAsia="zh-CN"/>
        </w:rPr>
        <w:t>％</w:t>
      </w:r>
      <w:r>
        <w:rPr>
          <w:rFonts w:hint="eastAsia" w:ascii="宋体" w:hAnsi="宋体" w:cs="宋体"/>
          <w:color w:val="auto"/>
          <w:kern w:val="0"/>
          <w:sz w:val="21"/>
          <w:szCs w:val="21"/>
        </w:rPr>
        <w:t>；最大绝对湿度28</w:t>
      </w:r>
      <w:r>
        <w:rPr>
          <w:rFonts w:hint="eastAsia" w:ascii="宋体" w:hAnsi="宋体" w:cs="宋体"/>
          <w:color w:val="auto"/>
          <w:kern w:val="0"/>
          <w:sz w:val="21"/>
          <w:szCs w:val="21"/>
          <w:lang w:val="en-US" w:eastAsia="zh-CN"/>
        </w:rPr>
        <w:t xml:space="preserve"> </w:t>
      </w:r>
      <w:r>
        <w:rPr>
          <w:rFonts w:hint="eastAsia" w:ascii="宋体" w:hAnsi="宋体" w:cs="宋体"/>
          <w:color w:val="auto"/>
          <w:kern w:val="0"/>
          <w:sz w:val="21"/>
          <w:szCs w:val="21"/>
        </w:rPr>
        <w:t>g/m</w:t>
      </w:r>
      <w:r>
        <w:rPr>
          <w:rFonts w:hint="eastAsia" w:ascii="宋体" w:hAnsi="宋体" w:cs="宋体"/>
          <w:color w:val="auto"/>
          <w:kern w:val="0"/>
          <w:sz w:val="21"/>
          <w:szCs w:val="21"/>
          <w:vertAlign w:val="superscript"/>
        </w:rPr>
        <w:t>3</w:t>
      </w:r>
      <w:r>
        <w:rPr>
          <w:rFonts w:hint="eastAsia" w:ascii="宋体" w:hAnsi="宋体" w:cs="宋体"/>
          <w:color w:val="auto"/>
          <w:kern w:val="0"/>
          <w:sz w:val="21"/>
          <w:szCs w:val="21"/>
        </w:rPr>
        <w:t>。保护装置应能满足规范书所规定的精度，并能正常工作。</w:t>
      </w:r>
    </w:p>
    <w:p>
      <w:pPr>
        <w:numPr>
          <w:ilvl w:val="-1"/>
          <w:numId w:val="0"/>
        </w:numPr>
        <w:snapToGrid/>
        <w:spacing w:line="360" w:lineRule="auto"/>
        <w:ind w:left="0" w:firstLine="0"/>
        <w:rPr>
          <w:rFonts w:hint="default" w:ascii="宋体" w:hAnsi="宋体" w:eastAsia="宋体" w:cs="宋体"/>
          <w:color w:val="auto"/>
          <w:kern w:val="0"/>
          <w:sz w:val="21"/>
          <w:szCs w:val="21"/>
          <w:lang w:val="en-US" w:eastAsia="zh-CN"/>
        </w:rPr>
      </w:pPr>
      <w:r>
        <w:rPr>
          <w:rFonts w:hint="eastAsia" w:ascii="宋体" w:hAnsi="宋体" w:cs="宋体"/>
          <w:color w:val="auto"/>
          <w:kern w:val="0"/>
          <w:sz w:val="21"/>
          <w:szCs w:val="21"/>
          <w:lang w:val="en-US" w:eastAsia="zh-CN"/>
        </w:rPr>
        <w:t>3.4.35 报价人提供的标的物应满足电力监控安全防护相关要求，应具有防止计算机病毒入侵的技术措施，保护管理系统应具有网络安全监测探针（Agent）程序部署及接入网络安全监测系统能力。</w:t>
      </w:r>
    </w:p>
    <w:p>
      <w:pPr>
        <w:numPr>
          <w:ilvl w:val="-1"/>
          <w:numId w:val="0"/>
        </w:numPr>
        <w:spacing w:line="360" w:lineRule="auto"/>
        <w:ind w:left="0" w:firstLine="0" w:firstLineChars="0"/>
        <w:outlineLvl w:val="9"/>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 xml:space="preserve">3.5 </w:t>
      </w:r>
      <w:r>
        <w:rPr>
          <w:rFonts w:hint="eastAsia" w:ascii="宋体" w:hAnsi="宋体" w:eastAsia="宋体" w:cs="宋体"/>
          <w:b/>
          <w:color w:val="auto"/>
          <w:sz w:val="24"/>
          <w:szCs w:val="24"/>
        </w:rPr>
        <w:t>各种保护功能的主要技术要求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b/>
          <w:bCs/>
          <w:color w:val="auto"/>
          <w:sz w:val="21"/>
          <w:szCs w:val="21"/>
          <w:lang w:val="en-US" w:eastAsia="zh-CN"/>
        </w:rPr>
        <w:t xml:space="preserve">3.5.1 </w:t>
      </w:r>
      <w:r>
        <w:rPr>
          <w:rFonts w:hint="eastAsia" w:ascii="宋体" w:hAnsi="宋体" w:cs="宋体"/>
          <w:b/>
          <w:bCs/>
          <w:color w:val="auto"/>
          <w:sz w:val="21"/>
          <w:szCs w:val="21"/>
        </w:rPr>
        <w:t>发电机、励磁变、主变、高压厂变</w:t>
      </w:r>
    </w:p>
    <w:p>
      <w:pPr>
        <w:snapToGrid/>
        <w:spacing w:line="360" w:lineRule="auto"/>
        <w:ind w:firstLine="480"/>
        <w:rPr>
          <w:rFonts w:hint="eastAsia" w:ascii="宋体" w:hAnsi="宋体" w:cs="宋体"/>
          <w:color w:val="auto"/>
          <w:sz w:val="21"/>
          <w:szCs w:val="21"/>
        </w:rPr>
      </w:pPr>
      <w:r>
        <w:rPr>
          <w:rFonts w:hint="eastAsia" w:ascii="宋体" w:hAnsi="宋体" w:cs="宋体"/>
          <w:color w:val="auto"/>
          <w:sz w:val="21"/>
          <w:szCs w:val="21"/>
        </w:rPr>
        <w:t>微机型保护装置按双重化配置（非电气量除外）要做到：</w:t>
      </w:r>
    </w:p>
    <w:p>
      <w:pPr>
        <w:numPr>
          <w:ilvl w:val="0"/>
          <w:numId w:val="1"/>
        </w:numPr>
        <w:tabs>
          <w:tab w:val="left" w:pos="876"/>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两套微机型保护装置（包括出口跳闸回路）应完整、独立安装在各自的屏内，之间没有任何电气联系。当运行中的一套保护因异常需退出或检修时，应不影响另一套保护的正常运行</w:t>
      </w:r>
      <w:r>
        <w:rPr>
          <w:rFonts w:hint="eastAsia" w:ascii="宋体" w:hAnsi="宋体" w:cs="宋体"/>
          <w:color w:val="auto"/>
          <w:sz w:val="21"/>
          <w:szCs w:val="21"/>
          <w:lang w:eastAsia="zh-CN"/>
        </w:rPr>
        <w:t>；</w:t>
      </w:r>
    </w:p>
    <w:p>
      <w:pPr>
        <w:numPr>
          <w:ilvl w:val="0"/>
          <w:numId w:val="1"/>
        </w:numPr>
        <w:tabs>
          <w:tab w:val="left" w:pos="876"/>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每套保护装置均应配置完整的差动及后备保护</w:t>
      </w:r>
      <w:r>
        <w:rPr>
          <w:rFonts w:hint="eastAsia" w:ascii="宋体" w:hAnsi="宋体" w:cs="宋体"/>
          <w:color w:val="auto"/>
          <w:sz w:val="21"/>
          <w:szCs w:val="21"/>
          <w:lang w:eastAsia="zh-CN"/>
        </w:rPr>
        <w:t>；</w:t>
      </w:r>
    </w:p>
    <w:p>
      <w:pPr>
        <w:numPr>
          <w:ilvl w:val="0"/>
          <w:numId w:val="1"/>
        </w:numPr>
        <w:tabs>
          <w:tab w:val="left" w:pos="876"/>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保护装置应能设置不同定值区</w:t>
      </w:r>
      <w:r>
        <w:rPr>
          <w:rFonts w:hint="eastAsia" w:ascii="宋体" w:hAnsi="宋体" w:cs="宋体"/>
          <w:color w:val="auto"/>
          <w:sz w:val="21"/>
          <w:szCs w:val="21"/>
          <w:lang w:eastAsia="zh-CN"/>
        </w:rPr>
        <w:t>；</w:t>
      </w:r>
    </w:p>
    <w:p>
      <w:pPr>
        <w:numPr>
          <w:ilvl w:val="0"/>
          <w:numId w:val="1"/>
        </w:numPr>
        <w:tabs>
          <w:tab w:val="left" w:pos="876"/>
        </w:tabs>
        <w:snapToGrid/>
        <w:spacing w:line="360" w:lineRule="auto"/>
        <w:ind w:left="480" w:leftChars="200" w:firstLine="0"/>
        <w:rPr>
          <w:rFonts w:hint="eastAsia" w:ascii="宋体" w:hAnsi="宋体" w:eastAsia="宋体" w:cs="宋体"/>
          <w:color w:val="auto"/>
          <w:sz w:val="21"/>
          <w:szCs w:val="21"/>
        </w:rPr>
      </w:pPr>
      <w:r>
        <w:rPr>
          <w:rFonts w:hint="eastAsia" w:ascii="宋体" w:hAnsi="宋体" w:cs="宋体"/>
          <w:color w:val="auto"/>
          <w:sz w:val="21"/>
          <w:szCs w:val="21"/>
        </w:rPr>
        <w:t>保护装置的出口继电器应能灵活选择组合，满足工程要求。</w:t>
      </w:r>
      <w:r>
        <w:rPr>
          <w:rFonts w:hint="eastAsia" w:ascii="宋体" w:hAnsi="宋体" w:eastAsia="宋体" w:cs="宋体"/>
          <w:color w:val="auto"/>
          <w:sz w:val="21"/>
          <w:szCs w:val="21"/>
        </w:rPr>
        <w:t>（出口方式，具体见施工图）</w:t>
      </w:r>
    </w:p>
    <w:p>
      <w:pPr>
        <w:numPr>
          <w:ilvl w:val="-1"/>
          <w:numId w:val="0"/>
        </w:numPr>
        <w:snapToGrid/>
        <w:spacing w:line="360" w:lineRule="auto"/>
        <w:ind w:left="0" w:firstLine="0"/>
        <w:rPr>
          <w:rFonts w:hint="eastAsia" w:ascii="宋体" w:hAnsi="宋体" w:cs="宋体"/>
          <w:b/>
          <w:bCs/>
          <w:color w:val="auto"/>
          <w:sz w:val="21"/>
          <w:szCs w:val="21"/>
        </w:rPr>
      </w:pPr>
      <w:r>
        <w:rPr>
          <w:rFonts w:hint="eastAsia" w:ascii="宋体" w:hAnsi="宋体" w:eastAsia="宋体" w:cs="宋体"/>
          <w:b/>
          <w:bCs/>
          <w:color w:val="auto"/>
          <w:sz w:val="21"/>
          <w:szCs w:val="21"/>
          <w:lang w:val="en-US" w:eastAsia="zh-CN"/>
        </w:rPr>
        <w:t xml:space="preserve">3.5.2 </w:t>
      </w:r>
      <w:r>
        <w:rPr>
          <w:rFonts w:hint="eastAsia" w:ascii="宋体" w:hAnsi="宋体" w:cs="宋体"/>
          <w:b/>
          <w:bCs/>
          <w:color w:val="auto"/>
          <w:sz w:val="21"/>
          <w:szCs w:val="21"/>
        </w:rPr>
        <w:t>微机型发电机保护装置</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发电机差动保护</w:t>
      </w:r>
    </w:p>
    <w:p>
      <w:pPr>
        <w:pStyle w:val="22"/>
        <w:snapToGrid/>
        <w:spacing w:line="360" w:lineRule="auto"/>
        <w:ind w:left="0" w:leftChars="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保护发电机定子绕组及其引出线的相间短路故障。其主要功能和技术要求如下</w:t>
      </w:r>
      <w:r>
        <w:rPr>
          <w:rFonts w:hint="eastAsia" w:ascii="宋体" w:hAnsi="宋体" w:cs="宋体"/>
          <w:color w:val="auto"/>
          <w:spacing w:val="0"/>
          <w:sz w:val="21"/>
          <w:szCs w:val="21"/>
          <w:lang w:eastAsia="zh-CN"/>
        </w:rPr>
        <w:t>；</w:t>
      </w:r>
    </w:p>
    <w:p>
      <w:pPr>
        <w:numPr>
          <w:ilvl w:val="0"/>
          <w:numId w:val="3"/>
        </w:numPr>
        <w:adjustRightInd/>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应具有防止区外故障误动的谐波制动和比率制动特性，防止发电机过激磁和强励时误动</w:t>
      </w:r>
      <w:r>
        <w:rPr>
          <w:rFonts w:hint="eastAsia" w:ascii="宋体" w:hAnsi="宋体" w:cs="宋体"/>
          <w:color w:val="auto"/>
          <w:sz w:val="21"/>
          <w:szCs w:val="21"/>
          <w:lang w:eastAsia="zh-CN"/>
        </w:rPr>
        <w:t>；</w:t>
      </w:r>
    </w:p>
    <w:p>
      <w:pPr>
        <w:numPr>
          <w:ilvl w:val="0"/>
          <w:numId w:val="3"/>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具有电流互感器（TA）断线判别功能，并能选择闭锁差流或报警，当电流大于额定电流的1.2</w:t>
      </w:r>
      <w:r>
        <w:rPr>
          <w:rFonts w:hint="eastAsia" w:ascii="宋体" w:hAnsi="宋体" w:eastAsia="宋体" w:cs="宋体"/>
          <w:color w:val="auto"/>
          <w:sz w:val="21"/>
          <w:szCs w:val="21"/>
        </w:rPr>
        <w:t>～</w:t>
      </w:r>
      <w:r>
        <w:rPr>
          <w:rFonts w:hint="eastAsia" w:ascii="宋体" w:hAnsi="宋体" w:cs="宋体"/>
          <w:color w:val="auto"/>
          <w:sz w:val="21"/>
          <w:szCs w:val="21"/>
        </w:rPr>
        <w:t>1.5倍可自动解除闭锁</w:t>
      </w:r>
      <w:r>
        <w:rPr>
          <w:rFonts w:hint="eastAsia" w:ascii="宋体" w:hAnsi="宋体" w:cs="宋体"/>
          <w:color w:val="auto"/>
          <w:sz w:val="21"/>
          <w:szCs w:val="21"/>
          <w:lang w:eastAsia="zh-CN"/>
        </w:rPr>
        <w:t>；</w:t>
      </w:r>
    </w:p>
    <w:p>
      <w:pPr>
        <w:numPr>
          <w:ilvl w:val="0"/>
          <w:numId w:val="3"/>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在同一相上出现两点接地故障(一点区内、一点区外)时，可动作出口</w:t>
      </w:r>
      <w:r>
        <w:rPr>
          <w:rFonts w:hint="eastAsia" w:ascii="宋体" w:hAnsi="宋体" w:cs="宋体"/>
          <w:color w:val="auto"/>
          <w:sz w:val="21"/>
          <w:szCs w:val="21"/>
          <w:lang w:eastAsia="zh-CN"/>
        </w:rPr>
        <w:t>；</w:t>
      </w:r>
    </w:p>
    <w:p>
      <w:pPr>
        <w:numPr>
          <w:ilvl w:val="0"/>
          <w:numId w:val="3"/>
        </w:numPr>
        <w:snapToGrid/>
        <w:spacing w:line="360" w:lineRule="auto"/>
        <w:ind w:left="889" w:leftChars="200" w:hanging="409"/>
        <w:rPr>
          <w:rFonts w:hint="eastAsia" w:ascii="宋体" w:hAnsi="宋体" w:cs="宋体"/>
          <w:color w:val="auto"/>
          <w:sz w:val="21"/>
          <w:szCs w:val="21"/>
        </w:rPr>
      </w:pPr>
      <w:r>
        <w:rPr>
          <w:rFonts w:hint="eastAsia" w:ascii="宋体" w:hAnsi="宋体" w:cs="宋体"/>
          <w:color w:val="auto"/>
          <w:sz w:val="21"/>
          <w:szCs w:val="21"/>
        </w:rPr>
        <w:t>定值的准确度：5</w:t>
      </w:r>
      <w:r>
        <w:rPr>
          <w:rFonts w:hint="eastAsia" w:ascii="宋体" w:hAnsi="宋体" w:cs="宋体"/>
          <w:color w:val="auto"/>
          <w:sz w:val="21"/>
          <w:szCs w:val="21"/>
          <w:lang w:eastAsia="zh-CN"/>
        </w:rPr>
        <w:t>％</w:t>
      </w:r>
      <w:r>
        <w:rPr>
          <w:rFonts w:hint="eastAsia" w:ascii="宋体" w:hAnsi="宋体" w:cs="宋体"/>
          <w:color w:val="auto"/>
          <w:sz w:val="21"/>
          <w:szCs w:val="21"/>
        </w:rPr>
        <w:t>或0.02In</w:t>
      </w:r>
      <w:r>
        <w:rPr>
          <w:rFonts w:hint="eastAsia" w:ascii="宋体" w:hAnsi="宋体" w:cs="宋体"/>
          <w:color w:val="auto"/>
          <w:sz w:val="21"/>
          <w:szCs w:val="21"/>
          <w:lang w:eastAsia="zh-CN"/>
        </w:rPr>
        <w:t>；</w:t>
      </w:r>
    </w:p>
    <w:p>
      <w:pPr>
        <w:numPr>
          <w:ilvl w:val="0"/>
          <w:numId w:val="3"/>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动作时间(2倍整定电流时)不大于30ms</w:t>
      </w:r>
      <w:r>
        <w:rPr>
          <w:rFonts w:hint="eastAsia" w:ascii="宋体" w:hAnsi="宋体" w:cs="宋体"/>
          <w:color w:val="auto"/>
          <w:sz w:val="21"/>
          <w:szCs w:val="21"/>
          <w:lang w:eastAsia="zh-CN"/>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发电机负序电流保护</w:t>
      </w:r>
    </w:p>
    <w:p>
      <w:pPr>
        <w:pStyle w:val="22"/>
        <w:snapToGrid/>
        <w:spacing w:line="360" w:lineRule="auto"/>
        <w:ind w:left="0" w:leftChars="0" w:firstLine="460" w:firstLineChars="200"/>
        <w:rPr>
          <w:rFonts w:hint="eastAsia" w:ascii="宋体" w:hAnsi="宋体" w:cs="宋体"/>
          <w:color w:val="auto"/>
          <w:spacing w:val="0"/>
          <w:sz w:val="21"/>
          <w:szCs w:val="21"/>
        </w:rPr>
      </w:pPr>
      <w:r>
        <w:rPr>
          <w:rFonts w:hint="eastAsia" w:ascii="宋体" w:hAnsi="宋体" w:cs="宋体"/>
          <w:color w:val="auto"/>
          <w:sz w:val="21"/>
          <w:szCs w:val="21"/>
        </w:rPr>
        <w:t>负序电流保护由定时限和反时限两部分特性构成。</w:t>
      </w:r>
      <w:r>
        <w:rPr>
          <w:rFonts w:hint="eastAsia" w:ascii="宋体" w:hAnsi="宋体" w:cs="宋体"/>
          <w:color w:val="auto"/>
          <w:spacing w:val="0"/>
          <w:sz w:val="21"/>
          <w:szCs w:val="21"/>
        </w:rPr>
        <w:t>其主要功能和技术要求如下：</w:t>
      </w:r>
    </w:p>
    <w:p>
      <w:pPr>
        <w:numPr>
          <w:ilvl w:val="0"/>
          <w:numId w:val="4"/>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定时限部分应具有灵敏的报警单元</w:t>
      </w:r>
      <w:r>
        <w:rPr>
          <w:rFonts w:hint="eastAsia" w:ascii="宋体" w:hAnsi="宋体" w:eastAsia="宋体" w:cs="宋体"/>
          <w:color w:val="auto"/>
          <w:sz w:val="21"/>
          <w:szCs w:val="21"/>
          <w:lang w:eastAsia="zh-CN"/>
        </w:rPr>
        <w:t>；</w:t>
      </w:r>
    </w:p>
    <w:p>
      <w:pPr>
        <w:numPr>
          <w:ilvl w:val="0"/>
          <w:numId w:val="4"/>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反时限部分动作电流按照发电机承受负序电流的能力确定，保护应能反应负序电流变化时发电机转子的热积累过程</w:t>
      </w:r>
      <w:r>
        <w:rPr>
          <w:rFonts w:hint="eastAsia" w:ascii="宋体" w:hAnsi="宋体" w:eastAsia="宋体" w:cs="宋体"/>
          <w:color w:val="auto"/>
          <w:sz w:val="21"/>
          <w:szCs w:val="21"/>
          <w:lang w:eastAsia="zh-CN"/>
        </w:rPr>
        <w:t>；</w:t>
      </w:r>
    </w:p>
    <w:p>
      <w:pPr>
        <w:numPr>
          <w:ilvl w:val="0"/>
          <w:numId w:val="4"/>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定时限段返回系数不小于0.9反时限特性的长延时应可整定到1000s</w:t>
      </w:r>
      <w:r>
        <w:rPr>
          <w:rFonts w:hint="eastAsia" w:ascii="宋体" w:hAnsi="宋体" w:eastAsia="宋体" w:cs="宋体"/>
          <w:color w:val="auto"/>
          <w:sz w:val="21"/>
          <w:szCs w:val="21"/>
          <w:lang w:eastAsia="zh-CN"/>
        </w:rPr>
        <w:t>；</w:t>
      </w:r>
    </w:p>
    <w:p>
      <w:pPr>
        <w:numPr>
          <w:ilvl w:val="0"/>
          <w:numId w:val="4"/>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反时限整个特性应由信号段、反时限段、速断段等三部分组成</w:t>
      </w:r>
      <w:r>
        <w:rPr>
          <w:rFonts w:hint="eastAsia" w:ascii="宋体" w:hAnsi="宋体" w:eastAsia="宋体" w:cs="宋体"/>
          <w:color w:val="auto"/>
          <w:sz w:val="21"/>
          <w:szCs w:val="21"/>
          <w:lang w:eastAsia="zh-CN"/>
        </w:rPr>
        <w:t>；</w:t>
      </w:r>
    </w:p>
    <w:p>
      <w:pPr>
        <w:numPr>
          <w:ilvl w:val="0"/>
          <w:numId w:val="4"/>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信号段、速断段时间整定值的准确度（1.5倍整定值时）：1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发电机失磁保护</w:t>
      </w:r>
    </w:p>
    <w:p>
      <w:pPr>
        <w:pStyle w:val="22"/>
        <w:snapToGrid/>
        <w:spacing w:line="360" w:lineRule="auto"/>
        <w:ind w:left="0" w:leftChars="0" w:firstLine="460" w:firstLineChars="200"/>
        <w:jc w:val="left"/>
        <w:rPr>
          <w:rFonts w:hint="eastAsia" w:ascii="宋体" w:hAnsi="宋体" w:cs="宋体"/>
          <w:color w:val="auto"/>
          <w:spacing w:val="0"/>
          <w:sz w:val="21"/>
          <w:szCs w:val="21"/>
        </w:rPr>
      </w:pPr>
      <w:r>
        <w:rPr>
          <w:rFonts w:hint="eastAsia" w:ascii="宋体" w:hAnsi="宋体" w:cs="宋体"/>
          <w:color w:val="auto"/>
          <w:sz w:val="21"/>
          <w:szCs w:val="21"/>
        </w:rPr>
        <w:t>保护发电机在发生失磁或部分失磁时，防止危及发电机安全及电力系统稳定运行的保护装置。</w:t>
      </w:r>
      <w:r>
        <w:rPr>
          <w:rFonts w:hint="eastAsia" w:ascii="宋体" w:hAnsi="宋体" w:cs="宋体"/>
          <w:color w:val="auto"/>
          <w:spacing w:val="0"/>
          <w:sz w:val="21"/>
          <w:szCs w:val="21"/>
        </w:rPr>
        <w:t>其主要功能和技术要求如下：</w:t>
      </w:r>
    </w:p>
    <w:p>
      <w:pPr>
        <w:numPr>
          <w:ilvl w:val="0"/>
          <w:numId w:val="5"/>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应能检测或预测机组的静稳边界，或检测机组的稳态异步边界；还应能检测不同负荷下各种全失磁和部分失磁</w:t>
      </w:r>
      <w:r>
        <w:rPr>
          <w:rFonts w:hint="eastAsia" w:ascii="宋体" w:hAnsi="宋体" w:eastAsia="宋体" w:cs="宋体"/>
          <w:color w:val="auto"/>
          <w:sz w:val="21"/>
          <w:szCs w:val="21"/>
          <w:lang w:eastAsia="zh-CN"/>
        </w:rPr>
        <w:t>；</w:t>
      </w:r>
    </w:p>
    <w:p>
      <w:pPr>
        <w:numPr>
          <w:ilvl w:val="0"/>
          <w:numId w:val="5"/>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应能检测系统侧电压</w:t>
      </w:r>
      <w:r>
        <w:rPr>
          <w:rFonts w:hint="eastAsia" w:ascii="宋体" w:hAnsi="宋体" w:eastAsia="宋体" w:cs="宋体"/>
          <w:color w:val="auto"/>
          <w:sz w:val="21"/>
          <w:szCs w:val="21"/>
          <w:lang w:eastAsia="zh-CN"/>
        </w:rPr>
        <w:t>；</w:t>
      </w:r>
    </w:p>
    <w:p>
      <w:pPr>
        <w:numPr>
          <w:ilvl w:val="0"/>
          <w:numId w:val="5"/>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应防止机组正常进相运行时和电力系统振荡时的误动；还应防止系统故障、故障切除过程中以及电压互感器断线时的误动，当电压互感器回路断线时应发出报警信号；</w:t>
      </w:r>
    </w:p>
    <w:p>
      <w:pPr>
        <w:numPr>
          <w:ilvl w:val="0"/>
          <w:numId w:val="5"/>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或40ms；</w:t>
      </w:r>
    </w:p>
    <w:p>
      <w:pPr>
        <w:numPr>
          <w:ilvl w:val="0"/>
          <w:numId w:val="5"/>
        </w:numPr>
        <w:snapToGrid/>
        <w:spacing w:line="360" w:lineRule="auto"/>
        <w:ind w:left="480" w:leftChars="200" w:firstLine="0"/>
        <w:rPr>
          <w:rFonts w:hint="eastAsia" w:ascii="宋体" w:hAnsi="宋体" w:cs="宋体"/>
          <w:dstrike w:val="0"/>
          <w:color w:val="auto"/>
          <w:sz w:val="21"/>
          <w:szCs w:val="21"/>
        </w:rPr>
      </w:pPr>
      <w:r>
        <w:rPr>
          <w:rFonts w:hint="eastAsia" w:ascii="宋体" w:hAnsi="宋体" w:cs="宋体"/>
          <w:color w:val="auto"/>
          <w:sz w:val="21"/>
          <w:szCs w:val="21"/>
        </w:rPr>
        <w:t>阻抗和功率整定值的准确度：5</w:t>
      </w:r>
      <w:r>
        <w:rPr>
          <w:rFonts w:hint="eastAsia" w:ascii="宋体" w:hAnsi="宋体" w:eastAsia="宋体" w:cs="宋体"/>
          <w:color w:val="auto"/>
          <w:sz w:val="21"/>
          <w:szCs w:val="21"/>
          <w:lang w:eastAsia="zh-CN"/>
        </w:rPr>
        <w:t>％</w:t>
      </w:r>
      <w:r>
        <w:rPr>
          <w:rFonts w:hint="eastAsia" w:ascii="宋体" w:hAnsi="宋体" w:cs="宋体"/>
          <w:color w:val="auto"/>
          <w:sz w:val="21"/>
          <w:szCs w:val="21"/>
        </w:rPr>
        <w:t>。其他整定值的准确度：2.5</w:t>
      </w:r>
      <w:r>
        <w:rPr>
          <w:rFonts w:hint="eastAsia" w:ascii="宋体" w:hAnsi="宋体" w:eastAsia="宋体" w:cs="宋体"/>
          <w:color w:val="auto"/>
          <w:sz w:val="21"/>
          <w:szCs w:val="21"/>
          <w:lang w:eastAsia="zh-CN"/>
        </w:rPr>
        <w:t>％</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发电机逆功率保护</w:t>
      </w:r>
    </w:p>
    <w:p>
      <w:pPr>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保护发电机在运行时因失去蒸汽而造成电动机运行方式，从而使汽轮机尾部叶片受损的保护装置。逆功率分为两个部分：一是作为保护装置程序跳闸的起动元件；另一个是作为逆功率保护元件。因逆功率保护要求电流采样精度高，所以装置应独立配置精度较高的电流采集通道。其主要功能和技术要求如下：</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作为程序跳闸起动元件，在汽机主汽门关闭并且逆功率继电器动作的情况下，经较短延时起动跳闸；作为电动机运行方式保护元件，当发电机-变压器组在线运行时，逆功率继电器动作但未得到主汽门关闭信号时经较长的时限起动跳闸；</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有功测量原理应与无功大小无关；</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lang w:val="en-US" w:eastAsia="zh-CN"/>
        </w:rPr>
        <w:t>为提高测量精度，保护装置应引入测量级的电流互感器回路；</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当电压互感器回路断线时应闭锁装置并发出报警信号；</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有功最小整定应不大于10W(二次的三相功率,额定电流为5A)；</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返回系数不小于0.8；</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或40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ms。有功整定值的准确度：10</w:t>
      </w:r>
      <w:r>
        <w:rPr>
          <w:rFonts w:hint="eastAsia" w:ascii="宋体" w:hAnsi="宋体" w:eastAsia="宋体" w:cs="宋体"/>
          <w:color w:val="auto"/>
          <w:sz w:val="21"/>
          <w:szCs w:val="21"/>
          <w:lang w:eastAsia="zh-CN"/>
        </w:rPr>
        <w:t>％</w:t>
      </w:r>
      <w:r>
        <w:rPr>
          <w:rFonts w:hint="eastAsia" w:ascii="宋体" w:hAnsi="宋体" w:cs="宋体"/>
          <w:color w:val="auto"/>
          <w:sz w:val="21"/>
          <w:szCs w:val="21"/>
        </w:rPr>
        <w:t>或0.002P</w:t>
      </w:r>
      <w:r>
        <w:rPr>
          <w:rFonts w:hint="eastAsia" w:ascii="宋体" w:hAnsi="宋体" w:eastAsia="宋体" w:cs="宋体"/>
          <w:color w:val="auto"/>
          <w:sz w:val="21"/>
          <w:szCs w:val="21"/>
          <w:vertAlign w:val="baseline"/>
          <w:lang w:val="en-US" w:eastAsia="zh-CN"/>
        </w:rPr>
        <w:t>n</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发电机过负荷保护</w:t>
      </w:r>
    </w:p>
    <w:p>
      <w:pPr>
        <w:tabs>
          <w:tab w:val="left" w:pos="1995"/>
        </w:tabs>
        <w:snapToGrid/>
        <w:spacing w:line="360" w:lineRule="auto"/>
        <w:ind w:left="0" w:firstLine="420" w:firstLineChars="200"/>
        <w:rPr>
          <w:rFonts w:hint="eastAsia" w:ascii="宋体" w:hAnsi="宋体" w:cs="宋体"/>
          <w:strike/>
          <w:color w:val="auto"/>
          <w:sz w:val="21"/>
          <w:szCs w:val="21"/>
        </w:rPr>
      </w:pPr>
      <w:r>
        <w:rPr>
          <w:rFonts w:hint="eastAsia" w:ascii="宋体" w:hAnsi="宋体" w:cs="宋体"/>
          <w:color w:val="auto"/>
          <w:sz w:val="21"/>
          <w:szCs w:val="21"/>
        </w:rPr>
        <w:t>过负荷保护由定时限和反时限两部分组成，定时限部分用于起动报警信号，反时限部分应具有与发电机定子绕组的过载容量相匹配的特性，可以模拟定子绕组的热积累过程。其主要功能和技术要求如下：</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定时限过电流保护至少分两段，反时限特性应能整定，以便于定子的过热特性近似匹配；</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定时限过电流保护返回系数不小于0.9</w:t>
      </w:r>
      <w:r>
        <w:rPr>
          <w:rFonts w:hint="eastAsia" w:ascii="宋体" w:hAnsi="宋体" w:cs="宋体"/>
          <w:color w:val="auto"/>
          <w:sz w:val="21"/>
          <w:szCs w:val="21"/>
          <w:lang w:eastAsia="zh-CN"/>
        </w:rPr>
        <w:t>；</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反时限特性由长延时段、反时限段、速断段三部分组成。长延时应可整定到1000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s</w:t>
      </w:r>
      <w:r>
        <w:rPr>
          <w:rFonts w:hint="eastAsia" w:ascii="宋体" w:hAnsi="宋体" w:cs="宋体"/>
          <w:color w:val="auto"/>
          <w:sz w:val="21"/>
          <w:szCs w:val="21"/>
          <w:lang w:eastAsia="zh-CN"/>
        </w:rPr>
        <w:t>；</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整定值的准确度：5</w:t>
      </w:r>
      <w:r>
        <w:rPr>
          <w:rFonts w:hint="eastAsia" w:ascii="宋体" w:hAnsi="宋体" w:eastAsia="宋体" w:cs="宋体"/>
          <w:color w:val="auto"/>
          <w:sz w:val="21"/>
          <w:szCs w:val="21"/>
          <w:lang w:eastAsia="zh-CN"/>
        </w:rPr>
        <w:t>％</w:t>
      </w:r>
      <w:r>
        <w:rPr>
          <w:rFonts w:hint="eastAsia" w:ascii="宋体" w:hAnsi="宋体" w:cs="宋体"/>
          <w:color w:val="auto"/>
          <w:sz w:val="21"/>
          <w:szCs w:val="21"/>
        </w:rPr>
        <w:t>或0.02In；</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长延时段、速断段时间整定值的准确度（1.5倍整定值时）：1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发电机定子接地保护</w:t>
      </w:r>
    </w:p>
    <w:p>
      <w:pPr>
        <w:snapToGrid/>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1</w:t>
      </w:r>
      <w:r>
        <w:rPr>
          <w:rFonts w:hint="eastAsia" w:ascii="宋体" w:hAnsi="宋体" w:cs="宋体"/>
          <w:color w:val="auto"/>
          <w:sz w:val="21"/>
          <w:szCs w:val="21"/>
        </w:rPr>
        <w:t>）基波零序电压加三次谐波定子接地保护。反映基波保护范围在发电机机端90％左右的零序过电压保护和通过比较发电机中性点与机端三次谐波电压保护，从而构成对定子绕组的100％保护。也可由其它保护方式实现100％定子接地保护。其主要功能及技术要求：</w:t>
      </w:r>
    </w:p>
    <w:p>
      <w:pPr>
        <w:numPr>
          <w:ilvl w:val="0"/>
          <w:numId w:val="8"/>
        </w:numPr>
        <w:tabs>
          <w:tab w:val="left" w:pos="-251"/>
          <w:tab w:val="left" w:pos="881"/>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保护范围应为定子绕组的100％；</w:t>
      </w:r>
    </w:p>
    <w:p>
      <w:pPr>
        <w:numPr>
          <w:ilvl w:val="0"/>
          <w:numId w:val="8"/>
        </w:numPr>
        <w:tabs>
          <w:tab w:val="left" w:pos="-251"/>
          <w:tab w:val="left" w:pos="881"/>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三次谐波式应能通过参数监视功能提供整定依据；</w:t>
      </w:r>
    </w:p>
    <w:p>
      <w:pPr>
        <w:numPr>
          <w:ilvl w:val="0"/>
          <w:numId w:val="8"/>
        </w:numPr>
        <w:tabs>
          <w:tab w:val="left" w:pos="-251"/>
          <w:tab w:val="left" w:pos="881"/>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基波零序电压保护返回系数不小于0.9；</w:t>
      </w:r>
    </w:p>
    <w:p>
      <w:pPr>
        <w:numPr>
          <w:ilvl w:val="0"/>
          <w:numId w:val="8"/>
        </w:numPr>
        <w:tabs>
          <w:tab w:val="left" w:pos="-251"/>
          <w:tab w:val="left" w:pos="881"/>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主变高压侧单相接地保护时基波零序电压保护应不误动</w:t>
      </w:r>
      <w:r>
        <w:rPr>
          <w:rFonts w:hint="eastAsia" w:ascii="宋体" w:hAnsi="宋体" w:cs="宋体"/>
          <w:color w:val="auto"/>
          <w:sz w:val="21"/>
          <w:szCs w:val="21"/>
          <w:lang w:eastAsia="zh-CN"/>
        </w:rPr>
        <w:t>；</w:t>
      </w:r>
    </w:p>
    <w:p>
      <w:pPr>
        <w:numPr>
          <w:ilvl w:val="0"/>
          <w:numId w:val="8"/>
        </w:numPr>
        <w:tabs>
          <w:tab w:val="left" w:pos="-251"/>
          <w:tab w:val="left" w:pos="881"/>
        </w:tabs>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w:t>
      </w:r>
      <w:r>
        <w:rPr>
          <w:rFonts w:hint="eastAsia" w:ascii="宋体" w:hAnsi="宋体" w:cs="宋体"/>
          <w:color w:val="auto"/>
          <w:sz w:val="21"/>
          <w:szCs w:val="21"/>
          <w:lang w:val="en-US" w:eastAsia="zh-CN"/>
        </w:rPr>
        <w:t>40</w:t>
      </w:r>
      <w:r>
        <w:rPr>
          <w:rFonts w:hint="eastAsia" w:ascii="宋体" w:hAnsi="宋体" w:cs="宋体"/>
          <w:color w:val="auto"/>
          <w:sz w:val="21"/>
          <w:szCs w:val="21"/>
        </w:rPr>
        <w:t>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频率保护</w:t>
      </w:r>
    </w:p>
    <w:p>
      <w:pPr>
        <w:tabs>
          <w:tab w:val="left" w:pos="1995"/>
        </w:tabs>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保护汽轮机，为防止发电机在频率偏低或偏高时，使汽轮机的叶片及其拉筋发生断裂故障的保护装置。其主要功能和技术要求如下：</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该保护应能反应频率下降和持续低频运行的时间累计；</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应根据汽轮机的频率－时间特性，具有按频率分段时间累积功能，时间累积在装置断电时应能保持；</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在发电机停机过程和停机期间应自动闭锁频率异常保护；</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低频保护应在发电机－变压器组断路器合闸后投人运行；</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当电压互感器回路断线时应闭锁装置并发出报警信号；</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频率测量范围为40～65Hz；频率测量允许误差±0.05</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Hz；时间积累的准确度5</w:t>
      </w:r>
      <w:r>
        <w:rPr>
          <w:rFonts w:hint="eastAsia" w:ascii="宋体" w:hAnsi="宋体" w:cs="宋体"/>
          <w:color w:val="auto"/>
          <w:sz w:val="21"/>
          <w:szCs w:val="21"/>
          <w:lang w:eastAsia="zh-CN"/>
        </w:rPr>
        <w:t>％</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lang w:val="en-US" w:eastAsia="zh-CN"/>
        </w:rPr>
        <w:t>发电机</w:t>
      </w:r>
      <w:r>
        <w:rPr>
          <w:rFonts w:hint="eastAsia" w:ascii="宋体" w:hAnsi="宋体" w:cs="宋体"/>
          <w:b/>
          <w:color w:val="auto"/>
          <w:spacing w:val="0"/>
          <w:sz w:val="21"/>
          <w:szCs w:val="21"/>
        </w:rPr>
        <w:t>过激磁保护</w:t>
      </w:r>
    </w:p>
    <w:p>
      <w:pPr>
        <w:tabs>
          <w:tab w:val="left" w:pos="1995"/>
        </w:tabs>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过激磁保护保护发电机过激磁，即当电压升高和频率降低时工作磁通密度过高引起绝缘过热老化的保护装置。保护装置定时限和反时限两种，定时限设低定值和高定值两段。其主要功能和技术要求如下：</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保护装置应设有定时限和反时限两个部分，以便同发电机的过激磁特性近似匹配</w:t>
      </w:r>
      <w:r>
        <w:rPr>
          <w:rFonts w:hint="eastAsia" w:ascii="宋体" w:hAnsi="宋体" w:cs="宋体"/>
          <w:color w:val="auto"/>
          <w:sz w:val="21"/>
          <w:szCs w:val="21"/>
          <w:lang w:eastAsia="zh-CN"/>
        </w:rPr>
        <w:t>；</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在变压器出现励磁涌流时保护不应发生误动作；</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当电压互感器回路断线时应闭锁装置并发出报警信号；</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过激磁返回系数不小于0.96；</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时间整定值的准确度（1.5倍整定值时）：</w:t>
      </w:r>
      <w:r>
        <w:rPr>
          <w:rFonts w:hint="eastAsia" w:ascii="宋体" w:hAnsi="宋体" w:cs="宋体"/>
          <w:color w:val="auto"/>
          <w:sz w:val="21"/>
          <w:szCs w:val="21"/>
          <w:lang w:val="en-US" w:eastAsia="zh-CN"/>
        </w:rPr>
        <w:t>5</w:t>
      </w:r>
      <w:r>
        <w:rPr>
          <w:rFonts w:hint="eastAsia" w:ascii="宋体" w:hAnsi="宋体" w:cs="宋体"/>
          <w:color w:val="auto"/>
          <w:sz w:val="21"/>
          <w:szCs w:val="21"/>
          <w:lang w:eastAsia="zh-CN"/>
        </w:rPr>
        <w:t>％</w:t>
      </w:r>
      <w:r>
        <w:rPr>
          <w:rFonts w:hint="eastAsia" w:ascii="宋体" w:hAnsi="宋体" w:cs="宋体"/>
          <w:color w:val="auto"/>
          <w:sz w:val="21"/>
          <w:szCs w:val="21"/>
        </w:rPr>
        <w:t>或70ms。反时限长延时应可整定到1000s。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发电机过电压保护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保护发电机在起动或并网过程中发生电压升高而损坏发电机绝缘的事故。其主要功能和技术要求如下：</w:t>
      </w:r>
    </w:p>
    <w:p>
      <w:pPr>
        <w:numPr>
          <w:ilvl w:val="0"/>
          <w:numId w:val="11"/>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整定值的准确度：2.5</w:t>
      </w:r>
      <w:r>
        <w:rPr>
          <w:rFonts w:hint="eastAsia" w:ascii="宋体" w:hAnsi="宋体" w:cs="宋体"/>
          <w:color w:val="auto"/>
          <w:sz w:val="21"/>
          <w:szCs w:val="21"/>
          <w:lang w:eastAsia="zh-CN"/>
        </w:rPr>
        <w:t>％</w:t>
      </w:r>
      <w:r>
        <w:rPr>
          <w:rFonts w:hint="eastAsia" w:ascii="宋体" w:hAnsi="宋体" w:cs="宋体"/>
          <w:color w:val="auto"/>
          <w:sz w:val="21"/>
          <w:szCs w:val="21"/>
        </w:rPr>
        <w:t>或0.04Un返回系数不小于0.95；</w:t>
      </w:r>
    </w:p>
    <w:p>
      <w:pPr>
        <w:numPr>
          <w:ilvl w:val="0"/>
          <w:numId w:val="11"/>
        </w:numPr>
        <w:snapToGrid/>
        <w:spacing w:line="360" w:lineRule="auto"/>
        <w:ind w:left="480" w:leftChars="200" w:firstLine="0"/>
        <w:rPr>
          <w:rFonts w:hint="eastAsia" w:ascii="宋体" w:hAnsi="宋体" w:cs="宋体"/>
          <w:b w:val="0"/>
          <w:color w:val="auto"/>
          <w:sz w:val="21"/>
          <w:szCs w:val="21"/>
        </w:rPr>
      </w:pPr>
      <w:r>
        <w:rPr>
          <w:rFonts w:hint="eastAsia" w:ascii="宋体" w:hAnsi="宋体" w:cs="宋体"/>
          <w:color w:val="auto"/>
          <w:sz w:val="21"/>
          <w:szCs w:val="21"/>
        </w:rPr>
        <w:t>时间整定值的准确度（1.5倍整定值时）：1</w:t>
      </w:r>
      <w:r>
        <w:rPr>
          <w:rFonts w:hint="eastAsia" w:ascii="宋体" w:hAnsi="宋体" w:cs="宋体"/>
          <w:color w:val="auto"/>
          <w:sz w:val="21"/>
          <w:szCs w:val="21"/>
          <w:lang w:eastAsia="zh-CN"/>
        </w:rPr>
        <w:t>％</w:t>
      </w:r>
      <w:r>
        <w:rPr>
          <w:rFonts w:hint="eastAsia" w:ascii="宋体" w:hAnsi="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突加电压保护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突加电压保护用于当汽轮发电机在盘车的情况下，发电机出口断路器意外合闸，突然加上电压，发电机投入运行后应能可靠退出。</w:t>
      </w:r>
    </w:p>
    <w:p>
      <w:pPr>
        <w:numPr>
          <w:ilvl w:val="0"/>
          <w:numId w:val="12"/>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具有鉴别同期并网和误合闸的功能；</w:t>
      </w:r>
    </w:p>
    <w:p>
      <w:pPr>
        <w:numPr>
          <w:ilvl w:val="0"/>
          <w:numId w:val="12"/>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具有正常并网（解列）后自动退出（投入）运行的功能；</w:t>
      </w:r>
    </w:p>
    <w:p>
      <w:pPr>
        <w:numPr>
          <w:ilvl w:val="0"/>
          <w:numId w:val="12"/>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整定值的准确度：5</w:t>
      </w:r>
      <w:r>
        <w:rPr>
          <w:rFonts w:hint="eastAsia" w:ascii="宋体" w:hAnsi="宋体" w:cs="宋体"/>
          <w:color w:val="auto"/>
          <w:sz w:val="21"/>
          <w:szCs w:val="21"/>
          <w:lang w:eastAsia="zh-CN"/>
        </w:rPr>
        <w:t>％</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发电机失步保护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保护发电机在发生失步时，造成机组受力和热的损伤及厂用电压急剧下降，使厂用机械受到严重威胁，导致停机、停炉严重事故的保护装置。其主要功能和技术要求如下：</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应能检测加速和减速失步；</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应能区分短路故障与失步、机组稳定振荡与失步；</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应具有区分振荡中心在发电机变压器组内部或外部的功能；</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应能记录滑极次数；</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应具有选择失磁保护闭锁或解除失步保护以及当电流过大危及断路器安全跳闸时应闭锁出口的功能；</w:t>
      </w:r>
    </w:p>
    <w:p>
      <w:pPr>
        <w:numPr>
          <w:ilvl w:val="0"/>
          <w:numId w:val="13"/>
        </w:numPr>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阻抗和功率整定准确度：5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。其他整定值的准确度：2.5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pPr>
        <w:pStyle w:val="22"/>
        <w:numPr>
          <w:ilvl w:val="0"/>
          <w:numId w:val="2"/>
        </w:numPr>
        <w:snapToGrid/>
        <w:spacing w:line="360" w:lineRule="auto"/>
        <w:ind w:left="537"/>
        <w:rPr>
          <w:rFonts w:hint="eastAsia" w:ascii="宋体" w:hAnsi="宋体" w:cs="宋体"/>
          <w:b/>
          <w:color w:val="auto"/>
          <w:sz w:val="21"/>
          <w:szCs w:val="21"/>
        </w:rPr>
      </w:pPr>
      <w:r>
        <w:rPr>
          <w:rFonts w:hint="eastAsia" w:ascii="宋体" w:hAnsi="宋体" w:cs="宋体"/>
          <w:b/>
          <w:color w:val="auto"/>
          <w:sz w:val="21"/>
          <w:szCs w:val="21"/>
        </w:rPr>
        <w:t>发电机定子匝间保护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发电机没有配置匝间保护专用PT，匝间保护采用内部逻辑构成，保护装置应具有以下主要功能及技术要求：</w:t>
      </w:r>
    </w:p>
    <w:p>
      <w:pPr>
        <w:numPr>
          <w:ilvl w:val="0"/>
          <w:numId w:val="14"/>
        </w:numPr>
        <w:snapToGrid/>
        <w:spacing w:line="360" w:lineRule="auto"/>
        <w:ind w:left="480" w:leftChars="200" w:firstLine="0"/>
        <w:rPr>
          <w:rFonts w:hint="eastAsia" w:ascii="宋体" w:hAnsi="宋体" w:eastAsia="宋体" w:cs="宋体"/>
          <w:color w:val="auto"/>
          <w:sz w:val="21"/>
          <w:szCs w:val="21"/>
        </w:rPr>
      </w:pPr>
      <w:r>
        <w:rPr>
          <w:rFonts w:hint="eastAsia" w:ascii="宋体" w:hAnsi="宋体" w:eastAsia="宋体" w:cs="宋体"/>
          <w:color w:val="auto"/>
          <w:sz w:val="21"/>
          <w:szCs w:val="21"/>
        </w:rPr>
        <w:t>区外故障时不应误动，区内故障时应有足够的灵敏度；</w:t>
      </w:r>
    </w:p>
    <w:p>
      <w:pPr>
        <w:numPr>
          <w:ilvl w:val="0"/>
          <w:numId w:val="14"/>
        </w:numPr>
        <w:snapToGrid/>
        <w:spacing w:line="360" w:lineRule="auto"/>
        <w:ind w:left="480" w:leftChars="200" w:firstLine="0"/>
        <w:rPr>
          <w:rFonts w:hint="eastAsia" w:ascii="宋体" w:hAnsi="宋体" w:eastAsia="宋体" w:cs="宋体"/>
          <w:color w:val="auto"/>
          <w:sz w:val="21"/>
          <w:szCs w:val="21"/>
        </w:rPr>
      </w:pPr>
      <w:r>
        <w:rPr>
          <w:rFonts w:hint="eastAsia" w:ascii="宋体" w:hAnsi="宋体" w:eastAsia="宋体" w:cs="宋体"/>
          <w:color w:val="auto"/>
          <w:sz w:val="21"/>
          <w:szCs w:val="21"/>
        </w:rPr>
        <w:t>保护装置采用电压型，发电机中性点侧有专用的电压互感器；</w:t>
      </w:r>
    </w:p>
    <w:p>
      <w:pPr>
        <w:numPr>
          <w:ilvl w:val="0"/>
          <w:numId w:val="14"/>
        </w:numPr>
        <w:snapToGrid/>
        <w:spacing w:line="360" w:lineRule="auto"/>
        <w:ind w:left="480" w:leftChars="200" w:firstLine="0"/>
        <w:rPr>
          <w:rFonts w:hint="eastAsia" w:ascii="宋体" w:hAnsi="宋体" w:eastAsia="宋体" w:cs="宋体"/>
          <w:color w:val="auto"/>
          <w:sz w:val="21"/>
          <w:szCs w:val="21"/>
        </w:rPr>
      </w:pPr>
      <w:r>
        <w:rPr>
          <w:rFonts w:hint="eastAsia" w:ascii="宋体" w:hAnsi="宋体" w:eastAsia="宋体" w:cs="宋体"/>
          <w:color w:val="auto"/>
          <w:sz w:val="21"/>
          <w:szCs w:val="21"/>
        </w:rPr>
        <w:t>保护装置带有负序功率方向闭锁；</w:t>
      </w:r>
    </w:p>
    <w:p>
      <w:pPr>
        <w:numPr>
          <w:ilvl w:val="0"/>
          <w:numId w:val="14"/>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时间整定值的准确度（1.5倍整定值时）：1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或70ms当电压互感器断线时装置不应误动并应发出断线信号；</w:t>
      </w:r>
    </w:p>
    <w:p>
      <w:pPr>
        <w:numPr>
          <w:ilvl w:val="0"/>
          <w:numId w:val="14"/>
        </w:numPr>
        <w:snapToGrid/>
        <w:spacing w:line="360" w:lineRule="auto"/>
        <w:ind w:left="480" w:leftChars="200" w:firstLine="0"/>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或0.1V。</w:t>
      </w:r>
    </w:p>
    <w:p>
      <w:pPr>
        <w:pStyle w:val="22"/>
        <w:numPr>
          <w:ilvl w:val="0"/>
          <w:numId w:val="2"/>
        </w:numPr>
        <w:snapToGrid/>
        <w:spacing w:line="360" w:lineRule="auto"/>
        <w:ind w:left="537"/>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发电机转子接地保护*</w:t>
      </w:r>
    </w:p>
    <w:p>
      <w:pPr>
        <w:numPr>
          <w:ilvl w:val="0"/>
          <w:numId w:val="0"/>
        </w:numPr>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发电机转子一点接地保护</w:t>
      </w:r>
      <w:r>
        <w:rPr>
          <w:rFonts w:hint="eastAsia" w:ascii="宋体" w:hAnsi="宋体" w:cs="宋体"/>
          <w:color w:val="auto"/>
          <w:sz w:val="21"/>
          <w:szCs w:val="21"/>
          <w:lang w:val="en-US" w:eastAsia="zh-CN"/>
        </w:rPr>
        <w:t>采用注入式</w:t>
      </w:r>
      <w:r>
        <w:rPr>
          <w:rFonts w:hint="eastAsia" w:ascii="宋体" w:hAnsi="宋体" w:eastAsia="宋体" w:cs="宋体"/>
          <w:color w:val="auto"/>
          <w:sz w:val="21"/>
          <w:szCs w:val="21"/>
        </w:rPr>
        <w:t>原理</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标段二采用乒乓式原理</w:t>
      </w:r>
      <w:r>
        <w:rPr>
          <w:rFonts w:hint="eastAsia" w:ascii="宋体" w:hAnsi="宋体" w:cs="宋体"/>
          <w:color w:val="auto"/>
          <w:sz w:val="21"/>
          <w:szCs w:val="21"/>
          <w:lang w:eastAsia="zh-CN"/>
        </w:rPr>
        <w:t>）</w:t>
      </w:r>
      <w:r>
        <w:rPr>
          <w:rFonts w:hint="eastAsia" w:ascii="宋体" w:hAnsi="宋体" w:eastAsia="宋体" w:cs="宋体"/>
          <w:color w:val="auto"/>
          <w:sz w:val="21"/>
          <w:szCs w:val="21"/>
        </w:rPr>
        <w:t>，正常运行时只投入一套，两套保护间相互可切换。第一时限动作于信号，第二时限动作于跳闸。保护装置应具有以下主要功能及技术要求：</w:t>
      </w:r>
    </w:p>
    <w:p>
      <w:pPr>
        <w:numPr>
          <w:ilvl w:val="0"/>
          <w:numId w:val="0"/>
        </w:numPr>
        <w:snapToGrid/>
        <w:spacing w:line="360" w:lineRule="auto"/>
        <w:ind w:leftChars="200"/>
        <w:rPr>
          <w:rFonts w:hint="eastAsia" w:ascii="宋体" w:hAnsi="宋体" w:eastAsia="宋体" w:cs="宋体"/>
          <w:color w:val="auto"/>
          <w:sz w:val="21"/>
          <w:szCs w:val="21"/>
        </w:rPr>
      </w:pPr>
      <w:r>
        <w:rPr>
          <w:rFonts w:hint="eastAsia" w:ascii="宋体" w:hAnsi="宋体" w:eastAsia="宋体" w:cs="宋体"/>
          <w:color w:val="auto"/>
          <w:sz w:val="21"/>
          <w:szCs w:val="21"/>
        </w:rPr>
        <w:t>1）应能适用于各种非旋转励磁方式的发电机励磁回路，不受转子回路对地分布电容及其他附加电容的影响；</w:t>
      </w:r>
    </w:p>
    <w:p>
      <w:pPr>
        <w:numPr>
          <w:ilvl w:val="0"/>
          <w:numId w:val="0"/>
        </w:numPr>
        <w:snapToGrid/>
        <w:spacing w:line="360" w:lineRule="auto"/>
        <w:ind w:leftChars="200"/>
        <w:rPr>
          <w:rFonts w:hint="eastAsia" w:ascii="宋体" w:hAnsi="宋体" w:eastAsia="宋体" w:cs="宋体"/>
          <w:color w:val="auto"/>
          <w:sz w:val="21"/>
          <w:szCs w:val="21"/>
        </w:rPr>
      </w:pPr>
      <w:r>
        <w:rPr>
          <w:rFonts w:hint="eastAsia" w:ascii="宋体" w:hAnsi="宋体" w:eastAsia="宋体" w:cs="宋体"/>
          <w:color w:val="auto"/>
          <w:sz w:val="21"/>
          <w:szCs w:val="21"/>
        </w:rPr>
        <w:t>2）应满足无励磁状态下的测量要求；</w:t>
      </w:r>
    </w:p>
    <w:p>
      <w:pPr>
        <w:numPr>
          <w:ilvl w:val="0"/>
          <w:numId w:val="0"/>
        </w:numPr>
        <w:snapToGrid/>
        <w:spacing w:line="360" w:lineRule="auto"/>
        <w:ind w:leftChars="200"/>
        <w:rPr>
          <w:rFonts w:hint="eastAsia" w:ascii="宋体" w:hAnsi="宋体" w:eastAsia="宋体" w:cs="宋体"/>
          <w:color w:val="auto"/>
          <w:sz w:val="21"/>
          <w:szCs w:val="21"/>
        </w:rPr>
      </w:pPr>
      <w:r>
        <w:rPr>
          <w:rFonts w:hint="eastAsia" w:ascii="宋体" w:hAnsi="宋体" w:eastAsia="宋体" w:cs="宋体"/>
          <w:color w:val="auto"/>
          <w:sz w:val="21"/>
          <w:szCs w:val="21"/>
        </w:rPr>
        <w:t>3）在同一整定值下，转子绕组不同地点发生一点接地时，其动作值误差为：当整定值为</w:t>
      </w:r>
      <w:r>
        <w:rPr>
          <w:rFonts w:hint="eastAsia" w:ascii="宋体" w:hAnsi="宋体" w:cs="宋体"/>
          <w:color w:val="auto"/>
          <w:sz w:val="21"/>
          <w:szCs w:val="21"/>
        </w:rPr>
        <w:t>0.5kΩ~50kΩ</w:t>
      </w:r>
      <w:r>
        <w:rPr>
          <w:rFonts w:hint="eastAsia" w:ascii="宋体" w:hAnsi="宋体" w:eastAsia="宋体" w:cs="宋体"/>
          <w:color w:val="auto"/>
          <w:sz w:val="21"/>
          <w:szCs w:val="21"/>
        </w:rPr>
        <w:t>时允差</w:t>
      </w:r>
      <w:r>
        <w:rPr>
          <w:rFonts w:hint="eastAsia" w:ascii="宋体" w:hAnsi="宋体" w:cs="宋体"/>
          <w:color w:val="auto"/>
          <w:sz w:val="21"/>
          <w:szCs w:val="21"/>
        </w:rPr>
        <w:t>±10%或±0.5kΩ</w:t>
      </w:r>
      <w:r>
        <w:rPr>
          <w:rFonts w:hint="eastAsia" w:ascii="宋体" w:hAnsi="宋体" w:eastAsia="宋体" w:cs="宋体"/>
          <w:color w:val="auto"/>
          <w:sz w:val="21"/>
          <w:szCs w:val="21"/>
        </w:rPr>
        <w:t>；</w:t>
      </w:r>
    </w:p>
    <w:p>
      <w:pPr>
        <w:numPr>
          <w:ilvl w:val="0"/>
          <w:numId w:val="0"/>
        </w:numPr>
        <w:snapToGrid/>
        <w:spacing w:line="360" w:lineRule="auto"/>
        <w:ind w:leftChars="200"/>
        <w:rPr>
          <w:rFonts w:hint="eastAsia" w:ascii="宋体" w:hAnsi="宋体" w:eastAsia="宋体" w:cs="宋体"/>
          <w:color w:val="auto"/>
          <w:sz w:val="21"/>
          <w:szCs w:val="21"/>
        </w:rPr>
      </w:pPr>
      <w:r>
        <w:rPr>
          <w:rFonts w:hint="eastAsia" w:ascii="宋体" w:hAnsi="宋体" w:eastAsia="宋体" w:cs="宋体"/>
          <w:color w:val="auto"/>
          <w:sz w:val="21"/>
          <w:szCs w:val="21"/>
        </w:rPr>
        <w:t>4）返回系数不大于1.3。</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发电机起停机保护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保护由反映相间短路的过电流保护和反映接地的零序电压保护构成。发-变组断路器合闸后，该保护退出。若保护装置的动作特性及保护灵敏度不受交流输入量的频率变化影响，特别是在机组起动时的低频状态下，则也可不设起停机保护。其主要功能及技术要求如下：</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发电机无励磁状态下定子绝缘降低检测功能；</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装置测量原理应与频率无关；</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工作频率范围：10Hz～55Hz；</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或0.1V。</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阻抗保护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阻抗保护作为发电机和主变的后备保护，保护取接于发电机引线侧点CT及发电机出口PT。其主要功能及技术要求如下：</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在电压互感器（TV）断线和电压切换时不应误动；</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具有电流或电流突变量启动功能；</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具有偏移特征，正反向阻抗均可分别整定；</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返回系数不大于1.1；</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时间整定的准确度（0.8倍整定值）：1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r>
        <w:rPr>
          <w:rFonts w:hint="eastAsia" w:ascii="宋体" w:hAnsi="宋体" w:eastAsia="宋体" w:cs="宋体"/>
          <w:color w:val="auto"/>
          <w:spacing w:val="0"/>
          <w:sz w:val="21"/>
          <w:szCs w:val="21"/>
          <w:lang w:eastAsia="zh-CN"/>
        </w:rPr>
        <w:t>；</w:t>
      </w:r>
    </w:p>
    <w:p>
      <w:pPr>
        <w:numPr>
          <w:ilvl w:val="0"/>
          <w:numId w:val="16"/>
        </w:numPr>
        <w:snapToGrid/>
        <w:spacing w:line="360" w:lineRule="auto"/>
        <w:ind w:left="822" w:leftChars="200" w:hanging="342"/>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精确工作电流不大于0.1倍额定电流。</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复合电压闭锁过电流保护</w:t>
      </w:r>
    </w:p>
    <w:p>
      <w:pPr>
        <w:pStyle w:val="22"/>
        <w:snapToGrid/>
        <w:spacing w:line="360" w:lineRule="auto"/>
        <w:ind w:left="0" w:firstLine="460" w:firstLineChars="200"/>
        <w:rPr>
          <w:rFonts w:hint="eastAsia" w:ascii="宋体" w:hAnsi="宋体" w:cs="宋体"/>
          <w:color w:val="auto"/>
          <w:spacing w:val="0"/>
          <w:sz w:val="21"/>
          <w:szCs w:val="21"/>
        </w:rPr>
      </w:pPr>
      <w:r>
        <w:rPr>
          <w:rFonts w:hint="eastAsia" w:ascii="宋体" w:hAnsi="宋体" w:cs="宋体"/>
          <w:color w:val="auto"/>
          <w:sz w:val="21"/>
          <w:szCs w:val="21"/>
        </w:rPr>
        <w:t>负序电压和正序电压闭锁的过流保护装置，由定时限特性构成。作为发电机和主变相间短路故障的后备保护。其主要功能及技术要求如下：</w:t>
      </w:r>
    </w:p>
    <w:p>
      <w:pPr>
        <w:numPr>
          <w:ilvl w:val="0"/>
          <w:numId w:val="17"/>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自并励（无串联变压器）发电机宜采用带电流记忆（保持）的低压过流保护；</w:t>
      </w:r>
    </w:p>
    <w:p>
      <w:pPr>
        <w:numPr>
          <w:ilvl w:val="0"/>
          <w:numId w:val="17"/>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返回系数：电流元件、负序电压不小于0.9，低电压元件不大于1.1；</w:t>
      </w:r>
    </w:p>
    <w:p>
      <w:pPr>
        <w:numPr>
          <w:ilvl w:val="0"/>
          <w:numId w:val="17"/>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电流、负序电压整定值、电压整定值的准确度：2.5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或0.02In、0.01Un；</w:t>
      </w:r>
    </w:p>
    <w:p>
      <w:pPr>
        <w:numPr>
          <w:ilvl w:val="0"/>
          <w:numId w:val="17"/>
        </w:numPr>
        <w:snapToGrid/>
        <w:spacing w:line="360" w:lineRule="auto"/>
        <w:ind w:left="480" w:leftChars="200" w:firstLine="0" w:firstLineChars="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时间整定值的准确度（电流、负序电压1.5倍整定值、低电压0.8倍整定值时）：1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非电量保护</w:t>
      </w:r>
    </w:p>
    <w:p>
      <w:pPr>
        <w:pStyle w:val="22"/>
        <w:snapToGrid/>
        <w:spacing w:line="360" w:lineRule="auto"/>
        <w:ind w:left="0" w:firstLine="460" w:firstLineChars="200"/>
        <w:jc w:val="left"/>
        <w:rPr>
          <w:rFonts w:hint="eastAsia" w:ascii="宋体" w:hAnsi="宋体" w:cs="宋体"/>
          <w:color w:val="auto"/>
          <w:sz w:val="21"/>
          <w:szCs w:val="21"/>
        </w:rPr>
      </w:pPr>
      <w:r>
        <w:rPr>
          <w:rFonts w:hint="eastAsia" w:ascii="宋体" w:hAnsi="宋体" w:cs="宋体"/>
          <w:color w:val="auto"/>
          <w:sz w:val="21"/>
          <w:szCs w:val="21"/>
        </w:rPr>
        <w:t>各种非电量保护应具有投退压板。发电机非电量保护包括AVR故障或者励磁系统保护动作、主汽门关闭、发电机断水保护和控制屏手动紧急跳闸按钮等，并预留备用重动继电器。</w:t>
      </w:r>
    </w:p>
    <w:p>
      <w:pPr>
        <w:numPr>
          <w:ilvl w:val="0"/>
          <w:numId w:val="18"/>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装置的强电开入回路应与装置保护电源隔离；开入回路的启动电压值不大于0.7倍额定电压值，且不小于0.55倍额定电压值。动作速度不小于10ms；</w:t>
      </w:r>
    </w:p>
    <w:p>
      <w:pPr>
        <w:numPr>
          <w:ilvl w:val="0"/>
          <w:numId w:val="18"/>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所有涉及直接跳闸的回路应采用启动电压值不大于0.7倍额定电压值，且不小于0.55倍额定电压值的中间继电器，并要求启动功率不低于5W</w:t>
      </w:r>
      <w:r>
        <w:rPr>
          <w:rFonts w:hint="eastAsia" w:ascii="宋体" w:hAnsi="宋体" w:cs="宋体"/>
          <w:color w:val="auto"/>
          <w:sz w:val="21"/>
          <w:szCs w:val="21"/>
          <w:lang w:eastAsia="zh-CN"/>
        </w:rPr>
        <w:t>；</w:t>
      </w:r>
    </w:p>
    <w:p>
      <w:pPr>
        <w:numPr>
          <w:ilvl w:val="0"/>
          <w:numId w:val="18"/>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以上在微机型发电机保护装置中配置的各类保护，如果在该装置中不具备，则需另加。</w:t>
      </w:r>
    </w:p>
    <w:p>
      <w:pPr>
        <w:numPr>
          <w:ilvl w:val="-1"/>
          <w:numId w:val="0"/>
        </w:numPr>
        <w:snapToGrid/>
        <w:spacing w:line="360" w:lineRule="auto"/>
        <w:ind w:left="0" w:firstLine="0"/>
        <w:rPr>
          <w:rFonts w:hint="eastAsia" w:ascii="宋体" w:hAnsi="宋体" w:cs="宋体"/>
          <w:b/>
          <w:bCs/>
          <w:color w:val="auto"/>
          <w:sz w:val="21"/>
          <w:szCs w:val="21"/>
        </w:rPr>
      </w:pPr>
      <w:r>
        <w:rPr>
          <w:rFonts w:hint="eastAsia" w:ascii="宋体" w:hAnsi="宋体" w:eastAsia="宋体" w:cs="宋体"/>
          <w:b/>
          <w:bCs/>
          <w:color w:val="auto"/>
          <w:sz w:val="21"/>
          <w:szCs w:val="21"/>
          <w:lang w:val="en-US" w:eastAsia="zh-CN"/>
        </w:rPr>
        <w:t xml:space="preserve">3.5.3 </w:t>
      </w:r>
      <w:r>
        <w:rPr>
          <w:rFonts w:hint="eastAsia" w:ascii="宋体" w:hAnsi="宋体" w:cs="宋体"/>
          <w:b/>
          <w:bCs/>
          <w:color w:val="auto"/>
          <w:sz w:val="21"/>
          <w:szCs w:val="21"/>
        </w:rPr>
        <w:t>微机型励磁变保护</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励磁变差动保护</w:t>
      </w:r>
    </w:p>
    <w:p>
      <w:pPr>
        <w:pStyle w:val="22"/>
        <w:snapToGrid/>
        <w:spacing w:line="360" w:lineRule="auto"/>
        <w:ind w:left="0" w:firstLine="460" w:firstLineChars="200"/>
        <w:rPr>
          <w:rFonts w:hint="eastAsia" w:ascii="宋体" w:hAnsi="宋体" w:cs="宋体"/>
          <w:b/>
          <w:color w:val="auto"/>
          <w:spacing w:val="0"/>
          <w:sz w:val="21"/>
          <w:szCs w:val="21"/>
        </w:rPr>
      </w:pPr>
      <w:r>
        <w:rPr>
          <w:rFonts w:hint="eastAsia" w:ascii="宋体" w:hAnsi="宋体" w:cs="宋体"/>
          <w:color w:val="auto"/>
          <w:sz w:val="21"/>
          <w:szCs w:val="21"/>
        </w:rPr>
        <w:t>励磁柜进线侧此次需增加2组保护CT（5000/5），用于励磁变差动保护。其主要功能及技术要求如下：</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差动保护应具有防止区外故障误动的制动特性；</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具有防止电流互感器暂态保护过程中误动的措施；</w:t>
      </w:r>
    </w:p>
    <w:p>
      <w:pPr>
        <w:numPr>
          <w:ilvl w:val="0"/>
          <w:numId w:val="19"/>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可以具有电流互感器断线判别功能，并能选择闭锁差动或报警，当电流大于额定电流的1.2～1.5倍</w:t>
      </w:r>
      <w:r>
        <w:rPr>
          <w:rFonts w:hint="eastAsia" w:ascii="宋体" w:hAnsi="宋体" w:cs="宋体"/>
          <w:color w:val="auto"/>
          <w:sz w:val="21"/>
          <w:szCs w:val="21"/>
          <w:lang w:val="en-US" w:eastAsia="zh-CN"/>
        </w:rPr>
        <w:t>时</w:t>
      </w:r>
      <w:r>
        <w:rPr>
          <w:rFonts w:hint="eastAsia" w:ascii="宋体" w:hAnsi="宋体" w:eastAsia="宋体" w:cs="宋体"/>
          <w:color w:val="auto"/>
          <w:sz w:val="21"/>
          <w:szCs w:val="21"/>
        </w:rPr>
        <w:t>可自动解除闭锁；</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具有防止励磁电流谐波分量大引起的暂态不平衡电流对保护影响的措施；</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具有差流告警功能，发信；</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动作时间（2倍整定电流时）不大于</w:t>
      </w:r>
      <w:r>
        <w:rPr>
          <w:rFonts w:hint="eastAsia" w:ascii="宋体" w:hAnsi="宋体" w:cs="宋体"/>
          <w:color w:val="auto"/>
          <w:sz w:val="21"/>
          <w:szCs w:val="21"/>
        </w:rPr>
        <w:t>30</w:t>
      </w:r>
      <w:r>
        <w:rPr>
          <w:rFonts w:hint="eastAsia" w:ascii="宋体" w:hAnsi="宋体" w:eastAsia="宋体" w:cs="宋体"/>
          <w:color w:val="FF0000"/>
          <w:sz w:val="21"/>
          <w:szCs w:val="21"/>
        </w:rPr>
        <w:t>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励磁变速断保护</w:t>
      </w:r>
    </w:p>
    <w:p>
      <w:pPr>
        <w:pStyle w:val="22"/>
        <w:snapToGrid/>
        <w:spacing w:line="360" w:lineRule="auto"/>
        <w:ind w:left="0" w:firstLine="460" w:firstLineChars="200"/>
        <w:rPr>
          <w:rFonts w:hint="eastAsia" w:ascii="宋体" w:hAnsi="宋体" w:cs="宋体"/>
          <w:b/>
          <w:color w:val="auto"/>
          <w:spacing w:val="0"/>
          <w:sz w:val="21"/>
          <w:szCs w:val="21"/>
        </w:rPr>
      </w:pPr>
      <w:r>
        <w:rPr>
          <w:rFonts w:hint="eastAsia" w:ascii="宋体" w:hAnsi="宋体" w:cs="宋体"/>
          <w:color w:val="auto"/>
          <w:sz w:val="21"/>
          <w:szCs w:val="21"/>
        </w:rPr>
        <w:t>其主要功能及技术要求如下：</w:t>
      </w:r>
    </w:p>
    <w:p>
      <w:pPr>
        <w:numPr>
          <w:ilvl w:val="0"/>
          <w:numId w:val="20"/>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电流整定值的准确度：2.5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20"/>
        </w:numPr>
        <w:snapToGrid/>
        <w:spacing w:line="360" w:lineRule="auto"/>
        <w:ind w:left="480" w:leftChars="200" w:firstLine="0"/>
        <w:jc w:val="left"/>
        <w:rPr>
          <w:rFonts w:hint="eastAsia" w:ascii="宋体" w:hAnsi="宋体" w:eastAsia="宋体" w:cs="宋体"/>
          <w:color w:val="auto"/>
          <w:spacing w:val="0"/>
          <w:sz w:val="21"/>
          <w:szCs w:val="21"/>
        </w:rPr>
      </w:pPr>
      <w:r>
        <w:rPr>
          <w:rFonts w:hint="eastAsia" w:ascii="宋体" w:hAnsi="宋体" w:eastAsia="宋体" w:cs="宋体"/>
          <w:color w:val="auto"/>
          <w:sz w:val="21"/>
          <w:szCs w:val="21"/>
        </w:rPr>
        <w:t>时间整定值的准确度（电流2倍整定值）：不大于</w:t>
      </w:r>
      <w:r>
        <w:rPr>
          <w:rFonts w:hint="eastAsia" w:ascii="宋体" w:hAnsi="宋体" w:cs="宋体"/>
          <w:color w:val="auto"/>
          <w:sz w:val="21"/>
          <w:szCs w:val="21"/>
          <w:lang w:val="en-US" w:eastAsia="zh-CN"/>
        </w:rPr>
        <w:t>20</w:t>
      </w:r>
      <w:r>
        <w:rPr>
          <w:rFonts w:hint="eastAsia" w:ascii="宋体" w:hAnsi="宋体" w:eastAsia="宋体" w:cs="宋体"/>
          <w:color w:val="auto"/>
          <w:sz w:val="21"/>
          <w:szCs w:val="21"/>
        </w:rPr>
        <w:t>ms</w:t>
      </w:r>
      <w:r>
        <w:rPr>
          <w:rFonts w:hint="eastAsia" w:ascii="宋体" w:hAnsi="宋体" w:eastAsia="宋体" w:cs="宋体"/>
          <w:color w:val="auto"/>
          <w:sz w:val="21"/>
          <w:szCs w:val="21"/>
          <w:lang w:eastAsia="zh-CN"/>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励磁变过流保护</w:t>
      </w:r>
    </w:p>
    <w:p>
      <w:pPr>
        <w:pStyle w:val="22"/>
        <w:snapToGrid/>
        <w:spacing w:line="360" w:lineRule="auto"/>
        <w:ind w:left="0" w:firstLine="460" w:firstLineChars="200"/>
        <w:rPr>
          <w:rFonts w:hint="eastAsia" w:ascii="宋体" w:hAnsi="宋体" w:cs="宋体"/>
          <w:b/>
          <w:color w:val="auto"/>
          <w:spacing w:val="0"/>
          <w:sz w:val="21"/>
          <w:szCs w:val="21"/>
        </w:rPr>
      </w:pPr>
      <w:r>
        <w:rPr>
          <w:rFonts w:hint="eastAsia" w:ascii="宋体" w:hAnsi="宋体" w:cs="宋体"/>
          <w:color w:val="auto"/>
          <w:sz w:val="21"/>
          <w:szCs w:val="21"/>
        </w:rPr>
        <w:t>其主要功能及技术要求如下：</w:t>
      </w:r>
    </w:p>
    <w:p>
      <w:pPr>
        <w:numPr>
          <w:ilvl w:val="0"/>
          <w:numId w:val="21"/>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电流整定值的准确度：2.5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21"/>
        </w:numPr>
        <w:snapToGrid/>
        <w:spacing w:line="360" w:lineRule="auto"/>
        <w:ind w:left="480" w:leftChars="200"/>
        <w:jc w:val="left"/>
        <w:rPr>
          <w:rFonts w:hint="eastAsia" w:ascii="宋体" w:hAnsi="宋体" w:eastAsia="宋体" w:cs="宋体"/>
          <w:color w:val="auto"/>
          <w:spacing w:val="0"/>
          <w:sz w:val="21"/>
          <w:szCs w:val="21"/>
        </w:rPr>
      </w:pPr>
      <w:r>
        <w:rPr>
          <w:rFonts w:hint="eastAsia" w:ascii="宋体" w:hAnsi="宋体" w:eastAsia="宋体" w:cs="宋体"/>
          <w:color w:val="auto"/>
          <w:sz w:val="21"/>
          <w:szCs w:val="21"/>
        </w:rPr>
        <w:t>时间整定值的准确度（电流1.5倍整定值）：1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励磁系统过负荷保护</w:t>
      </w:r>
    </w:p>
    <w:p>
      <w:pPr>
        <w:pStyle w:val="22"/>
        <w:snapToGrid/>
        <w:spacing w:line="360" w:lineRule="auto"/>
        <w:ind w:left="0" w:firstLine="460" w:firstLineChars="200"/>
        <w:rPr>
          <w:rFonts w:hint="eastAsia" w:ascii="宋体" w:hAnsi="宋体" w:cs="宋体"/>
          <w:b/>
          <w:color w:val="auto"/>
          <w:spacing w:val="0"/>
          <w:sz w:val="21"/>
          <w:szCs w:val="21"/>
        </w:rPr>
      </w:pPr>
      <w:r>
        <w:rPr>
          <w:rFonts w:hint="eastAsia" w:ascii="宋体" w:hAnsi="宋体" w:cs="宋体"/>
          <w:color w:val="auto"/>
          <w:sz w:val="21"/>
          <w:szCs w:val="21"/>
        </w:rPr>
        <w:t>其主要功能及技术要求如下：</w:t>
      </w:r>
    </w:p>
    <w:p>
      <w:pPr>
        <w:numPr>
          <w:ilvl w:val="0"/>
          <w:numId w:val="22"/>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具有可选的直流或交流测量功能；</w:t>
      </w:r>
    </w:p>
    <w:p>
      <w:pPr>
        <w:numPr>
          <w:ilvl w:val="0"/>
          <w:numId w:val="22"/>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定时限至少分两段，反时限特性应能</w:t>
      </w:r>
      <w:r>
        <w:rPr>
          <w:rFonts w:hint="eastAsia" w:ascii="宋体" w:hAnsi="宋体" w:cs="宋体"/>
          <w:color w:val="auto"/>
          <w:sz w:val="21"/>
          <w:szCs w:val="21"/>
          <w:lang w:val="en-US" w:eastAsia="zh-CN"/>
        </w:rPr>
        <w:t>开放</w:t>
      </w:r>
      <w:r>
        <w:rPr>
          <w:rFonts w:hint="eastAsia" w:ascii="宋体" w:hAnsi="宋体" w:eastAsia="宋体" w:cs="宋体"/>
          <w:color w:val="auto"/>
          <w:sz w:val="21"/>
          <w:szCs w:val="21"/>
        </w:rPr>
        <w:t>整定，以便于励磁绕组的过热特性匹配；</w:t>
      </w:r>
    </w:p>
    <w:p>
      <w:pPr>
        <w:numPr>
          <w:ilvl w:val="0"/>
          <w:numId w:val="22"/>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定时限段返回系数不小于0.9。反时限特性由长延时段、反时限段、速断段三部分组成。长延时应可整定到1000s；</w:t>
      </w:r>
    </w:p>
    <w:p>
      <w:pPr>
        <w:numPr>
          <w:ilvl w:val="0"/>
          <w:numId w:val="22"/>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w:t>
      </w:r>
    </w:p>
    <w:p>
      <w:pPr>
        <w:numPr>
          <w:ilvl w:val="0"/>
          <w:numId w:val="22"/>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长延时段、速断段时间整定值的准确度（1.5倍整定值）：1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励磁变本体保护（非电量保护）</w:t>
      </w:r>
    </w:p>
    <w:p>
      <w:pPr>
        <w:pStyle w:val="22"/>
        <w:snapToGrid/>
        <w:spacing w:line="360" w:lineRule="auto"/>
        <w:ind w:left="0" w:firstLine="460" w:firstLineChars="200"/>
        <w:rPr>
          <w:rFonts w:hint="eastAsia" w:ascii="宋体" w:hAnsi="宋体" w:cs="宋体"/>
          <w:color w:val="0000FF"/>
          <w:sz w:val="21"/>
          <w:szCs w:val="21"/>
        </w:rPr>
      </w:pPr>
      <w:r>
        <w:rPr>
          <w:rFonts w:hint="eastAsia" w:ascii="宋体" w:hAnsi="宋体" w:cs="宋体"/>
          <w:color w:val="auto"/>
          <w:sz w:val="21"/>
          <w:szCs w:val="21"/>
        </w:rPr>
        <w:t>各种非电量保护应具有投退压板。励磁变本体保护包括励磁变温度高、励磁变温度高-高（不限于此，具体见施工图）</w:t>
      </w:r>
      <w:r>
        <w:rPr>
          <w:rFonts w:hint="eastAsia" w:ascii="宋体" w:hAnsi="宋体" w:cs="宋体"/>
          <w:color w:val="auto"/>
          <w:sz w:val="21"/>
          <w:szCs w:val="21"/>
          <w:u w:val="none"/>
          <w:lang w:eastAsia="zh-CN"/>
        </w:rPr>
        <w:t>、瓦斯保护，</w:t>
      </w:r>
      <w:r>
        <w:rPr>
          <w:rFonts w:hint="eastAsia" w:ascii="宋体" w:hAnsi="宋体" w:cs="宋体"/>
          <w:color w:val="auto"/>
          <w:sz w:val="21"/>
          <w:szCs w:val="21"/>
        </w:rPr>
        <w:t>并预留备用重动继电器。</w:t>
      </w:r>
    </w:p>
    <w:p>
      <w:pPr>
        <w:numPr>
          <w:ilvl w:val="-1"/>
          <w:numId w:val="0"/>
        </w:numPr>
        <w:snapToGrid/>
        <w:spacing w:line="360" w:lineRule="auto"/>
        <w:ind w:left="0" w:firstLine="0"/>
        <w:rPr>
          <w:rFonts w:hint="eastAsia" w:ascii="宋体" w:hAnsi="宋体" w:cs="宋体"/>
          <w:b/>
          <w:bCs/>
          <w:color w:val="auto"/>
          <w:sz w:val="21"/>
          <w:szCs w:val="21"/>
        </w:rPr>
      </w:pPr>
      <w:r>
        <w:rPr>
          <w:rFonts w:hint="eastAsia" w:ascii="宋体" w:hAnsi="宋体" w:eastAsia="宋体" w:cs="宋体"/>
          <w:b/>
          <w:bCs/>
          <w:color w:val="auto"/>
          <w:sz w:val="21"/>
          <w:szCs w:val="21"/>
          <w:lang w:val="en-US" w:eastAsia="zh-CN"/>
        </w:rPr>
        <w:t xml:space="preserve">3.5.4 </w:t>
      </w:r>
      <w:r>
        <w:rPr>
          <w:rFonts w:hint="eastAsia" w:ascii="宋体" w:hAnsi="宋体" w:cs="宋体"/>
          <w:b/>
          <w:bCs/>
          <w:color w:val="auto"/>
          <w:sz w:val="21"/>
          <w:szCs w:val="21"/>
        </w:rPr>
        <w:t>微机型主变压器保护装置</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主变压器差动保护</w:t>
      </w:r>
    </w:p>
    <w:p>
      <w:pPr>
        <w:pStyle w:val="22"/>
        <w:snapToGrid/>
        <w:spacing w:line="360" w:lineRule="auto"/>
        <w:ind w:left="0" w:firstLine="420" w:firstLineChars="200"/>
        <w:rPr>
          <w:rFonts w:hint="eastAsia" w:ascii="宋体" w:hAnsi="宋体" w:cs="宋体"/>
          <w:b/>
          <w:color w:val="auto"/>
          <w:spacing w:val="0"/>
          <w:sz w:val="21"/>
          <w:szCs w:val="21"/>
        </w:rPr>
      </w:pPr>
      <w:r>
        <w:rPr>
          <w:rFonts w:hint="eastAsia" w:ascii="宋体" w:hAnsi="宋体" w:cs="宋体"/>
          <w:color w:val="auto"/>
          <w:spacing w:val="0"/>
          <w:sz w:val="21"/>
          <w:szCs w:val="21"/>
        </w:rPr>
        <w:t>保护主变压器绕组及其引出线的相间短路故障。</w:t>
      </w:r>
      <w:r>
        <w:rPr>
          <w:rFonts w:hint="eastAsia" w:ascii="宋体" w:hAnsi="宋体" w:cs="宋体"/>
          <w:color w:val="auto"/>
          <w:sz w:val="21"/>
          <w:szCs w:val="21"/>
        </w:rPr>
        <w:t>其主要功能及技术要求如下：</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应具有防止区外故障误动的谐波制动和比率制动特性，防止变压器过激磁时误动；</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具有电流互感器（TA）断线判别功能，并能选择闭锁差流或报警，当电流大于额定电流的1.2～1.5倍可自动解除闭锁；</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应具有高整定值,无制动功能的电流速断，动作电流整定范围5～25In；</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应有防止励磁涌流引起误动的功能；具有防止电流互感器（TA）暂态饱和过程中误动的措施；</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由于各侧电流互感器的变比可能不同，应有平衡差动保护各侧电流的措施，能满足两侧电流互感器有16倍差别的调节范围；</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具有差流告警发信功能；</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变压器差动保护应具有穿越故障制动输入口；</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动作时间(2倍整定电流时)不大于</w:t>
      </w:r>
      <w:r>
        <w:rPr>
          <w:rFonts w:hint="eastAsia" w:ascii="宋体" w:hAnsi="宋体" w:cs="宋体"/>
          <w:color w:val="auto"/>
          <w:sz w:val="21"/>
          <w:szCs w:val="21"/>
          <w:lang w:val="en-US" w:eastAsia="zh-CN"/>
        </w:rPr>
        <w:t>30</w:t>
      </w:r>
      <w:r>
        <w:rPr>
          <w:rFonts w:hint="eastAsia" w:ascii="宋体" w:hAnsi="宋体" w:eastAsia="宋体" w:cs="宋体"/>
          <w:color w:val="auto"/>
          <w:sz w:val="21"/>
          <w:szCs w:val="21"/>
        </w:rPr>
        <w:t>ms。</w:t>
      </w:r>
    </w:p>
    <w:p>
      <w:pPr>
        <w:pStyle w:val="22"/>
        <w:numPr>
          <w:ilvl w:val="0"/>
          <w:numId w:val="2"/>
        </w:numPr>
        <w:snapToGrid/>
        <w:spacing w:line="360" w:lineRule="auto"/>
        <w:ind w:left="537" w:leftChars="0" w:hanging="57"/>
        <w:rPr>
          <w:rFonts w:hint="eastAsia" w:ascii="宋体" w:hAnsi="宋体" w:cs="宋体"/>
          <w:b/>
          <w:color w:val="auto"/>
          <w:spacing w:val="0"/>
          <w:sz w:val="21"/>
          <w:szCs w:val="21"/>
        </w:rPr>
      </w:pPr>
      <w:r>
        <w:rPr>
          <w:rFonts w:hint="eastAsia" w:ascii="宋体" w:hAnsi="宋体" w:cs="宋体"/>
          <w:b/>
          <w:color w:val="auto"/>
          <w:spacing w:val="0"/>
          <w:sz w:val="21"/>
          <w:szCs w:val="21"/>
        </w:rPr>
        <w:t>主变复合电压闭锁过流保护</w:t>
      </w:r>
    </w:p>
    <w:p>
      <w:pPr>
        <w:pStyle w:val="22"/>
        <w:snapToGrid/>
        <w:spacing w:line="360" w:lineRule="auto"/>
        <w:ind w:left="0" w:leftChars="0" w:firstLine="460" w:firstLineChars="200"/>
        <w:rPr>
          <w:rFonts w:hint="eastAsia" w:ascii="宋体" w:hAnsi="宋体" w:cs="宋体"/>
          <w:b/>
          <w:color w:val="auto"/>
          <w:spacing w:val="0"/>
          <w:sz w:val="21"/>
          <w:szCs w:val="21"/>
        </w:rPr>
      </w:pPr>
      <w:r>
        <w:rPr>
          <w:rFonts w:hint="eastAsia" w:ascii="宋体" w:hAnsi="宋体" w:cs="宋体"/>
          <w:color w:val="auto"/>
          <w:sz w:val="21"/>
          <w:szCs w:val="21"/>
        </w:rPr>
        <w:t>电压闭锁信号取自主变高压侧和低压侧PT电压回路。当电压互感器回路断线时应闭锁装置并发出报警信号。其主要功能及技术要求如下：</w:t>
      </w:r>
    </w:p>
    <w:p>
      <w:pPr>
        <w:numPr>
          <w:ilvl w:val="0"/>
          <w:numId w:val="24"/>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返回系数：电流、负序电压元件不小于0.9，低电压元件不大于1.1；</w:t>
      </w:r>
    </w:p>
    <w:p>
      <w:pPr>
        <w:numPr>
          <w:ilvl w:val="0"/>
          <w:numId w:val="24"/>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电流整定值、电压整定值的准确度：2.5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或0.02In、0.01Un</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负序电压整定值的准确度：5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或0.1V；</w:t>
      </w:r>
    </w:p>
    <w:p>
      <w:pPr>
        <w:numPr>
          <w:ilvl w:val="0"/>
          <w:numId w:val="24"/>
        </w:numPr>
        <w:snapToGrid/>
        <w:spacing w:line="360" w:lineRule="auto"/>
        <w:ind w:left="480" w:leftChars="200" w:firstLine="0"/>
        <w:jc w:val="left"/>
        <w:rPr>
          <w:rFonts w:hint="eastAsia" w:ascii="宋体" w:hAnsi="宋体" w:eastAsia="宋体" w:cs="宋体"/>
          <w:color w:val="auto"/>
          <w:spacing w:val="0"/>
          <w:sz w:val="21"/>
          <w:szCs w:val="21"/>
        </w:rPr>
      </w:pPr>
      <w:r>
        <w:rPr>
          <w:rFonts w:hint="eastAsia" w:ascii="宋体" w:hAnsi="宋体" w:eastAsia="宋体" w:cs="宋体"/>
          <w:color w:val="auto"/>
          <w:sz w:val="21"/>
          <w:szCs w:val="21"/>
        </w:rPr>
        <w:t>时间整定值的准确度（电流、负序电压1.5倍整定值、低电压0.8倍整定值时）：1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leftChars="0" w:hanging="57"/>
        <w:rPr>
          <w:rFonts w:hint="eastAsia" w:ascii="宋体" w:hAnsi="宋体" w:cs="宋体"/>
          <w:b/>
          <w:color w:val="auto"/>
          <w:spacing w:val="0"/>
          <w:sz w:val="21"/>
          <w:szCs w:val="21"/>
        </w:rPr>
      </w:pPr>
      <w:r>
        <w:rPr>
          <w:rFonts w:hint="eastAsia" w:ascii="宋体" w:hAnsi="宋体" w:cs="宋体"/>
          <w:b/>
          <w:color w:val="auto"/>
          <w:spacing w:val="0"/>
          <w:sz w:val="21"/>
          <w:szCs w:val="21"/>
        </w:rPr>
        <w:t>主变高压侧接地保护</w:t>
      </w:r>
    </w:p>
    <w:p>
      <w:pPr>
        <w:pStyle w:val="22"/>
        <w:snapToGrid/>
        <w:spacing w:line="360" w:lineRule="auto"/>
        <w:ind w:left="0" w:leftChars="0" w:firstLine="460" w:firstLineChars="200"/>
        <w:rPr>
          <w:rFonts w:hint="eastAsia" w:ascii="宋体" w:hAnsi="宋体" w:cs="宋体"/>
          <w:color w:val="auto"/>
          <w:sz w:val="21"/>
          <w:szCs w:val="21"/>
        </w:rPr>
      </w:pPr>
      <w:r>
        <w:rPr>
          <w:rFonts w:hint="eastAsia" w:ascii="宋体" w:hAnsi="宋体" w:cs="宋体"/>
          <w:color w:val="auto"/>
          <w:sz w:val="21"/>
          <w:szCs w:val="21"/>
        </w:rPr>
        <w:t>主变压器高压绕组单相接地故障保护，作为变压器绕组、引线、相邻元件接地故障的后备，保护设二段。其主要功能及技术要求如下：</w:t>
      </w:r>
    </w:p>
    <w:p>
      <w:pPr>
        <w:numPr>
          <w:ilvl w:val="0"/>
          <w:numId w:val="25"/>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返回系数不低于0.9；</w:t>
      </w:r>
    </w:p>
    <w:p>
      <w:pPr>
        <w:numPr>
          <w:ilvl w:val="0"/>
          <w:numId w:val="25"/>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25"/>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时间整定的准确度（1.5倍整定值时）：1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leftChars="200" w:hanging="57"/>
        <w:rPr>
          <w:rFonts w:hint="eastAsia" w:ascii="宋体" w:hAnsi="宋体" w:cs="宋体"/>
          <w:b/>
          <w:color w:val="auto"/>
          <w:spacing w:val="0"/>
          <w:sz w:val="21"/>
          <w:szCs w:val="21"/>
        </w:rPr>
      </w:pPr>
      <w:r>
        <w:rPr>
          <w:rFonts w:hint="eastAsia" w:ascii="宋体" w:hAnsi="宋体" w:eastAsia="宋体" w:cs="宋体"/>
          <w:b/>
          <w:color w:val="auto"/>
          <w:spacing w:val="0"/>
          <w:sz w:val="21"/>
          <w:szCs w:val="21"/>
          <w:lang w:val="en-US" w:eastAsia="zh-CN"/>
        </w:rPr>
        <w:t>主变</w:t>
      </w:r>
      <w:r>
        <w:rPr>
          <w:rFonts w:hint="eastAsia" w:ascii="宋体" w:hAnsi="宋体" w:cs="宋体"/>
          <w:b/>
          <w:color w:val="auto"/>
          <w:spacing w:val="0"/>
          <w:sz w:val="21"/>
          <w:szCs w:val="21"/>
        </w:rPr>
        <w:t>过激磁保护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过激磁保护变压器过激磁，即当电压升高和频率降低时工作磁通密度过高引起绝缘过热老化的保护装置。保护装置定时限和反时限两种，定时限设低定值和高定值两段。其主要功能和技术要求如下：</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保护装置应设有定时限和反时限两个部分，以便同变压器的过激磁特性近似匹配；</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在变压器出现励磁涌流时保护不应发生误动作；</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当电压互感器回路断线时应闭锁装置并发出报警信号；</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装置适用频率范围25Hz～65Hz；电压整定范围：1.0～1.5额定电压；</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过激磁返回系数不小于0.96；</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时间整定值的准确度（1.5倍整定值时）：</w:t>
      </w:r>
      <w:r>
        <w:rPr>
          <w:rFonts w:hint="eastAsia" w:ascii="宋体" w:hAnsi="宋体" w:cs="宋体"/>
          <w:color w:val="auto"/>
          <w:sz w:val="21"/>
          <w:szCs w:val="21"/>
          <w:lang w:val="en-US" w:eastAsia="zh-CN"/>
        </w:rPr>
        <w:t>5</w:t>
      </w:r>
      <w:r>
        <w:rPr>
          <w:rFonts w:hint="eastAsia" w:ascii="宋体" w:hAnsi="宋体" w:cs="宋体"/>
          <w:color w:val="auto"/>
          <w:sz w:val="21"/>
          <w:szCs w:val="21"/>
          <w:lang w:eastAsia="zh-CN"/>
        </w:rPr>
        <w:t>％</w:t>
      </w:r>
      <w:r>
        <w:rPr>
          <w:rFonts w:hint="eastAsia" w:ascii="宋体" w:hAnsi="宋体" w:cs="宋体"/>
          <w:color w:val="auto"/>
          <w:sz w:val="21"/>
          <w:szCs w:val="21"/>
        </w:rPr>
        <w:t>或70ms；</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反时限长延时应可整定到1000s。</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主变低压侧接地保护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主变压器低压绕组单相接地故障保护，作为变压器绕组、引线、相邻元件接地故障的后备，保护动作于信号。</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断路器失灵保护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提供零序电流、负序电流和相电流元件作为断路器失灵保护的电流判据。其主要功能和技术要求如下：</w:t>
      </w:r>
    </w:p>
    <w:p>
      <w:pPr>
        <w:numPr>
          <w:ilvl w:val="0"/>
          <w:numId w:val="27"/>
        </w:numPr>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整定值的准确度：2.5</w:t>
      </w:r>
      <w:r>
        <w:rPr>
          <w:rFonts w:hint="eastAsia" w:ascii="宋体" w:hAnsi="宋体" w:cs="宋体"/>
          <w:color w:val="auto"/>
          <w:sz w:val="21"/>
          <w:szCs w:val="21"/>
          <w:lang w:eastAsia="zh-CN"/>
        </w:rPr>
        <w:t>％</w:t>
      </w:r>
      <w:r>
        <w:rPr>
          <w:rFonts w:hint="eastAsia" w:ascii="宋体" w:hAnsi="宋体" w:cs="宋体"/>
          <w:color w:val="auto"/>
          <w:sz w:val="21"/>
          <w:szCs w:val="21"/>
        </w:rPr>
        <w:t>或0.02In</w:t>
      </w:r>
      <w:r>
        <w:rPr>
          <w:rFonts w:hint="eastAsia" w:ascii="宋体" w:hAnsi="宋体" w:cs="宋体"/>
          <w:color w:val="auto"/>
          <w:sz w:val="21"/>
          <w:szCs w:val="21"/>
          <w:lang w:eastAsia="zh-CN"/>
        </w:rPr>
        <w:t>；</w:t>
      </w:r>
    </w:p>
    <w:p>
      <w:pPr>
        <w:numPr>
          <w:ilvl w:val="0"/>
          <w:numId w:val="27"/>
        </w:numPr>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时间整定值的准确度（1.5倍整定值）：1</w:t>
      </w:r>
      <w:r>
        <w:rPr>
          <w:rFonts w:hint="eastAsia" w:ascii="宋体" w:hAnsi="宋体" w:cs="宋体"/>
          <w:color w:val="auto"/>
          <w:sz w:val="21"/>
          <w:szCs w:val="21"/>
          <w:lang w:eastAsia="zh-CN"/>
        </w:rPr>
        <w:t>％</w:t>
      </w:r>
      <w:r>
        <w:rPr>
          <w:rFonts w:hint="eastAsia" w:ascii="宋体" w:hAnsi="宋体" w:cs="宋体"/>
          <w:color w:val="auto"/>
          <w:sz w:val="21"/>
          <w:szCs w:val="21"/>
        </w:rPr>
        <w:t>或40ms</w:t>
      </w:r>
      <w:r>
        <w:rPr>
          <w:rFonts w:hint="eastAsia" w:ascii="宋体" w:hAnsi="宋体" w:cs="宋体"/>
          <w:color w:val="auto"/>
          <w:sz w:val="21"/>
          <w:szCs w:val="21"/>
          <w:lang w:eastAsia="zh-CN"/>
        </w:rPr>
        <w:t>；</w:t>
      </w:r>
    </w:p>
    <w:p>
      <w:pPr>
        <w:numPr>
          <w:ilvl w:val="0"/>
          <w:numId w:val="27"/>
        </w:numPr>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断路器断开后，失灵启动的返回时间小于30ms。</w:t>
      </w:r>
    </w:p>
    <w:p>
      <w:pPr>
        <w:numPr>
          <w:ilvl w:val="-1"/>
          <w:numId w:val="0"/>
        </w:numPr>
        <w:spacing w:line="360" w:lineRule="auto"/>
        <w:ind w:left="0" w:leftChars="0" w:firstLine="420" w:firstLineChars="200"/>
        <w:rPr>
          <w:rFonts w:hint="eastAsia" w:ascii="宋体" w:hAnsi="宋体" w:cs="宋体"/>
          <w:color w:val="auto"/>
          <w:sz w:val="21"/>
          <w:szCs w:val="21"/>
          <w:highlight w:val="none"/>
        </w:rPr>
      </w:pPr>
      <w:r>
        <w:rPr>
          <w:rFonts w:hint="eastAsia" w:ascii="宋体" w:hAnsi="宋体" w:cs="宋体"/>
          <w:color w:val="auto"/>
          <w:sz w:val="21"/>
          <w:szCs w:val="21"/>
        </w:rPr>
        <w:t>500kV断路器失灵保护由系统保护实现，发变组保护动作后提供启动失灵信号。</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主变过流保护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主变压器过流保护，动作后起动主变通风回路。</w:t>
      </w:r>
      <w:r>
        <w:rPr>
          <w:rFonts w:hint="eastAsia" w:ascii="宋体" w:hAnsi="宋体" w:cs="宋体"/>
          <w:color w:val="auto"/>
          <w:sz w:val="21"/>
          <w:szCs w:val="21"/>
        </w:rPr>
        <w:t>其主要功能和技术要求如下：</w:t>
      </w:r>
    </w:p>
    <w:p>
      <w:pPr>
        <w:numPr>
          <w:ilvl w:val="0"/>
          <w:numId w:val="28"/>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返回系数不小于0.9；</w:t>
      </w:r>
    </w:p>
    <w:p>
      <w:pPr>
        <w:numPr>
          <w:ilvl w:val="0"/>
          <w:numId w:val="28"/>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28"/>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断路器非全相保护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当发生非全相合闸或跳闸时，由于造成三相负荷不平衡，负序电流在转子表面感应出涡流，保护转子不致发热损坏的保护装置。其主要功能和技术要求如下：</w:t>
      </w:r>
    </w:p>
    <w:p>
      <w:pPr>
        <w:numPr>
          <w:ilvl w:val="0"/>
          <w:numId w:val="29"/>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保护由断路器反应非全相运行的辅助触点启动；</w:t>
      </w:r>
    </w:p>
    <w:p>
      <w:pPr>
        <w:numPr>
          <w:ilvl w:val="0"/>
          <w:numId w:val="29"/>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29"/>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装置返回系数不小于0.9；</w:t>
      </w:r>
    </w:p>
    <w:p>
      <w:pPr>
        <w:numPr>
          <w:ilvl w:val="0"/>
          <w:numId w:val="29"/>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断路器闪络</w:t>
      </w:r>
      <w:r>
        <w:rPr>
          <w:rFonts w:hint="eastAsia" w:ascii="宋体" w:hAnsi="宋体" w:cs="宋体"/>
          <w:b/>
          <w:color w:val="auto"/>
          <w:spacing w:val="0"/>
          <w:sz w:val="21"/>
          <w:szCs w:val="21"/>
        </w:rPr>
        <w:t>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其主要功能和技术要求如下：</w:t>
      </w:r>
    </w:p>
    <w:p>
      <w:pPr>
        <w:numPr>
          <w:ilvl w:val="0"/>
          <w:numId w:val="30"/>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30"/>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numPr>
          <w:ilvl w:val="-1"/>
          <w:numId w:val="0"/>
        </w:numPr>
        <w:snapToGrid/>
        <w:spacing w:line="360" w:lineRule="auto"/>
        <w:ind w:left="0" w:firstLine="0"/>
        <w:rPr>
          <w:rFonts w:hint="eastAsia" w:ascii="宋体" w:hAnsi="宋体" w:cs="宋体"/>
          <w:b/>
          <w:bCs/>
          <w:color w:val="auto"/>
          <w:sz w:val="21"/>
          <w:szCs w:val="21"/>
        </w:rPr>
      </w:pPr>
      <w:r>
        <w:rPr>
          <w:rFonts w:hint="eastAsia" w:ascii="宋体" w:hAnsi="宋体" w:cs="宋体"/>
          <w:b/>
          <w:bCs/>
          <w:color w:val="auto"/>
          <w:spacing w:val="0"/>
          <w:sz w:val="21"/>
          <w:szCs w:val="21"/>
          <w:lang w:val="en-US" w:eastAsia="zh-CN"/>
        </w:rPr>
        <w:t xml:space="preserve">3.5.5 </w:t>
      </w:r>
      <w:r>
        <w:rPr>
          <w:rFonts w:hint="eastAsia" w:ascii="宋体" w:hAnsi="宋体" w:cs="宋体"/>
          <w:b/>
          <w:bCs/>
          <w:color w:val="auto"/>
          <w:sz w:val="21"/>
          <w:szCs w:val="21"/>
        </w:rPr>
        <w:t>主变压器本体保护（非电量保护，宜采用微机型装置）</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各种非电量保护应具有投退压板。变压器本体保护包括主变重瓦斯、轻瓦斯、压力释放、油位高低、油温过高、冷却系统故障、冷却器失电等，</w:t>
      </w:r>
      <w:r>
        <w:rPr>
          <w:rFonts w:hint="eastAsia" w:ascii="宋体" w:hAnsi="宋体" w:cs="宋体"/>
          <w:color w:val="auto"/>
          <w:sz w:val="21"/>
          <w:szCs w:val="21"/>
        </w:rPr>
        <w:t>并预留备用重动继电器。</w:t>
      </w:r>
      <w:r>
        <w:rPr>
          <w:rFonts w:hint="eastAsia" w:ascii="宋体" w:hAnsi="宋体" w:cs="宋体"/>
          <w:color w:val="auto"/>
          <w:spacing w:val="0"/>
          <w:sz w:val="21"/>
          <w:szCs w:val="21"/>
        </w:rPr>
        <w:t>其主要功能和技术要求如下：</w:t>
      </w:r>
    </w:p>
    <w:p>
      <w:pPr>
        <w:numPr>
          <w:ilvl w:val="0"/>
          <w:numId w:val="31"/>
        </w:numPr>
        <w:spacing w:line="360" w:lineRule="auto"/>
        <w:ind w:left="480" w:leftChars="200" w:firstLine="0" w:firstLineChars="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装置的强电开入回路应与装置保护电源隔离；开入回路的启动电压值不大于0.7倍额定电压值，且不小于0.55倍额定电压值。动作速度不小于10ms；</w:t>
      </w:r>
    </w:p>
    <w:p>
      <w:pPr>
        <w:numPr>
          <w:ilvl w:val="0"/>
          <w:numId w:val="31"/>
        </w:numPr>
        <w:spacing w:line="360" w:lineRule="auto"/>
        <w:ind w:left="480" w:leftChars="200" w:firstLine="0" w:firstLineChars="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所有涉及直接跳闸的回路应采用启动电压值不大于0.7倍额定电压值，且不小于0.55倍额定电压值的中间继电器，并要求启动功率不低于5W。</w:t>
      </w:r>
    </w:p>
    <w:p>
      <w:pPr>
        <w:pStyle w:val="22"/>
        <w:numPr>
          <w:ilvl w:val="-1"/>
          <w:numId w:val="0"/>
        </w:numPr>
        <w:snapToGrid/>
        <w:spacing w:line="360" w:lineRule="auto"/>
        <w:ind w:left="0" w:firstLine="0"/>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lang w:val="en-US" w:eastAsia="zh-CN"/>
        </w:rPr>
        <w:t xml:space="preserve">3.5.6 </w:t>
      </w:r>
      <w:r>
        <w:rPr>
          <w:rFonts w:hint="eastAsia" w:ascii="宋体" w:hAnsi="宋体" w:eastAsia="宋体" w:cs="宋体"/>
          <w:b/>
          <w:bCs/>
          <w:color w:val="auto"/>
          <w:spacing w:val="0"/>
          <w:sz w:val="21"/>
          <w:szCs w:val="21"/>
        </w:rPr>
        <w:t>微机型高压厂变保护装置</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高压厂变差动保护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保护高压厂变绕组及其引出线的相间短路故障。其主要功能和技术要求如下：</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应具有防止区外故障误动的谐波制动和比率制动特性，变压器过激磁时误动</w:t>
      </w:r>
      <w:r>
        <w:rPr>
          <w:rFonts w:hint="eastAsia" w:ascii="宋体" w:hAnsi="宋体" w:cs="宋体"/>
          <w:color w:val="auto"/>
          <w:spacing w:val="0"/>
          <w:sz w:val="21"/>
          <w:szCs w:val="21"/>
          <w:lang w:eastAsia="zh-CN"/>
        </w:rPr>
        <w:t>；</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具有电流互感器（TA）断线判别功能，并能选择闭锁差动或报警，当电流大于额定电流1.2～1.5倍时可自动解除闭锁；</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在同一相上出现两点接地故障(一点区内、一点区外)时，可动作出口；</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应具有高整定值,无制动功能的电流速断，动作电流整定范围5～25In；</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由于各侧电流互感器的变比可能不同，应有平衡差动保护各侧电流的措施，能满足两侧电流互感器有16倍差别的调节范围；</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对于变压器的差动保护应有防止励磁涌流引起误动的功能；具有防止电流互感器（TA）暂态饱和过程中误动的措施；</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具有差流告警发信功能；</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动作时间(2倍整定电流时)不大于40ms。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高压厂变速断保护</w:t>
      </w:r>
    </w:p>
    <w:p>
      <w:pPr>
        <w:pStyle w:val="22"/>
        <w:snapToGrid/>
        <w:spacing w:line="360" w:lineRule="auto"/>
        <w:ind w:left="0" w:firstLine="420" w:firstLineChars="200"/>
        <w:rPr>
          <w:rFonts w:hint="eastAsia" w:ascii="宋体" w:hAnsi="宋体" w:cs="宋体"/>
          <w:b/>
          <w:color w:val="auto"/>
          <w:spacing w:val="0"/>
          <w:sz w:val="21"/>
          <w:szCs w:val="21"/>
        </w:rPr>
      </w:pPr>
      <w:r>
        <w:rPr>
          <w:rFonts w:hint="eastAsia" w:ascii="宋体" w:hAnsi="宋体" w:cs="宋体"/>
          <w:color w:val="auto"/>
          <w:spacing w:val="0"/>
          <w:sz w:val="21"/>
          <w:szCs w:val="21"/>
        </w:rPr>
        <w:t>其主要功能和技术要求如下：</w:t>
      </w:r>
    </w:p>
    <w:p>
      <w:pPr>
        <w:numPr>
          <w:ilvl w:val="0"/>
          <w:numId w:val="33"/>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电流整定值的准确度：2.5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r>
        <w:rPr>
          <w:rFonts w:hint="eastAsia" w:ascii="宋体" w:hAnsi="宋体" w:cs="宋体"/>
          <w:color w:val="auto"/>
          <w:spacing w:val="0"/>
          <w:sz w:val="21"/>
          <w:szCs w:val="21"/>
          <w:lang w:eastAsia="zh-CN"/>
        </w:rPr>
        <w:t>；</w:t>
      </w:r>
    </w:p>
    <w:p>
      <w:pPr>
        <w:numPr>
          <w:ilvl w:val="0"/>
          <w:numId w:val="33"/>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时间整定值的准确度（电流2倍整定值）：1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或30ms。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高压厂变复合电压闭锁过流保护</w:t>
      </w:r>
    </w:p>
    <w:p>
      <w:pPr>
        <w:pStyle w:val="22"/>
        <w:snapToGrid/>
        <w:spacing w:line="360" w:lineRule="auto"/>
        <w:ind w:left="0" w:firstLine="420" w:firstLineChars="200"/>
        <w:rPr>
          <w:rFonts w:hint="eastAsia" w:ascii="宋体" w:hAnsi="宋体" w:cs="宋体"/>
          <w:b/>
          <w:color w:val="auto"/>
          <w:spacing w:val="0"/>
          <w:sz w:val="21"/>
          <w:szCs w:val="21"/>
        </w:rPr>
      </w:pPr>
      <w:r>
        <w:rPr>
          <w:rFonts w:hint="eastAsia" w:ascii="宋体" w:hAnsi="宋体" w:cs="宋体"/>
          <w:color w:val="auto"/>
          <w:spacing w:val="0"/>
          <w:sz w:val="21"/>
          <w:szCs w:val="21"/>
        </w:rPr>
        <w:t>复合电压闭锁信号取自</w:t>
      </w:r>
      <w:r>
        <w:rPr>
          <w:rFonts w:hint="eastAsia" w:ascii="宋体" w:hAnsi="宋体" w:cs="宋体"/>
          <w:color w:val="auto"/>
          <w:spacing w:val="0"/>
          <w:sz w:val="21"/>
          <w:szCs w:val="21"/>
          <w:u w:val="none"/>
          <w:lang w:val="en-US" w:eastAsia="zh-CN"/>
        </w:rPr>
        <w:t>10</w:t>
      </w:r>
      <w:r>
        <w:rPr>
          <w:rFonts w:hint="eastAsia" w:ascii="宋体" w:hAnsi="宋体" w:cs="宋体"/>
          <w:color w:val="auto"/>
          <w:spacing w:val="0"/>
          <w:sz w:val="21"/>
          <w:szCs w:val="21"/>
          <w:u w:val="none"/>
        </w:rPr>
        <w:t>kV</w:t>
      </w:r>
      <w:r>
        <w:rPr>
          <w:rFonts w:hint="eastAsia" w:ascii="宋体" w:hAnsi="宋体" w:cs="宋体"/>
          <w:color w:val="auto"/>
          <w:spacing w:val="0"/>
          <w:sz w:val="21"/>
          <w:szCs w:val="21"/>
          <w:u w:val="none"/>
          <w:lang w:val="en-US" w:eastAsia="zh-CN"/>
        </w:rPr>
        <w:t>/3kV</w:t>
      </w:r>
      <w:r>
        <w:rPr>
          <w:rFonts w:hint="eastAsia" w:ascii="宋体" w:hAnsi="宋体" w:cs="宋体"/>
          <w:color w:val="auto"/>
          <w:spacing w:val="0"/>
          <w:sz w:val="21"/>
          <w:szCs w:val="21"/>
        </w:rPr>
        <w:t>工作进线侧PT电压回路。当电压互感器回路断线时应闭锁装置并发出报警信号。高压厂变过流保护动作后不起动</w:t>
      </w:r>
      <w:r>
        <w:rPr>
          <w:rFonts w:hint="eastAsia" w:ascii="宋体" w:hAnsi="宋体" w:cs="宋体"/>
          <w:color w:val="auto"/>
          <w:spacing w:val="0"/>
          <w:sz w:val="21"/>
          <w:szCs w:val="21"/>
          <w:u w:val="none"/>
          <w:lang w:val="en-US" w:eastAsia="zh-CN"/>
        </w:rPr>
        <w:t>10</w:t>
      </w:r>
      <w:r>
        <w:rPr>
          <w:rFonts w:hint="eastAsia" w:ascii="宋体" w:hAnsi="宋体" w:cs="宋体"/>
          <w:color w:val="auto"/>
          <w:spacing w:val="0"/>
          <w:sz w:val="21"/>
          <w:szCs w:val="21"/>
          <w:u w:val="none"/>
        </w:rPr>
        <w:t>kV</w:t>
      </w:r>
      <w:r>
        <w:rPr>
          <w:rFonts w:hint="eastAsia" w:ascii="宋体" w:hAnsi="宋体" w:cs="宋体"/>
          <w:color w:val="auto"/>
          <w:spacing w:val="0"/>
          <w:sz w:val="21"/>
          <w:szCs w:val="21"/>
        </w:rPr>
        <w:t>厂用电源快速切换。其主要功能和技术要求如下：</w:t>
      </w:r>
    </w:p>
    <w:p>
      <w:pPr>
        <w:numPr>
          <w:ilvl w:val="0"/>
          <w:numId w:val="34"/>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返回系数：电流、负序电压元件不小于0.9，低电压元件不大于1.1；</w:t>
      </w:r>
    </w:p>
    <w:p>
      <w:pPr>
        <w:numPr>
          <w:ilvl w:val="0"/>
          <w:numId w:val="34"/>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电流整定值、电压整定值的准确度：2.5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或0.02In、0.01Un。负序电压整定值的准确度：5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或0.1V；</w:t>
      </w:r>
    </w:p>
    <w:p>
      <w:pPr>
        <w:numPr>
          <w:ilvl w:val="0"/>
          <w:numId w:val="34"/>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时间整定值的准确度（电流、负序电压1.5倍整定值、低电压0.8倍整定值时）：1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高压厂变中性点A、B过流保护</w:t>
      </w:r>
    </w:p>
    <w:p>
      <w:pPr>
        <w:pStyle w:val="22"/>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pacing w:val="0"/>
          <w:sz w:val="21"/>
          <w:szCs w:val="21"/>
        </w:rPr>
        <w:t>高压厂变中性点的接地故障电流为</w:t>
      </w:r>
      <w:r>
        <w:rPr>
          <w:rFonts w:hint="eastAsia" w:ascii="宋体" w:hAnsi="宋体" w:cs="宋体"/>
          <w:color w:val="auto"/>
          <w:spacing w:val="0"/>
          <w:sz w:val="21"/>
          <w:szCs w:val="21"/>
          <w:u w:val="none"/>
        </w:rPr>
        <w:t>200A</w:t>
      </w:r>
      <w:r>
        <w:rPr>
          <w:rFonts w:hint="eastAsia" w:ascii="宋体" w:hAnsi="宋体" w:cs="宋体"/>
          <w:color w:val="auto"/>
          <w:spacing w:val="0"/>
          <w:sz w:val="21"/>
          <w:szCs w:val="21"/>
        </w:rPr>
        <w:t>（一次侧），</w:t>
      </w:r>
      <w:r>
        <w:rPr>
          <w:rFonts w:hint="eastAsia" w:ascii="宋体" w:hAnsi="宋体" w:cs="宋体"/>
          <w:color w:val="auto"/>
          <w:sz w:val="21"/>
          <w:szCs w:val="21"/>
        </w:rPr>
        <w:t>其主要功能及技术要求如下：</w:t>
      </w:r>
    </w:p>
    <w:p>
      <w:pPr>
        <w:numPr>
          <w:ilvl w:val="0"/>
          <w:numId w:val="35"/>
        </w:numPr>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返回系数不低于0.9；</w:t>
      </w:r>
    </w:p>
    <w:p>
      <w:pPr>
        <w:numPr>
          <w:ilvl w:val="0"/>
          <w:numId w:val="35"/>
        </w:numPr>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35"/>
        </w:numPr>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时间整定的准确度（1.5倍整定值时）：1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高压厂变过流保护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高压厂变过流保护，动作后起动高压厂变通风回路。其主要功能和技术要求如下：</w:t>
      </w:r>
    </w:p>
    <w:p>
      <w:pPr>
        <w:numPr>
          <w:ilvl w:val="0"/>
          <w:numId w:val="36"/>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返回系数不小于0.9；</w:t>
      </w:r>
    </w:p>
    <w:p>
      <w:pPr>
        <w:numPr>
          <w:ilvl w:val="0"/>
          <w:numId w:val="36"/>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36"/>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1"/>
          <w:numId w:val="0"/>
        </w:numPr>
        <w:snapToGrid/>
        <w:spacing w:line="360" w:lineRule="auto"/>
        <w:ind w:left="0" w:firstLine="0"/>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lang w:val="en-US" w:eastAsia="zh-CN"/>
        </w:rPr>
        <w:t xml:space="preserve">3.5.7 </w:t>
      </w:r>
      <w:r>
        <w:rPr>
          <w:rFonts w:hint="eastAsia" w:ascii="宋体" w:hAnsi="宋体" w:eastAsia="宋体" w:cs="宋体"/>
          <w:b/>
          <w:bCs/>
          <w:color w:val="auto"/>
          <w:spacing w:val="0"/>
          <w:sz w:val="21"/>
          <w:szCs w:val="21"/>
        </w:rPr>
        <w:t>高压厂变本体保护（宜采用微机型非电量保护装置）</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各种非电量保护应具有投退压板。高压厂变本体保护包括高压厂变重瓦斯、有载开关重瓦斯、轻瓦斯、压力释放、油位高低、有载开关油位高低、油温过高、冷却系统故障和冷却器失电等（不限于此，具体见施工图），</w:t>
      </w:r>
      <w:r>
        <w:rPr>
          <w:rFonts w:hint="eastAsia" w:ascii="宋体" w:hAnsi="宋体" w:cs="宋体"/>
          <w:color w:val="auto"/>
          <w:sz w:val="21"/>
          <w:szCs w:val="21"/>
        </w:rPr>
        <w:t>并预留备用重动继电器。</w:t>
      </w:r>
      <w:r>
        <w:rPr>
          <w:rFonts w:hint="eastAsia" w:ascii="宋体" w:hAnsi="宋体" w:cs="宋体"/>
          <w:color w:val="auto"/>
          <w:spacing w:val="0"/>
          <w:sz w:val="21"/>
          <w:szCs w:val="21"/>
        </w:rPr>
        <w:t>其主要功能和技术要求如下：</w:t>
      </w:r>
    </w:p>
    <w:p>
      <w:pPr>
        <w:numPr>
          <w:ilvl w:val="0"/>
          <w:numId w:val="37"/>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装置的强电开入回路应与装置保护电源隔离；开入回路的启动电压值不大于0.7倍额定电压值，且不小于0.55倍额定电压值。动作速度不小于10ms；</w:t>
      </w:r>
    </w:p>
    <w:p>
      <w:pPr>
        <w:numPr>
          <w:ilvl w:val="0"/>
          <w:numId w:val="37"/>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所有涉及直接跳闸的回路应采用启动电压值不大于0.7倍额定电压值，且不小于0.55倍额定电压值的中间继电器，并要求启动功率不低于5W；</w:t>
      </w:r>
    </w:p>
    <w:p>
      <w:pPr>
        <w:pStyle w:val="22"/>
        <w:snapToGrid/>
        <w:spacing w:line="360" w:lineRule="auto"/>
        <w:ind w:left="0"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 xml:space="preserve">3）出口继电器能灵活选择组合，满足不同的出口方式。 </w:t>
      </w:r>
    </w:p>
    <w:p>
      <w:pPr>
        <w:pStyle w:val="22"/>
        <w:numPr>
          <w:ilvl w:val="-1"/>
          <w:numId w:val="0"/>
        </w:numPr>
        <w:snapToGrid/>
        <w:spacing w:line="360" w:lineRule="auto"/>
        <w:ind w:left="0" w:firstLine="0"/>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lang w:val="en-US" w:eastAsia="zh-CN"/>
        </w:rPr>
        <w:t>3.5.8</w:t>
      </w:r>
      <w:r>
        <w:rPr>
          <w:rFonts w:hint="eastAsia" w:ascii="宋体" w:hAnsi="宋体" w:eastAsia="宋体" w:cs="宋体"/>
          <w:b/>
          <w:bCs/>
          <w:color w:val="auto"/>
          <w:spacing w:val="0"/>
          <w:sz w:val="21"/>
          <w:szCs w:val="21"/>
        </w:rPr>
        <w:t>零功率切机保护</w:t>
      </w:r>
    </w:p>
    <w:p>
      <w:pPr>
        <w:numPr>
          <w:ilvl w:val="0"/>
          <w:numId w:val="0"/>
        </w:numPr>
        <w:spacing w:line="360" w:lineRule="auto"/>
        <w:ind w:firstLine="420" w:firstLine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与发变组保护装置一体，应确保不降低发变组其他保护的采样精度、运算、录波要求。其主要功能和技术要求如下：</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1）</w:t>
      </w:r>
      <w:r>
        <w:rPr>
          <w:rFonts w:hint="eastAsia" w:ascii="宋体" w:hAnsi="宋体" w:eastAsia="宋体" w:cs="宋体"/>
          <w:color w:val="auto"/>
          <w:spacing w:val="0"/>
          <w:sz w:val="21"/>
          <w:szCs w:val="21"/>
        </w:rPr>
        <w:t>有功测量原理应与无功大小无关；</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2）</w:t>
      </w:r>
      <w:r>
        <w:rPr>
          <w:rFonts w:hint="eastAsia" w:ascii="宋体" w:hAnsi="宋体" w:eastAsia="宋体" w:cs="宋体"/>
          <w:color w:val="auto"/>
          <w:spacing w:val="0"/>
          <w:sz w:val="21"/>
          <w:szCs w:val="21"/>
        </w:rPr>
        <w:t>具有电压互感器（TV）断线闭锁功能；</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3）</w:t>
      </w:r>
      <w:r>
        <w:rPr>
          <w:rFonts w:hint="eastAsia" w:ascii="宋体" w:hAnsi="宋体" w:eastAsia="宋体" w:cs="宋体"/>
          <w:color w:val="auto"/>
          <w:spacing w:val="0"/>
          <w:sz w:val="21"/>
          <w:szCs w:val="21"/>
        </w:rPr>
        <w:t>有功最小整定值应不大于10W(二次的三相功率，额定电流5A)；</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4）</w:t>
      </w:r>
      <w:r>
        <w:rPr>
          <w:rFonts w:hint="eastAsia" w:ascii="宋体" w:hAnsi="宋体" w:eastAsia="宋体" w:cs="宋体"/>
          <w:color w:val="auto"/>
          <w:spacing w:val="0"/>
          <w:sz w:val="21"/>
          <w:szCs w:val="21"/>
        </w:rPr>
        <w:t>返回系数不小于0.8；</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5）</w:t>
      </w:r>
      <w:r>
        <w:rPr>
          <w:rFonts w:hint="eastAsia" w:ascii="宋体" w:hAnsi="宋体" w:eastAsia="宋体" w:cs="宋体"/>
          <w:color w:val="auto"/>
          <w:spacing w:val="0"/>
          <w:sz w:val="21"/>
          <w:szCs w:val="21"/>
        </w:rPr>
        <w:t>有功整定值的准确值：10%或0.002PN;</w:t>
      </w:r>
    </w:p>
    <w:p>
      <w:pPr>
        <w:numPr>
          <w:ilvl w:val="0"/>
          <w:numId w:val="0"/>
        </w:numPr>
        <w:spacing w:line="360" w:lineRule="auto"/>
        <w:ind w:left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6）时间整定值的准确度（1.5倍整定值时）：1%或40ms。</w:t>
      </w:r>
    </w:p>
    <w:p>
      <w:pPr>
        <w:pStyle w:val="22"/>
        <w:numPr>
          <w:ilvl w:val="-1"/>
          <w:numId w:val="0"/>
        </w:numPr>
        <w:snapToGrid/>
        <w:spacing w:line="360" w:lineRule="auto"/>
        <w:ind w:left="0" w:firstLine="0"/>
        <w:rPr>
          <w:rFonts w:hint="eastAsia" w:ascii="宋体" w:hAnsi="宋体" w:eastAsia="宋体" w:cs="宋体"/>
          <w:b/>
          <w:bCs/>
          <w:color w:val="auto"/>
          <w:spacing w:val="0"/>
          <w:sz w:val="21"/>
          <w:szCs w:val="21"/>
          <w:lang w:val="en-US" w:eastAsia="zh-CN"/>
        </w:rPr>
      </w:pPr>
      <w:r>
        <w:rPr>
          <w:rFonts w:hint="eastAsia" w:ascii="宋体" w:hAnsi="宋体" w:eastAsia="宋体" w:cs="宋体"/>
          <w:b/>
          <w:bCs/>
          <w:color w:val="auto"/>
          <w:spacing w:val="0"/>
          <w:sz w:val="21"/>
          <w:szCs w:val="21"/>
          <w:lang w:val="en-US" w:eastAsia="zh-CN"/>
        </w:rPr>
        <w:t>3.5.9保护管理机</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按照双网组网要求配置保护管理机，负责管理1号机发变组保护柜中的各个CPU及计算机监控（监测）系统的通信，并至少实现以下功能：</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(1)定值管理：通过口令管理系统可查询或整定CPU各保护定值。</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(2)各信息自动汉化，并能随时以图形和表格显示或打印系统各CPU信息。</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(3)查询最近200个事故的事故报告。</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(4)查询最近200个事故的保护动作报告。</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(5)自动实行顺序记录，并能及时处理和储存各保护的报警信息和动作信息，在主机失电时不丢失所存储的信息。</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(6)能通过键盘操作召唤各CPU信息，操作时要通过密码验证。</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(7)运行数据监视：管理系统可在线以菜单形式显示各保护的输入量及计算量。</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(8)系统调试：可通过管理系统对各保护模块进行详细的调试（操作时通过密码验证）。</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(9)巡回检查功能：在保护系统处于运行状态时，保护模块不断地进行自检，管理系统及时查询并显示保护模块的自检信息，如发现自检出错，立即发出报警，以便及时处理。</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(10)管理机采用1U机架式服务器，其配置不低于：</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服务器品牌：采用华为、浪潮、新华三等国产自主品牌。</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内存：</w:t>
      </w:r>
      <w:r>
        <w:rPr>
          <w:rFonts w:hint="eastAsia" w:ascii="宋体" w:hAnsi="宋体" w:cs="宋体"/>
          <w:color w:val="auto"/>
          <w:spacing w:val="0"/>
          <w:sz w:val="21"/>
          <w:szCs w:val="21"/>
          <w:lang w:val="en-US" w:eastAsia="zh-CN"/>
        </w:rPr>
        <w:t>16</w:t>
      </w:r>
      <w:r>
        <w:rPr>
          <w:rFonts w:hint="eastAsia" w:ascii="宋体" w:hAnsi="宋体" w:eastAsia="宋体" w:cs="宋体"/>
          <w:color w:val="auto"/>
          <w:spacing w:val="0"/>
          <w:sz w:val="21"/>
          <w:szCs w:val="21"/>
          <w:lang w:val="en-US" w:eastAsia="zh-CN"/>
        </w:rPr>
        <w:t>GB。</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硬盘：</w:t>
      </w:r>
      <w:r>
        <w:rPr>
          <w:rFonts w:hint="eastAsia" w:ascii="宋体" w:hAnsi="宋体" w:cs="宋体"/>
          <w:color w:val="auto"/>
          <w:spacing w:val="0"/>
          <w:sz w:val="21"/>
          <w:szCs w:val="21"/>
          <w:lang w:val="en-US" w:eastAsia="zh-CN"/>
        </w:rPr>
        <w:t>１T</w:t>
      </w:r>
      <w:r>
        <w:rPr>
          <w:rFonts w:hint="eastAsia" w:ascii="宋体" w:hAnsi="宋体" w:eastAsia="宋体" w:cs="宋体"/>
          <w:color w:val="auto"/>
          <w:spacing w:val="0"/>
          <w:sz w:val="21"/>
          <w:szCs w:val="21"/>
          <w:lang w:val="en-US" w:eastAsia="zh-CN"/>
        </w:rPr>
        <w:t>。</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网卡：100/1000M自适应端口*2。</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操作系统：</w:t>
      </w:r>
      <w:r>
        <w:rPr>
          <w:rFonts w:hint="eastAsia" w:ascii="宋体" w:hAnsi="宋体" w:cs="宋体"/>
          <w:color w:val="auto"/>
          <w:spacing w:val="0"/>
          <w:sz w:val="21"/>
          <w:szCs w:val="21"/>
          <w:lang w:val="en-US" w:eastAsia="zh-CN"/>
        </w:rPr>
        <w:t>国产安全</w:t>
      </w:r>
      <w:r>
        <w:rPr>
          <w:rFonts w:hint="eastAsia" w:ascii="宋体" w:hAnsi="宋体" w:eastAsia="宋体" w:cs="宋体"/>
          <w:color w:val="auto"/>
          <w:spacing w:val="0"/>
          <w:sz w:val="21"/>
          <w:szCs w:val="21"/>
          <w:lang w:val="en-US" w:eastAsia="zh-CN"/>
        </w:rPr>
        <w:t>操作系统。</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配套：19”液晶显示器（含键盘、鼠标）。</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(11) 保护管理机应能实现与一期500kV保护信息子站联网。</w:t>
      </w:r>
    </w:p>
    <w:p>
      <w:pPr>
        <w:numPr>
          <w:ilvl w:val="0"/>
          <w:numId w:val="0"/>
        </w:numPr>
        <w:spacing w:line="360" w:lineRule="auto"/>
        <w:ind w:firstLine="420" w:firstLineChars="200"/>
        <w:rPr>
          <w:rFonts w:hint="eastAsia" w:ascii="宋体" w:hAnsi="宋体" w:eastAsia="宋体" w:cs="宋体"/>
          <w:color w:val="auto"/>
          <w:spacing w:val="0"/>
          <w:sz w:val="21"/>
          <w:szCs w:val="21"/>
          <w:lang w:val="en-US" w:eastAsia="zh-CN"/>
        </w:rPr>
      </w:pPr>
      <w:r>
        <w:rPr>
          <w:rFonts w:hint="eastAsia" w:ascii="宋体" w:hAnsi="宋体" w:eastAsia="宋体" w:cs="宋体"/>
          <w:color w:val="auto"/>
          <w:spacing w:val="0"/>
          <w:sz w:val="21"/>
          <w:szCs w:val="21"/>
          <w:lang w:val="en-US" w:eastAsia="zh-CN"/>
        </w:rPr>
        <w:t>(12) 保护管理机应满足电力监控安全防护相关要求，应具有防止计算机病毒入侵的技术措施，保护管理系统应具有网络安全监测探针（Agent）程序部署及接入网络安全监测系统能力。</w:t>
      </w:r>
    </w:p>
    <w:p>
      <w:pPr>
        <w:numPr>
          <w:ilvl w:val="-1"/>
          <w:numId w:val="0"/>
        </w:numPr>
        <w:snapToGrid/>
        <w:spacing w:line="360" w:lineRule="auto"/>
        <w:ind w:left="0" w:firstLine="0"/>
        <w:rPr>
          <w:rFonts w:hint="eastAsia" w:ascii="宋体" w:hAnsi="宋体" w:cs="宋体"/>
          <w:b/>
          <w:bCs/>
          <w:color w:val="auto"/>
        </w:rPr>
      </w:pPr>
      <w:r>
        <w:rPr>
          <w:rFonts w:hint="eastAsia" w:ascii="宋体" w:hAnsi="宋体" w:cs="宋体"/>
          <w:b/>
          <w:bCs/>
          <w:color w:val="auto"/>
          <w:sz w:val="24"/>
          <w:szCs w:val="24"/>
          <w:lang w:val="en-US" w:eastAsia="zh-CN"/>
        </w:rPr>
        <w:t xml:space="preserve">3.6 </w:t>
      </w:r>
      <w:r>
        <w:rPr>
          <w:rFonts w:hint="eastAsia" w:ascii="宋体" w:hAnsi="宋体" w:cs="宋体"/>
          <w:b/>
          <w:bCs/>
          <w:color w:val="auto"/>
        </w:rPr>
        <w:t>保护屏的要求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 </w:t>
      </w:r>
      <w:r>
        <w:rPr>
          <w:rFonts w:hint="eastAsia" w:ascii="宋体" w:hAnsi="宋体" w:cs="宋体"/>
          <w:color w:val="auto"/>
          <w:sz w:val="21"/>
          <w:szCs w:val="21"/>
        </w:rPr>
        <w:t>保护屏尺寸为22</w:t>
      </w:r>
      <w:r>
        <w:rPr>
          <w:rFonts w:hint="eastAsia" w:ascii="宋体" w:hAnsi="宋体" w:cs="宋体"/>
          <w:color w:val="auto"/>
          <w:sz w:val="21"/>
          <w:szCs w:val="21"/>
          <w:lang w:val="en-US" w:eastAsia="zh-CN"/>
        </w:rPr>
        <w:t>6</w:t>
      </w:r>
      <w:r>
        <w:rPr>
          <w:rFonts w:hint="eastAsia" w:ascii="宋体" w:hAnsi="宋体" w:cs="宋体"/>
          <w:color w:val="auto"/>
          <w:sz w:val="21"/>
          <w:szCs w:val="21"/>
        </w:rPr>
        <w:t>0×800×800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mm</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含屏眉</w:t>
      </w:r>
      <w:r>
        <w:rPr>
          <w:rFonts w:hint="eastAsia" w:ascii="宋体" w:hAnsi="宋体" w:cs="宋体"/>
          <w:color w:val="auto"/>
          <w:sz w:val="21"/>
          <w:szCs w:val="21"/>
          <w:lang w:eastAsia="zh-CN"/>
        </w:rPr>
        <w:t>）</w:t>
      </w:r>
      <w:r>
        <w:rPr>
          <w:rFonts w:hint="eastAsia" w:ascii="宋体" w:hAnsi="宋体" w:cs="宋体"/>
          <w:color w:val="auto"/>
          <w:sz w:val="21"/>
          <w:szCs w:val="21"/>
        </w:rPr>
        <w:t>，</w:t>
      </w:r>
      <w:r>
        <w:rPr>
          <w:rFonts w:hint="eastAsia" w:ascii="宋体" w:hAnsi="宋体" w:cs="宋体"/>
          <w:color w:val="auto"/>
          <w:sz w:val="21"/>
          <w:szCs w:val="21"/>
          <w:lang w:val="en-US" w:eastAsia="zh-CN"/>
        </w:rPr>
        <w:t>柜体颜色为RAL7032，</w:t>
      </w:r>
      <w:r>
        <w:rPr>
          <w:rFonts w:hint="eastAsia" w:ascii="宋体" w:hAnsi="宋体" w:cs="宋体"/>
          <w:color w:val="auto"/>
          <w:sz w:val="21"/>
          <w:szCs w:val="21"/>
        </w:rPr>
        <w:t>防护等级</w:t>
      </w:r>
      <w:r>
        <w:rPr>
          <w:rFonts w:hint="eastAsia" w:ascii="宋体" w:hAnsi="宋体" w:cs="宋体"/>
          <w:color w:val="auto"/>
          <w:sz w:val="21"/>
          <w:szCs w:val="21"/>
          <w:lang w:eastAsia="zh-CN"/>
        </w:rPr>
        <w:t>：</w:t>
      </w:r>
      <w:r>
        <w:rPr>
          <w:rFonts w:hint="eastAsia" w:ascii="宋体" w:hAnsi="宋体" w:cs="宋体"/>
          <w:color w:val="auto"/>
          <w:sz w:val="21"/>
          <w:szCs w:val="21"/>
        </w:rPr>
        <w:t>IP42。</w:t>
      </w:r>
    </w:p>
    <w:p>
      <w:pPr>
        <w:pStyle w:val="10"/>
        <w:numPr>
          <w:ilvl w:val="-1"/>
          <w:numId w:val="0"/>
        </w:numPr>
        <w:adjustRightInd/>
        <w:snapToGrid/>
        <w:spacing w:line="360" w:lineRule="auto"/>
        <w:ind w:left="0" w:firstLine="0"/>
        <w:textAlignment w:val="auto"/>
        <w:rPr>
          <w:rFonts w:hint="eastAsia" w:ascii="宋体" w:hAnsi="宋体" w:cs="宋体"/>
          <w:color w:val="auto"/>
          <w:kern w:val="2"/>
          <w:sz w:val="21"/>
          <w:szCs w:val="21"/>
        </w:rPr>
      </w:pPr>
      <w:r>
        <w:rPr>
          <w:rFonts w:hint="eastAsia" w:hAnsi="宋体" w:cs="宋体"/>
          <w:color w:val="auto"/>
          <w:kern w:val="2"/>
          <w:sz w:val="21"/>
          <w:szCs w:val="21"/>
          <w:lang w:val="en-US" w:eastAsia="zh-CN"/>
        </w:rPr>
        <w:t xml:space="preserve">3.6.2 </w:t>
      </w:r>
      <w:r>
        <w:rPr>
          <w:rFonts w:hint="eastAsia" w:ascii="宋体" w:hAnsi="宋体" w:cs="宋体"/>
          <w:color w:val="auto"/>
          <w:kern w:val="2"/>
          <w:sz w:val="21"/>
          <w:szCs w:val="21"/>
        </w:rPr>
        <w:t>保护屏包括所有安装在上面的成套设备或单个组件，皆应保证有足够的结构强度以及在指定环境条件下满足本规范对电气性能的要求。投标人应对内部接线的正确性全面负责，并对所供应设备的特性和功能全面负责。</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3.6.3 </w:t>
      </w:r>
      <w:r>
        <w:rPr>
          <w:rFonts w:hint="eastAsia" w:ascii="宋体" w:hAnsi="宋体" w:cs="宋体"/>
          <w:color w:val="auto"/>
          <w:sz w:val="21"/>
          <w:szCs w:val="21"/>
        </w:rPr>
        <w:t>为方便招标人使用和维护设备，应利用标准化元件和组件。</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3.6.4 </w:t>
      </w:r>
      <w:r>
        <w:rPr>
          <w:rFonts w:hint="eastAsia" w:ascii="宋体" w:hAnsi="宋体" w:cs="宋体"/>
          <w:color w:val="auto"/>
          <w:sz w:val="21"/>
          <w:szCs w:val="21"/>
        </w:rPr>
        <w:t>保护屏应采用前、后开门方式，前门上应用玻璃窗，可监视内部保护装置的动作信号，门在开闭时的振动不应造成保护误动作</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采用左开门方式，门轴在右侧（面向柜子）</w:t>
      </w:r>
      <w:r>
        <w:rPr>
          <w:rFonts w:hint="eastAsia" w:ascii="宋体" w:hAnsi="宋体" w:cs="宋体"/>
          <w:color w:val="auto"/>
          <w:sz w:val="21"/>
          <w:szCs w:val="21"/>
        </w:rPr>
        <w:t>。后门为双开门。</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3.6.5 保护</w:t>
      </w:r>
      <w:r>
        <w:rPr>
          <w:rFonts w:hint="eastAsia" w:ascii="宋体" w:hAnsi="宋体" w:cs="宋体"/>
          <w:color w:val="auto"/>
          <w:sz w:val="21"/>
          <w:szCs w:val="21"/>
        </w:rPr>
        <w:t>屏应有足够的强度，保证运输、储存、安装时的安全可靠。</w:t>
      </w:r>
    </w:p>
    <w:p>
      <w:pPr>
        <w:pStyle w:val="10"/>
        <w:numPr>
          <w:ilvl w:val="-1"/>
          <w:numId w:val="0"/>
        </w:numPr>
        <w:adjustRightInd/>
        <w:snapToGrid/>
        <w:spacing w:line="360" w:lineRule="auto"/>
        <w:ind w:left="0" w:firstLine="0"/>
        <w:textAlignment w:val="auto"/>
        <w:rPr>
          <w:rFonts w:hint="eastAsia" w:ascii="宋体" w:hAnsi="宋体" w:cs="宋体"/>
          <w:color w:val="auto"/>
          <w:kern w:val="2"/>
          <w:sz w:val="21"/>
          <w:szCs w:val="21"/>
        </w:rPr>
      </w:pPr>
      <w:r>
        <w:rPr>
          <w:rFonts w:hint="eastAsia" w:hAnsi="宋体" w:cs="宋体"/>
          <w:color w:val="auto"/>
          <w:kern w:val="2"/>
          <w:sz w:val="21"/>
          <w:szCs w:val="21"/>
          <w:lang w:val="en-US" w:eastAsia="zh-CN"/>
        </w:rPr>
        <w:t xml:space="preserve">3.6.6 </w:t>
      </w:r>
      <w:r>
        <w:rPr>
          <w:rFonts w:hint="eastAsia" w:ascii="宋体" w:hAnsi="宋体" w:cs="宋体"/>
          <w:color w:val="auto"/>
          <w:kern w:val="2"/>
          <w:sz w:val="21"/>
          <w:szCs w:val="21"/>
        </w:rPr>
        <w:t>保护屏及其中设备应能使用于地震地区。</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3.6.7 </w:t>
      </w:r>
      <w:r>
        <w:rPr>
          <w:rFonts w:hint="eastAsia" w:ascii="宋体" w:hAnsi="宋体" w:cs="宋体"/>
          <w:color w:val="auto"/>
          <w:sz w:val="21"/>
          <w:szCs w:val="21"/>
        </w:rPr>
        <w:t>保护屏上设备应采用嵌入式或半嵌入式安装和背后接线。</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.8</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保护屏内应有照明灯（不得采用带镇流器的型号）和检修插座，检修插座电源电压交流220V。</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3.6.9 </w:t>
      </w:r>
      <w:r>
        <w:rPr>
          <w:rFonts w:hint="eastAsia" w:ascii="宋体" w:hAnsi="宋体" w:cs="宋体"/>
          <w:color w:val="auto"/>
          <w:sz w:val="21"/>
          <w:szCs w:val="21"/>
        </w:rPr>
        <w:t>每面屏应装有与屏柜本体绝缘的截面为100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mm</w:t>
      </w:r>
      <w:r>
        <w:rPr>
          <w:rFonts w:hint="eastAsia" w:ascii="宋体" w:hAnsi="宋体" w:cs="宋体"/>
          <w:color w:val="auto"/>
          <w:sz w:val="21"/>
          <w:szCs w:val="21"/>
          <w:vertAlign w:val="superscript"/>
        </w:rPr>
        <w:t>2</w:t>
      </w:r>
      <w:r>
        <w:rPr>
          <w:rFonts w:hint="eastAsia" w:ascii="宋体" w:hAnsi="宋体" w:cs="宋体"/>
          <w:color w:val="auto"/>
          <w:sz w:val="21"/>
          <w:szCs w:val="21"/>
        </w:rPr>
        <w:t>的铜</w:t>
      </w:r>
      <w:r>
        <w:rPr>
          <w:rFonts w:hint="eastAsia" w:ascii="宋体" w:hAnsi="宋体" w:cs="宋体"/>
          <w:color w:val="auto"/>
          <w:sz w:val="21"/>
          <w:szCs w:val="21"/>
          <w:lang w:val="en-US" w:eastAsia="zh-CN"/>
        </w:rPr>
        <w:t>质</w:t>
      </w:r>
      <w:r>
        <w:rPr>
          <w:rFonts w:hint="eastAsia" w:ascii="宋体" w:hAnsi="宋体" w:cs="宋体"/>
          <w:color w:val="auto"/>
          <w:sz w:val="21"/>
          <w:szCs w:val="21"/>
        </w:rPr>
        <w:t>接地母线，它应连接到主框架的前面、侧面和背面，接地母线末端应装好可靠的压接式端子，以备接到主接地网上，保护柜应有良好防电磁干扰的屏蔽功能。</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3.6.10 </w:t>
      </w:r>
      <w:r>
        <w:rPr>
          <w:rFonts w:hint="eastAsia" w:ascii="宋体" w:hAnsi="宋体" w:cs="宋体"/>
          <w:color w:val="auto"/>
          <w:sz w:val="21"/>
          <w:szCs w:val="21"/>
        </w:rPr>
        <w:t>电压和电流互感器的中性点仅在引入柜内的端子排上接地，且每组次级中性点只能有一个接地点。</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3.6.11</w:t>
      </w:r>
      <w:r>
        <w:rPr>
          <w:rFonts w:hint="eastAsia" w:ascii="宋体" w:hAnsi="宋体" w:cs="宋体"/>
          <w:color w:val="auto"/>
          <w:sz w:val="21"/>
          <w:szCs w:val="21"/>
        </w:rPr>
        <w:t>保护柜内设备的安排及端子排的布置，应保证各套保护的独立性，在一套保护检修时不影响其他任何一套保护系统的正常运行。</w:t>
      </w:r>
    </w:p>
    <w:p>
      <w:pPr>
        <w:numPr>
          <w:ilvl w:val="-1"/>
          <w:numId w:val="0"/>
        </w:numPr>
        <w:snapToGrid/>
        <w:spacing w:line="360" w:lineRule="auto"/>
        <w:ind w:left="0" w:firstLine="0"/>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 xml:space="preserve">3.6.12 </w:t>
      </w:r>
      <w:r>
        <w:rPr>
          <w:rFonts w:hint="eastAsia" w:ascii="宋体" w:hAnsi="宋体" w:eastAsia="宋体" w:cs="宋体"/>
          <w:color w:val="auto"/>
          <w:sz w:val="21"/>
          <w:szCs w:val="21"/>
          <w:lang w:val="en-US" w:eastAsia="zh-CN"/>
        </w:rPr>
        <w:t>柜中内部接线应采用耐热、耐潮和阻燃热固性的交联聚乙烯绝缘７股铜绞线，一般控制导线应不小于2.5m</w:t>
      </w:r>
      <w:r>
        <w:rPr>
          <w:rFonts w:hint="eastAsia" w:ascii="宋体" w:hAnsi="宋体" w:cs="宋体"/>
          <w:color w:val="auto"/>
          <w:sz w:val="21"/>
          <w:szCs w:val="21"/>
        </w:rPr>
        <w:t>m</w:t>
      </w:r>
      <w:r>
        <w:rPr>
          <w:rFonts w:hint="eastAsia" w:ascii="宋体" w:hAnsi="宋体" w:cs="宋体"/>
          <w:color w:val="auto"/>
          <w:sz w:val="21"/>
          <w:szCs w:val="21"/>
          <w:vertAlign w:val="superscript"/>
        </w:rPr>
        <w:t>2</w:t>
      </w:r>
      <w:r>
        <w:rPr>
          <w:rFonts w:hint="eastAsia" w:ascii="宋体" w:hAnsi="宋体" w:eastAsia="宋体" w:cs="宋体"/>
          <w:color w:val="auto"/>
          <w:sz w:val="21"/>
          <w:szCs w:val="21"/>
          <w:lang w:val="en-US" w:eastAsia="zh-CN"/>
        </w:rPr>
        <w:t>，CT、PT的导线不应小于4m</w:t>
      </w:r>
      <w:r>
        <w:rPr>
          <w:rFonts w:hint="eastAsia" w:ascii="宋体" w:hAnsi="宋体" w:cs="宋体"/>
          <w:color w:val="auto"/>
          <w:sz w:val="21"/>
          <w:szCs w:val="21"/>
        </w:rPr>
        <w:t>m</w:t>
      </w:r>
      <w:r>
        <w:rPr>
          <w:rFonts w:hint="eastAsia" w:ascii="宋体" w:hAnsi="宋体" w:cs="宋体"/>
          <w:color w:val="auto"/>
          <w:sz w:val="21"/>
          <w:szCs w:val="21"/>
          <w:vertAlign w:val="superscript"/>
        </w:rPr>
        <w:t>2</w:t>
      </w:r>
      <w:r>
        <w:rPr>
          <w:rFonts w:hint="eastAsia" w:ascii="宋体" w:hAnsi="宋体" w:eastAsia="宋体" w:cs="宋体"/>
          <w:color w:val="auto"/>
          <w:sz w:val="21"/>
          <w:szCs w:val="21"/>
          <w:lang w:val="en-US" w:eastAsia="zh-CN"/>
        </w:rPr>
        <w:t>。断路器跳闸及合闸回路的控制导线不应小于2.5m</w:t>
      </w:r>
      <w:r>
        <w:rPr>
          <w:rFonts w:hint="eastAsia" w:ascii="宋体" w:hAnsi="宋体" w:cs="宋体"/>
          <w:color w:val="auto"/>
          <w:sz w:val="21"/>
          <w:szCs w:val="21"/>
        </w:rPr>
        <w:t>m</w:t>
      </w:r>
      <w:r>
        <w:rPr>
          <w:rFonts w:hint="eastAsia" w:ascii="宋体" w:hAnsi="宋体" w:cs="宋体"/>
          <w:color w:val="auto"/>
          <w:sz w:val="21"/>
          <w:szCs w:val="21"/>
          <w:vertAlign w:val="superscript"/>
        </w:rPr>
        <w:t>2</w:t>
      </w:r>
      <w:r>
        <w:rPr>
          <w:rFonts w:hint="eastAsia" w:ascii="宋体" w:hAnsi="宋体" w:eastAsia="宋体" w:cs="宋体"/>
          <w:color w:val="auto"/>
          <w:sz w:val="21"/>
          <w:szCs w:val="21"/>
          <w:lang w:val="en-US" w:eastAsia="zh-CN"/>
        </w:rPr>
        <w:t>。</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3.6.13 </w:t>
      </w:r>
      <w:r>
        <w:rPr>
          <w:rFonts w:hint="eastAsia" w:ascii="宋体" w:hAnsi="宋体" w:cs="宋体"/>
          <w:color w:val="auto"/>
          <w:sz w:val="21"/>
          <w:szCs w:val="21"/>
        </w:rPr>
        <w:t>导线应无损伤，导线与端子的连接应用螺丝加线鼻子的连接方式。应提供走线槽，以便固定电缆及端子排的接线。接到端子排上的导线应有标志条和标志套管标识清楚。</w:t>
      </w:r>
    </w:p>
    <w:p>
      <w:pPr>
        <w:numPr>
          <w:ilvl w:val="-1"/>
          <w:numId w:val="0"/>
        </w:numPr>
        <w:snapToGrid/>
        <w:spacing w:line="360" w:lineRule="auto"/>
        <w:ind w:left="0" w:firstLine="0"/>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 xml:space="preserve">3.6.14 </w:t>
      </w:r>
      <w:r>
        <w:rPr>
          <w:rFonts w:hint="eastAsia" w:ascii="宋体" w:hAnsi="宋体" w:cs="宋体"/>
          <w:color w:val="auto"/>
          <w:sz w:val="21"/>
          <w:szCs w:val="21"/>
        </w:rPr>
        <w:t>端子排应保证足够的绝缘水平，端子排应该分段，端子排应至少有20</w:t>
      </w:r>
      <w:r>
        <w:rPr>
          <w:rFonts w:hint="eastAsia" w:ascii="宋体" w:hAnsi="宋体" w:cs="宋体"/>
          <w:color w:val="auto"/>
          <w:sz w:val="21"/>
          <w:szCs w:val="21"/>
          <w:lang w:eastAsia="zh-CN"/>
        </w:rPr>
        <w:t>％</w:t>
      </w:r>
      <w:r>
        <w:rPr>
          <w:rFonts w:hint="eastAsia" w:ascii="宋体" w:hAnsi="宋体" w:cs="宋体"/>
          <w:color w:val="auto"/>
          <w:sz w:val="21"/>
          <w:szCs w:val="21"/>
        </w:rPr>
        <w:t>的备用端子，且可在必要时再增加，外部接入的一根电缆中所有的导线应接于靠近的端子。设备端子均有标字牌。断路器的正电源与跳闸及合闸回</w:t>
      </w:r>
      <w:r>
        <w:rPr>
          <w:rFonts w:hint="eastAsia" w:ascii="宋体" w:hAnsi="宋体" w:cs="宋体"/>
          <w:color w:val="auto"/>
          <w:sz w:val="21"/>
          <w:szCs w:val="21"/>
          <w:lang w:val="en-US" w:eastAsia="zh-CN"/>
        </w:rPr>
        <w:t>路不允许连</w:t>
      </w:r>
      <w:r>
        <w:rPr>
          <w:rFonts w:hint="eastAsia" w:ascii="宋体" w:hAnsi="宋体" w:cs="宋体"/>
          <w:color w:val="auto"/>
          <w:sz w:val="21"/>
          <w:szCs w:val="21"/>
        </w:rPr>
        <w:t>接</w:t>
      </w:r>
      <w:r>
        <w:rPr>
          <w:rFonts w:hint="eastAsia" w:ascii="宋体" w:hAnsi="宋体" w:cs="宋体"/>
          <w:color w:val="auto"/>
          <w:sz w:val="21"/>
          <w:szCs w:val="21"/>
          <w:lang w:val="en-US" w:eastAsia="zh-CN"/>
        </w:rPr>
        <w:t>于</w:t>
      </w:r>
      <w:r>
        <w:rPr>
          <w:rFonts w:hint="eastAsia" w:ascii="宋体" w:hAnsi="宋体" w:cs="宋体"/>
          <w:color w:val="auto"/>
          <w:sz w:val="21"/>
          <w:szCs w:val="21"/>
        </w:rPr>
        <w:t>相邻端子上。直流电源的正负极</w:t>
      </w:r>
      <w:r>
        <w:rPr>
          <w:rFonts w:hint="eastAsia" w:ascii="宋体" w:hAnsi="宋体" w:cs="宋体"/>
          <w:color w:val="auto"/>
          <w:sz w:val="21"/>
          <w:szCs w:val="21"/>
          <w:lang w:val="en-US" w:eastAsia="zh-CN"/>
        </w:rPr>
        <w:t>不允许</w:t>
      </w:r>
      <w:r>
        <w:rPr>
          <w:rFonts w:hint="eastAsia" w:ascii="宋体" w:hAnsi="宋体" w:cs="宋体"/>
          <w:color w:val="auto"/>
          <w:sz w:val="21"/>
          <w:szCs w:val="21"/>
        </w:rPr>
        <w:t>布置在相邻端子上。每个信号输出接点须采用两个端子接线，不</w:t>
      </w:r>
      <w:r>
        <w:rPr>
          <w:rFonts w:hint="eastAsia" w:ascii="宋体" w:hAnsi="宋体" w:cs="宋体"/>
          <w:color w:val="auto"/>
          <w:sz w:val="21"/>
          <w:szCs w:val="21"/>
          <w:lang w:val="en-US" w:eastAsia="zh-CN"/>
        </w:rPr>
        <w:t>得</w:t>
      </w:r>
      <w:r>
        <w:rPr>
          <w:rFonts w:hint="eastAsia" w:ascii="宋体" w:hAnsi="宋体" w:cs="宋体"/>
          <w:color w:val="auto"/>
          <w:sz w:val="21"/>
          <w:szCs w:val="21"/>
        </w:rPr>
        <w:t>采用公用线接法。所有端子的</w:t>
      </w:r>
      <w:r>
        <w:rPr>
          <w:rFonts w:hint="eastAsia" w:ascii="宋体" w:hAnsi="宋体" w:cs="宋体"/>
          <w:color w:val="auto"/>
          <w:sz w:val="21"/>
          <w:szCs w:val="21"/>
          <w:lang w:val="en-US" w:eastAsia="zh-CN"/>
        </w:rPr>
        <w:t>额定容量</w:t>
      </w:r>
      <w:r>
        <w:rPr>
          <w:rFonts w:hint="eastAsia" w:ascii="宋体" w:hAnsi="宋体" w:cs="宋体"/>
          <w:color w:val="auto"/>
          <w:sz w:val="21"/>
          <w:szCs w:val="21"/>
        </w:rPr>
        <w:t>为10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w:t>
      </w:r>
      <w:r>
        <w:rPr>
          <w:rFonts w:hint="eastAsia" w:ascii="宋体" w:hAnsi="宋体" w:cs="宋体"/>
          <w:color w:val="auto"/>
          <w:sz w:val="21"/>
          <w:szCs w:val="21"/>
          <w:lang w:eastAsia="zh-CN"/>
        </w:rPr>
        <w:t>、</w:t>
      </w:r>
      <w:r>
        <w:rPr>
          <w:rFonts w:hint="eastAsia" w:ascii="宋体" w:hAnsi="宋体" w:cs="宋体"/>
          <w:color w:val="auto"/>
          <w:sz w:val="21"/>
          <w:szCs w:val="21"/>
        </w:rPr>
        <w:t>1000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V；电流端子应允许用户接6</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mm</w:t>
      </w:r>
      <w:r>
        <w:rPr>
          <w:rFonts w:hint="eastAsia" w:ascii="宋体" w:hAnsi="宋体" w:cs="宋体"/>
          <w:color w:val="auto"/>
          <w:sz w:val="21"/>
          <w:szCs w:val="21"/>
          <w:vertAlign w:val="superscript"/>
        </w:rPr>
        <w:t>2</w:t>
      </w:r>
      <w:r>
        <w:rPr>
          <w:rFonts w:hint="eastAsia" w:ascii="宋体" w:hAnsi="宋体" w:cs="宋体"/>
          <w:color w:val="auto"/>
          <w:sz w:val="21"/>
          <w:szCs w:val="21"/>
        </w:rPr>
        <w:t>的电缆导线。端子排前应保留足够空间，便于</w:t>
      </w:r>
      <w:r>
        <w:rPr>
          <w:rFonts w:hint="eastAsia" w:ascii="宋体" w:hAnsi="宋体" w:cs="宋体"/>
          <w:color w:val="auto"/>
          <w:sz w:val="21"/>
          <w:szCs w:val="21"/>
          <w:lang w:val="en-US" w:eastAsia="zh-CN"/>
        </w:rPr>
        <w:t>外部</w:t>
      </w:r>
      <w:r>
        <w:rPr>
          <w:rFonts w:hint="eastAsia" w:ascii="宋体" w:hAnsi="宋体" w:cs="宋体"/>
          <w:color w:val="auto"/>
          <w:sz w:val="21"/>
          <w:szCs w:val="21"/>
        </w:rPr>
        <w:t>电缆连接。所有二次端子选用凤凰阻燃压接型端子，额定</w:t>
      </w:r>
      <w:r>
        <w:rPr>
          <w:rFonts w:hint="eastAsia" w:ascii="宋体" w:hAnsi="宋体" w:cs="宋体"/>
          <w:color w:val="auto"/>
          <w:sz w:val="21"/>
          <w:szCs w:val="21"/>
          <w:lang w:val="en-US" w:eastAsia="zh-CN"/>
        </w:rPr>
        <w:t>容量</w:t>
      </w:r>
      <w:r>
        <w:rPr>
          <w:rFonts w:hint="eastAsia" w:ascii="宋体" w:hAnsi="宋体" w:cs="宋体"/>
          <w:color w:val="auto"/>
          <w:sz w:val="21"/>
          <w:szCs w:val="21"/>
        </w:rPr>
        <w:t>为10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w:t>
      </w:r>
      <w:r>
        <w:rPr>
          <w:rFonts w:hint="eastAsia" w:ascii="宋体" w:hAnsi="宋体" w:cs="宋体"/>
          <w:color w:val="auto"/>
          <w:sz w:val="21"/>
          <w:szCs w:val="21"/>
          <w:lang w:eastAsia="zh-CN"/>
        </w:rPr>
        <w:t>、</w:t>
      </w:r>
      <w:r>
        <w:rPr>
          <w:rFonts w:hint="eastAsia" w:ascii="宋体" w:hAnsi="宋体" w:cs="宋体"/>
          <w:color w:val="auto"/>
          <w:sz w:val="21"/>
          <w:szCs w:val="21"/>
        </w:rPr>
        <w:t>1000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V。</w:t>
      </w:r>
      <w:r>
        <w:rPr>
          <w:rFonts w:hint="eastAsia" w:ascii="宋体" w:hAnsi="宋体" w:cs="宋体"/>
          <w:color w:val="auto"/>
          <w:sz w:val="21"/>
          <w:szCs w:val="21"/>
          <w:lang w:val="en-US" w:eastAsia="zh-CN"/>
        </w:rPr>
        <w:t>CT二次</w:t>
      </w:r>
      <w:r>
        <w:rPr>
          <w:rFonts w:hint="eastAsia" w:ascii="宋体" w:hAnsi="宋体" w:cs="宋体"/>
          <w:color w:val="auto"/>
          <w:sz w:val="21"/>
          <w:szCs w:val="21"/>
        </w:rPr>
        <w:t>回路应采用专用的URTK/S型端子，</w:t>
      </w:r>
      <w:r>
        <w:rPr>
          <w:rFonts w:hint="eastAsia" w:ascii="宋体" w:hAnsi="宋体" w:cs="宋体"/>
          <w:color w:val="auto"/>
          <w:sz w:val="21"/>
          <w:szCs w:val="21"/>
          <w:lang w:val="en-US" w:eastAsia="zh-CN"/>
        </w:rPr>
        <w:t>PT</w:t>
      </w:r>
      <w:r>
        <w:rPr>
          <w:rFonts w:hint="eastAsia" w:ascii="宋体" w:hAnsi="宋体" w:cs="宋体"/>
          <w:color w:val="auto"/>
          <w:sz w:val="21"/>
          <w:szCs w:val="21"/>
        </w:rPr>
        <w:t>二次回路应采用专用的URTK/S-BEN10型端子，端子排中交、直流回路、电流回路、电压回路、合闸回路、跳闸回路的端子间均应有空端子隔离，跳闸回路采用红色可断开刀闸型端子，信号回路采用可断开刀闸型端子。CT</w:t>
      </w:r>
      <w:r>
        <w:rPr>
          <w:rFonts w:hint="eastAsia" w:ascii="宋体" w:hAnsi="宋体" w:cs="宋体"/>
          <w:color w:val="auto"/>
          <w:sz w:val="21"/>
          <w:szCs w:val="21"/>
          <w:lang w:eastAsia="zh-CN"/>
        </w:rPr>
        <w:t>、</w:t>
      </w:r>
      <w:r>
        <w:rPr>
          <w:rFonts w:hint="eastAsia" w:ascii="宋体" w:hAnsi="宋体" w:cs="宋体"/>
          <w:color w:val="auto"/>
          <w:sz w:val="21"/>
          <w:szCs w:val="21"/>
        </w:rPr>
        <w:t>PT二次回路应提供标准的试验端子并具有隔离板，便于断开或短接装置的输入与输出回路，电流不小于20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A（1000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V）。所有导线应牢固的夹紧。端子排上的导线固定采用平头铜螺丝。</w:t>
      </w:r>
      <w:r>
        <w:rPr>
          <w:rFonts w:hint="eastAsia" w:ascii="宋体" w:hAnsi="宋体" w:cs="宋体"/>
          <w:color w:val="auto"/>
          <w:sz w:val="21"/>
          <w:szCs w:val="21"/>
          <w:lang w:val="en-US" w:eastAsia="zh-CN"/>
        </w:rPr>
        <w:t>端子排布置安装应合理，以便于内部接线查线及外部电缆接线。</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3.6.15 </w:t>
      </w:r>
      <w:r>
        <w:rPr>
          <w:rFonts w:hint="eastAsia" w:ascii="宋体" w:hAnsi="宋体" w:eastAsia="宋体" w:cs="宋体"/>
          <w:color w:val="auto"/>
          <w:sz w:val="21"/>
          <w:szCs w:val="21"/>
          <w:lang w:val="en-US" w:eastAsia="zh-CN"/>
        </w:rPr>
        <w:t>电流互感器或电压互感器输入线应通过电流、电压试验部件专用端子接入保护装置，并采用便于电流回路测试的端子，以便对保护装置进行隔离和试验，对所有保护装置的跳闸出口、起动失灵等回路应提供各回路分别操作的试验部件或连接片，以便于必要时解除其出口回路。</w:t>
      </w:r>
    </w:p>
    <w:p>
      <w:pPr>
        <w:numPr>
          <w:ilvl w:val="-1"/>
          <w:numId w:val="0"/>
        </w:numPr>
        <w:snapToGrid/>
        <w:spacing w:line="360" w:lineRule="auto"/>
        <w:ind w:left="0" w:firstLine="0"/>
        <w:jc w:val="left"/>
        <w:rPr>
          <w:rFonts w:hint="eastAsia" w:ascii="宋体" w:hAnsi="宋体" w:cs="宋体"/>
          <w:color w:val="auto"/>
          <w:sz w:val="21"/>
          <w:szCs w:val="21"/>
        </w:rPr>
      </w:pPr>
      <w:r>
        <w:rPr>
          <w:rFonts w:hint="eastAsia" w:ascii="宋体" w:hAnsi="宋体" w:cs="宋体"/>
          <w:color w:val="auto"/>
          <w:sz w:val="21"/>
          <w:szCs w:val="21"/>
          <w:lang w:val="en-US" w:eastAsia="zh-CN"/>
        </w:rPr>
        <w:t xml:space="preserve">3.6.16 </w:t>
      </w:r>
      <w:r>
        <w:rPr>
          <w:rFonts w:hint="eastAsia" w:ascii="宋体" w:hAnsi="宋体" w:cs="宋体"/>
          <w:color w:val="auto"/>
          <w:sz w:val="21"/>
          <w:szCs w:val="21"/>
        </w:rPr>
        <w:t>直流电源应采用双极快速小开关，并具有合适的断流能力</w:t>
      </w:r>
      <w:r>
        <w:rPr>
          <w:rFonts w:hint="eastAsia" w:ascii="宋体" w:hAnsi="宋体" w:cs="宋体"/>
          <w:color w:val="auto"/>
          <w:sz w:val="21"/>
          <w:szCs w:val="21"/>
          <w:lang w:val="en-US" w:eastAsia="zh-CN"/>
        </w:rPr>
        <w:t>和指示标识</w:t>
      </w:r>
      <w:r>
        <w:rPr>
          <w:rFonts w:hint="eastAsia" w:ascii="宋体" w:hAnsi="宋体" w:cs="宋体"/>
          <w:color w:val="auto"/>
          <w:sz w:val="21"/>
          <w:szCs w:val="21"/>
        </w:rPr>
        <w:t>。</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3.6.17 </w:t>
      </w:r>
      <w:r>
        <w:rPr>
          <w:rFonts w:hint="eastAsia" w:ascii="宋体" w:hAnsi="宋体" w:cs="宋体"/>
          <w:color w:val="auto"/>
          <w:sz w:val="21"/>
          <w:szCs w:val="21"/>
        </w:rPr>
        <w:t>屏的内部和外部必须清洁，应清除内部所有杂物及内外一切污迹。</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3.6.18 </w:t>
      </w:r>
      <w:r>
        <w:rPr>
          <w:rFonts w:hint="eastAsia" w:ascii="宋体" w:hAnsi="宋体" w:cs="宋体"/>
          <w:color w:val="auto"/>
          <w:sz w:val="21"/>
          <w:szCs w:val="21"/>
        </w:rPr>
        <w:t>屏的所有表面应该清洗过，刷一层底漆和二道罩漆，供应应保证柜内外油漆过的表面的运输、储藏和正常运行时的防腐蚀性能。</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3.6.19 </w:t>
      </w:r>
      <w:r>
        <w:rPr>
          <w:rFonts w:hint="eastAsia" w:ascii="宋体" w:hAnsi="宋体" w:cs="宋体"/>
          <w:color w:val="auto"/>
          <w:sz w:val="21"/>
          <w:szCs w:val="21"/>
        </w:rPr>
        <w:t>每块屏及屏内的装置（包括继电器、控制开关、控制回路的熔丝、开关及其他独立设备）都应有</w:t>
      </w:r>
      <w:r>
        <w:rPr>
          <w:rFonts w:hint="eastAsia" w:ascii="宋体" w:hAnsi="宋体" w:cs="宋体"/>
          <w:color w:val="auto"/>
          <w:sz w:val="21"/>
          <w:szCs w:val="21"/>
          <w:lang w:val="en-US" w:eastAsia="zh-CN"/>
        </w:rPr>
        <w:t>双重命名的</w:t>
      </w:r>
      <w:r>
        <w:rPr>
          <w:rFonts w:hint="eastAsia" w:ascii="宋体" w:hAnsi="宋体" w:cs="宋体"/>
          <w:color w:val="auto"/>
          <w:sz w:val="21"/>
          <w:szCs w:val="21"/>
        </w:rPr>
        <w:t>标签，以便于清楚的识别，外壳可移动设备，在设备本体上也要有同样的识别标签。</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3.6.20 </w:t>
      </w:r>
      <w:r>
        <w:rPr>
          <w:rFonts w:hint="eastAsia" w:ascii="宋体" w:hAnsi="宋体" w:cs="宋体"/>
          <w:color w:val="auto"/>
          <w:sz w:val="21"/>
          <w:szCs w:val="21"/>
        </w:rPr>
        <w:t>对于那些必须按制造厂的规定才能运行更换的部件和插件，应有特殊的符号标出。</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3.6.21 </w:t>
      </w:r>
      <w:r>
        <w:rPr>
          <w:rFonts w:hint="eastAsia" w:ascii="宋体" w:hAnsi="宋体" w:cs="宋体"/>
          <w:color w:val="auto"/>
          <w:sz w:val="21"/>
          <w:szCs w:val="21"/>
        </w:rPr>
        <w:t>保护屏中的接插件应接触可靠，并且具有良好的互换型，以便检修时迅速更换。</w:t>
      </w:r>
    </w:p>
    <w:p>
      <w:pPr>
        <w:numPr>
          <w:ilvl w:val="-1"/>
          <w:numId w:val="0"/>
        </w:numPr>
        <w:snapToGrid/>
        <w:spacing w:line="360" w:lineRule="auto"/>
        <w:ind w:left="0" w:firstLine="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3.7变送器要求</w:t>
      </w:r>
    </w:p>
    <w:p>
      <w:pPr>
        <w:numPr>
          <w:ilvl w:val="-1"/>
          <w:numId w:val="0"/>
        </w:numPr>
        <w:snapToGrid/>
        <w:spacing w:line="360" w:lineRule="auto"/>
        <w:ind w:left="0" w:firstLine="0"/>
        <w:rPr>
          <w:rFonts w:hint="eastAsia" w:ascii="宋体" w:hAnsi="宋体" w:eastAsia="宋体" w:cs="宋体"/>
          <w:color w:val="auto"/>
          <w:sz w:val="21"/>
          <w:szCs w:val="21"/>
          <w:lang w:val="en-US" w:eastAsia="zh-CN"/>
        </w:rPr>
      </w:pPr>
      <w:bookmarkStart w:id="33" w:name="_Toc453864924"/>
      <w:bookmarkStart w:id="34" w:name="_Toc453864480"/>
      <w:bookmarkStart w:id="35" w:name="_Toc205806768"/>
      <w:bookmarkStart w:id="36" w:name="_Toc452361711"/>
      <w:r>
        <w:rPr>
          <w:rFonts w:hint="eastAsia" w:ascii="宋体" w:hAnsi="宋体" w:eastAsia="宋体" w:cs="宋体"/>
          <w:color w:val="auto"/>
          <w:sz w:val="21"/>
          <w:szCs w:val="21"/>
          <w:lang w:val="en-US" w:eastAsia="zh-CN"/>
        </w:rPr>
        <w:t>3.7.1功能</w:t>
      </w:r>
    </w:p>
    <w:p>
      <w:pPr>
        <w:numPr>
          <w:ilvl w:val="-1"/>
          <w:numId w:val="0"/>
        </w:numPr>
        <w:snapToGrid/>
        <w:spacing w:line="360" w:lineRule="auto"/>
        <w:ind w:left="0" w:firstLine="0"/>
        <w:rPr>
          <w:rFonts w:hint="default"/>
          <w:lang w:val="en-US" w:eastAsia="zh-CN"/>
        </w:rPr>
      </w:pPr>
      <w:r>
        <w:rPr>
          <w:rFonts w:hint="eastAsia" w:ascii="宋体" w:hAnsi="宋体" w:eastAsia="宋体" w:cs="宋体"/>
          <w:color w:val="auto"/>
          <w:sz w:val="21"/>
          <w:szCs w:val="21"/>
          <w:lang w:val="en-US" w:eastAsia="zh-CN"/>
        </w:rPr>
        <w:t>具有CT、PT断线判别功能，且在检测到CT、PT断线后可进行切换。</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额定供电电压</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AC 220V或110V，允许偏差-20%～+20%</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DC 220V或110V，允许偏差-20%～+20%</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采样通道数据</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交流电压 ：3路120V；每相功率消耗不大于0.5VA</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测量电流通道：3路6A ； 每相不大于0.5VA</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保护电流通道：3路5A ； 每相不大于0.5VA</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额定频率：50Hz</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模拟量输出</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发电机智能变送装置输出通道数：8路；输出精度：&lt;±0.2%；输出电流范围：DC 4～20mA。</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多功能智能变送装置（用于变压器）输出通道数：18路（8+10）；输出精度：&lt;±0.2%；输出电流范围：DC 4～20mA。</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测量精度</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测量电流、电压测量精度：&lt;±0.2%</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保护电流测量精度：&lt;±0.5%</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测量功率测量精度：&lt;±0.2%</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保护功率测量精度：&lt;±0.5%</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频率测量精度：&lt;±0.02Hz</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模拟量输出精度：&lt;±0.2%</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电压测量：UAB、UBC、UCA、UA、UB、UC</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测量级电流测量：IA、IB、IC、正序I1、负序I2、零序3I0</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保护级电流测量：IA、IB、IC</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有功功率：P</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无功功率：Q</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视在功率：S</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功率因数：COSφ</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频 率：f</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精确工作范围</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电流：测量级：0.05In～1.2In；保护级：0.05In～20In</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电压：2.0V～120V</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频率：45Hz～55Hz</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7</w:t>
      </w:r>
      <w:r>
        <w:rPr>
          <w:rFonts w:hint="eastAsia" w:ascii="宋体" w:hAnsi="宋体" w:eastAsia="宋体" w:cs="宋体"/>
          <w:color w:val="auto"/>
          <w:sz w:val="21"/>
          <w:szCs w:val="21"/>
        </w:rPr>
        <w:t>过载能力</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对装置的过载能力要求如下：</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保护级电流回路：2倍额定电流，长期连续工作；</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10倍额定电流，允许10 s；</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40倍额定电流，允许1 s。</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测量级电流回路：1.2倍额定电流，连续工作；</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20倍额定电流，允许1s。</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电压回路：1.4倍额定电压，长期连续工作；</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ascii="宋体" w:hAnsi="宋体" w:eastAsia="宋体" w:cs="宋体"/>
          <w:color w:val="auto"/>
          <w:sz w:val="21"/>
          <w:szCs w:val="21"/>
        </w:rPr>
        <w:tab/>
      </w:r>
      <w:r>
        <w:rPr>
          <w:rFonts w:hint="eastAsia" w:ascii="宋体" w:hAnsi="宋体" w:eastAsia="宋体" w:cs="宋体"/>
          <w:color w:val="auto"/>
          <w:sz w:val="21"/>
          <w:szCs w:val="21"/>
        </w:rPr>
        <w:t xml:space="preserve">   2倍额定电压，允许10 s。</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8</w:t>
      </w:r>
      <w:r>
        <w:rPr>
          <w:rFonts w:hint="eastAsia" w:ascii="宋体" w:hAnsi="宋体" w:eastAsia="宋体" w:cs="宋体"/>
          <w:color w:val="auto"/>
          <w:sz w:val="21"/>
          <w:szCs w:val="21"/>
        </w:rPr>
        <w:t>功率消耗</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装置的功率消耗应符合下列要求：</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（1）交流电流回路：当额定电流为5 A时，每相不大于1 VA；</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当额定电流为1 A时，每相不大于0.5 VA。</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（2）交流电压回路：当额定电压时，每相不大于1 VA。</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9</w:t>
      </w:r>
      <w:r>
        <w:rPr>
          <w:rFonts w:hint="eastAsia" w:ascii="宋体" w:hAnsi="宋体" w:eastAsia="宋体" w:cs="宋体"/>
          <w:color w:val="auto"/>
          <w:sz w:val="21"/>
          <w:szCs w:val="21"/>
        </w:rPr>
        <w:t>接点容量</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信号触点：允许长期通过电流8A，切断电流0.3A（DC220V，V/R  1ms）</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w:t>
      </w:r>
      <w:r>
        <w:rPr>
          <w:rFonts w:hint="eastAsia" w:ascii="宋体" w:hAnsi="宋体" w:cs="宋体"/>
          <w:color w:val="auto"/>
          <w:sz w:val="21"/>
          <w:szCs w:val="21"/>
          <w:lang w:val="en-US" w:eastAsia="zh-CN"/>
        </w:rPr>
        <w:t>10</w:t>
      </w:r>
      <w:r>
        <w:rPr>
          <w:rFonts w:hint="eastAsia" w:ascii="宋体" w:hAnsi="宋体" w:eastAsia="宋体" w:cs="宋体"/>
          <w:color w:val="auto"/>
          <w:sz w:val="21"/>
          <w:szCs w:val="21"/>
        </w:rPr>
        <w:t>各类元件定值误差</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电流元件定值误差：&lt;±2%</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电压元件定值误差：&lt;±2%</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时间元件:&lt;±40ms</w:t>
      </w:r>
      <w:bookmarkStart w:id="37" w:name="_Toc499122867"/>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1</w:t>
      </w:r>
      <w:r>
        <w:rPr>
          <w:rFonts w:hint="eastAsia" w:ascii="宋体" w:hAnsi="宋体" w:eastAsia="宋体" w:cs="宋体"/>
          <w:color w:val="auto"/>
          <w:sz w:val="21"/>
          <w:szCs w:val="21"/>
        </w:rPr>
        <w:t xml:space="preserve"> 装置时钟和对时功能：</w:t>
      </w:r>
      <w:bookmarkEnd w:id="37"/>
    </w:p>
    <w:p>
      <w:pPr>
        <w:numPr>
          <w:ilvl w:val="-1"/>
          <w:numId w:val="0"/>
        </w:numPr>
        <w:snapToGrid/>
        <w:spacing w:line="360" w:lineRule="auto"/>
        <w:ind w:left="0" w:firstLine="0"/>
        <w:rPr>
          <w:rFonts w:hint="eastAsia" w:ascii="宋体" w:hAnsi="宋体" w:eastAsia="宋体" w:cs="宋体"/>
          <w:color w:val="auto"/>
          <w:sz w:val="21"/>
          <w:szCs w:val="21"/>
        </w:rPr>
      </w:pPr>
      <w:bookmarkStart w:id="38" w:name="_Toc499122868"/>
      <w:bookmarkStart w:id="39" w:name="_Toc499124961"/>
      <w:r>
        <w:rPr>
          <w:rFonts w:hint="eastAsia" w:ascii="宋体" w:hAnsi="宋体" w:eastAsia="宋体" w:cs="宋体"/>
          <w:color w:val="auto"/>
          <w:sz w:val="21"/>
          <w:szCs w:val="21"/>
        </w:rPr>
        <w:t>装置应配置硬件时钟电路，当装置失电时，时钟电路应能正常工作；装置应配置与外部标准授时源的对时接口，满足IRIG-B 对时和分、秒脉冲对时。</w:t>
      </w:r>
      <w:bookmarkEnd w:id="38"/>
      <w:bookmarkEnd w:id="39"/>
    </w:p>
    <w:p>
      <w:pPr>
        <w:numPr>
          <w:ilvl w:val="-1"/>
          <w:numId w:val="0"/>
        </w:numPr>
        <w:snapToGrid/>
        <w:spacing w:line="360" w:lineRule="auto"/>
        <w:ind w:left="0" w:firstLine="0"/>
        <w:rPr>
          <w:rFonts w:hint="eastAsia" w:ascii="宋体" w:hAnsi="宋体" w:eastAsia="宋体" w:cs="宋体"/>
          <w:color w:val="auto"/>
          <w:sz w:val="21"/>
          <w:szCs w:val="21"/>
        </w:rPr>
      </w:pPr>
      <w:bookmarkStart w:id="40" w:name="_Toc499124962"/>
      <w:bookmarkStart w:id="41" w:name="_Toc499122869"/>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2</w:t>
      </w:r>
      <w:r>
        <w:rPr>
          <w:rFonts w:hint="eastAsia" w:ascii="宋体" w:hAnsi="宋体" w:eastAsia="宋体" w:cs="宋体"/>
          <w:color w:val="auto"/>
          <w:sz w:val="21"/>
          <w:szCs w:val="21"/>
        </w:rPr>
        <w:t>开关量输出：提供4 对继电器空接点输出，分别为装置报警接点；装置闭锁接点；PT 断线接点；CT 断线接点。</w:t>
      </w:r>
      <w:bookmarkEnd w:id="40"/>
      <w:bookmarkEnd w:id="41"/>
      <w:r>
        <w:rPr>
          <w:rFonts w:hint="eastAsia" w:ascii="宋体" w:hAnsi="宋体" w:eastAsia="宋体" w:cs="宋体"/>
          <w:color w:val="auto"/>
          <w:sz w:val="21"/>
          <w:szCs w:val="21"/>
        </w:rPr>
        <w:t xml:space="preserve"> </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事件记录功能</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装置具有事件记录功能，包括装置自检信息，保护动作信息，以及各类操作记录，各种事件记录数据存放在非易失存储器中，具有掉电保持功能。装置可记录保存最新的32 次以上的事件（覆盖方式记录），包含保护动作类型及动作时间（月、日、时、分、秒），以便于分析事故原因，可以通过面板显示查阅事件记录，也可以利用通讯接口读取该记录数据。每个报告应至少包含启动前2个周波、启动后6个周波的数据；装置记录的故障录波数据应按GB/T 22386规定的格式输出。</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响应速度小于40ms，如实反应发电机机端真实功率。</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5</w:t>
      </w:r>
      <w:r>
        <w:rPr>
          <w:rFonts w:hint="eastAsia" w:ascii="宋体" w:hAnsi="宋体" w:eastAsia="宋体" w:cs="宋体"/>
          <w:color w:val="auto"/>
          <w:sz w:val="21"/>
          <w:szCs w:val="21"/>
        </w:rPr>
        <w:t>电磁兼容要求</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装置的电磁干扰抗扰度和电磁发射性能应符合DL/T 478－2013中4.8的规定。</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.1</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绝缘要求</w:t>
      </w:r>
    </w:p>
    <w:p>
      <w:pPr>
        <w:numPr>
          <w:ilvl w:val="-1"/>
          <w:numId w:val="0"/>
        </w:numPr>
        <w:snapToGrid/>
        <w:spacing w:line="360" w:lineRule="auto"/>
        <w:ind w:left="0" w:firstLine="0"/>
        <w:rPr>
          <w:rFonts w:hint="eastAsia" w:ascii="宋体" w:hAnsi="宋体" w:eastAsia="宋体" w:cs="宋体"/>
          <w:color w:val="auto"/>
          <w:sz w:val="21"/>
          <w:szCs w:val="21"/>
        </w:rPr>
      </w:pPr>
      <w:r>
        <w:rPr>
          <w:rFonts w:hint="eastAsia" w:ascii="宋体" w:hAnsi="宋体" w:eastAsia="宋体" w:cs="宋体"/>
          <w:color w:val="auto"/>
          <w:sz w:val="21"/>
          <w:szCs w:val="21"/>
        </w:rPr>
        <w:t>装置的绝缘性能应符合DL/T 478－2013中4.9的规定。</w:t>
      </w:r>
    </w:p>
    <w:p>
      <w:pPr>
        <w:numPr>
          <w:ilvl w:val="-1"/>
          <w:numId w:val="0"/>
        </w:numPr>
        <w:snapToGrid/>
        <w:spacing w:line="360" w:lineRule="auto"/>
        <w:ind w:left="0" w:firstLine="0"/>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3.7.17</w:t>
      </w:r>
      <w:r>
        <w:rPr>
          <w:rFonts w:hint="eastAsia" w:ascii="宋体" w:hAnsi="宋体" w:eastAsia="宋体" w:cs="宋体"/>
          <w:color w:val="auto"/>
          <w:sz w:val="21"/>
          <w:szCs w:val="21"/>
        </w:rPr>
        <w:t>由投标方负责对柜内旧变送器和旧回路拆除，设计新变送器的内部回路，完成新变送器的安装、调试工作，并提供新变送器组屏安装的相关配件和附件，原则上外部回路接线不进行改动。变送器屏柜利旧，投标方需在设计前进厂进行测绘并提供柜内设计图纸，由招标方及项目设计院审核通过方能进行下一步生产工作</w:t>
      </w:r>
      <w:r>
        <w:rPr>
          <w:rFonts w:hint="eastAsia" w:ascii="宋体" w:hAnsi="宋体" w:eastAsia="宋体" w:cs="宋体"/>
          <w:color w:val="auto"/>
          <w:sz w:val="21"/>
          <w:szCs w:val="21"/>
          <w:lang w:eastAsia="zh-CN"/>
        </w:rPr>
        <w:t>。</w:t>
      </w:r>
    </w:p>
    <w:p>
      <w:pPr>
        <w:numPr>
          <w:ilvl w:val="-1"/>
          <w:numId w:val="0"/>
        </w:numPr>
        <w:snapToGrid/>
        <w:spacing w:line="360" w:lineRule="auto"/>
        <w:ind w:left="0" w:firstLine="0"/>
        <w:rPr>
          <w:rFonts w:hint="eastAsia"/>
        </w:rPr>
      </w:pPr>
    </w:p>
    <w:bookmarkEnd w:id="33"/>
    <w:bookmarkEnd w:id="34"/>
    <w:bookmarkEnd w:id="35"/>
    <w:bookmarkEnd w:id="36"/>
    <w:p>
      <w:pPr>
        <w:numPr>
          <w:ilvl w:val="-1"/>
          <w:numId w:val="0"/>
        </w:numPr>
        <w:snapToGrid/>
        <w:spacing w:before="0" w:beforeLines="0" w:after="0" w:afterLines="0" w:line="360" w:lineRule="auto"/>
        <w:ind w:left="0" w:firstLine="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 xml:space="preserve">4 </w:t>
      </w:r>
      <w:r>
        <w:rPr>
          <w:rFonts w:hint="eastAsia" w:ascii="宋体" w:hAnsi="宋体" w:eastAsia="宋体" w:cs="宋体"/>
          <w:b/>
          <w:bCs/>
          <w:color w:val="auto"/>
          <w:sz w:val="28"/>
          <w:szCs w:val="28"/>
        </w:rPr>
        <w:t>质量保证</w:t>
      </w:r>
    </w:p>
    <w:p>
      <w:pPr>
        <w:snapToGrid/>
        <w:spacing w:line="360" w:lineRule="auto"/>
        <w:rPr>
          <w:rFonts w:hint="eastAsia" w:ascii="宋体" w:hAnsi="宋体" w:cs="宋体"/>
          <w:color w:val="auto"/>
          <w:sz w:val="21"/>
          <w:szCs w:val="21"/>
        </w:rPr>
      </w:pPr>
      <w:r>
        <w:rPr>
          <w:rFonts w:hint="eastAsia" w:ascii="宋体" w:hAnsi="宋体" w:cs="宋体"/>
          <w:color w:val="auto"/>
          <w:sz w:val="21"/>
          <w:szCs w:val="21"/>
        </w:rPr>
        <w:t>4.1 订购的新产品除满足本技术</w:t>
      </w:r>
      <w:r>
        <w:rPr>
          <w:rFonts w:hint="eastAsia" w:ascii="宋体" w:hAnsi="宋体" w:cs="宋体"/>
          <w:color w:val="auto"/>
          <w:sz w:val="21"/>
          <w:szCs w:val="21"/>
          <w:lang w:val="en-US" w:eastAsia="zh-CN"/>
        </w:rPr>
        <w:t>规范</w:t>
      </w:r>
      <w:r>
        <w:rPr>
          <w:rFonts w:hint="eastAsia" w:ascii="宋体" w:hAnsi="宋体" w:cs="宋体"/>
          <w:color w:val="auto"/>
          <w:sz w:val="21"/>
          <w:szCs w:val="21"/>
        </w:rPr>
        <w:t>外，投标人还应提供产品的鉴定证书及产品合格证。进口元器件及材料提供原产地证明、报关单。</w:t>
      </w:r>
    </w:p>
    <w:p>
      <w:pPr>
        <w:snapToGrid/>
        <w:spacing w:line="360" w:lineRule="auto"/>
        <w:rPr>
          <w:rFonts w:hint="eastAsia" w:ascii="宋体" w:hAnsi="宋体" w:cs="宋体"/>
          <w:color w:val="auto"/>
          <w:sz w:val="21"/>
          <w:szCs w:val="21"/>
        </w:rPr>
      </w:pPr>
      <w:r>
        <w:rPr>
          <w:rFonts w:hint="eastAsia" w:ascii="宋体" w:hAnsi="宋体" w:cs="宋体"/>
          <w:color w:val="auto"/>
          <w:sz w:val="21"/>
          <w:szCs w:val="21"/>
        </w:rPr>
        <w:t>4.2 投标人应保证制造过程中的所有工艺、材料等（包括投标人的外购件在内）均应符合</w:t>
      </w:r>
      <w:r>
        <w:rPr>
          <w:rFonts w:hint="eastAsia" w:ascii="宋体" w:hAnsi="宋体" w:cs="宋体"/>
          <w:color w:val="auto"/>
          <w:sz w:val="21"/>
          <w:szCs w:val="21"/>
          <w:lang w:val="en-US" w:eastAsia="zh-CN"/>
        </w:rPr>
        <w:t>本</w:t>
      </w:r>
      <w:r>
        <w:rPr>
          <w:rFonts w:hint="eastAsia" w:ascii="宋体" w:hAnsi="宋体" w:cs="宋体"/>
          <w:color w:val="auto"/>
          <w:sz w:val="21"/>
          <w:szCs w:val="21"/>
        </w:rPr>
        <w:t>技术</w:t>
      </w:r>
      <w:r>
        <w:rPr>
          <w:rFonts w:hint="eastAsia" w:ascii="宋体" w:hAnsi="宋体" w:cs="宋体"/>
          <w:color w:val="auto"/>
          <w:sz w:val="21"/>
          <w:szCs w:val="21"/>
          <w:lang w:val="en-US" w:eastAsia="zh-CN"/>
        </w:rPr>
        <w:t>规范</w:t>
      </w:r>
      <w:r>
        <w:rPr>
          <w:rFonts w:hint="eastAsia" w:ascii="宋体" w:hAnsi="宋体" w:cs="宋体"/>
          <w:color w:val="auto"/>
          <w:sz w:val="21"/>
          <w:szCs w:val="21"/>
        </w:rPr>
        <w:t>的规定。若招标人根据运行经验指定投标人提供某种外购零部件，投标人应积极配合。</w:t>
      </w:r>
    </w:p>
    <w:p>
      <w:pPr>
        <w:snapToGrid/>
        <w:spacing w:line="360" w:lineRule="auto"/>
        <w:rPr>
          <w:rFonts w:hint="eastAsia" w:ascii="宋体" w:hAnsi="宋体" w:cs="宋体"/>
          <w:color w:val="auto"/>
          <w:sz w:val="21"/>
          <w:szCs w:val="21"/>
        </w:rPr>
      </w:pPr>
      <w:r>
        <w:rPr>
          <w:rFonts w:hint="eastAsia" w:ascii="宋体" w:hAnsi="宋体" w:cs="宋体"/>
          <w:color w:val="auto"/>
          <w:sz w:val="21"/>
          <w:szCs w:val="21"/>
        </w:rPr>
        <w:t>4.3 投标人应遵守本技术</w:t>
      </w:r>
      <w:r>
        <w:rPr>
          <w:rFonts w:hint="eastAsia" w:ascii="宋体" w:hAnsi="宋体" w:cs="宋体"/>
          <w:color w:val="auto"/>
          <w:sz w:val="21"/>
          <w:szCs w:val="21"/>
          <w:lang w:val="en-US" w:eastAsia="zh-CN"/>
        </w:rPr>
        <w:t>规范</w:t>
      </w:r>
      <w:r>
        <w:rPr>
          <w:rFonts w:hint="eastAsia" w:ascii="宋体" w:hAnsi="宋体" w:cs="宋体"/>
          <w:color w:val="auto"/>
          <w:sz w:val="21"/>
          <w:szCs w:val="21"/>
        </w:rPr>
        <w:t>中各条款和工作项目的ISO</w:t>
      </w:r>
      <w:r>
        <w:rPr>
          <w:rFonts w:hint="eastAsia" w:ascii="宋体" w:hAnsi="宋体" w:cs="宋体"/>
          <w:color w:val="auto"/>
          <w:sz w:val="21"/>
          <w:szCs w:val="21"/>
          <w:lang w:val="en-US" w:eastAsia="zh-CN"/>
        </w:rPr>
        <w:t>-</w:t>
      </w:r>
      <w:r>
        <w:rPr>
          <w:rFonts w:hint="eastAsia" w:ascii="宋体" w:hAnsi="宋体" w:cs="宋体"/>
          <w:color w:val="auto"/>
          <w:sz w:val="21"/>
          <w:szCs w:val="21"/>
        </w:rPr>
        <w:t>9001</w:t>
      </w:r>
      <w:r>
        <w:rPr>
          <w:rFonts w:hint="eastAsia" w:ascii="宋体" w:hAnsi="宋体" w:cs="宋体"/>
          <w:color w:val="auto"/>
          <w:sz w:val="21"/>
          <w:szCs w:val="21"/>
          <w:lang w:val="en-US" w:eastAsia="zh-CN"/>
        </w:rPr>
        <w:t>及</w:t>
      </w:r>
      <w:r>
        <w:rPr>
          <w:rFonts w:hint="eastAsia" w:ascii="宋体" w:hAnsi="宋体" w:cs="宋体"/>
          <w:color w:val="auto"/>
          <w:sz w:val="21"/>
          <w:szCs w:val="21"/>
        </w:rPr>
        <w:t>GB/T1900质量保证体系，该质量保证体系经过国家认证和正常运转。</w:t>
      </w:r>
    </w:p>
    <w:p>
      <w:pPr>
        <w:tabs>
          <w:tab w:val="left" w:pos="480"/>
        </w:tabs>
        <w:spacing w:line="360" w:lineRule="auto"/>
        <w:rPr>
          <w:rFonts w:hint="eastAsia" w:ascii="宋体" w:hAnsi="宋体" w:cs="宋体"/>
          <w:color w:val="auto"/>
          <w:sz w:val="21"/>
          <w:szCs w:val="21"/>
        </w:rPr>
      </w:pPr>
      <w:r>
        <w:rPr>
          <w:rFonts w:hint="eastAsia" w:ascii="宋体" w:hAnsi="宋体" w:cs="宋体"/>
          <w:color w:val="auto"/>
          <w:sz w:val="21"/>
          <w:szCs w:val="21"/>
        </w:rPr>
        <w:t>4.4 在正常的使用工作环境下，整体产品使用寿命为不小于30年。</w:t>
      </w:r>
    </w:p>
    <w:p>
      <w:pPr>
        <w:tabs>
          <w:tab w:val="left" w:pos="480"/>
        </w:tabs>
        <w:spacing w:line="360" w:lineRule="auto"/>
        <w:rPr>
          <w:rFonts w:hint="eastAsia" w:ascii="宋体" w:hAnsi="宋体" w:cs="宋体"/>
          <w:color w:val="auto"/>
          <w:sz w:val="21"/>
          <w:szCs w:val="21"/>
        </w:rPr>
      </w:pPr>
      <w:r>
        <w:rPr>
          <w:rFonts w:hint="eastAsia" w:ascii="宋体" w:hAnsi="宋体" w:cs="宋体"/>
          <w:color w:val="auto"/>
          <w:sz w:val="21"/>
          <w:szCs w:val="21"/>
        </w:rPr>
        <w:t>4.5 投标人所供设备质保期为机组运行168</w:t>
      </w:r>
      <w:r>
        <w:rPr>
          <w:rFonts w:hint="eastAsia" w:ascii="宋体" w:hAnsi="宋体" w:cs="宋体"/>
          <w:color w:val="auto"/>
          <w:sz w:val="21"/>
          <w:szCs w:val="21"/>
          <w:lang w:val="en-US" w:eastAsia="zh-CN"/>
        </w:rPr>
        <w:t>小时试验完成</w:t>
      </w:r>
      <w:r>
        <w:rPr>
          <w:rFonts w:hint="eastAsia" w:ascii="宋体" w:hAnsi="宋体" w:cs="宋体"/>
          <w:color w:val="auto"/>
          <w:sz w:val="21"/>
          <w:szCs w:val="21"/>
        </w:rPr>
        <w:t>后1年。在整个质保期内，非人为因素造成的设备损坏，应有投标人及时免费更换，并且根据因此而造成的经济损失大小承担一定的经济责任。</w:t>
      </w:r>
    </w:p>
    <w:p>
      <w:pPr>
        <w:numPr>
          <w:ilvl w:val="-1"/>
          <w:numId w:val="0"/>
        </w:numPr>
        <w:spacing w:before="0" w:beforeLines="0" w:after="0" w:afterLines="0"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 xml:space="preserve">5 </w:t>
      </w:r>
      <w:r>
        <w:rPr>
          <w:rFonts w:hint="eastAsia" w:ascii="宋体" w:hAnsi="宋体" w:eastAsia="宋体" w:cs="宋体"/>
          <w:b/>
          <w:bCs/>
          <w:color w:val="auto"/>
          <w:sz w:val="28"/>
          <w:szCs w:val="28"/>
        </w:rPr>
        <w:t>设计与供货界限及接口规则</w:t>
      </w:r>
    </w:p>
    <w:p>
      <w:pPr>
        <w:tabs>
          <w:tab w:val="left" w:pos="480"/>
        </w:tabs>
        <w:spacing w:line="360" w:lineRule="auto"/>
        <w:ind w:firstLine="420" w:firstLineChars="200"/>
        <w:rPr>
          <w:rFonts w:hint="eastAsia" w:ascii="宋体" w:hAnsi="宋体" w:cs="宋体"/>
          <w:b w:val="0"/>
          <w:color w:val="auto"/>
          <w:sz w:val="21"/>
          <w:szCs w:val="21"/>
        </w:rPr>
      </w:pPr>
      <w:r>
        <w:rPr>
          <w:rFonts w:hint="eastAsia" w:ascii="宋体" w:hAnsi="宋体" w:cs="宋体"/>
          <w:b w:val="0"/>
          <w:bCs w:val="0"/>
          <w:color w:val="auto"/>
          <w:sz w:val="21"/>
          <w:szCs w:val="21"/>
        </w:rPr>
        <w:t>保护管理机与DCS、NCS</w:t>
      </w:r>
      <w:r>
        <w:rPr>
          <w:rFonts w:hint="eastAsia" w:ascii="宋体" w:hAnsi="宋体" w:cs="宋体"/>
          <w:b w:val="0"/>
          <w:bCs w:val="0"/>
          <w:color w:val="auto"/>
          <w:sz w:val="21"/>
          <w:szCs w:val="21"/>
          <w:lang w:eastAsia="zh-CN"/>
        </w:rPr>
        <w:t>、</w:t>
      </w:r>
      <w:r>
        <w:rPr>
          <w:rFonts w:hint="eastAsia" w:ascii="宋体" w:hAnsi="宋体" w:cs="宋体"/>
          <w:b w:val="0"/>
          <w:bCs w:val="0"/>
          <w:color w:val="auto"/>
          <w:sz w:val="21"/>
          <w:szCs w:val="21"/>
          <w:lang w:val="en-US" w:eastAsia="zh-CN"/>
        </w:rPr>
        <w:t>保护信息子站</w:t>
      </w:r>
      <w:r>
        <w:rPr>
          <w:rFonts w:hint="eastAsia" w:ascii="宋体" w:hAnsi="宋体" w:cs="宋体"/>
          <w:b w:val="0"/>
          <w:bCs w:val="0"/>
          <w:color w:val="auto"/>
          <w:sz w:val="21"/>
          <w:szCs w:val="21"/>
        </w:rPr>
        <w:t>及保护数据网之间设有通信接口，保护装置生产厂家</w:t>
      </w:r>
      <w:r>
        <w:rPr>
          <w:rFonts w:hint="eastAsia" w:ascii="宋体" w:hAnsi="宋体" w:cs="宋体"/>
          <w:b w:val="0"/>
          <w:bCs w:val="0"/>
          <w:color w:val="auto"/>
          <w:sz w:val="21"/>
          <w:szCs w:val="21"/>
          <w:lang w:val="en-US" w:eastAsia="zh-CN"/>
        </w:rPr>
        <w:t>应</w:t>
      </w:r>
      <w:r>
        <w:rPr>
          <w:rFonts w:hint="eastAsia" w:ascii="宋体" w:hAnsi="宋体" w:cs="宋体"/>
          <w:b w:val="0"/>
          <w:bCs w:val="0"/>
          <w:color w:val="auto"/>
          <w:sz w:val="21"/>
          <w:szCs w:val="21"/>
        </w:rPr>
        <w:t>在投标书中列出所供设备能适配的各种通信规约，并负责</w:t>
      </w:r>
      <w:r>
        <w:rPr>
          <w:rFonts w:hint="eastAsia" w:ascii="宋体" w:hAnsi="宋体" w:cs="宋体"/>
          <w:b w:val="0"/>
          <w:bCs w:val="0"/>
          <w:color w:val="auto"/>
          <w:sz w:val="21"/>
          <w:szCs w:val="21"/>
          <w:lang w:val="en-US" w:eastAsia="zh-CN"/>
        </w:rPr>
        <w:t>接入500kV保护信息子站及华东电网主站的通讯调试工作，以及与</w:t>
      </w:r>
      <w:r>
        <w:rPr>
          <w:rFonts w:hint="eastAsia" w:ascii="宋体" w:hAnsi="宋体" w:cs="宋体"/>
          <w:b w:val="0"/>
          <w:bCs w:val="0"/>
          <w:color w:val="auto"/>
          <w:sz w:val="21"/>
          <w:szCs w:val="21"/>
        </w:rPr>
        <w:t>DCS、NCS及保护数据网</w:t>
      </w:r>
      <w:r>
        <w:rPr>
          <w:rFonts w:hint="eastAsia" w:ascii="宋体" w:hAnsi="宋体" w:cs="宋体"/>
          <w:b w:val="0"/>
          <w:bCs w:val="0"/>
          <w:color w:val="auto"/>
          <w:sz w:val="21"/>
          <w:szCs w:val="21"/>
          <w:lang w:val="en-US" w:eastAsia="zh-CN"/>
        </w:rPr>
        <w:t>系统</w:t>
      </w:r>
      <w:r>
        <w:rPr>
          <w:rFonts w:hint="eastAsia" w:ascii="宋体" w:hAnsi="宋体" w:cs="宋体"/>
          <w:b w:val="0"/>
          <w:bCs w:val="0"/>
          <w:color w:val="auto"/>
          <w:sz w:val="21"/>
          <w:szCs w:val="21"/>
        </w:rPr>
        <w:t>的厂家协调和配合</w:t>
      </w:r>
      <w:r>
        <w:rPr>
          <w:rFonts w:hint="eastAsia" w:ascii="宋体" w:hAnsi="宋体" w:cs="宋体"/>
          <w:b w:val="0"/>
          <w:bCs w:val="0"/>
          <w:color w:val="auto"/>
          <w:sz w:val="21"/>
          <w:szCs w:val="21"/>
          <w:lang w:val="en-US" w:eastAsia="zh-CN"/>
        </w:rPr>
        <w:t>工作</w:t>
      </w:r>
      <w:r>
        <w:rPr>
          <w:rFonts w:hint="eastAsia" w:ascii="宋体" w:hAnsi="宋体" w:cs="宋体"/>
          <w:b w:val="0"/>
          <w:bCs w:val="0"/>
          <w:color w:val="auto"/>
          <w:sz w:val="21"/>
          <w:szCs w:val="21"/>
        </w:rPr>
        <w:t>。</w:t>
      </w:r>
    </w:p>
    <w:p>
      <w:pPr>
        <w:numPr>
          <w:ilvl w:val="-1"/>
          <w:numId w:val="0"/>
        </w:numPr>
        <w:spacing w:before="0" w:beforeLines="0" w:after="0" w:afterLines="0" w:line="360" w:lineRule="auto"/>
        <w:rPr>
          <w:rFonts w:hint="eastAsia" w:ascii="宋体" w:hAnsi="宋体" w:eastAsia="宋体" w:cs="宋体"/>
          <w:b/>
          <w:bCs/>
          <w:color w:val="auto"/>
          <w:sz w:val="28"/>
          <w:szCs w:val="28"/>
        </w:rPr>
      </w:pPr>
      <w:bookmarkStart w:id="42" w:name="_Toc96238078"/>
      <w:bookmarkStart w:id="43" w:name="_Toc170462603"/>
      <w:bookmarkStart w:id="44" w:name="_Toc170270577"/>
      <w:r>
        <w:rPr>
          <w:rFonts w:hint="eastAsia" w:ascii="宋体" w:hAnsi="宋体" w:eastAsia="宋体" w:cs="宋体"/>
          <w:b/>
          <w:bCs/>
          <w:color w:val="auto"/>
          <w:sz w:val="28"/>
          <w:szCs w:val="28"/>
          <w:lang w:val="en-US" w:eastAsia="zh-CN"/>
        </w:rPr>
        <w:t xml:space="preserve">6 </w:t>
      </w:r>
      <w:r>
        <w:rPr>
          <w:rFonts w:hint="eastAsia" w:ascii="宋体" w:hAnsi="宋体" w:eastAsia="宋体" w:cs="宋体"/>
          <w:b/>
          <w:bCs/>
          <w:color w:val="auto"/>
          <w:sz w:val="28"/>
          <w:szCs w:val="28"/>
        </w:rPr>
        <w:t>清洁</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油漆</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包装</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装卸</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运输与储存</w:t>
      </w:r>
      <w:bookmarkEnd w:id="42"/>
      <w:bookmarkEnd w:id="43"/>
      <w:bookmarkEnd w:id="44"/>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6.1 </w:t>
      </w:r>
      <w:r>
        <w:rPr>
          <w:rFonts w:hint="eastAsia" w:ascii="宋体" w:hAnsi="宋体" w:cs="宋体"/>
          <w:color w:val="auto"/>
          <w:sz w:val="21"/>
          <w:szCs w:val="21"/>
        </w:rPr>
        <w:t>在合同设备任何部分交付运输前，投标人应按照规定和本附件所述的要求，对所要交付的该部分合同设备进行包装，该包装应具有适合长途运输、多次搬运和装卸的坚固包装，以确保合同设备安全、无损地运抵现场。设备包装时应有防护措施，以便在运输保管中起防腐作用。</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6.2 </w:t>
      </w:r>
      <w:r>
        <w:rPr>
          <w:rFonts w:hint="eastAsia" w:ascii="宋体" w:hAnsi="宋体" w:cs="宋体"/>
          <w:color w:val="auto"/>
          <w:sz w:val="21"/>
          <w:szCs w:val="21"/>
        </w:rPr>
        <w:t>投标人应保证对合同设备的所有包装在运输、装卸过程中完好无损，并有减震、防冲击的措施。若包装无法防止运输、装卸过程中垂直、水平加速度引起的设备损坏，投标人要在设备的设计结构上予以解决。</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6.3 </w:t>
      </w:r>
      <w:r>
        <w:rPr>
          <w:rFonts w:hint="eastAsia" w:ascii="宋体" w:hAnsi="宋体" w:cs="宋体"/>
          <w:color w:val="auto"/>
          <w:sz w:val="21"/>
          <w:szCs w:val="21"/>
        </w:rPr>
        <w:t>投标人提供的电气设备必须严格包装，包装应能保证合同设备在现场的保管与维护，包括在合理时间内有效的防潮、抗氧化、耐海水、耐海风、耐盐雾侵蚀的措施。对于可以进行露天堆放的合同设备，应能保证在合理时间内的露天堆放不会对合同设备造成损害。包装费包括在设备总价内。</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6.4 </w:t>
      </w:r>
      <w:r>
        <w:rPr>
          <w:rFonts w:hint="eastAsia" w:ascii="宋体" w:hAnsi="宋体" w:cs="宋体"/>
          <w:color w:val="auto"/>
          <w:sz w:val="21"/>
          <w:szCs w:val="21"/>
        </w:rPr>
        <w:t>如果国家有关包装的标准或规范、本附件所述的包装技术协议及合同设备承运人的包装要求之间不一致，则投标人应按照前述各项规范或要求中的最高要求对合同设备进行包装。</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6.5 </w:t>
      </w:r>
      <w:r>
        <w:rPr>
          <w:rFonts w:hint="eastAsia" w:ascii="宋体" w:hAnsi="宋体" w:cs="宋体"/>
          <w:color w:val="auto"/>
          <w:sz w:val="21"/>
          <w:szCs w:val="21"/>
        </w:rPr>
        <w:t>投标人应提交合同设备的包装技术规范及标准，包括但不限于包装示意图、包装材料材质与规格等，由招标人进行审查确认。资料文件中还应包括对合同设备包装过程中将采取的防潮、防锈、防腐蚀、抗震及充氮等措施的详细描述及承诺。</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6.6 </w:t>
      </w:r>
      <w:r>
        <w:rPr>
          <w:rFonts w:hint="eastAsia" w:ascii="宋体" w:hAnsi="宋体" w:cs="宋体"/>
          <w:color w:val="auto"/>
          <w:sz w:val="21"/>
          <w:szCs w:val="21"/>
        </w:rPr>
        <w:t>电控设备的包装与保管措施应满足露天堆放一个月的要求，其他设备的包装与保管措施应满足露天堆放六个月的要求。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6.7 </w:t>
      </w:r>
      <w:r>
        <w:rPr>
          <w:rFonts w:hint="eastAsia" w:ascii="宋体" w:hAnsi="宋体" w:cs="宋体"/>
          <w:color w:val="auto"/>
          <w:sz w:val="21"/>
          <w:szCs w:val="21"/>
        </w:rPr>
        <w:t>产品包装、运输、储存应符合本合同的有关标准中有关条款规定。</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6.8 </w:t>
      </w:r>
      <w:r>
        <w:rPr>
          <w:rFonts w:hint="eastAsia" w:ascii="宋体" w:hAnsi="宋体" w:cs="宋体"/>
          <w:color w:val="auto"/>
          <w:sz w:val="21"/>
          <w:szCs w:val="21"/>
        </w:rPr>
        <w:t>铭牌用耐腐蚀材料制成，并应符合有关标准的要求。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6.9 </w:t>
      </w:r>
      <w:r>
        <w:rPr>
          <w:rFonts w:hint="eastAsia" w:ascii="宋体" w:hAnsi="宋体" w:cs="宋体"/>
          <w:color w:val="auto"/>
          <w:sz w:val="21"/>
          <w:szCs w:val="21"/>
        </w:rPr>
        <w:t>屏柜外表油漆采用佐顿、阿克苏、式玛、关西品牌。</w:t>
      </w:r>
    </w:p>
    <w:p>
      <w:pPr>
        <w:numPr>
          <w:ilvl w:val="-1"/>
          <w:numId w:val="0"/>
        </w:numPr>
        <w:spacing w:before="0" w:beforeLines="0" w:after="0" w:afterLines="0" w:line="360" w:lineRule="auto"/>
        <w:ind w:right="-32"/>
        <w:rPr>
          <w:rFonts w:hint="eastAsia" w:ascii="宋体" w:hAnsi="宋体" w:eastAsia="宋体" w:cs="宋体"/>
          <w:b/>
          <w:bCs/>
          <w:color w:val="auto"/>
          <w:sz w:val="28"/>
          <w:szCs w:val="28"/>
        </w:rPr>
      </w:pPr>
      <w:r>
        <w:rPr>
          <w:rFonts w:hint="eastAsia" w:ascii="宋体" w:hAnsi="宋体" w:cs="宋体"/>
          <w:b/>
          <w:bCs/>
          <w:color w:val="auto"/>
          <w:sz w:val="28"/>
          <w:szCs w:val="28"/>
          <w:lang w:val="en-US" w:eastAsia="zh-CN"/>
        </w:rPr>
        <w:t xml:space="preserve">7 </w:t>
      </w:r>
      <w:r>
        <w:rPr>
          <w:rFonts w:hint="eastAsia" w:ascii="宋体" w:hAnsi="宋体" w:eastAsia="宋体" w:cs="宋体"/>
          <w:b/>
          <w:bCs/>
          <w:color w:val="auto"/>
          <w:sz w:val="28"/>
          <w:szCs w:val="28"/>
          <w:lang w:val="en-US" w:eastAsia="zh-CN"/>
        </w:rPr>
        <w:t>技术</w:t>
      </w:r>
      <w:bookmarkStart w:id="45" w:name="_Toc170462604"/>
      <w:bookmarkStart w:id="46" w:name="_Toc170270578"/>
      <w:bookmarkStart w:id="47" w:name="_Toc96238079"/>
      <w:r>
        <w:rPr>
          <w:rFonts w:hint="eastAsia" w:ascii="宋体" w:hAnsi="宋体" w:eastAsia="宋体" w:cs="宋体"/>
          <w:b/>
          <w:bCs/>
          <w:color w:val="auto"/>
          <w:sz w:val="28"/>
          <w:szCs w:val="28"/>
        </w:rPr>
        <w:t>数据表</w:t>
      </w:r>
      <w:bookmarkEnd w:id="45"/>
      <w:bookmarkEnd w:id="46"/>
      <w:bookmarkEnd w:id="47"/>
    </w:p>
    <w:p>
      <w:pPr>
        <w:pStyle w:val="8"/>
        <w:ind w:left="0" w:firstLine="420" w:firstLineChars="200"/>
        <w:jc w:val="both"/>
        <w:rPr>
          <w:rFonts w:hint="eastAsia" w:hAnsi="宋体" w:cs="宋体"/>
          <w:color w:val="auto"/>
          <w:sz w:val="21"/>
          <w:szCs w:val="21"/>
        </w:rPr>
      </w:pPr>
      <w:r>
        <w:rPr>
          <w:rFonts w:hint="eastAsia" w:hAnsi="宋体" w:cs="宋体"/>
          <w:color w:val="auto"/>
          <w:sz w:val="21"/>
          <w:szCs w:val="21"/>
        </w:rPr>
        <w:t>投标人应填写下列技术参数，并保证其提供设备的性能、特性与以下填写的内容一</w:t>
      </w:r>
      <w:r>
        <w:rPr>
          <w:rFonts w:hint="eastAsia" w:hAnsi="宋体" w:cs="宋体"/>
          <w:color w:val="auto"/>
          <w:sz w:val="21"/>
          <w:szCs w:val="21"/>
          <w:lang w:eastAsia="zh-CN"/>
        </w:rPr>
        <w:t>致</w:t>
      </w:r>
      <w:r>
        <w:rPr>
          <w:rFonts w:hint="eastAsia" w:hAnsi="宋体" w:cs="宋体"/>
          <w:color w:val="auto"/>
          <w:sz w:val="21"/>
          <w:szCs w:val="21"/>
        </w:rPr>
        <w:t>。</w:t>
      </w:r>
    </w:p>
    <w:tbl>
      <w:tblPr>
        <w:tblStyle w:val="18"/>
        <w:tblW w:w="8363" w:type="dxa"/>
        <w:tblInd w:w="9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9"/>
        <w:gridCol w:w="2415"/>
        <w:gridCol w:w="852"/>
        <w:gridCol w:w="1459"/>
        <w:gridCol w:w="1459"/>
        <w:gridCol w:w="14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序号</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名称</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要求值</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lang w:eastAsia="zh-CN"/>
              </w:rPr>
              <w:t>投标人</w:t>
            </w:r>
            <w:r>
              <w:rPr>
                <w:rFonts w:hint="eastAsia" w:ascii="宋体" w:hAnsi="宋体" w:cs="宋体"/>
                <w:color w:val="auto"/>
                <w:kern w:val="0"/>
                <w:sz w:val="18"/>
                <w:szCs w:val="18"/>
              </w:rPr>
              <w:t>提供值</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7644" w:type="dxa"/>
            <w:gridSpan w:val="5"/>
            <w:tcBorders>
              <w:tl2br w:val="nil"/>
              <w:tr2bl w:val="nil"/>
            </w:tcBorders>
            <w:shd w:val="clear" w:color="auto" w:fill="auto"/>
            <w:vAlign w:val="center"/>
          </w:tcPr>
          <w:p>
            <w:pPr>
              <w:widowControl/>
              <w:spacing w:line="240" w:lineRule="auto"/>
              <w:jc w:val="both"/>
              <w:rPr>
                <w:rFonts w:ascii="宋体" w:hAnsi="宋体" w:cs="宋体"/>
                <w:color w:val="auto"/>
                <w:kern w:val="0"/>
                <w:sz w:val="18"/>
                <w:szCs w:val="18"/>
              </w:rPr>
            </w:pPr>
            <w:r>
              <w:rPr>
                <w:rFonts w:hint="eastAsia" w:ascii="宋体" w:hAnsi="宋体" w:cs="宋体"/>
                <w:color w:val="auto"/>
                <w:sz w:val="18"/>
                <w:szCs w:val="18"/>
              </w:rPr>
              <w:t>微机型发电机保护装置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1_1</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发电机差动保护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719" w:type="dxa"/>
            <w:vMerge w:val="restart"/>
            <w:tcBorders>
              <w:tl2br w:val="nil"/>
              <w:tr2bl w:val="nil"/>
            </w:tcBorders>
            <w:shd w:val="clear" w:color="auto" w:fill="auto"/>
            <w:vAlign w:val="center"/>
          </w:tcPr>
          <w:p>
            <w:pPr>
              <w:widowControl/>
              <w:snapToGrid w:val="0"/>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1_2</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发电机负序电流保护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1_3</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发电机失磁保护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hint="eastAsia" w:ascii="宋体" w:hAnsi="宋体" w:cs="宋体"/>
                <w:color w:val="auto"/>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hint="eastAsia" w:ascii="宋体" w:hAnsi="宋体" w:cs="宋体"/>
                <w:color w:val="auto"/>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1_4</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发电机逆功率保护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1_5</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发电机过负荷保护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6</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发电机定子接地保护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7</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lang w:val="en-US" w:eastAsia="zh-CN"/>
              </w:rPr>
              <w:t>发电机频率</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8</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发电机过激磁保护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9</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发电机过电压保护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1_1</w:t>
            </w:r>
            <w:r>
              <w:rPr>
                <w:rFonts w:hint="eastAsia" w:ascii="宋体" w:hAnsi="宋体" w:cs="宋体"/>
                <w:color w:val="auto"/>
                <w:kern w:val="0"/>
                <w:sz w:val="18"/>
                <w:szCs w:val="18"/>
                <w:lang w:eastAsia="zh-CN"/>
              </w:rPr>
              <w:t>0</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突加电压保护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1_1</w:t>
            </w:r>
            <w:r>
              <w:rPr>
                <w:rFonts w:hint="eastAsia" w:ascii="宋体" w:hAnsi="宋体" w:cs="宋体"/>
                <w:color w:val="auto"/>
                <w:kern w:val="0"/>
                <w:sz w:val="18"/>
                <w:szCs w:val="18"/>
                <w:lang w:eastAsia="zh-CN"/>
              </w:rPr>
              <w:t>1</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发电机失步保护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1_1</w:t>
            </w:r>
            <w:r>
              <w:rPr>
                <w:rFonts w:hint="eastAsia" w:ascii="宋体" w:hAnsi="宋体" w:cs="宋体"/>
                <w:color w:val="auto"/>
                <w:kern w:val="0"/>
                <w:sz w:val="18"/>
                <w:szCs w:val="18"/>
                <w:lang w:eastAsia="zh-CN"/>
              </w:rPr>
              <w:t>2</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发电机定子匝间保护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1</w:t>
            </w:r>
            <w:r>
              <w:rPr>
                <w:rFonts w:hint="eastAsia" w:ascii="宋体" w:hAnsi="宋体" w:cs="宋体"/>
                <w:color w:val="auto"/>
                <w:kern w:val="0"/>
                <w:sz w:val="18"/>
                <w:szCs w:val="18"/>
                <w:lang w:val="en-US" w:eastAsia="zh-CN"/>
              </w:rPr>
              <w:t>3</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发电机断路器失灵保护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1</w:t>
            </w:r>
            <w:r>
              <w:rPr>
                <w:rFonts w:hint="eastAsia" w:ascii="宋体" w:hAnsi="宋体" w:cs="宋体"/>
                <w:color w:val="auto"/>
                <w:kern w:val="0"/>
                <w:sz w:val="18"/>
                <w:szCs w:val="18"/>
                <w:lang w:val="en-US" w:eastAsia="zh-CN"/>
              </w:rPr>
              <w:t>4</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lang w:val="en-US" w:eastAsia="zh-CN"/>
              </w:rPr>
              <w:t>发电机启停机保护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1</w:t>
            </w:r>
            <w:r>
              <w:rPr>
                <w:rFonts w:hint="eastAsia" w:ascii="宋体" w:hAnsi="宋体" w:cs="宋体"/>
                <w:color w:val="auto"/>
                <w:kern w:val="0"/>
                <w:sz w:val="18"/>
                <w:szCs w:val="18"/>
                <w:lang w:val="en-US" w:eastAsia="zh-CN"/>
              </w:rPr>
              <w:t>5</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lang w:val="en-US" w:eastAsia="zh-CN"/>
              </w:rPr>
              <w:t>发电机阻抗保护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val="0"/>
              <w:snapToGrid w:val="0"/>
              <w:spacing w:line="240" w:lineRule="auto"/>
              <w:jc w:val="center"/>
              <w:rPr>
                <w:rFonts w:ascii="宋体" w:hAnsi="宋体" w:cs="宋体"/>
                <w:color w:val="auto"/>
                <w:kern w:val="0"/>
                <w:sz w:val="18"/>
                <w:szCs w:val="18"/>
              </w:rPr>
            </w:pPr>
            <w:r>
              <w:rPr>
                <w:rFonts w:hint="eastAsia" w:ascii="宋体" w:hAnsi="宋体" w:cs="宋体"/>
                <w:color w:val="auto"/>
                <w:kern w:val="2"/>
                <w:sz w:val="18"/>
                <w:szCs w:val="18"/>
              </w:rPr>
              <w:t>1_</w:t>
            </w:r>
            <w:r>
              <w:rPr>
                <w:rFonts w:hint="eastAsia" w:ascii="宋体" w:hAnsi="宋体" w:cs="宋体"/>
                <w:color w:val="auto"/>
                <w:kern w:val="2"/>
                <w:sz w:val="18"/>
                <w:szCs w:val="18"/>
                <w:lang w:eastAsia="zh-CN"/>
              </w:rPr>
              <w:t>1</w:t>
            </w:r>
            <w:r>
              <w:rPr>
                <w:rFonts w:hint="eastAsia" w:ascii="宋体" w:hAnsi="宋体" w:cs="宋体"/>
                <w:color w:val="auto"/>
                <w:kern w:val="2"/>
                <w:sz w:val="18"/>
                <w:szCs w:val="18"/>
                <w:lang w:val="en-US" w:eastAsia="zh-CN"/>
              </w:rPr>
              <w:t>6</w:t>
            </w:r>
          </w:p>
        </w:tc>
        <w:tc>
          <w:tcPr>
            <w:tcW w:w="2415" w:type="dxa"/>
            <w:vMerge w:val="restart"/>
            <w:tcBorders>
              <w:tl2br w:val="nil"/>
              <w:tr2bl w:val="nil"/>
            </w:tcBorders>
            <w:shd w:val="clear" w:color="auto" w:fill="auto"/>
            <w:vAlign w:val="center"/>
          </w:tcPr>
          <w:p>
            <w:pPr>
              <w:snapToGrid/>
              <w:spacing w:line="240" w:lineRule="auto"/>
              <w:jc w:val="center"/>
              <w:rPr>
                <w:rFonts w:ascii="宋体" w:hAnsi="宋体" w:cs="宋体"/>
                <w:color w:val="auto"/>
                <w:kern w:val="0"/>
                <w:sz w:val="18"/>
                <w:szCs w:val="18"/>
              </w:rPr>
            </w:pPr>
            <w:r>
              <w:rPr>
                <w:rFonts w:hint="eastAsia" w:ascii="宋体" w:hAnsi="宋体" w:cs="宋体"/>
                <w:b w:val="0"/>
                <w:color w:val="auto"/>
                <w:spacing w:val="0"/>
                <w:sz w:val="18"/>
                <w:szCs w:val="18"/>
                <w:lang w:val="en-US" w:eastAsia="zh-CN"/>
              </w:rPr>
              <w:t>发电机复合电压</w:t>
            </w:r>
            <w:r>
              <w:rPr>
                <w:rFonts w:hint="eastAsia" w:ascii="宋体" w:hAnsi="宋体" w:cs="宋体"/>
                <w:b w:val="0"/>
                <w:color w:val="auto"/>
                <w:spacing w:val="0"/>
                <w:sz w:val="18"/>
                <w:szCs w:val="18"/>
              </w:rPr>
              <w:t>闭锁过电流保护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default"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1</w:t>
            </w:r>
            <w:r>
              <w:rPr>
                <w:rFonts w:hint="eastAsia" w:ascii="宋体" w:hAnsi="宋体" w:cs="宋体"/>
                <w:color w:val="auto"/>
                <w:kern w:val="0"/>
                <w:sz w:val="18"/>
                <w:szCs w:val="18"/>
                <w:lang w:val="en-US" w:eastAsia="zh-CN"/>
              </w:rPr>
              <w:t>7</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lang w:val="en-US" w:eastAsia="zh-CN"/>
              </w:rPr>
              <w:t>发电机非电量</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7644" w:type="dxa"/>
            <w:gridSpan w:val="5"/>
            <w:tcBorders>
              <w:tl2br w:val="nil"/>
              <w:tr2bl w:val="nil"/>
            </w:tcBorders>
            <w:shd w:val="clear" w:color="auto" w:fill="auto"/>
            <w:vAlign w:val="center"/>
          </w:tcPr>
          <w:p>
            <w:pPr>
              <w:widowControl/>
              <w:spacing w:line="240" w:lineRule="auto"/>
              <w:jc w:val="both"/>
              <w:rPr>
                <w:rFonts w:hint="eastAsia" w:ascii="宋体" w:hAnsi="宋体" w:cs="宋体"/>
                <w:color w:val="auto"/>
                <w:kern w:val="0"/>
                <w:sz w:val="18"/>
                <w:szCs w:val="18"/>
              </w:rPr>
            </w:pPr>
            <w:r>
              <w:rPr>
                <w:rFonts w:hint="eastAsia" w:ascii="宋体" w:hAnsi="宋体" w:cs="宋体"/>
                <w:color w:val="auto"/>
                <w:sz w:val="18"/>
                <w:szCs w:val="18"/>
              </w:rPr>
              <w:t>微机型励磁变保护装置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2_1</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励磁变</w:t>
            </w:r>
            <w:r>
              <w:rPr>
                <w:rFonts w:hint="eastAsia" w:ascii="宋体" w:hAnsi="宋体" w:cs="宋体"/>
                <w:color w:val="auto"/>
                <w:sz w:val="18"/>
                <w:szCs w:val="18"/>
                <w:lang w:val="en-US" w:eastAsia="zh-CN"/>
              </w:rPr>
              <w:t>差动</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2_</w:t>
            </w:r>
            <w:r>
              <w:rPr>
                <w:rFonts w:hint="eastAsia" w:ascii="宋体" w:hAnsi="宋体" w:cs="宋体"/>
                <w:color w:val="auto"/>
                <w:kern w:val="0"/>
                <w:sz w:val="18"/>
                <w:szCs w:val="18"/>
                <w:lang w:val="en-US" w:eastAsia="zh-CN"/>
              </w:rPr>
              <w:t>2</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eastAsia="宋体" w:cs="宋体"/>
                <w:color w:val="auto"/>
                <w:sz w:val="18"/>
                <w:szCs w:val="18"/>
              </w:rPr>
              <w:t>励磁变</w:t>
            </w:r>
            <w:r>
              <w:rPr>
                <w:rFonts w:hint="eastAsia" w:ascii="宋体" w:hAnsi="宋体" w:eastAsia="宋体" w:cs="宋体"/>
                <w:color w:val="auto"/>
                <w:sz w:val="18"/>
                <w:szCs w:val="18"/>
                <w:lang w:val="en-US" w:eastAsia="zh-CN"/>
              </w:rPr>
              <w:t>速断</w:t>
            </w:r>
            <w:r>
              <w:rPr>
                <w:rFonts w:hint="eastAsia" w:ascii="宋体" w:hAnsi="宋体" w:eastAsia="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2_</w:t>
            </w:r>
            <w:r>
              <w:rPr>
                <w:rFonts w:hint="eastAsia" w:ascii="宋体" w:hAnsi="宋体" w:cs="宋体"/>
                <w:color w:val="auto"/>
                <w:kern w:val="0"/>
                <w:sz w:val="18"/>
                <w:szCs w:val="18"/>
                <w:lang w:val="en-US" w:eastAsia="zh-CN"/>
              </w:rPr>
              <w:t>3</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eastAsia="宋体" w:cs="宋体"/>
                <w:color w:val="auto"/>
                <w:sz w:val="18"/>
                <w:szCs w:val="18"/>
              </w:rPr>
              <w:t>励磁变</w:t>
            </w:r>
            <w:r>
              <w:rPr>
                <w:rFonts w:hint="eastAsia" w:ascii="宋体" w:hAnsi="宋体" w:eastAsia="宋体" w:cs="宋体"/>
                <w:color w:val="auto"/>
                <w:sz w:val="18"/>
                <w:szCs w:val="18"/>
                <w:lang w:val="en-US" w:eastAsia="zh-CN"/>
              </w:rPr>
              <w:t>过流</w:t>
            </w:r>
            <w:r>
              <w:rPr>
                <w:rFonts w:hint="eastAsia" w:ascii="宋体" w:hAnsi="宋体" w:eastAsia="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2_</w:t>
            </w:r>
            <w:r>
              <w:rPr>
                <w:rFonts w:hint="eastAsia" w:ascii="宋体" w:hAnsi="宋体" w:cs="宋体"/>
                <w:color w:val="auto"/>
                <w:kern w:val="0"/>
                <w:sz w:val="18"/>
                <w:szCs w:val="18"/>
                <w:lang w:val="en-US" w:eastAsia="zh-CN"/>
              </w:rPr>
              <w:t>4</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励磁</w:t>
            </w:r>
            <w:r>
              <w:rPr>
                <w:rFonts w:hint="eastAsia" w:ascii="宋体" w:hAnsi="宋体" w:cs="宋体"/>
                <w:color w:val="auto"/>
                <w:sz w:val="18"/>
                <w:szCs w:val="18"/>
                <w:lang w:val="en-US" w:eastAsia="zh-CN"/>
              </w:rPr>
              <w:t>系统过负荷</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2_</w:t>
            </w:r>
            <w:r>
              <w:rPr>
                <w:rFonts w:hint="eastAsia" w:ascii="宋体" w:hAnsi="宋体" w:cs="宋体"/>
                <w:color w:val="auto"/>
                <w:kern w:val="0"/>
                <w:sz w:val="18"/>
                <w:szCs w:val="18"/>
                <w:lang w:val="en-US" w:eastAsia="zh-CN"/>
              </w:rPr>
              <w:t>5</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励磁变</w:t>
            </w:r>
            <w:r>
              <w:rPr>
                <w:rFonts w:hint="eastAsia" w:ascii="宋体" w:hAnsi="宋体" w:cs="宋体"/>
                <w:color w:val="auto"/>
                <w:sz w:val="18"/>
                <w:szCs w:val="18"/>
                <w:lang w:val="en-US" w:eastAsia="zh-CN"/>
              </w:rPr>
              <w:t>非电量</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w:t>
            </w:r>
          </w:p>
        </w:tc>
        <w:tc>
          <w:tcPr>
            <w:tcW w:w="7644" w:type="dxa"/>
            <w:gridSpan w:val="5"/>
            <w:tcBorders>
              <w:tl2br w:val="nil"/>
              <w:tr2bl w:val="nil"/>
            </w:tcBorders>
            <w:shd w:val="clear" w:color="auto" w:fill="auto"/>
            <w:vAlign w:val="center"/>
          </w:tcPr>
          <w:p>
            <w:pPr>
              <w:widowControl/>
              <w:spacing w:line="240" w:lineRule="auto"/>
              <w:jc w:val="both"/>
              <w:rPr>
                <w:rFonts w:hint="eastAsia" w:ascii="宋体" w:hAnsi="宋体" w:cs="宋体"/>
                <w:color w:val="auto"/>
                <w:kern w:val="0"/>
                <w:sz w:val="18"/>
                <w:szCs w:val="18"/>
              </w:rPr>
            </w:pPr>
            <w:r>
              <w:rPr>
                <w:rFonts w:hint="eastAsia" w:ascii="宋体" w:hAnsi="宋体" w:cs="宋体"/>
                <w:color w:val="auto"/>
                <w:sz w:val="18"/>
                <w:szCs w:val="18"/>
              </w:rPr>
              <w:t>微机型主变压器保护装置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3_1</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主变压器差动保护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3_2</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主变压器复合电压闭锁过流保护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3_3</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主变压器高压侧接地保护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3_4</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过激磁</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3_5</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主变压器低压侧接地保护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3_</w:t>
            </w:r>
            <w:r>
              <w:rPr>
                <w:rFonts w:hint="eastAsia" w:ascii="宋体" w:hAnsi="宋体" w:cs="宋体"/>
                <w:color w:val="auto"/>
                <w:kern w:val="0"/>
                <w:sz w:val="18"/>
                <w:szCs w:val="18"/>
                <w:lang w:val="en-US" w:eastAsia="zh-CN"/>
              </w:rPr>
              <w:t>6</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断路器失灵</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3_</w:t>
            </w:r>
            <w:r>
              <w:rPr>
                <w:rFonts w:hint="eastAsia" w:ascii="宋体" w:hAnsi="宋体" w:cs="宋体"/>
                <w:color w:val="auto"/>
                <w:kern w:val="0"/>
                <w:sz w:val="18"/>
                <w:szCs w:val="18"/>
                <w:lang w:val="en-US" w:eastAsia="zh-CN"/>
              </w:rPr>
              <w:t>7</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过电流</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3_</w:t>
            </w:r>
            <w:r>
              <w:rPr>
                <w:rFonts w:hint="eastAsia" w:ascii="宋体" w:hAnsi="宋体" w:cs="宋体"/>
                <w:color w:val="auto"/>
                <w:kern w:val="0"/>
                <w:sz w:val="18"/>
                <w:szCs w:val="18"/>
                <w:lang w:val="en-US" w:eastAsia="zh-CN"/>
              </w:rPr>
              <w:t>8</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断路器非全相</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val="0"/>
              <w:snapToGrid w:val="0"/>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2"/>
                <w:sz w:val="18"/>
                <w:szCs w:val="18"/>
              </w:rPr>
              <w:t>3_</w:t>
            </w:r>
            <w:r>
              <w:rPr>
                <w:rFonts w:hint="eastAsia" w:ascii="宋体" w:hAnsi="宋体" w:cs="宋体"/>
                <w:color w:val="auto"/>
                <w:kern w:val="2"/>
                <w:sz w:val="18"/>
                <w:szCs w:val="18"/>
                <w:lang w:val="en-US" w:eastAsia="zh-CN"/>
              </w:rPr>
              <w:t>9</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断路器闪络</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val="0"/>
              <w:snapToGrid w:val="0"/>
              <w:spacing w:line="240" w:lineRule="auto"/>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2"/>
                <w:sz w:val="18"/>
                <w:szCs w:val="18"/>
              </w:rPr>
              <w:t>3_</w:t>
            </w:r>
            <w:r>
              <w:rPr>
                <w:rFonts w:hint="eastAsia" w:ascii="宋体" w:hAnsi="宋体" w:cs="宋体"/>
                <w:color w:val="auto"/>
                <w:kern w:val="2"/>
                <w:sz w:val="18"/>
                <w:szCs w:val="18"/>
                <w:lang w:val="en-US" w:eastAsia="zh-CN"/>
              </w:rPr>
              <w:t>10</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eastAsia="宋体" w:cs="宋体"/>
                <w:color w:val="auto"/>
                <w:sz w:val="18"/>
                <w:szCs w:val="18"/>
              </w:rPr>
              <w:t>主变</w:t>
            </w:r>
            <w:r>
              <w:rPr>
                <w:rFonts w:hint="eastAsia" w:ascii="宋体" w:hAnsi="宋体" w:eastAsia="宋体" w:cs="宋体"/>
                <w:color w:val="auto"/>
                <w:sz w:val="18"/>
                <w:szCs w:val="18"/>
                <w:lang w:val="en-US" w:eastAsia="zh-CN"/>
              </w:rPr>
              <w:t>非电量</w:t>
            </w:r>
            <w:r>
              <w:rPr>
                <w:rFonts w:hint="eastAsia" w:ascii="宋体" w:hAnsi="宋体" w:eastAsia="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4</w:t>
            </w:r>
          </w:p>
        </w:tc>
        <w:tc>
          <w:tcPr>
            <w:tcW w:w="7644" w:type="dxa"/>
            <w:gridSpan w:val="5"/>
            <w:tcBorders>
              <w:tl2br w:val="nil"/>
              <w:tr2bl w:val="nil"/>
            </w:tcBorders>
            <w:shd w:val="clear" w:color="auto" w:fill="auto"/>
            <w:vAlign w:val="center"/>
          </w:tcPr>
          <w:p>
            <w:pPr>
              <w:widowControl/>
              <w:spacing w:line="240" w:lineRule="auto"/>
              <w:jc w:val="both"/>
              <w:rPr>
                <w:rFonts w:hint="eastAsia" w:ascii="宋体" w:hAnsi="宋体" w:cs="宋体"/>
                <w:color w:val="auto"/>
                <w:kern w:val="0"/>
                <w:sz w:val="18"/>
                <w:szCs w:val="18"/>
              </w:rPr>
            </w:pPr>
            <w:r>
              <w:rPr>
                <w:rFonts w:hint="eastAsia" w:ascii="宋体" w:hAnsi="宋体" w:cs="宋体"/>
                <w:color w:val="auto"/>
                <w:sz w:val="18"/>
                <w:szCs w:val="18"/>
              </w:rPr>
              <w:t>微机型高压厂变保护装置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4_1</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高压厂变差动保护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4_2</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高压厂变速断保护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4_3</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w:t>
            </w:r>
            <w:r>
              <w:rPr>
                <w:rFonts w:hint="eastAsia" w:ascii="宋体" w:hAnsi="宋体" w:cs="宋体"/>
                <w:b w:val="0"/>
                <w:color w:val="auto"/>
                <w:spacing w:val="0"/>
                <w:sz w:val="18"/>
                <w:szCs w:val="18"/>
              </w:rPr>
              <w:t>复合电压</w:t>
            </w:r>
            <w:r>
              <w:rPr>
                <w:rFonts w:hint="eastAsia" w:ascii="宋体" w:hAnsi="宋体" w:cs="宋体"/>
                <w:color w:val="auto"/>
                <w:sz w:val="18"/>
                <w:szCs w:val="18"/>
              </w:rPr>
              <w:t>闭锁过流保护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4_4</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高压厂变中性点过流保护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4_5</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高压厂变过流保护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4_6</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高压厂变本体保护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5</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事件记录</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6</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故障录波</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7</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通讯接口</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8</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保护装置输出接点</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9</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出口继电器</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0</w:t>
            </w:r>
          </w:p>
        </w:tc>
        <w:tc>
          <w:tcPr>
            <w:tcW w:w="7644" w:type="dxa"/>
            <w:gridSpan w:val="5"/>
            <w:tcBorders>
              <w:tl2br w:val="nil"/>
              <w:tr2bl w:val="nil"/>
            </w:tcBorders>
            <w:shd w:val="clear" w:color="auto" w:fill="auto"/>
            <w:vAlign w:val="center"/>
          </w:tcPr>
          <w:p>
            <w:pPr>
              <w:widowControl w:val="0"/>
              <w:spacing w:line="240" w:lineRule="auto"/>
              <w:jc w:val="both"/>
              <w:rPr>
                <w:color w:val="auto"/>
              </w:rPr>
            </w:pPr>
            <w:r>
              <w:rPr>
                <w:rFonts w:hint="eastAsia" w:ascii="宋体" w:hAnsi="宋体" w:cs="宋体"/>
                <w:color w:val="auto"/>
                <w:sz w:val="18"/>
                <w:szCs w:val="18"/>
              </w:rPr>
              <w:t>保护装置的功率消耗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_1</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交流电流回路In=5A时(每相不大于)</w:t>
            </w:r>
          </w:p>
        </w:tc>
        <w:tc>
          <w:tcPr>
            <w:tcW w:w="852" w:type="dxa"/>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r>
              <w:rPr>
                <w:rFonts w:hint="eastAsia" w:ascii="宋体" w:hAnsi="宋体" w:cs="宋体"/>
                <w:color w:val="auto"/>
                <w:sz w:val="18"/>
                <w:szCs w:val="18"/>
              </w:rPr>
              <w:t>VA</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_2</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交流电压回路(每相不大于)</w:t>
            </w:r>
          </w:p>
        </w:tc>
        <w:tc>
          <w:tcPr>
            <w:tcW w:w="852" w:type="dxa"/>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r>
              <w:rPr>
                <w:rFonts w:hint="eastAsia" w:ascii="宋体" w:hAnsi="宋体" w:cs="宋体"/>
                <w:color w:val="auto"/>
                <w:sz w:val="18"/>
                <w:szCs w:val="18"/>
              </w:rPr>
              <w:t>VA</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_3</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直流电源回路</w:t>
            </w:r>
          </w:p>
        </w:tc>
        <w:tc>
          <w:tcPr>
            <w:tcW w:w="852" w:type="dxa"/>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当正常工作时(不大于)</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W</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当保护工作时(不大于)</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W</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1</w:t>
            </w:r>
          </w:p>
        </w:tc>
        <w:tc>
          <w:tcPr>
            <w:tcW w:w="7644" w:type="dxa"/>
            <w:gridSpan w:val="5"/>
            <w:tcBorders>
              <w:tl2br w:val="nil"/>
              <w:tr2bl w:val="nil"/>
            </w:tcBorders>
            <w:shd w:val="clear" w:color="auto" w:fill="auto"/>
            <w:vAlign w:val="center"/>
          </w:tcPr>
          <w:p>
            <w:pPr>
              <w:widowControl/>
              <w:spacing w:line="240" w:lineRule="auto"/>
              <w:jc w:val="both"/>
              <w:rPr>
                <w:rFonts w:ascii="宋体" w:hAnsi="宋体" w:cs="宋体"/>
                <w:color w:val="auto"/>
                <w:kern w:val="0"/>
                <w:sz w:val="18"/>
                <w:szCs w:val="18"/>
              </w:rPr>
            </w:pPr>
            <w:r>
              <w:rPr>
                <w:rFonts w:hint="eastAsia" w:ascii="宋体" w:hAnsi="宋体" w:cs="宋体"/>
                <w:color w:val="auto"/>
                <w:sz w:val="18"/>
                <w:szCs w:val="18"/>
              </w:rPr>
              <w:t>保护装置过载能力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1</w:t>
            </w:r>
            <w:r>
              <w:rPr>
                <w:rFonts w:hint="eastAsia" w:ascii="宋体" w:hAnsi="宋体" w:cs="宋体"/>
                <w:color w:val="auto"/>
                <w:kern w:val="0"/>
                <w:sz w:val="18"/>
                <w:szCs w:val="18"/>
              </w:rPr>
              <w:t>_1</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交流电流回路</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连续工作</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几倍额定电流下可连续工作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允许工作10s</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几倍额定电流下允许工</w:t>
            </w:r>
            <w:r>
              <w:rPr>
                <w:rFonts w:hint="eastAsia" w:ascii="宋体" w:hAnsi="宋体" w:cs="宋体"/>
                <w:color w:val="auto"/>
                <w:sz w:val="18"/>
                <w:szCs w:val="18"/>
                <w:lang w:val="en-US" w:eastAsia="zh-CN"/>
              </w:rPr>
              <w:t>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允许工作1s</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几倍额定电流下允许工作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1</w:t>
            </w:r>
            <w:r>
              <w:rPr>
                <w:rFonts w:hint="eastAsia" w:ascii="宋体" w:hAnsi="宋体" w:cs="宋体"/>
                <w:color w:val="auto"/>
                <w:kern w:val="0"/>
                <w:sz w:val="18"/>
                <w:szCs w:val="18"/>
              </w:rPr>
              <w:t>_2</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交流电压回路</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连续工作</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几倍额定电压下可连续工</w:t>
            </w:r>
            <w:r>
              <w:rPr>
                <w:rFonts w:hint="eastAsia" w:ascii="宋体" w:hAnsi="宋体" w:cs="宋体"/>
                <w:color w:val="auto"/>
                <w:sz w:val="18"/>
                <w:szCs w:val="18"/>
                <w:lang w:val="en-US" w:eastAsia="zh-CN"/>
              </w:rPr>
              <w:t>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1</w:t>
            </w:r>
            <w:r>
              <w:rPr>
                <w:rFonts w:hint="eastAsia" w:ascii="宋体" w:hAnsi="宋体" w:cs="宋体"/>
                <w:color w:val="auto"/>
                <w:kern w:val="0"/>
                <w:sz w:val="18"/>
                <w:szCs w:val="18"/>
              </w:rPr>
              <w:t>_3</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直流电源回路</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在</w:t>
            </w:r>
            <w:r>
              <w:rPr>
                <w:rFonts w:hint="eastAsia" w:ascii="宋体" w:hAnsi="宋体" w:cs="宋体"/>
                <w:color w:val="auto"/>
                <w:sz w:val="18"/>
                <w:szCs w:val="18"/>
                <w:u w:val="single"/>
              </w:rPr>
              <w:t xml:space="preserve">  </w:t>
            </w:r>
            <w:r>
              <w:rPr>
                <w:rFonts w:hint="eastAsia" w:ascii="宋体" w:hAnsi="宋体" w:cs="宋体"/>
                <w:color w:val="auto"/>
                <w:sz w:val="18"/>
                <w:szCs w:val="18"/>
              </w:rPr>
              <w:t>％～</w:t>
            </w:r>
            <w:r>
              <w:rPr>
                <w:rFonts w:hint="eastAsia" w:ascii="宋体" w:hAnsi="宋体" w:cs="宋体"/>
                <w:color w:val="auto"/>
                <w:sz w:val="18"/>
                <w:szCs w:val="18"/>
                <w:u w:val="single"/>
              </w:rPr>
              <w:t xml:space="preserve">  </w:t>
            </w:r>
            <w:r>
              <w:rPr>
                <w:rFonts w:hint="eastAsia" w:ascii="宋体" w:hAnsi="宋体" w:cs="宋体"/>
                <w:color w:val="auto"/>
                <w:sz w:val="18"/>
                <w:szCs w:val="18"/>
              </w:rPr>
              <w:t>％额定电压可连续工作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2</w:t>
            </w:r>
          </w:p>
        </w:tc>
        <w:tc>
          <w:tcPr>
            <w:tcW w:w="2415" w:type="dxa"/>
            <w:tcBorders>
              <w:tl2br w:val="nil"/>
              <w:tr2bl w:val="nil"/>
            </w:tcBorders>
            <w:shd w:val="clear" w:color="auto" w:fill="auto"/>
            <w:vAlign w:val="center"/>
          </w:tcPr>
          <w:p>
            <w:pPr>
              <w:widowControl w:val="0"/>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保护装置测量元件特性的准确度</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2</w:t>
            </w:r>
            <w:r>
              <w:rPr>
                <w:rFonts w:hint="eastAsia" w:ascii="宋体" w:hAnsi="宋体" w:cs="宋体"/>
                <w:color w:val="auto"/>
                <w:kern w:val="0"/>
                <w:sz w:val="18"/>
                <w:szCs w:val="18"/>
              </w:rPr>
              <w:t>_1</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 xml:space="preserve">整定误差(不大于± </w:t>
            </w:r>
            <w:r>
              <w:rPr>
                <w:rFonts w:hint="eastAsia" w:ascii="宋体" w:hAnsi="宋体" w:cs="宋体"/>
                <w:color w:val="auto"/>
                <w:sz w:val="18"/>
                <w:szCs w:val="18"/>
                <w:lang w:eastAsia="zh-CN"/>
              </w:rPr>
              <w:t>％</w:t>
            </w:r>
            <w:r>
              <w:rPr>
                <w:rFonts w:hint="eastAsia" w:ascii="宋体" w:hAnsi="宋体" w:cs="宋体"/>
                <w:color w:val="auto"/>
                <w:sz w:val="18"/>
                <w:szCs w:val="18"/>
              </w:rPr>
              <w:t>)</w:t>
            </w:r>
          </w:p>
        </w:tc>
        <w:tc>
          <w:tcPr>
            <w:tcW w:w="852" w:type="dxa"/>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2</w:t>
            </w:r>
            <w:r>
              <w:rPr>
                <w:rFonts w:hint="eastAsia" w:ascii="宋体" w:hAnsi="宋体" w:cs="宋体"/>
                <w:color w:val="auto"/>
                <w:kern w:val="0"/>
                <w:sz w:val="18"/>
                <w:szCs w:val="18"/>
              </w:rPr>
              <w:t>_2</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温度变差(在工作环境温度范围内相对于＋20 ±2</w:t>
            </w:r>
            <w:r>
              <w:rPr>
                <w:rFonts w:hint="eastAsia" w:ascii="宋体" w:hAnsi="宋体" w:cs="宋体"/>
                <w:color w:val="auto"/>
                <w:sz w:val="18"/>
                <w:szCs w:val="18"/>
                <w:vertAlign w:val="superscript"/>
              </w:rPr>
              <w:t>℃</w:t>
            </w:r>
            <w:r>
              <w:rPr>
                <w:rFonts w:hint="eastAsia" w:ascii="宋体" w:hAnsi="宋体" w:cs="宋体"/>
                <w:color w:val="auto"/>
                <w:sz w:val="18"/>
                <w:szCs w:val="18"/>
              </w:rPr>
              <w:t>时，不大于±％)</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3</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保护管理机</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4</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保护装置接地</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bl>
    <w:p>
      <w:pPr>
        <w:snapToGrid w:val="0"/>
        <w:spacing w:before="157" w:beforeLines="50" w:line="360" w:lineRule="auto"/>
        <w:rPr>
          <w:rFonts w:hint="eastAsia" w:ascii="宋体" w:hAnsi="宋体" w:cs="宋体"/>
          <w:color w:val="auto"/>
          <w:sz w:val="21"/>
          <w:szCs w:val="21"/>
        </w:rPr>
      </w:pPr>
    </w:p>
    <w:p>
      <w:pPr>
        <w:snapToGrid w:val="0"/>
        <w:spacing w:before="157" w:beforeLines="50" w:line="360" w:lineRule="auto"/>
        <w:rPr>
          <w:rFonts w:hint="default" w:ascii="宋体" w:hAnsi="宋体" w:eastAsia="宋体" w:cs="宋体"/>
          <w:color w:val="auto"/>
          <w:sz w:val="21"/>
          <w:szCs w:val="21"/>
          <w:lang w:val="en-US" w:eastAsia="zh-CN"/>
        </w:rPr>
      </w:pPr>
      <w:r>
        <w:rPr>
          <w:rFonts w:hint="eastAsia" w:ascii="宋体" w:hAnsi="宋体" w:cs="宋体"/>
          <w:color w:val="auto"/>
          <w:sz w:val="21"/>
          <w:szCs w:val="21"/>
          <w:lang w:eastAsia="zh-CN"/>
        </w:rPr>
        <w:t>智能变送器</w:t>
      </w:r>
      <w:r>
        <w:rPr>
          <w:rFonts w:hint="eastAsia" w:ascii="宋体" w:hAnsi="宋体" w:cs="宋体"/>
          <w:color w:val="auto"/>
          <w:sz w:val="21"/>
          <w:szCs w:val="21"/>
          <w:lang w:val="en-US" w:eastAsia="zh-CN"/>
        </w:rPr>
        <w:t>技术要求</w:t>
      </w:r>
    </w:p>
    <w:tbl>
      <w:tblPr>
        <w:tblStyle w:val="18"/>
        <w:tblW w:w="852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522" w:type="dxa"/>
            <w:vAlign w:val="top"/>
          </w:tcPr>
          <w:p>
            <w:pPr>
              <w:spacing w:line="500" w:lineRule="exact"/>
              <w:rPr>
                <w:rFonts w:ascii="宋体" w:hAnsi="宋体"/>
                <w:sz w:val="21"/>
                <w:szCs w:val="21"/>
              </w:rPr>
            </w:pPr>
            <w:r>
              <w:rPr>
                <w:rFonts w:ascii="宋体" w:hAnsi="宋体"/>
                <w:sz w:val="21"/>
                <w:szCs w:val="21"/>
              </w:rPr>
              <w:t>1额定电气参数</w:t>
            </w:r>
          </w:p>
          <w:p>
            <w:pPr>
              <w:spacing w:line="500" w:lineRule="exact"/>
              <w:rPr>
                <w:rFonts w:ascii="宋体" w:hAnsi="宋体"/>
                <w:sz w:val="21"/>
                <w:szCs w:val="21"/>
              </w:rPr>
            </w:pPr>
            <w:r>
              <w:rPr>
                <w:rFonts w:ascii="宋体" w:hAnsi="宋体"/>
                <w:sz w:val="21"/>
                <w:szCs w:val="21"/>
              </w:rPr>
              <w:t>1.1交直流电源</w:t>
            </w:r>
          </w:p>
          <w:p>
            <w:pPr>
              <w:spacing w:line="500" w:lineRule="exact"/>
              <w:rPr>
                <w:rFonts w:ascii="宋体" w:hAnsi="宋体"/>
                <w:sz w:val="21"/>
                <w:szCs w:val="21"/>
              </w:rPr>
            </w:pPr>
            <w:r>
              <w:rPr>
                <w:rFonts w:ascii="宋体" w:hAnsi="宋体"/>
                <w:sz w:val="21"/>
                <w:szCs w:val="21"/>
              </w:rPr>
              <w:t>直流电源电压：110 V、220 V，允许偏差：－20%～+</w:t>
            </w:r>
            <w:r>
              <w:rPr>
                <w:rFonts w:hint="eastAsia" w:ascii="宋体" w:hAnsi="宋体"/>
                <w:sz w:val="21"/>
                <w:szCs w:val="21"/>
              </w:rPr>
              <w:t>2</w:t>
            </w:r>
            <w:r>
              <w:rPr>
                <w:rFonts w:ascii="宋体" w:hAnsi="宋体"/>
                <w:sz w:val="21"/>
                <w:szCs w:val="21"/>
              </w:rPr>
              <w:t>0%。</w:t>
            </w:r>
          </w:p>
          <w:p>
            <w:pPr>
              <w:spacing w:line="500" w:lineRule="exact"/>
              <w:rPr>
                <w:rFonts w:ascii="宋体" w:hAnsi="宋体"/>
                <w:sz w:val="21"/>
                <w:szCs w:val="21"/>
              </w:rPr>
            </w:pPr>
            <w:r>
              <w:rPr>
                <w:rFonts w:ascii="宋体" w:hAnsi="宋体"/>
                <w:sz w:val="21"/>
                <w:szCs w:val="21"/>
              </w:rPr>
              <w:t>直流电源电压纹波系数：不大于5%。</w:t>
            </w:r>
          </w:p>
          <w:p>
            <w:pPr>
              <w:spacing w:line="500" w:lineRule="exact"/>
              <w:rPr>
                <w:rFonts w:ascii="宋体" w:hAnsi="宋体"/>
                <w:sz w:val="21"/>
                <w:szCs w:val="21"/>
              </w:rPr>
            </w:pPr>
            <w:r>
              <w:rPr>
                <w:rFonts w:ascii="宋体" w:hAnsi="宋体"/>
                <w:sz w:val="21"/>
                <w:szCs w:val="21"/>
              </w:rPr>
              <w:t>交流电源电压：单相220V，允许偏差－20%～+</w:t>
            </w:r>
            <w:r>
              <w:rPr>
                <w:rFonts w:hint="eastAsia" w:ascii="宋体" w:hAnsi="宋体"/>
                <w:sz w:val="21"/>
                <w:szCs w:val="21"/>
              </w:rPr>
              <w:t>20</w:t>
            </w:r>
            <w:r>
              <w:rPr>
                <w:rFonts w:ascii="宋体" w:hAnsi="宋体"/>
                <w:sz w:val="21"/>
                <w:szCs w:val="21"/>
              </w:rPr>
              <w:t>%。</w:t>
            </w:r>
          </w:p>
          <w:p>
            <w:pPr>
              <w:spacing w:line="500" w:lineRule="exact"/>
              <w:rPr>
                <w:rFonts w:ascii="宋体" w:hAnsi="宋体"/>
                <w:sz w:val="21"/>
                <w:szCs w:val="21"/>
              </w:rPr>
            </w:pPr>
            <w:r>
              <w:rPr>
                <w:rFonts w:ascii="宋体" w:hAnsi="宋体"/>
                <w:sz w:val="21"/>
                <w:szCs w:val="21"/>
              </w:rPr>
              <w:t>交流电源频率：50Hz，允许偏差±5%。</w:t>
            </w:r>
          </w:p>
          <w:p>
            <w:pPr>
              <w:spacing w:line="500" w:lineRule="exact"/>
              <w:rPr>
                <w:rFonts w:ascii="宋体" w:hAnsi="宋体"/>
                <w:sz w:val="21"/>
                <w:szCs w:val="21"/>
              </w:rPr>
            </w:pPr>
            <w:r>
              <w:rPr>
                <w:rFonts w:ascii="宋体" w:hAnsi="宋体"/>
                <w:sz w:val="21"/>
                <w:szCs w:val="21"/>
              </w:rPr>
              <w:t>交流电源波形：正弦波，谐波含量不大于5%。</w:t>
            </w:r>
          </w:p>
          <w:p>
            <w:pPr>
              <w:spacing w:line="500" w:lineRule="exact"/>
              <w:rPr>
                <w:rFonts w:ascii="宋体" w:hAnsi="宋体"/>
                <w:sz w:val="21"/>
                <w:szCs w:val="21"/>
              </w:rPr>
            </w:pPr>
            <w:r>
              <w:rPr>
                <w:rFonts w:ascii="宋体" w:hAnsi="宋体"/>
                <w:sz w:val="21"/>
                <w:szCs w:val="21"/>
              </w:rPr>
              <w:t>1.2交流回路</w:t>
            </w:r>
          </w:p>
          <w:p>
            <w:pPr>
              <w:spacing w:line="500" w:lineRule="exact"/>
              <w:rPr>
                <w:rFonts w:ascii="宋体" w:hAnsi="宋体"/>
                <w:sz w:val="21"/>
                <w:szCs w:val="21"/>
              </w:rPr>
            </w:pPr>
            <w:r>
              <w:rPr>
                <w:rFonts w:ascii="宋体" w:hAnsi="宋体"/>
                <w:sz w:val="21"/>
                <w:szCs w:val="21"/>
              </w:rPr>
              <w:t>交流电压：100V、100/</w:t>
            </w:r>
            <w:r>
              <w:rPr>
                <w:rFonts w:ascii="宋体" w:hAnsi="宋体"/>
                <w:sz w:val="21"/>
                <w:szCs w:val="21"/>
              </w:rPr>
              <w:drawing>
                <wp:inline distT="0" distB="0" distL="114300" distR="114300">
                  <wp:extent cx="228600" cy="228600"/>
                  <wp:effectExtent l="0" t="0" r="0" b="0"/>
                  <wp:docPr id="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pic:cNvPicPr>
                            <a:picLocks noChangeAspect="1"/>
                          </pic:cNvPicPr>
                        </pic:nvPicPr>
                        <pic:blipFill>
                          <a:blip r:embed="rId4"/>
                          <a:stretch>
                            <a:fillRect/>
                          </a:stretch>
                        </pic:blipFill>
                        <pic:spPr>
                          <a:xfrm>
                            <a:off x="0" y="0"/>
                            <a:ext cx="228600" cy="228600"/>
                          </a:xfrm>
                          <a:prstGeom prst="rect">
                            <a:avLst/>
                          </a:prstGeom>
                          <a:noFill/>
                          <a:ln>
                            <a:noFill/>
                          </a:ln>
                        </pic:spPr>
                      </pic:pic>
                    </a:graphicData>
                  </a:graphic>
                </wp:inline>
              </w:drawing>
            </w:r>
            <w:r>
              <w:rPr>
                <w:rFonts w:ascii="宋体" w:hAnsi="宋体"/>
                <w:sz w:val="21"/>
                <w:szCs w:val="21"/>
              </w:rPr>
              <w:t>V。</w:t>
            </w:r>
          </w:p>
          <w:p>
            <w:pPr>
              <w:spacing w:line="500" w:lineRule="exact"/>
              <w:rPr>
                <w:rFonts w:ascii="宋体" w:hAnsi="宋体"/>
                <w:sz w:val="21"/>
                <w:szCs w:val="21"/>
              </w:rPr>
            </w:pPr>
            <w:r>
              <w:rPr>
                <w:rFonts w:ascii="宋体" w:hAnsi="宋体"/>
                <w:sz w:val="21"/>
                <w:szCs w:val="21"/>
              </w:rPr>
              <w:t>交流电流：5A、1A。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522" w:type="dxa"/>
            <w:vAlign w:val="top"/>
          </w:tcPr>
          <w:p>
            <w:pPr>
              <w:spacing w:line="500" w:lineRule="exact"/>
              <w:rPr>
                <w:rFonts w:ascii="宋体" w:hAnsi="宋体"/>
                <w:sz w:val="21"/>
                <w:szCs w:val="21"/>
              </w:rPr>
            </w:pPr>
            <w:bookmarkStart w:id="48" w:name="_Ref484452474"/>
            <w:r>
              <w:rPr>
                <w:rFonts w:ascii="宋体" w:hAnsi="宋体"/>
                <w:sz w:val="21"/>
                <w:szCs w:val="21"/>
              </w:rPr>
              <w:t>2固有准确度和变差</w:t>
            </w:r>
            <w:bookmarkEnd w:id="48"/>
          </w:p>
          <w:p>
            <w:pPr>
              <w:spacing w:line="500" w:lineRule="exact"/>
              <w:rPr>
                <w:rFonts w:ascii="宋体" w:hAnsi="宋体"/>
                <w:sz w:val="21"/>
                <w:szCs w:val="21"/>
              </w:rPr>
            </w:pPr>
            <w:r>
              <w:rPr>
                <w:rFonts w:ascii="宋体" w:hAnsi="宋体"/>
                <w:sz w:val="21"/>
                <w:szCs w:val="21"/>
              </w:rPr>
              <w:t>2.1固有准确度应满足装置输出量程范围内符合下列规定：</w:t>
            </w:r>
          </w:p>
          <w:p>
            <w:pPr>
              <w:spacing w:line="500" w:lineRule="exact"/>
              <w:rPr>
                <w:rFonts w:ascii="宋体" w:hAnsi="宋体"/>
                <w:sz w:val="21"/>
                <w:szCs w:val="21"/>
              </w:rPr>
            </w:pPr>
            <w:r>
              <w:rPr>
                <w:rFonts w:ascii="宋体" w:hAnsi="宋体"/>
                <w:sz w:val="21"/>
                <w:szCs w:val="21"/>
              </w:rPr>
              <w:t>测量级CT计算功率变送输出：引用误差不大于±0.2%；</w:t>
            </w:r>
          </w:p>
          <w:p>
            <w:pPr>
              <w:spacing w:line="500" w:lineRule="exact"/>
              <w:rPr>
                <w:rFonts w:ascii="宋体" w:hAnsi="宋体"/>
                <w:sz w:val="21"/>
                <w:szCs w:val="21"/>
              </w:rPr>
            </w:pPr>
            <w:r>
              <w:rPr>
                <w:rFonts w:ascii="宋体" w:hAnsi="宋体"/>
                <w:sz w:val="21"/>
                <w:szCs w:val="21"/>
              </w:rPr>
              <w:t>保护级CT计算功率变送输出：引用误差不大于±</w:t>
            </w:r>
            <w:r>
              <w:rPr>
                <w:rFonts w:hint="eastAsia" w:ascii="宋体" w:hAnsi="宋体"/>
                <w:sz w:val="21"/>
                <w:szCs w:val="21"/>
              </w:rPr>
              <w:t>0</w:t>
            </w:r>
            <w:r>
              <w:rPr>
                <w:rFonts w:ascii="宋体" w:hAnsi="宋体"/>
                <w:sz w:val="21"/>
                <w:szCs w:val="21"/>
              </w:rPr>
              <w:t>.5%。</w:t>
            </w:r>
          </w:p>
          <w:p>
            <w:pPr>
              <w:spacing w:line="500" w:lineRule="exact"/>
              <w:rPr>
                <w:rFonts w:ascii="宋体" w:hAnsi="宋体"/>
                <w:sz w:val="21"/>
                <w:szCs w:val="21"/>
              </w:rPr>
            </w:pPr>
            <w:r>
              <w:rPr>
                <w:rFonts w:ascii="宋体" w:hAnsi="宋体"/>
                <w:sz w:val="21"/>
                <w:szCs w:val="21"/>
              </w:rPr>
              <w:t>2.2环境温度在－10°C～＋55°C规定的范围内变化，引起的变差不应大于±2.5%</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522" w:type="dxa"/>
            <w:vAlign w:val="top"/>
          </w:tcPr>
          <w:p>
            <w:pPr>
              <w:spacing w:line="500" w:lineRule="exact"/>
              <w:rPr>
                <w:rFonts w:ascii="宋体" w:hAnsi="宋体"/>
                <w:sz w:val="21"/>
                <w:szCs w:val="21"/>
              </w:rPr>
            </w:pPr>
            <w:r>
              <w:rPr>
                <w:rFonts w:ascii="宋体" w:hAnsi="宋体"/>
                <w:sz w:val="21"/>
                <w:szCs w:val="21"/>
              </w:rPr>
              <w:t>3配线端子、输出继电器和信号继电器</w:t>
            </w:r>
          </w:p>
          <w:p>
            <w:pPr>
              <w:spacing w:line="500" w:lineRule="exact"/>
              <w:rPr>
                <w:rFonts w:ascii="宋体" w:hAnsi="宋体"/>
                <w:sz w:val="21"/>
                <w:szCs w:val="21"/>
              </w:rPr>
            </w:pPr>
            <w:r>
              <w:rPr>
                <w:rFonts w:ascii="宋体" w:hAnsi="宋体"/>
                <w:sz w:val="21"/>
                <w:szCs w:val="21"/>
              </w:rPr>
              <w:t>装置配线端子、输出继电器和信号继电器应符合DL/T 478的规定。</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522" w:type="dxa"/>
            <w:vAlign w:val="top"/>
          </w:tcPr>
          <w:p>
            <w:pPr>
              <w:spacing w:line="500" w:lineRule="exact"/>
              <w:rPr>
                <w:rFonts w:ascii="宋体" w:hAnsi="宋体"/>
                <w:sz w:val="21"/>
                <w:szCs w:val="21"/>
              </w:rPr>
            </w:pPr>
            <w:r>
              <w:rPr>
                <w:rFonts w:ascii="宋体" w:hAnsi="宋体"/>
                <w:sz w:val="21"/>
                <w:szCs w:val="21"/>
              </w:rPr>
              <w:t>4交流模拟量输入</w:t>
            </w:r>
          </w:p>
          <w:p>
            <w:pPr>
              <w:spacing w:line="500" w:lineRule="exact"/>
              <w:rPr>
                <w:rFonts w:ascii="宋体" w:hAnsi="宋体"/>
                <w:sz w:val="21"/>
                <w:szCs w:val="21"/>
              </w:rPr>
            </w:pPr>
            <w:r>
              <w:rPr>
                <w:rFonts w:ascii="宋体" w:hAnsi="宋体"/>
                <w:sz w:val="21"/>
                <w:szCs w:val="21"/>
              </w:rPr>
              <w:t>对装置的过载能力要求如下：</w:t>
            </w:r>
          </w:p>
          <w:p>
            <w:pPr>
              <w:spacing w:line="500" w:lineRule="exact"/>
              <w:rPr>
                <w:rFonts w:ascii="宋体" w:hAnsi="宋体"/>
                <w:sz w:val="21"/>
                <w:szCs w:val="21"/>
              </w:rPr>
            </w:pPr>
            <w:r>
              <w:rPr>
                <w:rFonts w:ascii="宋体" w:hAnsi="宋体"/>
                <w:sz w:val="21"/>
                <w:szCs w:val="21"/>
              </w:rPr>
              <w:t>保护级电流回路：2倍额定电流，长期连续工作；</w:t>
            </w:r>
          </w:p>
          <w:p>
            <w:pPr>
              <w:spacing w:line="500" w:lineRule="exact"/>
              <w:rPr>
                <w:rFonts w:ascii="宋体" w:hAnsi="宋体"/>
                <w:sz w:val="21"/>
                <w:szCs w:val="21"/>
              </w:rPr>
            </w:pPr>
            <w:r>
              <w:rPr>
                <w:rFonts w:ascii="宋体" w:hAnsi="宋体"/>
                <w:sz w:val="21"/>
                <w:szCs w:val="21"/>
              </w:rPr>
              <w:t>10倍额定电流，允许10 s；</w:t>
            </w:r>
          </w:p>
          <w:p>
            <w:pPr>
              <w:spacing w:line="500" w:lineRule="exact"/>
              <w:rPr>
                <w:rFonts w:ascii="宋体" w:hAnsi="宋体"/>
                <w:sz w:val="21"/>
                <w:szCs w:val="21"/>
              </w:rPr>
            </w:pPr>
            <w:r>
              <w:rPr>
                <w:rFonts w:ascii="宋体" w:hAnsi="宋体"/>
                <w:sz w:val="21"/>
                <w:szCs w:val="21"/>
              </w:rPr>
              <w:t>40倍额定电流，允许1 s。</w:t>
            </w:r>
          </w:p>
          <w:p>
            <w:pPr>
              <w:spacing w:line="500" w:lineRule="exact"/>
              <w:rPr>
                <w:rFonts w:ascii="宋体" w:hAnsi="宋体"/>
                <w:sz w:val="21"/>
                <w:szCs w:val="21"/>
              </w:rPr>
            </w:pPr>
            <w:r>
              <w:rPr>
                <w:rFonts w:ascii="宋体" w:hAnsi="宋体"/>
                <w:sz w:val="21"/>
                <w:szCs w:val="21"/>
              </w:rPr>
              <w:t>测量级电流回路：1.2倍额定电流，连续工作；</w:t>
            </w:r>
          </w:p>
          <w:p>
            <w:pPr>
              <w:spacing w:line="500" w:lineRule="exact"/>
              <w:rPr>
                <w:rFonts w:ascii="宋体" w:hAnsi="宋体"/>
                <w:sz w:val="21"/>
                <w:szCs w:val="21"/>
              </w:rPr>
            </w:pPr>
            <w:r>
              <w:rPr>
                <w:rFonts w:ascii="宋体" w:hAnsi="宋体"/>
                <w:sz w:val="21"/>
                <w:szCs w:val="21"/>
              </w:rPr>
              <w:t>20倍额定电流，允许1s。</w:t>
            </w:r>
          </w:p>
          <w:p>
            <w:pPr>
              <w:spacing w:line="500" w:lineRule="exact"/>
              <w:rPr>
                <w:rFonts w:ascii="宋体" w:hAnsi="宋体"/>
                <w:sz w:val="21"/>
                <w:szCs w:val="21"/>
              </w:rPr>
            </w:pPr>
            <w:r>
              <w:rPr>
                <w:rFonts w:ascii="宋体" w:hAnsi="宋体"/>
                <w:sz w:val="21"/>
                <w:szCs w:val="21"/>
              </w:rPr>
              <w:t>电压回路：1.4倍额定电压，长期连续工作；</w:t>
            </w:r>
          </w:p>
          <w:p>
            <w:pPr>
              <w:spacing w:line="500" w:lineRule="exact"/>
              <w:rPr>
                <w:rFonts w:ascii="宋体" w:hAnsi="宋体"/>
                <w:sz w:val="21"/>
                <w:szCs w:val="21"/>
              </w:rPr>
            </w:pPr>
            <w:r>
              <w:rPr>
                <w:rFonts w:ascii="宋体" w:hAnsi="宋体"/>
                <w:sz w:val="21"/>
                <w:szCs w:val="21"/>
              </w:rPr>
              <w:t xml:space="preserve">         </w:t>
            </w:r>
            <w:r>
              <w:rPr>
                <w:rFonts w:ascii="宋体" w:hAnsi="宋体"/>
                <w:sz w:val="21"/>
                <w:szCs w:val="21"/>
              </w:rPr>
              <w:tab/>
            </w:r>
            <w:r>
              <w:rPr>
                <w:rFonts w:ascii="宋体" w:hAnsi="宋体"/>
                <w:sz w:val="21"/>
                <w:szCs w:val="21"/>
              </w:rPr>
              <w:t xml:space="preserve">   2倍额定电压，允许10 s。</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522" w:type="dxa"/>
            <w:vAlign w:val="top"/>
          </w:tcPr>
          <w:p>
            <w:pPr>
              <w:spacing w:line="500" w:lineRule="exact"/>
              <w:rPr>
                <w:rFonts w:ascii="宋体" w:hAnsi="宋体"/>
                <w:sz w:val="21"/>
                <w:szCs w:val="21"/>
              </w:rPr>
            </w:pPr>
            <w:r>
              <w:rPr>
                <w:rFonts w:ascii="宋体" w:hAnsi="宋体"/>
                <w:sz w:val="21"/>
                <w:szCs w:val="21"/>
              </w:rPr>
              <w:t>5模拟量输出</w:t>
            </w:r>
          </w:p>
          <w:p>
            <w:pPr>
              <w:spacing w:line="500" w:lineRule="exact"/>
              <w:rPr>
                <w:rFonts w:ascii="宋体" w:hAnsi="宋体"/>
                <w:sz w:val="21"/>
                <w:szCs w:val="21"/>
              </w:rPr>
            </w:pPr>
            <w:r>
              <w:rPr>
                <w:rFonts w:ascii="宋体" w:hAnsi="宋体"/>
                <w:sz w:val="21"/>
                <w:szCs w:val="21"/>
              </w:rPr>
              <w:t>5.1模拟输出的信号范围及负载阻抗的额定值要求如下：</w:t>
            </w:r>
          </w:p>
          <w:p>
            <w:pPr>
              <w:spacing w:line="500" w:lineRule="exact"/>
              <w:rPr>
                <w:rFonts w:ascii="宋体" w:hAnsi="宋体"/>
                <w:sz w:val="21"/>
                <w:szCs w:val="21"/>
              </w:rPr>
            </w:pPr>
            <w:r>
              <w:rPr>
                <w:rFonts w:ascii="宋体" w:hAnsi="宋体"/>
                <w:sz w:val="21"/>
                <w:szCs w:val="21"/>
              </w:rPr>
              <w:t>信号范围：</w:t>
            </w:r>
            <w:r>
              <w:rPr>
                <w:rFonts w:hint="eastAsia" w:ascii="宋体" w:hAnsi="宋体"/>
                <w:sz w:val="21"/>
                <w:szCs w:val="21"/>
              </w:rPr>
              <w:t xml:space="preserve">DC </w:t>
            </w:r>
            <w:r>
              <w:rPr>
                <w:rFonts w:ascii="宋体" w:hAnsi="宋体"/>
                <w:sz w:val="21"/>
                <w:szCs w:val="21"/>
              </w:rPr>
              <w:t>4mA～20mA。</w:t>
            </w:r>
          </w:p>
          <w:p>
            <w:pPr>
              <w:spacing w:line="500" w:lineRule="exact"/>
              <w:rPr>
                <w:rFonts w:ascii="宋体" w:hAnsi="宋体"/>
                <w:sz w:val="21"/>
                <w:szCs w:val="21"/>
              </w:rPr>
            </w:pPr>
            <w:r>
              <w:rPr>
                <w:rFonts w:ascii="宋体" w:hAnsi="宋体"/>
                <w:sz w:val="21"/>
                <w:szCs w:val="21"/>
              </w:rPr>
              <w:t>负载阻抗限值：≤600Ω。</w:t>
            </w:r>
          </w:p>
          <w:p>
            <w:pPr>
              <w:spacing w:line="500" w:lineRule="exact"/>
              <w:rPr>
                <w:rFonts w:ascii="宋体" w:hAnsi="宋体"/>
                <w:sz w:val="21"/>
                <w:szCs w:val="21"/>
              </w:rPr>
            </w:pPr>
            <w:r>
              <w:rPr>
                <w:rFonts w:ascii="宋体" w:hAnsi="宋体"/>
                <w:sz w:val="21"/>
                <w:szCs w:val="21"/>
              </w:rPr>
              <w:t>波纹大小应符合GB/T 13850规定。</w:t>
            </w:r>
          </w:p>
          <w:p>
            <w:pPr>
              <w:spacing w:line="500" w:lineRule="exact"/>
              <w:rPr>
                <w:rFonts w:ascii="宋体" w:hAnsi="宋体"/>
                <w:sz w:val="21"/>
                <w:szCs w:val="21"/>
              </w:rPr>
            </w:pPr>
            <w:r>
              <w:rPr>
                <w:rFonts w:ascii="宋体" w:hAnsi="宋体"/>
                <w:sz w:val="21"/>
                <w:szCs w:val="21"/>
              </w:rPr>
              <w:t>5.2电流模拟输出回路应能承受直至开路时的任何过载。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522" w:type="dxa"/>
            <w:vAlign w:val="top"/>
          </w:tcPr>
          <w:p>
            <w:pPr>
              <w:spacing w:line="500" w:lineRule="exact"/>
              <w:rPr>
                <w:rFonts w:ascii="宋体" w:hAnsi="宋体"/>
                <w:sz w:val="21"/>
                <w:szCs w:val="21"/>
              </w:rPr>
            </w:pPr>
            <w:r>
              <w:rPr>
                <w:rFonts w:ascii="宋体" w:hAnsi="宋体"/>
                <w:sz w:val="21"/>
                <w:szCs w:val="21"/>
              </w:rPr>
              <w:t>6功率消耗</w:t>
            </w:r>
          </w:p>
          <w:p>
            <w:pPr>
              <w:spacing w:line="500" w:lineRule="exact"/>
              <w:rPr>
                <w:rFonts w:ascii="宋体" w:hAnsi="宋体"/>
                <w:sz w:val="21"/>
                <w:szCs w:val="21"/>
              </w:rPr>
            </w:pPr>
            <w:r>
              <w:rPr>
                <w:rFonts w:ascii="宋体" w:hAnsi="宋体"/>
                <w:sz w:val="21"/>
                <w:szCs w:val="21"/>
              </w:rPr>
              <w:t>装置的功率消耗应符合下列要求：</w:t>
            </w:r>
          </w:p>
          <w:p>
            <w:pPr>
              <w:spacing w:line="500" w:lineRule="exact"/>
              <w:rPr>
                <w:rFonts w:ascii="宋体" w:hAnsi="宋体"/>
                <w:sz w:val="21"/>
                <w:szCs w:val="21"/>
              </w:rPr>
            </w:pPr>
            <w:r>
              <w:rPr>
                <w:rFonts w:ascii="宋体" w:hAnsi="宋体"/>
                <w:sz w:val="21"/>
                <w:szCs w:val="21"/>
              </w:rPr>
              <w:t>交流电流回路：当额定电流为5 A时，每相不大于1 VA；</w:t>
            </w:r>
          </w:p>
          <w:p>
            <w:pPr>
              <w:spacing w:line="500" w:lineRule="exact"/>
              <w:rPr>
                <w:rFonts w:ascii="宋体" w:hAnsi="宋体"/>
                <w:sz w:val="21"/>
                <w:szCs w:val="21"/>
              </w:rPr>
            </w:pPr>
            <w:r>
              <w:rPr>
                <w:rFonts w:ascii="宋体" w:hAnsi="宋体"/>
                <w:sz w:val="21"/>
                <w:szCs w:val="21"/>
              </w:rPr>
              <w:t>当额定电流为1 A时，每相不大于0.5 VA。</w:t>
            </w:r>
          </w:p>
          <w:p>
            <w:pPr>
              <w:spacing w:line="500" w:lineRule="exact"/>
              <w:rPr>
                <w:rFonts w:ascii="宋体" w:hAnsi="宋体"/>
                <w:sz w:val="21"/>
                <w:szCs w:val="21"/>
              </w:rPr>
            </w:pPr>
            <w:r>
              <w:rPr>
                <w:rFonts w:ascii="宋体" w:hAnsi="宋体"/>
                <w:sz w:val="21"/>
                <w:szCs w:val="21"/>
              </w:rPr>
              <w:t>交流电压回路：当额定电压时，每相不大于1 VA。</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522" w:type="dxa"/>
            <w:vAlign w:val="top"/>
          </w:tcPr>
          <w:p>
            <w:pPr>
              <w:spacing w:line="500" w:lineRule="exact"/>
              <w:rPr>
                <w:rFonts w:ascii="宋体" w:hAnsi="宋体"/>
                <w:sz w:val="21"/>
                <w:szCs w:val="21"/>
              </w:rPr>
            </w:pPr>
            <w:r>
              <w:rPr>
                <w:rFonts w:ascii="宋体" w:hAnsi="宋体"/>
                <w:sz w:val="21"/>
                <w:szCs w:val="21"/>
              </w:rPr>
              <w:t>7响应时间</w:t>
            </w:r>
          </w:p>
          <w:p>
            <w:pPr>
              <w:spacing w:line="500" w:lineRule="exact"/>
              <w:rPr>
                <w:rFonts w:ascii="宋体" w:hAnsi="宋体"/>
                <w:sz w:val="21"/>
                <w:szCs w:val="21"/>
              </w:rPr>
            </w:pPr>
            <w:r>
              <w:rPr>
                <w:rFonts w:ascii="宋体" w:hAnsi="宋体"/>
                <w:sz w:val="21"/>
                <w:szCs w:val="21"/>
              </w:rPr>
              <w:t>装置功率变送响应时间&lt;40ms。如实反应发电机机端真实功率，不能出现人为修改和干预真实功率变化的情况，不能在突增或者突减功率时，出现人为保持不变的情况，必须在各种工况下都能如实反应功率的变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522" w:type="dxa"/>
            <w:vAlign w:val="top"/>
          </w:tcPr>
          <w:p>
            <w:pPr>
              <w:spacing w:line="500" w:lineRule="exact"/>
              <w:rPr>
                <w:rFonts w:ascii="宋体" w:hAnsi="宋体"/>
                <w:sz w:val="21"/>
                <w:szCs w:val="21"/>
              </w:rPr>
            </w:pPr>
            <w:r>
              <w:rPr>
                <w:rFonts w:ascii="宋体" w:hAnsi="宋体"/>
                <w:sz w:val="21"/>
                <w:szCs w:val="21"/>
              </w:rPr>
              <w:t>8切换时间</w:t>
            </w:r>
          </w:p>
          <w:p>
            <w:pPr>
              <w:spacing w:line="500" w:lineRule="exact"/>
              <w:rPr>
                <w:rFonts w:ascii="宋体" w:hAnsi="宋体"/>
                <w:sz w:val="21"/>
                <w:szCs w:val="21"/>
              </w:rPr>
            </w:pPr>
            <w:r>
              <w:rPr>
                <w:rFonts w:ascii="宋体" w:hAnsi="宋体"/>
                <w:sz w:val="21"/>
                <w:szCs w:val="21"/>
              </w:rPr>
              <w:t>当电力系统发生短路故障或扰动时，功率计算从测量级CT切换至保护级CT的切换时间&lt;20ms。</w:t>
            </w:r>
          </w:p>
        </w:tc>
      </w:tr>
    </w:tbl>
    <w:p>
      <w:pPr>
        <w:snapToGrid w:val="0"/>
        <w:spacing w:before="157" w:beforeLines="50"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投标人需在投标文件中提供各保护装置输入/输出接口用途表及保护装置功能块的使用一览表。</w:t>
      </w:r>
    </w:p>
    <w:p>
      <w:pPr>
        <w:spacing w:before="0" w:beforeLines="0" w:after="0" w:afterLines="0" w:line="360" w:lineRule="auto"/>
        <w:rPr>
          <w:rFonts w:hint="eastAsia" w:ascii="宋体" w:hAnsi="宋体" w:cs="宋体"/>
          <w:color w:val="auto"/>
          <w:sz w:val="32"/>
          <w:szCs w:val="32"/>
        </w:rPr>
      </w:pPr>
      <w:r>
        <w:rPr>
          <w:rFonts w:hint="eastAsia" w:ascii="宋体" w:hAnsi="宋体" w:cs="宋体"/>
          <w:color w:val="auto"/>
        </w:rPr>
        <w:br w:type="page"/>
      </w:r>
      <w:bookmarkStart w:id="49" w:name="_Toc515785169"/>
      <w:bookmarkStart w:id="50" w:name="_Toc513014506"/>
      <w:bookmarkStart w:id="51" w:name="_Toc526944930"/>
      <w:bookmarkStart w:id="52" w:name="_Toc501817567"/>
      <w:bookmarkStart w:id="53" w:name="_Toc343695398"/>
      <w:r>
        <w:rPr>
          <w:rFonts w:hint="eastAsia" w:ascii="宋体" w:hAnsi="宋体" w:cs="宋体"/>
          <w:b/>
          <w:bCs/>
          <w:color w:val="auto"/>
          <w:sz w:val="30"/>
          <w:szCs w:val="30"/>
        </w:rPr>
        <w:t>附件2 供货范围</w:t>
      </w:r>
      <w:bookmarkEnd w:id="49"/>
      <w:bookmarkEnd w:id="50"/>
      <w:bookmarkEnd w:id="51"/>
      <w:bookmarkEnd w:id="52"/>
      <w:bookmarkEnd w:id="53"/>
    </w:p>
    <w:p>
      <w:pPr>
        <w:pStyle w:val="24"/>
        <w:numPr>
          <w:ilvl w:val="0"/>
          <w:numId w:val="0"/>
        </w:numPr>
        <w:snapToGrid/>
        <w:spacing w:before="0" w:beforeLines="0" w:after="0" w:afterLines="0" w:line="360" w:lineRule="auto"/>
        <w:rPr>
          <w:rFonts w:hint="eastAsia" w:ascii="宋体" w:hAnsi="宋体" w:eastAsia="宋体" w:cs="宋体"/>
          <w:b/>
          <w:bCs/>
          <w:color w:val="auto"/>
          <w:sz w:val="28"/>
          <w:szCs w:val="28"/>
        </w:rPr>
      </w:pPr>
      <w:bookmarkStart w:id="54" w:name="_Toc515785170"/>
      <w:bookmarkStart w:id="55" w:name="_Toc513014507"/>
      <w:r>
        <w:rPr>
          <w:rFonts w:hint="eastAsia" w:ascii="宋体" w:hAnsi="宋体" w:eastAsia="宋体" w:cs="宋体"/>
          <w:b/>
          <w:bCs/>
          <w:color w:val="auto"/>
          <w:sz w:val="28"/>
          <w:szCs w:val="28"/>
        </w:rPr>
        <w:t>1 一般要求</w:t>
      </w:r>
      <w:bookmarkEnd w:id="54"/>
      <w:bookmarkEnd w:id="55"/>
    </w:p>
    <w:p>
      <w:pPr>
        <w:snapToGrid/>
        <w:spacing w:line="360" w:lineRule="auto"/>
        <w:ind w:left="0" w:leftChars="0" w:firstLine="0" w:firstLineChars="0"/>
        <w:rPr>
          <w:rFonts w:hint="eastAsia" w:ascii="宋体" w:hAnsi="宋体" w:cs="宋体"/>
          <w:color w:val="auto"/>
          <w:sz w:val="21"/>
          <w:szCs w:val="21"/>
        </w:rPr>
      </w:pPr>
      <w:r>
        <w:rPr>
          <w:rFonts w:hint="eastAsia" w:ascii="宋体" w:hAnsi="宋体" w:cs="宋体"/>
          <w:color w:val="auto"/>
          <w:sz w:val="21"/>
          <w:szCs w:val="21"/>
        </w:rPr>
        <w:t>1.1 本附件规定了合同设备的供货范围，投标人应保证提供的装置设备及附件为全新的、先进的、成熟的、完整的和安全可靠的，且设备的技术经济性能符合本卷的要求。</w:t>
      </w:r>
    </w:p>
    <w:p>
      <w:pPr>
        <w:snapToGrid/>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1.2 投标人应提供详细供货清单，清单中依此说明型号、数量、产地、生产厂家等内容。对于属于整套设备运行和施工所必需的部件，即使本规范书列出和/或数目不足，投标人仍须在执行的同时补足。</w:t>
      </w:r>
    </w:p>
    <w:p>
      <w:pPr>
        <w:snapToGrid/>
        <w:spacing w:line="360" w:lineRule="auto"/>
        <w:ind w:left="0" w:hanging="525" w:hangingChars="250"/>
        <w:rPr>
          <w:rFonts w:hint="eastAsia" w:ascii="宋体" w:hAnsi="宋体" w:cs="宋体"/>
          <w:color w:val="auto"/>
          <w:sz w:val="21"/>
          <w:szCs w:val="21"/>
        </w:rPr>
      </w:pPr>
      <w:r>
        <w:rPr>
          <w:rFonts w:hint="eastAsia" w:ascii="宋体" w:hAnsi="宋体" w:cs="宋体"/>
          <w:color w:val="auto"/>
          <w:sz w:val="21"/>
          <w:szCs w:val="21"/>
        </w:rPr>
        <w:t>1.3 投标人应提供所有安装和调试所需专用工具和消耗材料等，并提供详细供货清单。</w:t>
      </w:r>
    </w:p>
    <w:p>
      <w:pPr>
        <w:snapToGrid/>
        <w:spacing w:line="360" w:lineRule="auto"/>
        <w:ind w:left="0" w:hanging="525" w:hangingChars="250"/>
        <w:rPr>
          <w:rFonts w:hint="eastAsia" w:ascii="宋体" w:hAnsi="宋体" w:cs="宋体"/>
          <w:color w:val="auto"/>
          <w:sz w:val="21"/>
          <w:szCs w:val="21"/>
        </w:rPr>
      </w:pPr>
      <w:r>
        <w:rPr>
          <w:rFonts w:hint="eastAsia" w:ascii="宋体" w:hAnsi="宋体" w:cs="宋体"/>
          <w:color w:val="auto"/>
          <w:sz w:val="21"/>
          <w:szCs w:val="21"/>
        </w:rPr>
        <w:t>1.4 投标人应提供随机备品备件，并在投标书中给出具体清单。</w:t>
      </w:r>
    </w:p>
    <w:p>
      <w:pPr>
        <w:snapToGrid/>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1.5 提供所供设备中的主要部件件清单及其它需要的清单。任何进口设备在交货时均应提供原产地证明、进口报关等文件。</w:t>
      </w:r>
    </w:p>
    <w:p>
      <w:pPr>
        <w:spacing w:line="360" w:lineRule="auto"/>
        <w:rPr>
          <w:rFonts w:hint="eastAsia" w:ascii="宋体" w:hAnsi="宋体" w:cs="宋体"/>
          <w:color w:val="auto"/>
        </w:rPr>
      </w:pPr>
      <w:r>
        <w:rPr>
          <w:rFonts w:hint="eastAsia" w:ascii="宋体" w:hAnsi="宋体" w:cs="宋体"/>
          <w:color w:val="auto"/>
          <w:sz w:val="21"/>
          <w:szCs w:val="21"/>
        </w:rPr>
        <w:t>1.6 对于本规范书及图纸要求的设备、元器件，附件的数量、参数及功能必须满足要求，未列出的部分或数量不足、参数及功能不能满足要求的，投标人必须无条件免费提供或更换。</w:t>
      </w:r>
    </w:p>
    <w:p>
      <w:pPr>
        <w:pStyle w:val="24"/>
        <w:numPr>
          <w:ilvl w:val="0"/>
          <w:numId w:val="0"/>
        </w:numPr>
        <w:snapToGrid/>
        <w:spacing w:before="0" w:beforeLines="0" w:after="0" w:afterLines="0" w:line="360" w:lineRule="auto"/>
        <w:rPr>
          <w:rFonts w:hint="eastAsia" w:ascii="宋体" w:hAnsi="宋体" w:eastAsia="宋体" w:cs="宋体"/>
          <w:b/>
          <w:bCs/>
          <w:color w:val="auto"/>
          <w:sz w:val="28"/>
          <w:szCs w:val="28"/>
        </w:rPr>
      </w:pPr>
      <w:bookmarkStart w:id="56" w:name="_Toc515785171"/>
      <w:r>
        <w:rPr>
          <w:rFonts w:hint="eastAsia" w:ascii="宋体" w:hAnsi="宋体" w:eastAsia="宋体" w:cs="宋体"/>
          <w:b/>
          <w:bCs/>
          <w:color w:val="auto"/>
          <w:sz w:val="28"/>
          <w:szCs w:val="28"/>
        </w:rPr>
        <w:t>2 供货范围</w:t>
      </w:r>
      <w:bookmarkEnd w:id="56"/>
    </w:p>
    <w:p>
      <w:pPr>
        <w:snapToGrid/>
        <w:spacing w:line="360" w:lineRule="auto"/>
        <w:ind w:left="0" w:leftChars="0" w:firstLine="420" w:firstLineChars="200"/>
        <w:rPr>
          <w:rFonts w:hint="eastAsia" w:ascii="宋体" w:hAnsi="宋体" w:cs="宋体"/>
          <w:color w:val="auto"/>
          <w:sz w:val="21"/>
          <w:szCs w:val="21"/>
        </w:rPr>
      </w:pPr>
      <w:r>
        <w:rPr>
          <w:rFonts w:hint="eastAsia" w:ascii="宋体" w:hAnsi="宋体" w:cs="宋体"/>
          <w:color w:val="auto"/>
          <w:sz w:val="21"/>
          <w:szCs w:val="21"/>
        </w:rPr>
        <w:t>投标人应确保供货范围完整，以能满足招标人安装、运行要求为原则。在技术规范中涉及的供货要求也作为本供货范围的补充，若在安装、调试、运行中发现缺项（属投标人供货范围）由投标人补充。</w:t>
      </w:r>
    </w:p>
    <w:p>
      <w:pPr>
        <w:snapToGrid/>
        <w:spacing w:line="360" w:lineRule="auto"/>
        <w:rPr>
          <w:rFonts w:hint="eastAsia" w:ascii="宋体" w:hAnsi="宋体" w:cs="宋体"/>
          <w:b/>
          <w:color w:val="auto"/>
          <w:sz w:val="24"/>
          <w:szCs w:val="24"/>
        </w:rPr>
      </w:pPr>
      <w:r>
        <w:rPr>
          <w:rFonts w:hint="eastAsia" w:ascii="宋体" w:hAnsi="宋体" w:cs="宋体"/>
          <w:b/>
          <w:color w:val="auto"/>
          <w:sz w:val="24"/>
          <w:szCs w:val="24"/>
        </w:rPr>
        <w:t>2.1 设备范围</w:t>
      </w:r>
    </w:p>
    <w:p>
      <w:pPr>
        <w:snapToGrid/>
        <w:spacing w:line="360" w:lineRule="auto"/>
        <w:ind w:left="0" w:leftChars="0" w:firstLine="420" w:firstLineChars="200"/>
        <w:rPr>
          <w:rFonts w:hint="eastAsia" w:ascii="宋体" w:hAnsi="宋体" w:cs="宋体"/>
          <w:color w:val="auto"/>
          <w:sz w:val="21"/>
          <w:szCs w:val="21"/>
        </w:rPr>
      </w:pPr>
      <w:r>
        <w:rPr>
          <w:rFonts w:hint="eastAsia" w:ascii="宋体" w:hAnsi="宋体" w:cs="宋体"/>
          <w:color w:val="auto"/>
          <w:sz w:val="21"/>
          <w:szCs w:val="21"/>
        </w:rPr>
        <w:t>本工程所需的保护装置数量见供货范围专业表单，投标人应列出详细清单：（不限于此）</w:t>
      </w:r>
    </w:p>
    <w:p>
      <w:pPr>
        <w:spacing w:line="360" w:lineRule="auto"/>
        <w:rPr>
          <w:rFonts w:hint="eastAsia" w:ascii="宋体" w:hAnsi="宋体" w:cs="宋体"/>
          <w:b/>
          <w:color w:val="auto"/>
        </w:rPr>
      </w:pPr>
      <w:bookmarkStart w:id="57" w:name="_Toc173689303"/>
      <w:r>
        <w:rPr>
          <w:rFonts w:hint="eastAsia" w:ascii="宋体" w:hAnsi="宋体" w:cs="宋体"/>
          <w:b/>
          <w:color w:val="auto"/>
        </w:rPr>
        <w:t>2.2 备品备件</w:t>
      </w:r>
      <w:bookmarkEnd w:id="57"/>
    </w:p>
    <w:p>
      <w:pPr>
        <w:snapToGrid/>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投标人应向招标人提供安装、调试、运行和维护所需的最低限度备品备件，按供货范围专业表单要求提供详细的备品备件清单（注明零部件的名称、型号或规格、生产厂家等）。</w:t>
      </w:r>
    </w:p>
    <w:p>
      <w:pPr>
        <w:spacing w:line="360" w:lineRule="auto"/>
        <w:rPr>
          <w:rFonts w:hint="eastAsia" w:ascii="宋体" w:hAnsi="宋体" w:cs="宋体"/>
          <w:b/>
          <w:color w:val="auto"/>
        </w:rPr>
      </w:pPr>
      <w:bookmarkStart w:id="58" w:name="_Toc173689304"/>
      <w:r>
        <w:rPr>
          <w:rFonts w:hint="eastAsia" w:ascii="宋体" w:hAnsi="宋体" w:cs="宋体"/>
          <w:b/>
          <w:color w:val="auto"/>
        </w:rPr>
        <w:t>2.3</w:t>
      </w:r>
      <w:r>
        <w:rPr>
          <w:rFonts w:hint="eastAsia" w:ascii="宋体" w:hAnsi="宋体" w:cs="宋体"/>
          <w:b/>
          <w:color w:val="auto"/>
          <w:lang w:val="en-US" w:eastAsia="zh-CN"/>
        </w:rPr>
        <w:t xml:space="preserve"> </w:t>
      </w:r>
      <w:r>
        <w:rPr>
          <w:rFonts w:hint="eastAsia" w:ascii="宋体" w:hAnsi="宋体" w:cs="宋体"/>
          <w:b/>
          <w:color w:val="auto"/>
        </w:rPr>
        <w:t>专用工具</w:t>
      </w:r>
      <w:bookmarkEnd w:id="58"/>
    </w:p>
    <w:p>
      <w:pPr>
        <w:snapToGrid/>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投标人应向招标人提供必要的专用工具，按供货范围专业表单要求提供详细的专用工具清单（注明零部件的名称、型号或规格、生产厂家等）。</w:t>
      </w:r>
    </w:p>
    <w:p>
      <w:pPr>
        <w:spacing w:line="360" w:lineRule="auto"/>
        <w:rPr>
          <w:rFonts w:hint="eastAsia" w:ascii="宋体" w:hAnsi="宋体" w:cs="宋体"/>
          <w:b/>
          <w:color w:val="auto"/>
          <w:lang w:val="en-US" w:eastAsia="zh-CN"/>
        </w:rPr>
      </w:pPr>
      <w:r>
        <w:rPr>
          <w:rFonts w:hint="eastAsia" w:ascii="宋体" w:hAnsi="宋体" w:cs="宋体"/>
          <w:b/>
          <w:color w:val="auto"/>
        </w:rPr>
        <w:t>2.4</w:t>
      </w:r>
      <w:r>
        <w:rPr>
          <w:rFonts w:hint="eastAsia" w:ascii="宋体" w:hAnsi="宋体" w:cs="宋体"/>
          <w:b/>
          <w:color w:val="auto"/>
          <w:lang w:val="en-US" w:eastAsia="zh-CN"/>
        </w:rPr>
        <w:t xml:space="preserve"> </w:t>
      </w:r>
      <w:r>
        <w:rPr>
          <w:rFonts w:hint="eastAsia" w:ascii="宋体" w:hAnsi="宋体" w:cs="宋体"/>
          <w:b/>
          <w:color w:val="auto"/>
        </w:rPr>
        <w:t>进口材料及进口件</w:t>
      </w:r>
      <w:r>
        <w:rPr>
          <w:rFonts w:hint="eastAsia" w:ascii="宋体" w:hAnsi="宋体" w:cs="宋体"/>
          <w:b/>
          <w:color w:val="auto"/>
          <w:lang w:val="en-US" w:eastAsia="zh-CN"/>
        </w:rPr>
        <w:t>清单</w:t>
      </w:r>
    </w:p>
    <w:p>
      <w:pPr>
        <w:pStyle w:val="10"/>
        <w:adjustRightInd/>
        <w:spacing w:line="360" w:lineRule="auto"/>
        <w:ind w:firstLine="0" w:firstLineChars="0"/>
        <w:jc w:val="both"/>
        <w:textAlignment w:val="auto"/>
        <w:rPr>
          <w:rFonts w:hint="eastAsia" w:ascii="宋体" w:hAnsi="宋体" w:eastAsia="宋体" w:cs="宋体"/>
          <w:color w:val="auto"/>
          <w:kern w:val="2"/>
          <w:sz w:val="21"/>
          <w:szCs w:val="21"/>
        </w:rPr>
      </w:pPr>
      <w:r>
        <w:rPr>
          <w:rFonts w:hint="eastAsia" w:hAnsi="宋体" w:cs="宋体"/>
          <w:color w:val="auto"/>
          <w:kern w:val="2"/>
          <w:sz w:val="21"/>
          <w:szCs w:val="21"/>
          <w:lang w:val="en-US" w:eastAsia="zh-CN"/>
        </w:rPr>
        <w:t>2.4.1</w:t>
      </w:r>
      <w:r>
        <w:rPr>
          <w:rFonts w:hint="eastAsia" w:ascii="宋体" w:hAnsi="宋体" w:cs="宋体"/>
          <w:color w:val="auto"/>
          <w:kern w:val="2"/>
          <w:sz w:val="21"/>
          <w:szCs w:val="21"/>
        </w:rPr>
        <w:t>投标人根据投标部件情况列出进口材料及进口件清单</w:t>
      </w:r>
    </w:p>
    <w:p>
      <w:pPr>
        <w:pStyle w:val="10"/>
        <w:spacing w:after="0" w:afterLines="0" w:line="360" w:lineRule="auto"/>
        <w:ind w:firstLine="420" w:firstLineChars="200"/>
        <w:jc w:val="both"/>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发变组保护装置供货范围专用表</w:t>
      </w:r>
    </w:p>
    <w:tbl>
      <w:tblPr>
        <w:tblStyle w:val="18"/>
        <w:tblW w:w="838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13"/>
        <w:gridCol w:w="1910"/>
        <w:gridCol w:w="2440"/>
        <w:gridCol w:w="600"/>
        <w:gridCol w:w="641"/>
        <w:gridCol w:w="708"/>
        <w:gridCol w:w="643"/>
        <w:gridCol w:w="82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序号</w:t>
            </w:r>
          </w:p>
        </w:tc>
        <w:tc>
          <w:tcPr>
            <w:tcW w:w="191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名称</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规格和型号</w:t>
            </w:r>
          </w:p>
        </w:tc>
        <w:tc>
          <w:tcPr>
            <w:tcW w:w="60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数量</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产地</w:t>
            </w: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生产厂家</w:t>
            </w: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7769" w:type="dxa"/>
            <w:gridSpan w:val="7"/>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发变组保护设备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3"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1</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ascii="宋体" w:hAnsi="宋体"/>
                <w:sz w:val="20"/>
                <w:szCs w:val="20"/>
              </w:rPr>
              <w:t>发电机、主变压器、高压厂变</w:t>
            </w:r>
            <w:r>
              <w:rPr>
                <w:rFonts w:hint="eastAsia" w:ascii="宋体" w:hAnsi="宋体"/>
                <w:sz w:val="20"/>
                <w:szCs w:val="20"/>
              </w:rPr>
              <w:t>、</w:t>
            </w:r>
            <w:r>
              <w:rPr>
                <w:rFonts w:ascii="宋体" w:hAnsi="宋体"/>
                <w:sz w:val="20"/>
                <w:szCs w:val="20"/>
              </w:rPr>
              <w:t>励磁变保护装置（A屏）</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cs="宋体"/>
                <w:sz w:val="20"/>
                <w:szCs w:val="20"/>
                <w:lang w:val="en-US" w:eastAsia="zh-CN"/>
              </w:rPr>
              <w:t>含一套发变组电气量保护装置、</w:t>
            </w:r>
            <w:r>
              <w:rPr>
                <w:rFonts w:ascii="宋体" w:hAnsi="宋体"/>
                <w:sz w:val="20"/>
                <w:szCs w:val="20"/>
              </w:rPr>
              <w:t>出口继电器</w:t>
            </w:r>
            <w:r>
              <w:rPr>
                <w:rFonts w:hint="eastAsia" w:ascii="宋体" w:hAnsi="宋体"/>
                <w:sz w:val="20"/>
                <w:szCs w:val="20"/>
              </w:rPr>
              <w:t>、打印机</w:t>
            </w:r>
            <w:r>
              <w:rPr>
                <w:rFonts w:hint="eastAsia" w:ascii="宋体" w:hAnsi="宋体" w:cs="宋体"/>
                <w:sz w:val="20"/>
                <w:szCs w:val="20"/>
                <w:lang w:val="en-US" w:eastAsia="zh-CN"/>
              </w:rPr>
              <w:t>及接线安装屏柜</w:t>
            </w:r>
          </w:p>
        </w:tc>
        <w:tc>
          <w:tcPr>
            <w:tcW w:w="600" w:type="dxa"/>
            <w:tcBorders>
              <w:tl2br w:val="nil"/>
              <w:tr2bl w:val="nil"/>
            </w:tcBorders>
            <w:shd w:val="clear" w:color="auto" w:fill="auto"/>
            <w:vAlign w:val="center"/>
          </w:tcPr>
          <w:p>
            <w:pPr>
              <w:pStyle w:val="25"/>
              <w:snapToGrid w:val="0"/>
              <w:spacing w:before="100" w:beforeAutospacing="1" w:line="240" w:lineRule="auto"/>
              <w:textAlignment w:val="auto"/>
              <w:rPr>
                <w:rFonts w:hint="eastAsia" w:hAnsi="宋体" w:eastAsia="宋体" w:cs="宋体"/>
                <w:color w:val="auto"/>
                <w:kern w:val="2"/>
                <w:sz w:val="20"/>
                <w:szCs w:val="20"/>
                <w:lang w:eastAsia="zh-CN"/>
              </w:rPr>
            </w:pPr>
            <w:r>
              <w:rPr>
                <w:rFonts w:hint="eastAsia" w:hAnsi="宋体" w:cs="宋体"/>
                <w:color w:val="auto"/>
                <w:kern w:val="2"/>
                <w:sz w:val="20"/>
                <w:szCs w:val="20"/>
                <w:lang w:val="en-US" w:eastAsia="zh-CN"/>
              </w:rPr>
              <w:t>屏</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8"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sz w:val="20"/>
                <w:szCs w:val="20"/>
              </w:rPr>
              <w:t>非电量</w:t>
            </w:r>
            <w:r>
              <w:rPr>
                <w:rFonts w:ascii="宋体" w:hAnsi="宋体"/>
                <w:sz w:val="20"/>
                <w:szCs w:val="20"/>
              </w:rPr>
              <w:t>保护装置（</w:t>
            </w:r>
            <w:r>
              <w:rPr>
                <w:rFonts w:hint="eastAsia" w:ascii="宋体" w:hAnsi="宋体"/>
                <w:sz w:val="20"/>
                <w:szCs w:val="20"/>
              </w:rPr>
              <w:t>C</w:t>
            </w:r>
            <w:r>
              <w:rPr>
                <w:rFonts w:ascii="宋体" w:hAnsi="宋体"/>
                <w:sz w:val="20"/>
                <w:szCs w:val="20"/>
              </w:rPr>
              <w:t>屏）</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cs="宋体"/>
                <w:sz w:val="20"/>
                <w:szCs w:val="20"/>
                <w:lang w:val="en-US" w:eastAsia="zh-CN"/>
              </w:rPr>
              <w:t>含一套发变组非电量保护装置、</w:t>
            </w:r>
            <w:r>
              <w:rPr>
                <w:rFonts w:ascii="宋体" w:hAnsi="宋体"/>
                <w:sz w:val="20"/>
                <w:szCs w:val="20"/>
              </w:rPr>
              <w:t>出口继电器</w:t>
            </w:r>
            <w:r>
              <w:rPr>
                <w:rFonts w:hint="eastAsia" w:ascii="宋体" w:hAnsi="宋体"/>
                <w:sz w:val="20"/>
                <w:szCs w:val="20"/>
              </w:rPr>
              <w:t>、打印机</w:t>
            </w:r>
            <w:r>
              <w:rPr>
                <w:rFonts w:hint="eastAsia" w:ascii="宋体" w:hAnsi="宋体" w:cs="宋体"/>
                <w:sz w:val="20"/>
                <w:szCs w:val="20"/>
                <w:lang w:val="en-US" w:eastAsia="zh-CN"/>
              </w:rPr>
              <w:t>及接线安装屏柜</w:t>
            </w:r>
          </w:p>
        </w:tc>
        <w:tc>
          <w:tcPr>
            <w:tcW w:w="600" w:type="dxa"/>
            <w:tcBorders>
              <w:tl2br w:val="nil"/>
              <w:tr2bl w:val="nil"/>
            </w:tcBorders>
            <w:shd w:val="clear" w:color="auto" w:fill="auto"/>
            <w:vAlign w:val="center"/>
          </w:tcPr>
          <w:p>
            <w:pPr>
              <w:pStyle w:val="25"/>
              <w:snapToGrid w:val="0"/>
              <w:spacing w:before="100" w:beforeAutospacing="1" w:line="240" w:lineRule="auto"/>
              <w:textAlignment w:val="auto"/>
              <w:rPr>
                <w:rFonts w:ascii="宋体" w:hAnsi="宋体" w:cs="宋体"/>
                <w:color w:val="auto"/>
                <w:kern w:val="0"/>
                <w:sz w:val="20"/>
                <w:szCs w:val="20"/>
              </w:rPr>
            </w:pPr>
            <w:r>
              <w:rPr>
                <w:rFonts w:hint="eastAsia" w:hAnsi="宋体" w:cs="宋体"/>
                <w:color w:val="auto"/>
                <w:kern w:val="2"/>
                <w:sz w:val="20"/>
                <w:szCs w:val="20"/>
                <w:lang w:val="en-US" w:eastAsia="zh-CN"/>
              </w:rPr>
              <w:t>屏</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129"/>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86"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ascii="宋体" w:hAnsi="宋体"/>
                <w:sz w:val="20"/>
                <w:szCs w:val="20"/>
              </w:rPr>
              <w:t>机组保护管理机（</w:t>
            </w:r>
            <w:r>
              <w:rPr>
                <w:rFonts w:hint="eastAsia" w:ascii="宋体" w:hAnsi="宋体"/>
                <w:sz w:val="20"/>
                <w:szCs w:val="20"/>
              </w:rPr>
              <w:t>D</w:t>
            </w:r>
            <w:r>
              <w:rPr>
                <w:rFonts w:ascii="宋体" w:hAnsi="宋体"/>
                <w:sz w:val="20"/>
                <w:szCs w:val="20"/>
              </w:rPr>
              <w:t>屏）</w:t>
            </w:r>
          </w:p>
        </w:tc>
        <w:tc>
          <w:tcPr>
            <w:tcW w:w="2440" w:type="dxa"/>
            <w:tcBorders>
              <w:tl2br w:val="nil"/>
              <w:tr2bl w:val="nil"/>
            </w:tcBorders>
            <w:shd w:val="clear" w:color="auto" w:fill="auto"/>
            <w:vAlign w:val="center"/>
          </w:tcPr>
          <w:p>
            <w:pPr>
              <w:adjustRightInd w:val="0"/>
              <w:snapToGrid w:val="0"/>
              <w:spacing w:before="100" w:beforeAutospacing="1"/>
              <w:jc w:val="center"/>
              <w:rPr>
                <w:rFonts w:ascii="宋体" w:hAnsi="宋体" w:cs="宋体"/>
                <w:color w:val="auto"/>
                <w:kern w:val="0"/>
                <w:sz w:val="20"/>
                <w:szCs w:val="20"/>
              </w:rPr>
            </w:pPr>
            <w:r>
              <w:rPr>
                <w:rFonts w:hint="eastAsia" w:ascii="宋体" w:hAnsi="宋体" w:cs="宋体"/>
                <w:sz w:val="20"/>
                <w:szCs w:val="20"/>
                <w:lang w:val="en-US" w:eastAsia="zh-CN"/>
              </w:rPr>
              <w:t>至少包含交换机（</w:t>
            </w:r>
            <w:r>
              <w:rPr>
                <w:rFonts w:hint="eastAsia" w:ascii="宋体" w:hAnsi="宋体"/>
                <w:color w:val="000000"/>
                <w:sz w:val="20"/>
                <w:szCs w:val="20"/>
              </w:rPr>
              <w:t>24电口，8光口， 100/1000M</w:t>
            </w:r>
            <w:r>
              <w:rPr>
                <w:rFonts w:hint="eastAsia" w:ascii="宋体" w:hAnsi="宋体" w:cs="宋体"/>
                <w:sz w:val="20"/>
                <w:szCs w:val="20"/>
                <w:lang w:val="en-US" w:eastAsia="zh-CN"/>
              </w:rPr>
              <w:t>）2台；</w:t>
            </w:r>
            <w:r>
              <w:rPr>
                <w:rFonts w:hint="eastAsia" w:ascii="宋体" w:hAnsi="宋体"/>
                <w:color w:val="000000"/>
                <w:sz w:val="20"/>
                <w:szCs w:val="20"/>
                <w:lang w:val="en-US" w:eastAsia="zh-CN"/>
              </w:rPr>
              <w:t>国产安全</w:t>
            </w:r>
            <w:r>
              <w:rPr>
                <w:rFonts w:hint="eastAsia" w:ascii="宋体" w:hAnsi="宋体"/>
                <w:color w:val="000000"/>
                <w:sz w:val="20"/>
                <w:szCs w:val="20"/>
              </w:rPr>
              <w:t>操作系统</w:t>
            </w:r>
            <w:r>
              <w:rPr>
                <w:rFonts w:hint="eastAsia" w:ascii="宋体" w:hAnsi="宋体"/>
                <w:color w:val="000000"/>
                <w:sz w:val="20"/>
                <w:szCs w:val="20"/>
                <w:lang w:eastAsia="zh-CN"/>
              </w:rPr>
              <w:t>；</w:t>
            </w:r>
            <w:r>
              <w:rPr>
                <w:rFonts w:hint="eastAsia" w:ascii="宋体" w:hAnsi="宋体"/>
                <w:color w:val="000000"/>
                <w:sz w:val="20"/>
                <w:szCs w:val="20"/>
              </w:rPr>
              <w:t>19寸液晶LCD</w:t>
            </w:r>
            <w:r>
              <w:rPr>
                <w:rFonts w:hint="eastAsia" w:ascii="宋体" w:hAnsi="宋体"/>
                <w:color w:val="000000"/>
                <w:sz w:val="20"/>
                <w:szCs w:val="20"/>
                <w:lang w:eastAsia="zh-CN"/>
              </w:rPr>
              <w:t>；</w:t>
            </w:r>
            <w:r>
              <w:rPr>
                <w:rFonts w:hint="eastAsia" w:ascii="宋体" w:hAnsi="宋体"/>
                <w:color w:val="000000"/>
                <w:sz w:val="20"/>
                <w:szCs w:val="20"/>
              </w:rPr>
              <w:t>鼠标、键盘</w:t>
            </w:r>
            <w:r>
              <w:rPr>
                <w:rFonts w:hint="eastAsia" w:ascii="宋体" w:hAnsi="宋体"/>
                <w:color w:val="000000"/>
                <w:sz w:val="20"/>
                <w:szCs w:val="20"/>
                <w:lang w:eastAsia="zh-CN"/>
              </w:rPr>
              <w:t>，</w:t>
            </w:r>
            <w:r>
              <w:rPr>
                <w:rFonts w:hint="eastAsia" w:ascii="宋体" w:hAnsi="宋体"/>
                <w:color w:val="000000"/>
                <w:sz w:val="20"/>
                <w:szCs w:val="20"/>
              </w:rPr>
              <w:t>USB</w:t>
            </w:r>
            <w:r>
              <w:rPr>
                <w:rFonts w:hint="eastAsia" w:ascii="宋体" w:hAnsi="宋体"/>
                <w:color w:val="000000"/>
                <w:sz w:val="20"/>
                <w:szCs w:val="20"/>
                <w:lang w:val="en-US" w:eastAsia="zh-CN"/>
              </w:rPr>
              <w:t>激光打印机</w:t>
            </w:r>
          </w:p>
        </w:tc>
        <w:tc>
          <w:tcPr>
            <w:tcW w:w="600" w:type="dxa"/>
            <w:tcBorders>
              <w:tl2br w:val="nil"/>
              <w:tr2bl w:val="nil"/>
            </w:tcBorders>
            <w:shd w:val="clear" w:color="auto" w:fill="auto"/>
            <w:vAlign w:val="center"/>
          </w:tcPr>
          <w:p>
            <w:pPr>
              <w:pStyle w:val="25"/>
              <w:snapToGrid w:val="0"/>
              <w:spacing w:before="100" w:beforeAutospacing="1" w:line="240" w:lineRule="auto"/>
              <w:textAlignment w:val="auto"/>
              <w:rPr>
                <w:rFonts w:ascii="宋体" w:hAnsi="宋体" w:cs="宋体"/>
                <w:color w:val="auto"/>
                <w:kern w:val="0"/>
                <w:sz w:val="20"/>
                <w:szCs w:val="20"/>
              </w:rPr>
            </w:pPr>
            <w:r>
              <w:rPr>
                <w:rFonts w:hint="eastAsia" w:hAnsi="宋体" w:cs="宋体"/>
                <w:color w:val="auto"/>
                <w:kern w:val="2"/>
                <w:sz w:val="20"/>
                <w:szCs w:val="20"/>
                <w:lang w:val="en-US" w:eastAsia="zh-CN"/>
              </w:rPr>
              <w:t>屏</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cs="宋体"/>
                <w:color w:val="auto"/>
                <w:kern w:val="0"/>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129"/>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5</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default" w:ascii="宋体" w:hAnsi="宋体" w:cs="宋体"/>
                <w:color w:val="auto"/>
                <w:sz w:val="20"/>
                <w:szCs w:val="20"/>
                <w:lang w:val="en-US" w:eastAsia="zh-CN"/>
              </w:rPr>
            </w:pPr>
            <w:r>
              <w:rPr>
                <w:rFonts w:hint="eastAsia" w:ascii="宋体" w:hAnsi="宋体" w:cs="宋体"/>
                <w:color w:val="auto"/>
                <w:sz w:val="20"/>
                <w:szCs w:val="20"/>
                <w:lang w:val="en-US" w:eastAsia="zh-CN"/>
              </w:rPr>
              <w:t>光交换机</w:t>
            </w:r>
          </w:p>
        </w:tc>
        <w:tc>
          <w:tcPr>
            <w:tcW w:w="2440" w:type="dxa"/>
            <w:tcBorders>
              <w:tl2br w:val="nil"/>
              <w:tr2bl w:val="nil"/>
            </w:tcBorders>
            <w:shd w:val="clear" w:color="auto" w:fill="auto"/>
            <w:vAlign w:val="center"/>
          </w:tcPr>
          <w:p>
            <w:pPr>
              <w:adjustRightInd w:val="0"/>
              <w:snapToGrid w:val="0"/>
              <w:spacing w:before="100" w:beforeAutospacing="1"/>
              <w:jc w:val="center"/>
              <w:rPr>
                <w:rFonts w:ascii="宋体" w:hAnsi="宋体" w:cs="宋体"/>
                <w:color w:val="auto"/>
                <w:kern w:val="0"/>
                <w:sz w:val="20"/>
                <w:szCs w:val="20"/>
              </w:rPr>
            </w:pPr>
          </w:p>
        </w:tc>
        <w:tc>
          <w:tcPr>
            <w:tcW w:w="600" w:type="dxa"/>
            <w:tcBorders>
              <w:tl2br w:val="nil"/>
              <w:tr2bl w:val="nil"/>
            </w:tcBorders>
            <w:shd w:val="clear" w:color="auto" w:fill="auto"/>
            <w:vAlign w:val="center"/>
          </w:tcPr>
          <w:p>
            <w:pPr>
              <w:pStyle w:val="25"/>
              <w:snapToGrid w:val="0"/>
              <w:spacing w:before="100" w:beforeAutospacing="1" w:line="240" w:lineRule="auto"/>
              <w:textAlignment w:val="auto"/>
              <w:rPr>
                <w:rFonts w:hint="default" w:hAnsi="宋体" w:cs="宋体"/>
                <w:color w:val="auto"/>
                <w:kern w:val="2"/>
                <w:sz w:val="20"/>
                <w:szCs w:val="20"/>
                <w:lang w:val="en-US" w:eastAsia="zh-CN"/>
              </w:rPr>
            </w:pPr>
            <w:r>
              <w:rPr>
                <w:rFonts w:hint="eastAsia" w:hAnsi="宋体" w:cs="宋体"/>
                <w:color w:val="auto"/>
                <w:kern w:val="2"/>
                <w:sz w:val="20"/>
                <w:szCs w:val="20"/>
                <w:lang w:val="en-US" w:eastAsia="zh-CN"/>
              </w:rPr>
              <w:t>台</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4</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129"/>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73"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6</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eastAsia="zh-CN"/>
              </w:rPr>
            </w:pPr>
            <w:r>
              <w:rPr>
                <w:rFonts w:hint="eastAsia" w:ascii="宋体" w:hAnsi="宋体" w:cs="宋体"/>
                <w:color w:val="auto"/>
                <w:sz w:val="20"/>
                <w:szCs w:val="20"/>
              </w:rPr>
              <w:t>配套光纤及附件</w:t>
            </w:r>
            <w:r>
              <w:rPr>
                <w:rFonts w:hint="eastAsia" w:ascii="宋体" w:hAnsi="宋体" w:cs="宋体"/>
                <w:color w:val="auto"/>
                <w:sz w:val="20"/>
                <w:szCs w:val="20"/>
                <w:lang w:eastAsia="zh-CN"/>
              </w:rPr>
              <w:t>（</w:t>
            </w:r>
            <w:r>
              <w:rPr>
                <w:rFonts w:hint="eastAsia" w:ascii="宋体" w:hAnsi="宋体" w:cs="宋体"/>
                <w:color w:val="auto"/>
                <w:sz w:val="20"/>
                <w:szCs w:val="20"/>
              </w:rPr>
              <w:t>包括光缆熔接工作及其通道测试</w:t>
            </w:r>
            <w:r>
              <w:rPr>
                <w:rFonts w:hint="eastAsia" w:ascii="宋体" w:hAnsi="宋体" w:cs="宋体"/>
                <w:color w:val="auto"/>
                <w:sz w:val="20"/>
                <w:szCs w:val="20"/>
                <w:lang w:eastAsia="zh-CN"/>
              </w:rPr>
              <w:t>）</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20"/>
                <w:szCs w:val="20"/>
                <w:lang w:val="en-US" w:eastAsia="zh-CN"/>
              </w:rPr>
            </w:pPr>
            <w:r>
              <w:rPr>
                <w:rFonts w:hint="eastAsia" w:ascii="宋体" w:hAnsi="宋体" w:eastAsia="宋体" w:cs="宋体"/>
                <w:color w:val="auto"/>
                <w:kern w:val="0"/>
                <w:sz w:val="20"/>
                <w:szCs w:val="20"/>
                <w:lang w:val="en-US" w:eastAsia="zh-CN"/>
              </w:rPr>
              <w:t>多模光纤，预估1000米/套</w:t>
            </w:r>
          </w:p>
        </w:tc>
        <w:tc>
          <w:tcPr>
            <w:tcW w:w="600"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20"/>
                <w:szCs w:val="20"/>
              </w:rPr>
            </w:pPr>
            <w:r>
              <w:rPr>
                <w:rFonts w:hint="eastAsia" w:ascii="宋体" w:hAnsi="宋体" w:cs="宋体"/>
                <w:color w:val="auto"/>
                <w:kern w:val="0"/>
                <w:sz w:val="20"/>
                <w:szCs w:val="20"/>
              </w:rPr>
              <w:t>套</w:t>
            </w:r>
          </w:p>
        </w:tc>
        <w:tc>
          <w:tcPr>
            <w:tcW w:w="641" w:type="dxa"/>
            <w:tcBorders>
              <w:tl2br w:val="nil"/>
              <w:tr2bl w:val="nil"/>
            </w:tcBorders>
            <w:shd w:val="clear" w:color="auto" w:fill="auto"/>
            <w:vAlign w:val="center"/>
          </w:tcPr>
          <w:p>
            <w:pPr>
              <w:adjustRightInd w:val="0"/>
              <w:snapToGrid w:val="0"/>
              <w:spacing w:before="100" w:beforeAutospacing="1" w:line="240" w:lineRule="auto"/>
              <w:ind w:right="0" w:rightChars="0"/>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129" w:rightChars="0"/>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要求足量提供</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43"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7</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柜间连接用的专用电缆、出口继电器等必须的附件</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20"/>
                <w:szCs w:val="20"/>
                <w:lang w:val="en-US" w:eastAsia="zh-CN"/>
              </w:rPr>
            </w:pPr>
          </w:p>
        </w:tc>
        <w:tc>
          <w:tcPr>
            <w:tcW w:w="600"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rPr>
              <w:t>套</w:t>
            </w:r>
          </w:p>
        </w:tc>
        <w:tc>
          <w:tcPr>
            <w:tcW w:w="641" w:type="dxa"/>
            <w:tcBorders>
              <w:tl2br w:val="nil"/>
              <w:tr2bl w:val="nil"/>
            </w:tcBorders>
            <w:shd w:val="clear" w:color="auto" w:fill="auto"/>
            <w:vAlign w:val="center"/>
          </w:tcPr>
          <w:p>
            <w:pPr>
              <w:adjustRightInd w:val="0"/>
              <w:snapToGrid w:val="0"/>
              <w:spacing w:before="100" w:beforeAutospacing="1" w:line="240" w:lineRule="auto"/>
              <w:ind w:right="0" w:rightChars="0"/>
              <w:jc w:val="center"/>
              <w:rPr>
                <w:rFonts w:hint="default" w:ascii="宋体" w:hAnsi="宋体" w:cs="宋体"/>
                <w:color w:val="auto"/>
                <w:kern w:val="0"/>
                <w:sz w:val="20"/>
                <w:szCs w:val="20"/>
                <w:lang w:val="en-US"/>
              </w:rPr>
            </w:pPr>
            <w:r>
              <w:rPr>
                <w:rFonts w:hint="eastAsia" w:ascii="宋体" w:hAnsi="宋体" w:cs="宋体"/>
                <w:color w:val="auto"/>
                <w:kern w:val="0"/>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129" w:rightChars="0"/>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28"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8</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eastAsia="zh-CN"/>
              </w:rPr>
            </w:pPr>
            <w:r>
              <w:rPr>
                <w:rFonts w:hint="eastAsia" w:ascii="宋体" w:hAnsi="宋体" w:cs="宋体"/>
                <w:color w:val="auto"/>
                <w:sz w:val="20"/>
                <w:szCs w:val="20"/>
                <w:lang w:eastAsia="zh-CN"/>
              </w:rPr>
              <w:t>智能变送器</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u w:val="none"/>
                <w:lang w:val="en-US" w:eastAsia="zh-CN"/>
              </w:rPr>
              <w:t>一套包括发电机功率变送器3台，快速变送器2台</w:t>
            </w:r>
          </w:p>
        </w:tc>
        <w:tc>
          <w:tcPr>
            <w:tcW w:w="600"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20"/>
                <w:szCs w:val="20"/>
                <w:lang w:eastAsia="zh-CN"/>
              </w:rPr>
            </w:pPr>
            <w:r>
              <w:rPr>
                <w:rFonts w:hint="eastAsia" w:ascii="宋体" w:hAnsi="宋体" w:cs="宋体"/>
                <w:color w:val="auto"/>
                <w:kern w:val="0"/>
                <w:sz w:val="20"/>
                <w:szCs w:val="20"/>
                <w:lang w:eastAsia="zh-CN"/>
              </w:rPr>
              <w:t>套</w:t>
            </w:r>
          </w:p>
        </w:tc>
        <w:tc>
          <w:tcPr>
            <w:tcW w:w="641" w:type="dxa"/>
            <w:tcBorders>
              <w:tl2br w:val="nil"/>
              <w:tr2bl w:val="nil"/>
            </w:tcBorders>
            <w:shd w:val="clear" w:color="auto" w:fill="auto"/>
            <w:vAlign w:val="center"/>
          </w:tcPr>
          <w:p>
            <w:pPr>
              <w:adjustRightInd w:val="0"/>
              <w:snapToGrid w:val="0"/>
              <w:spacing w:before="100" w:beforeAutospacing="1" w:line="240" w:lineRule="auto"/>
              <w:ind w:right="-141" w:rightChars="0"/>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129" w:rightChars="0"/>
              <w:jc w:val="center"/>
              <w:rPr>
                <w:rFonts w:hint="default" w:ascii="宋体" w:hAnsi="宋体" w:cs="宋体"/>
                <w:color w:val="auto"/>
                <w:kern w:val="0"/>
                <w:sz w:val="20"/>
                <w:szCs w:val="20"/>
                <w:lang w:val="en-US"/>
              </w:rPr>
            </w:pPr>
            <w:r>
              <w:rPr>
                <w:rFonts w:hint="eastAsia" w:ascii="宋体" w:hAnsi="宋体" w:cs="宋体"/>
                <w:color w:val="auto"/>
                <w:kern w:val="0"/>
                <w:sz w:val="18"/>
                <w:szCs w:val="18"/>
                <w:lang w:eastAsia="zh-CN"/>
              </w:rPr>
              <w:t>推荐品牌：利乾、南瑞继保、</w:t>
            </w:r>
            <w:r>
              <w:rPr>
                <w:rFonts w:hint="eastAsia" w:ascii="宋体" w:hAnsi="宋体" w:cs="宋体"/>
                <w:color w:val="auto"/>
                <w:kern w:val="0"/>
                <w:sz w:val="18"/>
                <w:szCs w:val="18"/>
                <w:lang w:val="en-US" w:eastAsia="zh-CN"/>
              </w:rPr>
              <w:t>涵普或相当于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1.9</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default" w:ascii="宋体" w:hAnsi="宋体" w:cs="宋体"/>
                <w:color w:val="auto"/>
                <w:sz w:val="20"/>
                <w:szCs w:val="20"/>
                <w:lang w:val="en-US" w:eastAsia="zh-CN"/>
              </w:rPr>
            </w:pPr>
            <w:r>
              <w:rPr>
                <w:rFonts w:hint="eastAsia" w:ascii="宋体" w:hAnsi="宋体" w:cs="宋体"/>
                <w:color w:val="auto"/>
                <w:sz w:val="20"/>
                <w:szCs w:val="20"/>
                <w:lang w:val="en-US" w:eastAsia="zh-CN"/>
              </w:rPr>
              <w:t>励磁变CT</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5P20，40VA，5000/5</w:t>
            </w:r>
          </w:p>
        </w:tc>
        <w:tc>
          <w:tcPr>
            <w:tcW w:w="600"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20"/>
                <w:szCs w:val="20"/>
                <w:lang w:eastAsia="zh-CN"/>
              </w:rPr>
            </w:pPr>
            <w:r>
              <w:rPr>
                <w:rFonts w:hint="eastAsia" w:ascii="宋体" w:hAnsi="宋体" w:cs="宋体"/>
                <w:color w:val="auto"/>
                <w:kern w:val="0"/>
                <w:sz w:val="20"/>
                <w:szCs w:val="20"/>
                <w:lang w:eastAsia="zh-CN"/>
              </w:rPr>
              <w:t>套</w:t>
            </w:r>
          </w:p>
        </w:tc>
        <w:tc>
          <w:tcPr>
            <w:tcW w:w="641" w:type="dxa"/>
            <w:tcBorders>
              <w:tl2br w:val="nil"/>
              <w:tr2bl w:val="nil"/>
            </w:tcBorders>
            <w:shd w:val="clear" w:color="auto" w:fill="auto"/>
            <w:vAlign w:val="center"/>
          </w:tcPr>
          <w:p>
            <w:pPr>
              <w:adjustRightInd w:val="0"/>
              <w:snapToGrid w:val="0"/>
              <w:spacing w:before="100" w:beforeAutospacing="1" w:line="240" w:lineRule="auto"/>
              <w:ind w:right="-141" w:rightChars="0"/>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4</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129" w:rightChars="0"/>
              <w:jc w:val="center"/>
              <w:rPr>
                <w:rFonts w:hint="default" w:ascii="宋体" w:hAnsi="宋体" w:cs="宋体"/>
                <w:color w:val="auto"/>
                <w:sz w:val="18"/>
                <w:szCs w:val="18"/>
                <w:lang w:val="en-US" w:eastAsia="zh-CN"/>
              </w:rPr>
            </w:pPr>
            <w:r>
              <w:rPr>
                <w:rFonts w:hint="eastAsia" w:ascii="宋体" w:hAnsi="宋体" w:cs="宋体"/>
                <w:color w:val="auto"/>
                <w:sz w:val="18"/>
                <w:szCs w:val="18"/>
                <w:lang w:val="en-US" w:eastAsia="zh-CN"/>
              </w:rPr>
              <w:t>推荐品牌：大连一互、大连二互、或相当于；</w:t>
            </w:r>
            <w:r>
              <w:rPr>
                <w:rFonts w:hint="eastAsia" w:ascii="宋体" w:hAnsi="宋体" w:cs="宋体"/>
                <w:b/>
                <w:bCs/>
                <w:color w:val="auto"/>
                <w:sz w:val="18"/>
                <w:szCs w:val="18"/>
                <w:lang w:val="en-US" w:eastAsia="zh-CN"/>
              </w:rPr>
              <w:t>尺寸须现场测绘</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10</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其他</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00"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20"/>
                <w:szCs w:val="20"/>
              </w:rPr>
            </w:pPr>
          </w:p>
        </w:tc>
        <w:tc>
          <w:tcPr>
            <w:tcW w:w="641" w:type="dxa"/>
            <w:tcBorders>
              <w:tl2br w:val="nil"/>
              <w:tr2bl w:val="nil"/>
            </w:tcBorders>
            <w:shd w:val="clear" w:color="auto" w:fill="auto"/>
            <w:vAlign w:val="center"/>
          </w:tcPr>
          <w:p>
            <w:pPr>
              <w:adjustRightInd w:val="0"/>
              <w:snapToGrid w:val="0"/>
              <w:spacing w:before="100" w:beforeAutospacing="1" w:line="240" w:lineRule="auto"/>
              <w:ind w:right="-141" w:rightChars="0"/>
              <w:jc w:val="center"/>
              <w:rPr>
                <w:rFonts w:hint="default" w:ascii="宋体" w:hAnsi="宋体" w:cs="宋体"/>
                <w:color w:val="auto"/>
                <w:kern w:val="0"/>
                <w:sz w:val="20"/>
                <w:szCs w:val="20"/>
                <w:lang w:val="en-US"/>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p>
            <w:pPr>
              <w:rPr>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129" w:rightChars="0"/>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sz w:val="18"/>
                <w:szCs w:val="18"/>
              </w:rPr>
            </w:pPr>
            <w:r>
              <w:rPr>
                <w:rFonts w:hint="eastAsia" w:ascii="宋体" w:hAnsi="宋体" w:cs="宋体"/>
                <w:color w:val="auto"/>
                <w:kern w:val="0"/>
                <w:sz w:val="18"/>
                <w:szCs w:val="18"/>
              </w:rPr>
              <w:t>2</w:t>
            </w:r>
          </w:p>
        </w:tc>
        <w:tc>
          <w:tcPr>
            <w:tcW w:w="7769" w:type="dxa"/>
            <w:gridSpan w:val="7"/>
            <w:tcBorders>
              <w:tl2br w:val="nil"/>
              <w:tr2bl w:val="nil"/>
            </w:tcBorders>
            <w:shd w:val="clear" w:color="auto" w:fill="auto"/>
            <w:vAlign w:val="center"/>
          </w:tcPr>
          <w:p>
            <w:pPr>
              <w:widowControl/>
              <w:adjustRightInd w:val="0"/>
              <w:snapToGrid w:val="0"/>
              <w:spacing w:before="100" w:beforeAutospacing="1" w:line="240" w:lineRule="auto"/>
              <w:ind w:right="0"/>
              <w:jc w:val="center"/>
              <w:rPr>
                <w:rFonts w:ascii="宋体" w:hAnsi="宋体" w:cs="宋体"/>
                <w:color w:val="auto"/>
                <w:kern w:val="0"/>
                <w:sz w:val="20"/>
                <w:szCs w:val="20"/>
              </w:rPr>
            </w:pPr>
            <w:r>
              <w:rPr>
                <w:rFonts w:hint="eastAsia" w:ascii="宋体" w:hAnsi="宋体" w:cs="宋体"/>
                <w:color w:val="auto"/>
                <w:kern w:val="0"/>
                <w:sz w:val="20"/>
                <w:szCs w:val="20"/>
              </w:rPr>
              <w:t>备品备件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sz w:val="18"/>
                <w:szCs w:val="18"/>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1</w:t>
            </w:r>
          </w:p>
        </w:tc>
        <w:tc>
          <w:tcPr>
            <w:tcW w:w="1910" w:type="dxa"/>
            <w:tcBorders>
              <w:tl2br w:val="nil"/>
              <w:tr2bl w:val="nil"/>
            </w:tcBorders>
            <w:shd w:val="clear" w:color="auto" w:fill="auto"/>
            <w:vAlign w:val="center"/>
          </w:tcPr>
          <w:p>
            <w:pPr>
              <w:pStyle w:val="10"/>
              <w:snapToGrid w:val="0"/>
              <w:spacing w:before="100" w:beforeAutospacing="1" w:line="240" w:lineRule="auto"/>
              <w:jc w:val="center"/>
              <w:textAlignment w:val="auto"/>
              <w:rPr>
                <w:rFonts w:hint="eastAsia" w:hAnsi="宋体" w:cs="宋体"/>
                <w:color w:val="auto"/>
                <w:kern w:val="2"/>
                <w:sz w:val="20"/>
                <w:szCs w:val="20"/>
                <w:lang w:val="en-US" w:eastAsia="zh-CN"/>
              </w:rPr>
            </w:pPr>
            <w:r>
              <w:rPr>
                <w:rFonts w:hint="eastAsia" w:hAnsi="宋体" w:cs="宋体"/>
                <w:color w:val="auto"/>
                <w:sz w:val="20"/>
                <w:szCs w:val="20"/>
                <w:lang w:val="en-US" w:eastAsia="zh-CN"/>
              </w:rPr>
              <w:t>电源卡件</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各种规格</w:t>
            </w: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块</w:t>
            </w:r>
          </w:p>
        </w:tc>
        <w:tc>
          <w:tcPr>
            <w:tcW w:w="641"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eastAsia="zh-CN"/>
              </w:rPr>
            </w:pPr>
            <w:r>
              <w:rPr>
                <w:rFonts w:hint="eastAsia" w:ascii="宋体" w:hAnsi="宋体" w:cs="宋体"/>
                <w:color w:val="auto"/>
                <w:sz w:val="20"/>
                <w:szCs w:val="20"/>
              </w:rPr>
              <w:t>各</w:t>
            </w:r>
            <w:r>
              <w:rPr>
                <w:rFonts w:hint="eastAsia" w:ascii="宋体" w:hAnsi="宋体" w:cs="宋体"/>
                <w:color w:val="auto"/>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left="-90" w:right="-129"/>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sz w:val="18"/>
                <w:szCs w:val="18"/>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2</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交流采样卡件</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各种规格</w:t>
            </w: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块</w:t>
            </w:r>
          </w:p>
        </w:tc>
        <w:tc>
          <w:tcPr>
            <w:tcW w:w="641"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val="en-US" w:eastAsia="zh-CN"/>
              </w:rPr>
            </w:pPr>
            <w:r>
              <w:rPr>
                <w:rFonts w:hint="eastAsia" w:ascii="宋体" w:hAnsi="宋体" w:cs="宋体"/>
                <w:color w:val="auto"/>
                <w:sz w:val="20"/>
                <w:szCs w:val="20"/>
              </w:rPr>
              <w:t>各</w:t>
            </w:r>
            <w:r>
              <w:rPr>
                <w:rFonts w:hint="eastAsia" w:ascii="宋体" w:hAnsi="宋体" w:cs="宋体"/>
                <w:color w:val="auto"/>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left="-90" w:right="-129"/>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3</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eastAsia="宋体" w:cs="宋体"/>
                <w:color w:val="auto"/>
                <w:sz w:val="20"/>
                <w:szCs w:val="20"/>
                <w:lang w:val="en-US" w:eastAsia="zh-CN"/>
              </w:rPr>
              <w:t>CPU卡件</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各种规格</w:t>
            </w: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20"/>
                <w:szCs w:val="20"/>
                <w:lang w:val="en-US" w:eastAsia="zh-CN" w:bidi="ar-SA"/>
              </w:rPr>
            </w:pPr>
            <w:r>
              <w:rPr>
                <w:rFonts w:hint="eastAsia" w:ascii="宋体" w:hAnsi="宋体" w:cs="宋体"/>
                <w:color w:val="auto"/>
                <w:sz w:val="20"/>
                <w:szCs w:val="20"/>
              </w:rPr>
              <w:t>块</w:t>
            </w:r>
          </w:p>
        </w:tc>
        <w:tc>
          <w:tcPr>
            <w:tcW w:w="641"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20"/>
                <w:szCs w:val="20"/>
                <w:lang w:val="en-US" w:eastAsia="zh-CN" w:bidi="ar-SA"/>
              </w:rPr>
            </w:pPr>
            <w:r>
              <w:rPr>
                <w:rFonts w:hint="eastAsia" w:ascii="宋体" w:hAnsi="宋体" w:cs="宋体"/>
                <w:color w:val="auto"/>
                <w:sz w:val="20"/>
                <w:szCs w:val="20"/>
              </w:rPr>
              <w:t>各</w:t>
            </w:r>
            <w:r>
              <w:rPr>
                <w:rFonts w:hint="eastAsia" w:ascii="宋体" w:hAnsi="宋体" w:cs="宋体"/>
                <w:color w:val="auto"/>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left="-90" w:right="-129"/>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4</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val="en-US" w:eastAsia="zh-CN"/>
              </w:rPr>
            </w:pPr>
            <w:r>
              <w:rPr>
                <w:rFonts w:hint="eastAsia" w:ascii="宋体" w:hAnsi="宋体" w:cs="宋体"/>
                <w:color w:val="auto"/>
                <w:sz w:val="20"/>
                <w:szCs w:val="20"/>
                <w:lang w:val="en-US" w:eastAsia="zh-CN"/>
              </w:rPr>
              <w:t>智能变送器</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eastAsia="zh-CN"/>
              </w:rPr>
            </w:pPr>
            <w:r>
              <w:rPr>
                <w:rFonts w:hint="eastAsia" w:ascii="宋体" w:hAnsi="宋体" w:cs="宋体"/>
                <w:color w:val="auto"/>
                <w:sz w:val="20"/>
                <w:szCs w:val="20"/>
                <w:lang w:eastAsia="zh-CN"/>
              </w:rPr>
              <w:t>台</w:t>
            </w:r>
          </w:p>
        </w:tc>
        <w:tc>
          <w:tcPr>
            <w:tcW w:w="641"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val="en-US" w:eastAsia="zh-CN"/>
              </w:rPr>
            </w:pPr>
            <w:r>
              <w:rPr>
                <w:rFonts w:hint="eastAsia" w:ascii="宋体" w:hAnsi="宋体" w:cs="宋体"/>
                <w:color w:val="auto"/>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left="-90" w:right="-129"/>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eastAsia="宋体" w:cs="宋体"/>
                <w:color w:val="auto"/>
                <w:sz w:val="18"/>
                <w:szCs w:val="18"/>
                <w:lang w:val="en-US" w:eastAsia="zh-CN"/>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4</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其它</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p>
          <w:p>
            <w:pPr>
              <w:rPr>
                <w:sz w:val="20"/>
                <w:szCs w:val="20"/>
              </w:rPr>
            </w:pPr>
          </w:p>
        </w:tc>
        <w:tc>
          <w:tcPr>
            <w:tcW w:w="641"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adjustRightInd w:val="0"/>
              <w:snapToGrid w:val="0"/>
              <w:spacing w:before="100" w:beforeAutospacing="1" w:line="240" w:lineRule="auto"/>
              <w:ind w:right="0"/>
              <w:jc w:val="center"/>
              <w:rPr>
                <w:rFonts w:ascii="宋体" w:hAnsi="宋体" w:cs="宋体"/>
                <w:color w:val="auto"/>
                <w:kern w:val="0"/>
                <w:sz w:val="20"/>
                <w:szCs w:val="20"/>
              </w:rPr>
            </w:pPr>
            <w:r>
              <w:rPr>
                <w:rFonts w:hint="eastAsia" w:ascii="宋体" w:hAnsi="宋体" w:cs="宋体"/>
                <w:color w:val="auto"/>
                <w:sz w:val="20"/>
                <w:szCs w:val="20"/>
              </w:rPr>
              <w:t>投标人细化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7769" w:type="dxa"/>
            <w:gridSpan w:val="7"/>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专用软件和工器具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3</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1</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rPr>
              <w:t>调试专用通信连接线</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lang w:val="en-US" w:eastAsia="zh-CN"/>
              </w:rPr>
              <w:t>套</w:t>
            </w:r>
          </w:p>
        </w:tc>
        <w:tc>
          <w:tcPr>
            <w:tcW w:w="641" w:type="dxa"/>
            <w:tcBorders>
              <w:tl2br w:val="nil"/>
              <w:tr2bl w:val="nil"/>
            </w:tcBorders>
            <w:shd w:val="clear" w:color="auto" w:fill="auto"/>
            <w:vAlign w:val="center"/>
          </w:tcPr>
          <w:p>
            <w:pPr>
              <w:pStyle w:val="25"/>
              <w:snapToGrid w:val="0"/>
              <w:spacing w:before="100" w:beforeAutospacing="1" w:line="240" w:lineRule="auto"/>
              <w:textAlignment w:val="auto"/>
              <w:rPr>
                <w:rFonts w:hint="eastAsia" w:hAnsi="宋体" w:eastAsia="宋体" w:cs="宋体"/>
                <w:color w:val="auto"/>
                <w:kern w:val="2"/>
                <w:sz w:val="20"/>
                <w:szCs w:val="20"/>
                <w:lang w:val="en-US" w:eastAsia="zh-CN"/>
              </w:rPr>
            </w:pPr>
            <w:r>
              <w:rPr>
                <w:rFonts w:hint="eastAsia" w:hAnsi="宋体" w:cs="宋体"/>
                <w:color w:val="auto"/>
                <w:kern w:val="2"/>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3</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2</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eastAsia="zh-CN"/>
              </w:rPr>
            </w:pPr>
            <w:r>
              <w:rPr>
                <w:rFonts w:hint="eastAsia" w:ascii="宋体" w:hAnsi="宋体" w:eastAsia="宋体" w:cs="宋体"/>
                <w:color w:val="auto"/>
                <w:sz w:val="20"/>
                <w:szCs w:val="20"/>
              </w:rPr>
              <w:t>调试、整定和维护等可安装的全套软件</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pStyle w:val="25"/>
              <w:snapToGrid w:val="0"/>
              <w:spacing w:before="100" w:beforeAutospacing="1" w:line="240" w:lineRule="auto"/>
              <w:textAlignment w:val="auto"/>
              <w:rPr>
                <w:rFonts w:hint="default" w:hAnsi="宋体" w:eastAsia="宋体" w:cs="宋体"/>
                <w:color w:val="auto"/>
                <w:kern w:val="2"/>
                <w:sz w:val="20"/>
                <w:szCs w:val="20"/>
                <w:lang w:val="en-US" w:eastAsia="zh-CN"/>
              </w:rPr>
            </w:pPr>
            <w:r>
              <w:rPr>
                <w:rFonts w:hint="eastAsia" w:hAnsi="宋体" w:cs="宋体"/>
                <w:color w:val="auto"/>
                <w:kern w:val="2"/>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3</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3</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rPr>
            </w:pPr>
            <w:r>
              <w:rPr>
                <w:rFonts w:hint="eastAsia" w:ascii="宋体" w:hAnsi="宋体" w:eastAsia="宋体" w:cs="宋体"/>
                <w:color w:val="auto"/>
                <w:sz w:val="20"/>
                <w:szCs w:val="20"/>
              </w:rPr>
              <w:t>配套专用工具</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pStyle w:val="25"/>
              <w:snapToGrid w:val="0"/>
              <w:spacing w:before="100" w:beforeAutospacing="1" w:line="240" w:lineRule="auto"/>
              <w:textAlignment w:val="auto"/>
              <w:rPr>
                <w:rFonts w:hint="eastAsia" w:hAnsi="宋体" w:eastAsia="宋体" w:cs="宋体"/>
                <w:color w:val="auto"/>
                <w:kern w:val="2"/>
                <w:sz w:val="20"/>
                <w:szCs w:val="20"/>
                <w:lang w:val="en-US" w:eastAsia="zh-CN"/>
              </w:rPr>
            </w:pPr>
            <w:r>
              <w:rPr>
                <w:rFonts w:hint="eastAsia" w:hAnsi="宋体" w:cs="宋体"/>
                <w:color w:val="auto"/>
                <w:kern w:val="2"/>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val="0"/>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3</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4</w:t>
            </w:r>
          </w:p>
        </w:tc>
        <w:tc>
          <w:tcPr>
            <w:tcW w:w="191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rPr>
            </w:pPr>
            <w:r>
              <w:rPr>
                <w:rFonts w:hint="eastAsia" w:ascii="宋体" w:hAnsi="宋体" w:cs="宋体"/>
                <w:color w:val="auto"/>
                <w:sz w:val="20"/>
                <w:szCs w:val="20"/>
              </w:rPr>
              <w:t>其它</w:t>
            </w:r>
          </w:p>
        </w:tc>
        <w:tc>
          <w:tcPr>
            <w:tcW w:w="244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20"/>
                <w:szCs w:val="20"/>
                <w:lang w:val="en-US" w:eastAsia="zh-CN"/>
              </w:rPr>
            </w:pPr>
            <w:r>
              <w:rPr>
                <w:rFonts w:hint="eastAsia" w:ascii="宋体" w:hAnsi="宋体" w:cs="宋体"/>
                <w:color w:val="auto"/>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val="0"/>
              <w:adjustRightInd w:val="0"/>
              <w:snapToGrid w:val="0"/>
              <w:spacing w:before="0" w:beforeAutospacing="0"/>
              <w:ind w:right="0"/>
              <w:jc w:val="center"/>
              <w:rPr>
                <w:rFonts w:hint="eastAsia" w:ascii="宋体" w:hAnsi="宋体" w:cs="宋体"/>
                <w:color w:val="auto"/>
                <w:kern w:val="2"/>
                <w:sz w:val="20"/>
                <w:szCs w:val="20"/>
              </w:rPr>
            </w:pPr>
            <w:r>
              <w:rPr>
                <w:rFonts w:hint="eastAsia" w:ascii="宋体" w:hAnsi="宋体" w:eastAsia="宋体" w:cs="宋体"/>
                <w:color w:val="auto"/>
                <w:sz w:val="20"/>
                <w:szCs w:val="20"/>
              </w:rPr>
              <w:t>投标人细化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7769" w:type="dxa"/>
            <w:gridSpan w:val="7"/>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cs="宋体"/>
                <w:color w:val="auto"/>
                <w:kern w:val="0"/>
                <w:sz w:val="20"/>
                <w:szCs w:val="20"/>
              </w:rPr>
              <w:t>三年随机备品备件（不计入总价）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4</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1</w:t>
            </w:r>
          </w:p>
        </w:tc>
        <w:tc>
          <w:tcPr>
            <w:tcW w:w="191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投标人填写</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60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7769" w:type="dxa"/>
            <w:gridSpan w:val="7"/>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技术服务费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w:t>
            </w:r>
          </w:p>
        </w:tc>
        <w:tc>
          <w:tcPr>
            <w:tcW w:w="1910" w:type="dxa"/>
            <w:tcBorders>
              <w:tl2br w:val="nil"/>
              <w:tr2bl w:val="nil"/>
            </w:tcBorders>
            <w:shd w:val="clear" w:color="auto" w:fill="auto"/>
            <w:vAlign w:val="center"/>
          </w:tcPr>
          <w:p>
            <w:pPr>
              <w:widowControl/>
              <w:ind w:left="0" w:leftChars="0" w:firstLine="0" w:firstLineChars="0"/>
              <w:jc w:val="both"/>
              <w:rPr>
                <w:rFonts w:hint="eastAsia" w:ascii="宋体" w:hAnsi="宋体" w:eastAsia="宋体" w:cs="宋体"/>
                <w:color w:val="000000"/>
                <w:kern w:val="0"/>
                <w:sz w:val="20"/>
                <w:szCs w:val="20"/>
                <w:lang w:val="en-US" w:eastAsia="zh-CN" w:bidi="ar-SA"/>
              </w:rPr>
            </w:pPr>
            <w:r>
              <w:rPr>
                <w:rFonts w:hint="eastAsia" w:ascii="宋体" w:hAnsi="宋体" w:cs="宋体"/>
                <w:color w:val="000000"/>
                <w:kern w:val="0"/>
                <w:sz w:val="20"/>
                <w:szCs w:val="20"/>
                <w:lang w:val="en-US" w:eastAsia="zh-CN"/>
              </w:rPr>
              <w:t>新设备接入的接口服务</w:t>
            </w:r>
          </w:p>
        </w:tc>
        <w:tc>
          <w:tcPr>
            <w:tcW w:w="2440" w:type="dxa"/>
            <w:tcBorders>
              <w:tl2br w:val="nil"/>
              <w:tr2bl w:val="nil"/>
            </w:tcBorders>
            <w:shd w:val="clear" w:color="auto" w:fill="auto"/>
            <w:vAlign w:val="center"/>
          </w:tcPr>
          <w:p>
            <w:pPr>
              <w:widowControl/>
              <w:ind w:left="0" w:leftChars="0" w:firstLine="0" w:firstLineChars="0"/>
              <w:jc w:val="both"/>
              <w:rPr>
                <w:rFonts w:hint="eastAsia" w:ascii="宋体" w:hAnsi="宋体" w:eastAsia="宋体" w:cs="宋体"/>
                <w:kern w:val="2"/>
                <w:sz w:val="20"/>
                <w:szCs w:val="20"/>
                <w:lang w:val="en-US" w:eastAsia="zh-CN" w:bidi="ar-SA"/>
              </w:rPr>
            </w:pPr>
            <w:r>
              <w:rPr>
                <w:rFonts w:hint="eastAsia" w:ascii="宋体" w:hAnsi="宋体"/>
                <w:color w:val="000000"/>
                <w:sz w:val="20"/>
                <w:szCs w:val="20"/>
                <w:lang w:val="en-US" w:eastAsia="zh-CN"/>
              </w:rPr>
              <w:t>包括</w:t>
            </w:r>
            <w:r>
              <w:rPr>
                <w:rFonts w:hint="eastAsia" w:ascii="宋体" w:hAnsi="宋体"/>
                <w:color w:val="000000"/>
                <w:sz w:val="20"/>
                <w:szCs w:val="20"/>
              </w:rPr>
              <w:t>指导</w:t>
            </w:r>
            <w:r>
              <w:rPr>
                <w:rFonts w:hint="eastAsia" w:ascii="宋体" w:hAnsi="宋体"/>
                <w:color w:val="000000"/>
                <w:sz w:val="20"/>
                <w:szCs w:val="20"/>
                <w:lang w:val="en-US" w:eastAsia="zh-CN"/>
              </w:rPr>
              <w:t>设备</w:t>
            </w:r>
            <w:r>
              <w:rPr>
                <w:rFonts w:hint="eastAsia" w:ascii="宋体" w:hAnsi="宋体"/>
                <w:color w:val="000000"/>
                <w:sz w:val="20"/>
                <w:szCs w:val="20"/>
              </w:rPr>
              <w:t>安装</w:t>
            </w:r>
            <w:r>
              <w:rPr>
                <w:rFonts w:hint="eastAsia" w:ascii="宋体" w:hAnsi="宋体"/>
                <w:color w:val="000000"/>
                <w:sz w:val="20"/>
                <w:szCs w:val="20"/>
                <w:lang w:eastAsia="zh-CN"/>
              </w:rPr>
              <w:t>，发变组保护</w:t>
            </w:r>
            <w:r>
              <w:rPr>
                <w:rFonts w:hint="eastAsia" w:ascii="宋体" w:hAnsi="宋体"/>
                <w:color w:val="000000"/>
                <w:sz w:val="20"/>
                <w:szCs w:val="20"/>
              </w:rPr>
              <w:t>调试</w:t>
            </w:r>
            <w:r>
              <w:rPr>
                <w:rFonts w:hint="eastAsia" w:ascii="宋体" w:hAnsi="宋体"/>
                <w:color w:val="000000"/>
                <w:sz w:val="20"/>
                <w:szCs w:val="20"/>
                <w:lang w:eastAsia="zh-CN"/>
              </w:rPr>
              <w:t>指导</w:t>
            </w:r>
            <w:r>
              <w:rPr>
                <w:rFonts w:hint="eastAsia" w:ascii="宋体" w:hAnsi="宋体"/>
                <w:color w:val="000000"/>
                <w:sz w:val="20"/>
                <w:szCs w:val="20"/>
              </w:rPr>
              <w:t>，并配合DCS、保护信息子站厂家等</w:t>
            </w:r>
            <w:r>
              <w:rPr>
                <w:rFonts w:hint="eastAsia" w:ascii="宋体" w:hAnsi="宋体"/>
                <w:color w:val="000000"/>
                <w:sz w:val="20"/>
                <w:szCs w:val="20"/>
                <w:lang w:eastAsia="zh-CN"/>
              </w:rPr>
              <w:t>做好联调工作。</w:t>
            </w: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20"/>
                <w:szCs w:val="20"/>
                <w:lang w:val="en-US" w:eastAsia="zh-CN" w:bidi="ar-SA"/>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both"/>
              <w:rPr>
                <w:rFonts w:ascii="宋体" w:hAnsi="宋体" w:cs="宋体"/>
                <w:color w:val="auto"/>
                <w:kern w:val="0"/>
                <w:sz w:val="20"/>
                <w:szCs w:val="20"/>
              </w:rPr>
            </w:pPr>
            <w:r>
              <w:rPr>
                <w:rFonts w:hint="eastAsia" w:ascii="宋体" w:hAnsi="宋体"/>
                <w:color w:val="000000"/>
                <w:sz w:val="20"/>
                <w:szCs w:val="20"/>
              </w:rPr>
              <w:t>包括接口调试及联调</w:t>
            </w:r>
            <w:r>
              <w:rPr>
                <w:rFonts w:hint="eastAsia" w:ascii="宋体" w:hAnsi="宋体"/>
                <w:color w:val="000000"/>
                <w:sz w:val="20"/>
                <w:szCs w:val="20"/>
                <w:lang w:eastAsia="zh-CN"/>
              </w:rPr>
              <w:t>（</w:t>
            </w:r>
            <w:r>
              <w:rPr>
                <w:rFonts w:hint="eastAsia" w:ascii="宋体" w:hAnsi="宋体"/>
                <w:color w:val="000000"/>
                <w:sz w:val="20"/>
                <w:szCs w:val="20"/>
                <w:lang w:val="en-US" w:eastAsia="zh-CN"/>
              </w:rPr>
              <w:t>DCS、保信子站等</w:t>
            </w:r>
            <w:r>
              <w:rPr>
                <w:rFonts w:hint="eastAsia" w:ascii="宋体" w:hAnsi="宋体"/>
                <w:color w:val="000000"/>
                <w:sz w:val="20"/>
                <w:szCs w:val="20"/>
                <w:lang w:eastAsia="zh-CN"/>
              </w:rPr>
              <w:t>）</w:t>
            </w:r>
            <w:r>
              <w:rPr>
                <w:rFonts w:hint="eastAsia" w:ascii="宋体" w:hAnsi="宋体"/>
                <w:color w:val="000000"/>
                <w:sz w:val="20"/>
                <w:szCs w:val="20"/>
                <w:lang w:val="en-US" w:eastAsia="zh-CN"/>
              </w:rPr>
              <w:t>需对侧技术服务</w:t>
            </w:r>
            <w:r>
              <w:rPr>
                <w:rFonts w:hint="eastAsia" w:ascii="宋体" w:hAnsi="宋体"/>
                <w:color w:val="000000"/>
                <w:sz w:val="20"/>
                <w:szCs w:val="20"/>
              </w:rPr>
              <w:t>所</w:t>
            </w:r>
            <w:r>
              <w:rPr>
                <w:rFonts w:hint="eastAsia" w:ascii="宋体" w:hAnsi="宋体"/>
                <w:color w:val="000000"/>
                <w:sz w:val="20"/>
                <w:szCs w:val="20"/>
                <w:lang w:val="en-US" w:eastAsia="zh-CN"/>
              </w:rPr>
              <w:t>需的</w:t>
            </w:r>
            <w:r>
              <w:rPr>
                <w:rFonts w:hint="eastAsia" w:ascii="宋体" w:hAnsi="宋体"/>
                <w:color w:val="000000"/>
                <w:sz w:val="20"/>
                <w:szCs w:val="20"/>
              </w:rPr>
              <w:t>费用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5</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w:t>
            </w:r>
          </w:p>
        </w:tc>
        <w:tc>
          <w:tcPr>
            <w:tcW w:w="1910" w:type="dxa"/>
            <w:tcBorders>
              <w:tl2br w:val="nil"/>
              <w:tr2bl w:val="nil"/>
            </w:tcBorders>
            <w:shd w:val="clear" w:color="auto" w:fill="auto"/>
            <w:vAlign w:val="center"/>
          </w:tcPr>
          <w:p>
            <w:pPr>
              <w:widowControl/>
              <w:ind w:left="0" w:leftChars="0" w:firstLine="0" w:firstLineChars="0"/>
              <w:jc w:val="both"/>
              <w:rPr>
                <w:rFonts w:hint="eastAsia" w:ascii="宋体" w:hAnsi="宋体" w:eastAsia="宋体" w:cs="宋体"/>
                <w:kern w:val="2"/>
                <w:sz w:val="20"/>
                <w:szCs w:val="20"/>
                <w:lang w:val="en-US" w:eastAsia="zh-CN" w:bidi="ar-SA"/>
              </w:rPr>
            </w:pPr>
            <w:r>
              <w:rPr>
                <w:rFonts w:hint="eastAsia" w:ascii="宋体" w:hAnsi="宋体" w:cs="宋体"/>
                <w:color w:val="000000"/>
                <w:kern w:val="0"/>
                <w:sz w:val="20"/>
                <w:szCs w:val="20"/>
              </w:rPr>
              <w:t>保护整定计算</w:t>
            </w:r>
          </w:p>
        </w:tc>
        <w:tc>
          <w:tcPr>
            <w:tcW w:w="2440" w:type="dxa"/>
            <w:tcBorders>
              <w:tl2br w:val="nil"/>
              <w:tr2bl w:val="nil"/>
            </w:tcBorders>
            <w:shd w:val="clear" w:color="auto" w:fill="auto"/>
            <w:vAlign w:val="center"/>
          </w:tcPr>
          <w:p>
            <w:pPr>
              <w:widowControl/>
              <w:ind w:left="0" w:leftChars="0" w:firstLine="0" w:firstLineChars="0"/>
              <w:jc w:val="both"/>
              <w:rPr>
                <w:rFonts w:hint="eastAsia" w:ascii="宋体" w:hAnsi="宋体" w:eastAsia="宋体" w:cs="宋体"/>
                <w:kern w:val="2"/>
                <w:sz w:val="20"/>
                <w:szCs w:val="20"/>
                <w:lang w:val="en-US" w:eastAsia="zh-CN" w:bidi="ar-SA"/>
              </w:rPr>
            </w:pPr>
            <w:r>
              <w:rPr>
                <w:rFonts w:hint="eastAsia" w:ascii="宋体" w:hAnsi="宋体" w:cs="宋体"/>
                <w:color w:val="000000"/>
                <w:kern w:val="0"/>
                <w:sz w:val="20"/>
                <w:szCs w:val="20"/>
              </w:rPr>
              <w:t>提供整定计算书和推荐定值，并组织整定计算书评审</w:t>
            </w:r>
            <w:r>
              <w:rPr>
                <w:rFonts w:hint="eastAsia" w:ascii="宋体" w:hAnsi="宋体" w:cs="宋体"/>
                <w:color w:val="000000"/>
                <w:kern w:val="0"/>
                <w:sz w:val="20"/>
                <w:szCs w:val="20"/>
                <w:lang w:eastAsia="zh-CN"/>
              </w:rPr>
              <w:t>（</w:t>
            </w:r>
            <w:r>
              <w:rPr>
                <w:rFonts w:hint="eastAsia" w:ascii="宋体" w:hAnsi="宋体" w:cs="宋体"/>
                <w:color w:val="000000"/>
                <w:kern w:val="0"/>
                <w:sz w:val="20"/>
                <w:szCs w:val="20"/>
                <w:lang w:val="en-US" w:eastAsia="zh-CN"/>
              </w:rPr>
              <w:t>包括标段一中的发变组保护和智能变送器设备，标段二中的发变组保护</w:t>
            </w:r>
            <w:r>
              <w:rPr>
                <w:rFonts w:hint="eastAsia" w:ascii="宋体" w:hAnsi="宋体" w:cs="宋体"/>
                <w:color w:val="000000"/>
                <w:kern w:val="0"/>
                <w:sz w:val="20"/>
                <w:szCs w:val="20"/>
                <w:lang w:eastAsia="zh-CN"/>
              </w:rPr>
              <w:t>）</w:t>
            </w: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20"/>
                <w:szCs w:val="20"/>
                <w:lang w:val="en-US" w:eastAsia="zh-CN" w:bidi="ar-SA"/>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20"/>
                <w:szCs w:val="20"/>
                <w:lang w:val="en-US" w:eastAsia="zh-CN"/>
              </w:rPr>
            </w:pPr>
            <w:r>
              <w:rPr>
                <w:rFonts w:hint="eastAsia" w:ascii="宋体" w:hAnsi="宋体" w:cs="宋体"/>
                <w:color w:val="auto"/>
                <w:kern w:val="0"/>
                <w:sz w:val="20"/>
                <w:szCs w:val="20"/>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20"/>
                <w:szCs w:val="20"/>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6</w:t>
            </w:r>
          </w:p>
        </w:tc>
        <w:tc>
          <w:tcPr>
            <w:tcW w:w="7769" w:type="dxa"/>
            <w:gridSpan w:val="7"/>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eastAsia="宋体" w:cs="宋体"/>
                <w:color w:val="000000"/>
                <w:kern w:val="0"/>
                <w:sz w:val="20"/>
                <w:szCs w:val="20"/>
                <w:lang w:val="en-US" w:eastAsia="zh-CN"/>
              </w:rPr>
              <w:t>配套技术资料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w:t>
            </w:r>
          </w:p>
        </w:tc>
        <w:tc>
          <w:tcPr>
            <w:tcW w:w="191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outlineLvl w:val="9"/>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设备技术说明书</w:t>
            </w:r>
          </w:p>
        </w:tc>
        <w:tc>
          <w:tcPr>
            <w:tcW w:w="2440" w:type="dxa"/>
            <w:tcBorders>
              <w:tl2br w:val="nil"/>
              <w:tr2bl w:val="nil"/>
            </w:tcBorders>
            <w:shd w:val="clear" w:color="auto" w:fill="auto"/>
            <w:vAlign w:val="center"/>
          </w:tcPr>
          <w:p>
            <w:pPr>
              <w:widowControl/>
              <w:ind w:left="0" w:leftChars="0" w:firstLine="0" w:firstLineChars="0"/>
              <w:jc w:val="both"/>
              <w:rPr>
                <w:rFonts w:hint="eastAsia" w:ascii="宋体" w:hAnsi="宋体" w:cs="宋体"/>
                <w:color w:val="000000"/>
                <w:kern w:val="0"/>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10</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20"/>
                <w:szCs w:val="20"/>
                <w:lang w:val="en-US" w:eastAsia="zh-CN"/>
              </w:rPr>
            </w:pPr>
            <w:bookmarkStart w:id="131" w:name="_GoBack"/>
            <w:r>
              <w:rPr>
                <w:rFonts w:hint="eastAsia" w:ascii="宋体" w:hAnsi="宋体" w:cs="宋体"/>
                <w:color w:val="auto"/>
                <w:kern w:val="0"/>
                <w:sz w:val="20"/>
                <w:szCs w:val="20"/>
                <w:lang w:eastAsia="zh-CN"/>
              </w:rPr>
              <w:t>每台机</w:t>
            </w:r>
            <w:r>
              <w:rPr>
                <w:rFonts w:hint="eastAsia" w:ascii="宋体" w:hAnsi="宋体" w:cs="宋体"/>
                <w:color w:val="auto"/>
                <w:kern w:val="0"/>
                <w:sz w:val="20"/>
                <w:szCs w:val="20"/>
                <w:lang w:val="en-US" w:eastAsia="zh-CN"/>
              </w:rPr>
              <w:t>10套</w:t>
            </w:r>
            <w:bookmarkEnd w:id="13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w:t>
            </w:r>
          </w:p>
        </w:tc>
        <w:tc>
          <w:tcPr>
            <w:tcW w:w="191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outlineLvl w:val="9"/>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屏柜原理图</w:t>
            </w:r>
          </w:p>
        </w:tc>
        <w:tc>
          <w:tcPr>
            <w:tcW w:w="2440" w:type="dxa"/>
            <w:tcBorders>
              <w:tl2br w:val="nil"/>
              <w:tr2bl w:val="nil"/>
            </w:tcBorders>
            <w:shd w:val="clear" w:color="auto" w:fill="auto"/>
            <w:vAlign w:val="center"/>
          </w:tcPr>
          <w:p>
            <w:pPr>
              <w:widowControl/>
              <w:ind w:left="0" w:leftChars="0" w:firstLine="0" w:firstLineChars="0"/>
              <w:jc w:val="both"/>
              <w:rPr>
                <w:rFonts w:hint="eastAsia" w:ascii="宋体" w:hAnsi="宋体" w:cs="宋体"/>
                <w:color w:val="000000"/>
                <w:kern w:val="0"/>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10</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cs="宋体"/>
                <w:color w:val="auto"/>
                <w:kern w:val="0"/>
                <w:sz w:val="20"/>
                <w:szCs w:val="20"/>
                <w:lang w:eastAsia="zh-CN"/>
              </w:rPr>
              <w:t>每台机</w:t>
            </w:r>
            <w:r>
              <w:rPr>
                <w:rFonts w:hint="eastAsia" w:ascii="宋体" w:hAnsi="宋体" w:cs="宋体"/>
                <w:color w:val="auto"/>
                <w:kern w:val="0"/>
                <w:sz w:val="20"/>
                <w:szCs w:val="20"/>
                <w:lang w:val="en-US" w:eastAsia="zh-CN"/>
              </w:rPr>
              <w:t>10套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w:t>
            </w:r>
          </w:p>
        </w:tc>
        <w:tc>
          <w:tcPr>
            <w:tcW w:w="191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outlineLvl w:val="9"/>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发变组二次回路图</w:t>
            </w:r>
          </w:p>
        </w:tc>
        <w:tc>
          <w:tcPr>
            <w:tcW w:w="2440" w:type="dxa"/>
            <w:tcBorders>
              <w:tl2br w:val="nil"/>
              <w:tr2bl w:val="nil"/>
            </w:tcBorders>
            <w:shd w:val="clear" w:color="auto" w:fill="auto"/>
            <w:vAlign w:val="center"/>
          </w:tcPr>
          <w:p>
            <w:pPr>
              <w:widowControl/>
              <w:ind w:left="0" w:leftChars="0" w:firstLine="0" w:firstLineChars="0"/>
              <w:jc w:val="both"/>
              <w:rPr>
                <w:rFonts w:hint="eastAsia" w:ascii="宋体" w:hAnsi="宋体" w:cs="宋体"/>
                <w:color w:val="000000"/>
                <w:kern w:val="0"/>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10</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cs="宋体"/>
                <w:color w:val="auto"/>
                <w:kern w:val="0"/>
                <w:sz w:val="20"/>
                <w:szCs w:val="20"/>
                <w:lang w:eastAsia="zh-CN"/>
              </w:rPr>
              <w:t>每台机</w:t>
            </w:r>
            <w:r>
              <w:rPr>
                <w:rFonts w:hint="eastAsia" w:ascii="宋体" w:hAnsi="宋体" w:cs="宋体"/>
                <w:color w:val="auto"/>
                <w:kern w:val="0"/>
                <w:sz w:val="20"/>
                <w:szCs w:val="20"/>
                <w:lang w:val="en-US" w:eastAsia="zh-CN"/>
              </w:rPr>
              <w:t>10套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4</w:t>
            </w:r>
          </w:p>
        </w:tc>
        <w:tc>
          <w:tcPr>
            <w:tcW w:w="191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outlineLvl w:val="9"/>
              <w:rPr>
                <w:rFonts w:hint="eastAsia" w:ascii="宋体" w:hAnsi="宋体" w:eastAsia="宋体" w:cs="宋体"/>
                <w:kern w:val="2"/>
                <w:sz w:val="20"/>
                <w:szCs w:val="20"/>
                <w:lang w:val="en-US" w:eastAsia="zh-CN" w:bidi="ar-SA"/>
              </w:rPr>
            </w:pPr>
            <w:r>
              <w:rPr>
                <w:rFonts w:hint="eastAsia" w:ascii="宋体" w:hAnsi="宋体" w:cs="宋体"/>
                <w:sz w:val="20"/>
                <w:szCs w:val="20"/>
                <w:lang w:val="en-US" w:eastAsia="zh-CN"/>
              </w:rPr>
              <w:t>出厂报告等资料</w:t>
            </w:r>
          </w:p>
        </w:tc>
        <w:tc>
          <w:tcPr>
            <w:tcW w:w="2440" w:type="dxa"/>
            <w:tcBorders>
              <w:tl2br w:val="nil"/>
              <w:tr2bl w:val="nil"/>
            </w:tcBorders>
            <w:shd w:val="clear" w:color="auto" w:fill="auto"/>
            <w:vAlign w:val="center"/>
          </w:tcPr>
          <w:p>
            <w:pPr>
              <w:widowControl/>
              <w:ind w:left="0" w:leftChars="0" w:firstLine="0" w:firstLineChars="0"/>
              <w:jc w:val="both"/>
              <w:rPr>
                <w:rFonts w:hint="eastAsia" w:ascii="宋体" w:hAnsi="宋体" w:cs="宋体"/>
                <w:color w:val="000000"/>
                <w:kern w:val="0"/>
                <w:sz w:val="20"/>
                <w:szCs w:val="20"/>
              </w:rPr>
            </w:pPr>
          </w:p>
        </w:tc>
        <w:tc>
          <w:tcPr>
            <w:tcW w:w="60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20"/>
                <w:szCs w:val="20"/>
              </w:rPr>
            </w:pPr>
            <w:r>
              <w:rPr>
                <w:rFonts w:hint="eastAsia" w:ascii="宋体" w:hAnsi="宋体" w:cs="宋体"/>
                <w:color w:val="auto"/>
                <w:sz w:val="20"/>
                <w:szCs w:val="20"/>
              </w:rPr>
              <w:t>套</w:t>
            </w: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20"/>
                <w:szCs w:val="20"/>
                <w:lang w:val="en-US" w:eastAsia="zh-CN"/>
              </w:rPr>
            </w:pPr>
            <w:r>
              <w:rPr>
                <w:rFonts w:hint="eastAsia" w:ascii="宋体" w:hAnsi="宋体" w:cs="宋体"/>
                <w:color w:val="auto"/>
                <w:kern w:val="0"/>
                <w:sz w:val="20"/>
                <w:szCs w:val="20"/>
                <w:lang w:val="en-US" w:eastAsia="zh-CN"/>
              </w:rPr>
              <w:t>10</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cs="宋体"/>
                <w:color w:val="auto"/>
                <w:kern w:val="0"/>
                <w:sz w:val="20"/>
                <w:szCs w:val="20"/>
                <w:lang w:eastAsia="zh-CN"/>
              </w:rPr>
              <w:t>每台机</w:t>
            </w:r>
            <w:r>
              <w:rPr>
                <w:rFonts w:hint="eastAsia" w:ascii="宋体" w:hAnsi="宋体" w:cs="宋体"/>
                <w:color w:val="auto"/>
                <w:kern w:val="0"/>
                <w:sz w:val="20"/>
                <w:szCs w:val="20"/>
                <w:lang w:val="en-US" w:eastAsia="zh-CN"/>
              </w:rPr>
              <w:t>10套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1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7</w:t>
            </w:r>
          </w:p>
        </w:tc>
        <w:tc>
          <w:tcPr>
            <w:tcW w:w="191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r>
              <w:rPr>
                <w:rFonts w:hint="eastAsia" w:ascii="宋体" w:hAnsi="宋体" w:cs="宋体"/>
                <w:color w:val="auto"/>
                <w:kern w:val="0"/>
                <w:sz w:val="20"/>
                <w:szCs w:val="20"/>
              </w:rPr>
              <w:t>运保费</w:t>
            </w:r>
          </w:p>
        </w:tc>
        <w:tc>
          <w:tcPr>
            <w:tcW w:w="244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0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6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c>
          <w:tcPr>
            <w:tcW w:w="82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20"/>
                <w:szCs w:val="20"/>
              </w:rPr>
            </w:pPr>
          </w:p>
        </w:tc>
      </w:tr>
    </w:tbl>
    <w:p>
      <w:pPr>
        <w:snapToGrid w:val="0"/>
        <w:spacing w:before="157" w:beforeLines="50" w:after="157" w:afterLines="50" w:line="360" w:lineRule="auto"/>
        <w:jc w:val="both"/>
        <w:rPr>
          <w:rFonts w:hint="eastAsia" w:ascii="宋体" w:hAnsi="宋体" w:cs="宋体"/>
          <w:b/>
          <w:bCs/>
          <w:color w:val="auto"/>
          <w:sz w:val="30"/>
          <w:szCs w:val="30"/>
        </w:rPr>
      </w:pPr>
      <w:r>
        <w:rPr>
          <w:rFonts w:hint="eastAsia" w:ascii="宋体" w:hAnsi="宋体" w:cs="宋体"/>
          <w:b w:val="0"/>
          <w:bCs w:val="0"/>
          <w:color w:val="auto"/>
          <w:sz w:val="21"/>
          <w:szCs w:val="21"/>
          <w:lang w:val="en-US" w:eastAsia="zh-CN"/>
        </w:rPr>
        <w:t>2.4.2</w:t>
      </w:r>
      <w:r>
        <w:rPr>
          <w:rFonts w:hint="eastAsia" w:ascii="宋体" w:hAnsi="宋体" w:eastAsia="宋体" w:cs="宋体"/>
          <w:b w:val="0"/>
          <w:bCs w:val="0"/>
          <w:color w:val="auto"/>
          <w:sz w:val="21"/>
          <w:szCs w:val="21"/>
        </w:rPr>
        <w:t>报价人负责所供设备的整定计算，应书面提供符合采购人要求的整定计算书和保护整定单，并组织整定计算书评审工作。所供设备的整定计算工作允许分包，分包单位必须是电力行业认可的具有600MW及以上火电机组整定计算经验的单位。</w:t>
      </w:r>
      <w:r>
        <w:rPr>
          <w:rFonts w:hint="eastAsia" w:ascii="宋体" w:hAnsi="宋体" w:eastAsia="宋体" w:cs="宋体"/>
          <w:b w:val="0"/>
          <w:bCs w:val="0"/>
          <w:color w:val="auto"/>
          <w:sz w:val="21"/>
          <w:szCs w:val="21"/>
        </w:rPr>
        <w:br w:type="page"/>
      </w:r>
      <w:r>
        <w:rPr>
          <w:rFonts w:hint="eastAsia" w:ascii="宋体" w:hAnsi="宋体" w:eastAsia="宋体" w:cs="宋体"/>
          <w:b/>
          <w:bCs/>
          <w:color w:val="auto"/>
          <w:sz w:val="30"/>
          <w:szCs w:val="30"/>
        </w:rPr>
        <w:t>附件3 技术资料及交付进度</w:t>
      </w:r>
    </w:p>
    <w:p>
      <w:pPr>
        <w:snapToGrid w:val="0"/>
        <w:spacing w:before="0" w:after="0" w:line="360" w:lineRule="auto"/>
        <w:rPr>
          <w:rFonts w:hint="default" w:ascii="宋体" w:hAnsi="宋体" w:eastAsia="宋体" w:cs="宋体"/>
          <w:b/>
          <w:bCs/>
          <w:color w:val="auto"/>
          <w:sz w:val="30"/>
          <w:szCs w:val="30"/>
        </w:rPr>
      </w:pPr>
      <w:r>
        <w:rPr>
          <w:rFonts w:hint="eastAsia" w:ascii="宋体" w:hAnsi="宋体" w:eastAsia="宋体" w:cs="宋体"/>
          <w:b/>
          <w:bCs/>
          <w:color w:val="auto"/>
          <w:sz w:val="28"/>
          <w:szCs w:val="28"/>
        </w:rPr>
        <w:t>1 一般要求</w:t>
      </w:r>
    </w:p>
    <w:p>
      <w:pPr>
        <w:spacing w:line="360" w:lineRule="auto"/>
        <w:rPr>
          <w:rFonts w:hint="eastAsia" w:ascii="宋体" w:hAnsi="宋体" w:cs="宋体"/>
          <w:color w:val="auto"/>
          <w:sz w:val="21"/>
          <w:szCs w:val="21"/>
        </w:rPr>
      </w:pPr>
      <w:bookmarkStart w:id="59" w:name="OLE_LINK2"/>
      <w:r>
        <w:rPr>
          <w:rFonts w:hint="eastAsia" w:ascii="宋体" w:hAnsi="宋体" w:cs="宋体"/>
          <w:color w:val="auto"/>
          <w:sz w:val="21"/>
          <w:szCs w:val="21"/>
        </w:rPr>
        <w:t>1.1 投标人提供的资料应使用国家法定单位制(语言为中文)，进口部件的外文图纸及文件应由投标人免费翻译成中文。图纸资料除提供书面文件外还应提供光盘形式电子文件。图纸应为CAD格式，文本文件应为Word/Excel格式。</w:t>
      </w:r>
    </w:p>
    <w:p>
      <w:pPr>
        <w:spacing w:line="360" w:lineRule="auto"/>
        <w:rPr>
          <w:rFonts w:hint="eastAsia" w:ascii="宋体" w:hAnsi="宋体" w:cs="宋体"/>
          <w:color w:val="auto"/>
          <w:sz w:val="21"/>
          <w:szCs w:val="21"/>
        </w:rPr>
      </w:pPr>
      <w:r>
        <w:rPr>
          <w:rFonts w:hint="eastAsia" w:ascii="宋体" w:hAnsi="宋体" w:cs="宋体"/>
          <w:color w:val="auto"/>
          <w:sz w:val="21"/>
          <w:szCs w:val="21"/>
        </w:rPr>
        <w:t>1.2 资料的组织结构清晰、逻辑性强。资料内容正确、准确、一致、清晰完整，满足工程要求。</w:t>
      </w:r>
    </w:p>
    <w:p>
      <w:pPr>
        <w:spacing w:line="360" w:lineRule="auto"/>
        <w:rPr>
          <w:rFonts w:hint="eastAsia" w:ascii="宋体" w:hAnsi="宋体" w:cs="宋体"/>
          <w:color w:val="auto"/>
          <w:sz w:val="21"/>
          <w:szCs w:val="21"/>
        </w:rPr>
      </w:pPr>
      <w:r>
        <w:rPr>
          <w:rFonts w:hint="eastAsia" w:ascii="宋体" w:hAnsi="宋体" w:cs="宋体"/>
          <w:color w:val="auto"/>
          <w:sz w:val="21"/>
          <w:szCs w:val="21"/>
        </w:rPr>
        <w:t>1.3 投标人资料的提交应及时、充分，正确，满足工程进度要求。在合同签订后 5 天内给出配合工程设计的全部技术资料和交付进度清单，并经招标人确认。</w:t>
      </w:r>
    </w:p>
    <w:p>
      <w:pPr>
        <w:spacing w:line="360" w:lineRule="auto"/>
        <w:rPr>
          <w:rFonts w:hint="eastAsia" w:ascii="宋体" w:hAnsi="宋体" w:cs="宋体"/>
          <w:color w:val="auto"/>
          <w:sz w:val="21"/>
          <w:szCs w:val="21"/>
        </w:rPr>
      </w:pPr>
      <w:r>
        <w:rPr>
          <w:rFonts w:hint="eastAsia" w:ascii="宋体" w:hAnsi="宋体" w:cs="宋体"/>
          <w:color w:val="auto"/>
          <w:sz w:val="21"/>
          <w:szCs w:val="21"/>
        </w:rPr>
        <w:t>1.4 投标人提供的技术资料分为投标阶段，配合设计阶段，设备监造检验、施工调试试运、性能试验验收和运行维护等四个方面。投标人须满足以上四个方面的具体要求。</w:t>
      </w:r>
    </w:p>
    <w:p>
      <w:pPr>
        <w:spacing w:line="360" w:lineRule="auto"/>
        <w:rPr>
          <w:rFonts w:hint="eastAsia" w:ascii="宋体" w:hAnsi="宋体" w:cs="宋体"/>
          <w:color w:val="auto"/>
          <w:sz w:val="21"/>
          <w:szCs w:val="21"/>
        </w:rPr>
      </w:pPr>
      <w:r>
        <w:rPr>
          <w:rFonts w:hint="eastAsia" w:ascii="宋体" w:hAnsi="宋体" w:cs="宋体"/>
          <w:color w:val="auto"/>
          <w:sz w:val="21"/>
          <w:szCs w:val="21"/>
        </w:rPr>
        <w:t>1.5 对于其它没有列入合同技术资料清单，却是工程所必需文件和资料，一经发现，投标人应及时免费提供。本期工程为多台设备构成，如后续设备有改进时，投标人也应及时免费提供新的技术资料。</w:t>
      </w:r>
    </w:p>
    <w:p>
      <w:pPr>
        <w:spacing w:line="360" w:lineRule="auto"/>
        <w:rPr>
          <w:rFonts w:hint="eastAsia" w:ascii="宋体" w:hAnsi="宋体" w:cs="宋体"/>
          <w:color w:val="auto"/>
          <w:sz w:val="21"/>
          <w:szCs w:val="21"/>
        </w:rPr>
      </w:pPr>
      <w:r>
        <w:rPr>
          <w:rFonts w:hint="eastAsia" w:ascii="宋体" w:hAnsi="宋体" w:cs="宋体"/>
          <w:color w:val="auto"/>
          <w:sz w:val="21"/>
          <w:szCs w:val="21"/>
        </w:rPr>
        <w:t>1.6 招标人要及时提供与合同设备设计制造有关的资料。</w:t>
      </w:r>
    </w:p>
    <w:p>
      <w:pPr>
        <w:spacing w:line="360" w:lineRule="auto"/>
        <w:rPr>
          <w:rFonts w:hint="eastAsia" w:ascii="宋体" w:hAnsi="宋体" w:cs="宋体"/>
          <w:color w:val="auto"/>
          <w:sz w:val="21"/>
          <w:szCs w:val="21"/>
        </w:rPr>
      </w:pPr>
      <w:r>
        <w:rPr>
          <w:rFonts w:hint="eastAsia" w:ascii="宋体" w:hAnsi="宋体" w:cs="宋体"/>
          <w:color w:val="auto"/>
          <w:sz w:val="21"/>
          <w:szCs w:val="21"/>
        </w:rPr>
        <w:t>1.7 投标人应在合同签订后15天内，向招标人提供满足设计</w:t>
      </w:r>
      <w:r>
        <w:rPr>
          <w:rFonts w:hint="eastAsia" w:ascii="宋体" w:hAnsi="宋体" w:cs="宋体"/>
          <w:color w:val="auto"/>
          <w:sz w:val="21"/>
          <w:szCs w:val="21"/>
          <w:lang w:eastAsia="zh-CN"/>
        </w:rPr>
        <w:t>单位</w:t>
      </w:r>
      <w:r>
        <w:rPr>
          <w:rFonts w:hint="eastAsia" w:ascii="宋体" w:hAnsi="宋体" w:cs="宋体"/>
          <w:color w:val="auto"/>
          <w:sz w:val="21"/>
          <w:szCs w:val="21"/>
        </w:rPr>
        <w:t>初步设计需要的资料共</w:t>
      </w:r>
      <w:r>
        <w:rPr>
          <w:rFonts w:hint="eastAsia" w:ascii="宋体" w:hAnsi="宋体" w:cs="宋体"/>
          <w:color w:val="auto"/>
          <w:sz w:val="21"/>
          <w:szCs w:val="21"/>
          <w:u w:val="single"/>
        </w:rPr>
        <w:t>10套（其中设计</w:t>
      </w:r>
      <w:r>
        <w:rPr>
          <w:rFonts w:hint="eastAsia" w:ascii="宋体" w:hAnsi="宋体" w:cs="宋体"/>
          <w:color w:val="auto"/>
          <w:sz w:val="21"/>
          <w:szCs w:val="21"/>
          <w:u w:val="single"/>
          <w:lang w:val="en-US" w:eastAsia="zh-CN"/>
        </w:rPr>
        <w:t>单位</w:t>
      </w:r>
      <w:r>
        <w:rPr>
          <w:rFonts w:hint="eastAsia" w:ascii="宋体" w:hAnsi="宋体" w:cs="宋体"/>
          <w:color w:val="auto"/>
          <w:sz w:val="21"/>
          <w:szCs w:val="21"/>
          <w:u w:val="single"/>
        </w:rPr>
        <w:t>3套，招标人7套），另加2套电子文档（设计</w:t>
      </w:r>
      <w:r>
        <w:rPr>
          <w:rFonts w:hint="eastAsia" w:ascii="宋体" w:hAnsi="宋体" w:cs="宋体"/>
          <w:color w:val="auto"/>
          <w:sz w:val="21"/>
          <w:szCs w:val="21"/>
          <w:u w:val="single"/>
          <w:lang w:eastAsia="zh-CN"/>
        </w:rPr>
        <w:t>单位</w:t>
      </w:r>
      <w:r>
        <w:rPr>
          <w:rFonts w:hint="eastAsia" w:ascii="宋体" w:hAnsi="宋体" w:cs="宋体"/>
          <w:color w:val="auto"/>
          <w:sz w:val="21"/>
          <w:szCs w:val="21"/>
          <w:u w:val="single"/>
        </w:rPr>
        <w:t>和招标人各1套）</w:t>
      </w:r>
      <w:r>
        <w:rPr>
          <w:rFonts w:hint="eastAsia" w:ascii="宋体" w:hAnsi="宋体" w:cs="宋体"/>
          <w:color w:val="auto"/>
          <w:sz w:val="21"/>
          <w:szCs w:val="21"/>
        </w:rPr>
        <w:t>。</w:t>
      </w:r>
    </w:p>
    <w:p>
      <w:pPr>
        <w:spacing w:line="360" w:lineRule="auto"/>
        <w:rPr>
          <w:rFonts w:hint="eastAsia" w:ascii="宋体" w:hAnsi="宋体" w:cs="宋体"/>
          <w:color w:val="auto"/>
          <w:sz w:val="21"/>
          <w:szCs w:val="21"/>
        </w:rPr>
      </w:pPr>
      <w:r>
        <w:rPr>
          <w:rFonts w:hint="eastAsia" w:ascii="宋体" w:hAnsi="宋体" w:cs="宋体"/>
          <w:color w:val="auto"/>
          <w:sz w:val="21"/>
          <w:szCs w:val="21"/>
        </w:rPr>
        <w:t>1.8 合同签订后</w:t>
      </w:r>
      <w:r>
        <w:rPr>
          <w:rFonts w:hint="eastAsia" w:ascii="宋体" w:hAnsi="宋体" w:cs="宋体"/>
          <w:color w:val="auto"/>
          <w:sz w:val="21"/>
          <w:szCs w:val="21"/>
          <w:lang w:eastAsia="zh-CN"/>
        </w:rPr>
        <w:t>一</w:t>
      </w:r>
      <w:r>
        <w:rPr>
          <w:rFonts w:hint="eastAsia" w:ascii="宋体" w:hAnsi="宋体" w:cs="宋体"/>
          <w:color w:val="auto"/>
          <w:sz w:val="21"/>
          <w:szCs w:val="21"/>
        </w:rPr>
        <w:t>个月投标人提供的与设备设计、制造、监造、检验、施工、安装、调试、验收等有关的技术资料，为每台机组</w:t>
      </w:r>
      <w:r>
        <w:rPr>
          <w:rFonts w:hint="eastAsia" w:ascii="宋体" w:hAnsi="宋体" w:cs="宋体"/>
          <w:color w:val="auto"/>
          <w:sz w:val="21"/>
          <w:szCs w:val="21"/>
          <w:u w:val="single"/>
        </w:rPr>
        <w:t>18套纸质文件（随机2套，设计</w:t>
      </w:r>
      <w:r>
        <w:rPr>
          <w:rFonts w:hint="eastAsia" w:ascii="宋体" w:hAnsi="宋体" w:cs="宋体"/>
          <w:color w:val="auto"/>
          <w:sz w:val="21"/>
          <w:szCs w:val="21"/>
          <w:u w:val="single"/>
          <w:lang w:eastAsia="zh-CN"/>
        </w:rPr>
        <w:t>单位</w:t>
      </w:r>
      <w:r>
        <w:rPr>
          <w:rFonts w:hint="eastAsia" w:ascii="宋体" w:hAnsi="宋体" w:cs="宋体"/>
          <w:color w:val="auto"/>
          <w:sz w:val="21"/>
          <w:szCs w:val="21"/>
          <w:u w:val="single"/>
        </w:rPr>
        <w:t>4套，招标人12套），电子文件每台机组5套（设计</w:t>
      </w:r>
      <w:r>
        <w:rPr>
          <w:rFonts w:hint="eastAsia" w:ascii="宋体" w:hAnsi="宋体" w:cs="宋体"/>
          <w:color w:val="auto"/>
          <w:sz w:val="21"/>
          <w:szCs w:val="21"/>
          <w:u w:val="single"/>
          <w:lang w:eastAsia="zh-CN"/>
        </w:rPr>
        <w:t>单位</w:t>
      </w:r>
      <w:r>
        <w:rPr>
          <w:rFonts w:hint="eastAsia" w:ascii="宋体" w:hAnsi="宋体" w:cs="宋体"/>
          <w:color w:val="auto"/>
          <w:sz w:val="21"/>
          <w:szCs w:val="21"/>
          <w:u w:val="single"/>
        </w:rPr>
        <w:t>2套，招标人3套）</w:t>
      </w:r>
      <w:r>
        <w:rPr>
          <w:rFonts w:hint="eastAsia" w:ascii="宋体" w:hAnsi="宋体" w:cs="宋体"/>
          <w:color w:val="auto"/>
          <w:sz w:val="21"/>
          <w:szCs w:val="21"/>
        </w:rPr>
        <w:t>。</w:t>
      </w:r>
    </w:p>
    <w:p>
      <w:pPr>
        <w:spacing w:line="360" w:lineRule="auto"/>
        <w:rPr>
          <w:rFonts w:hint="eastAsia" w:ascii="宋体" w:hAnsi="宋体" w:cs="宋体"/>
          <w:color w:val="auto"/>
          <w:sz w:val="21"/>
          <w:szCs w:val="21"/>
          <w:u w:val="single"/>
        </w:rPr>
      </w:pPr>
      <w:r>
        <w:rPr>
          <w:rFonts w:hint="eastAsia" w:ascii="宋体" w:hAnsi="宋体" w:cs="宋体"/>
          <w:color w:val="auto"/>
          <w:sz w:val="21"/>
          <w:szCs w:val="21"/>
        </w:rPr>
        <w:t>1.9</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设备安装调试完毕后，投标人应按机组分别提供</w:t>
      </w:r>
      <w:r>
        <w:rPr>
          <w:rFonts w:hint="eastAsia" w:ascii="宋体" w:hAnsi="宋体" w:cs="宋体"/>
          <w:color w:val="auto"/>
          <w:sz w:val="21"/>
          <w:szCs w:val="21"/>
          <w:u w:val="single"/>
        </w:rPr>
        <w:t>12套（设计</w:t>
      </w:r>
      <w:r>
        <w:rPr>
          <w:rFonts w:hint="eastAsia" w:ascii="宋体" w:hAnsi="宋体" w:cs="宋体"/>
          <w:color w:val="auto"/>
          <w:sz w:val="21"/>
          <w:szCs w:val="21"/>
          <w:u w:val="single"/>
          <w:lang w:eastAsia="zh-CN"/>
        </w:rPr>
        <w:t>单位</w:t>
      </w:r>
      <w:r>
        <w:rPr>
          <w:rFonts w:hint="eastAsia" w:ascii="宋体" w:hAnsi="宋体" w:cs="宋体"/>
          <w:color w:val="auto"/>
          <w:sz w:val="21"/>
          <w:szCs w:val="21"/>
          <w:u w:val="single"/>
        </w:rPr>
        <w:t>1套，招标人11套）完整的设备竣工图，另加3套电子版。</w:t>
      </w:r>
    </w:p>
    <w:p>
      <w:pPr>
        <w:spacing w:line="360" w:lineRule="auto"/>
        <w:rPr>
          <w:rFonts w:hint="eastAsia" w:ascii="宋体" w:hAnsi="宋体" w:cs="宋体"/>
          <w:color w:val="auto"/>
          <w:sz w:val="21"/>
          <w:szCs w:val="21"/>
        </w:rPr>
      </w:pPr>
      <w:r>
        <w:rPr>
          <w:rFonts w:hint="eastAsia" w:ascii="宋体" w:hAnsi="宋体" w:cs="宋体"/>
          <w:color w:val="auto"/>
          <w:sz w:val="21"/>
          <w:szCs w:val="21"/>
        </w:rPr>
        <w:t>1.10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投标人提供运行和维护手册、培训手册、技术说明书、使用说明书每台机组</w:t>
      </w:r>
      <w:r>
        <w:rPr>
          <w:rFonts w:hint="eastAsia" w:ascii="宋体" w:hAnsi="宋体" w:cs="宋体"/>
          <w:color w:val="auto"/>
          <w:sz w:val="21"/>
          <w:szCs w:val="21"/>
          <w:u w:val="single"/>
        </w:rPr>
        <w:t>18 套纸质文件，另加2套电子版。其它资料（标准规范、质量计划等）提供6套。</w:t>
      </w:r>
    </w:p>
    <w:p>
      <w:pPr>
        <w:spacing w:line="360" w:lineRule="auto"/>
        <w:rPr>
          <w:rFonts w:hint="eastAsia" w:ascii="宋体" w:hAnsi="宋体" w:cs="宋体"/>
          <w:color w:val="auto"/>
          <w:sz w:val="21"/>
          <w:szCs w:val="21"/>
        </w:rPr>
      </w:pPr>
      <w:r>
        <w:rPr>
          <w:rFonts w:hint="eastAsia" w:ascii="宋体" w:hAnsi="宋体" w:cs="宋体"/>
          <w:color w:val="auto"/>
          <w:sz w:val="21"/>
          <w:szCs w:val="21"/>
        </w:rPr>
        <w:t>1.11 投标人提供的图纸应清晰，不得提供缩微复印的图纸。</w:t>
      </w:r>
    </w:p>
    <w:p>
      <w:pPr>
        <w:spacing w:line="360" w:lineRule="auto"/>
        <w:rPr>
          <w:rFonts w:hint="eastAsia" w:ascii="宋体" w:hAnsi="宋体" w:cs="宋体"/>
          <w:color w:val="auto"/>
          <w:sz w:val="21"/>
          <w:szCs w:val="21"/>
        </w:rPr>
      </w:pPr>
      <w:r>
        <w:rPr>
          <w:rFonts w:hint="eastAsia" w:ascii="宋体" w:hAnsi="宋体" w:cs="宋体"/>
          <w:color w:val="auto"/>
          <w:sz w:val="21"/>
          <w:szCs w:val="21"/>
        </w:rPr>
        <w:t>1.12</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投标人提供的所有资料（包括图纸）均应有本工程专用标识，即盖有“浙江浙能</w:t>
      </w:r>
      <w:r>
        <w:rPr>
          <w:rFonts w:hint="eastAsia" w:ascii="宋体" w:hAnsi="宋体" w:cs="宋体"/>
          <w:color w:val="auto"/>
          <w:sz w:val="21"/>
          <w:szCs w:val="21"/>
          <w:lang w:val="en-US" w:eastAsia="zh-CN"/>
        </w:rPr>
        <w:t>北仑发变组改造</w:t>
      </w:r>
      <w:r>
        <w:rPr>
          <w:rFonts w:hint="eastAsia" w:ascii="宋体" w:hAnsi="宋体" w:cs="宋体"/>
          <w:color w:val="auto"/>
          <w:sz w:val="21"/>
          <w:szCs w:val="21"/>
        </w:rPr>
        <w:t>工程专用”图章，修改版资料对修改部分应有明显的标识或标注。</w:t>
      </w:r>
    </w:p>
    <w:p>
      <w:pPr>
        <w:spacing w:line="360" w:lineRule="auto"/>
        <w:rPr>
          <w:rFonts w:hint="eastAsia" w:ascii="宋体" w:hAnsi="宋体" w:cs="宋体"/>
          <w:color w:val="auto"/>
          <w:sz w:val="21"/>
          <w:szCs w:val="21"/>
        </w:rPr>
      </w:pPr>
      <w:r>
        <w:rPr>
          <w:rFonts w:hint="eastAsia" w:ascii="宋体" w:hAnsi="宋体" w:cs="宋体"/>
          <w:color w:val="auto"/>
          <w:sz w:val="21"/>
          <w:szCs w:val="21"/>
        </w:rPr>
        <w:t>1.13 投标人按招标人的要求，编制所供设备的KKS编码。</w:t>
      </w:r>
    </w:p>
    <w:bookmarkEnd w:id="59"/>
    <w:p>
      <w:pPr>
        <w:snapToGrid/>
        <w:spacing w:before="0" w:beforeLines="0" w:after="0" w:afterLines="0"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2 资料提交的基本要求</w:t>
      </w:r>
    </w:p>
    <w:p>
      <w:pPr>
        <w:spacing w:line="360" w:lineRule="auto"/>
        <w:rPr>
          <w:rFonts w:hint="eastAsia" w:ascii="宋体" w:hAnsi="宋体" w:cs="宋体"/>
          <w:color w:val="auto"/>
          <w:sz w:val="21"/>
          <w:szCs w:val="21"/>
        </w:rPr>
      </w:pPr>
      <w:r>
        <w:rPr>
          <w:rFonts w:hint="eastAsia" w:ascii="宋体" w:hAnsi="宋体" w:cs="宋体"/>
          <w:color w:val="auto"/>
          <w:sz w:val="21"/>
          <w:szCs w:val="21"/>
        </w:rPr>
        <w:t>2.1 电子文件提供要求</w:t>
      </w:r>
    </w:p>
    <w:p>
      <w:pPr>
        <w:spacing w:line="360" w:lineRule="auto"/>
        <w:ind w:left="630" w:hanging="630" w:hangingChars="300"/>
        <w:rPr>
          <w:rFonts w:hint="eastAsia" w:ascii="宋体" w:hAnsi="宋体" w:cs="宋体"/>
          <w:color w:val="auto"/>
          <w:sz w:val="21"/>
          <w:szCs w:val="21"/>
        </w:rPr>
      </w:pPr>
      <w:r>
        <w:rPr>
          <w:rFonts w:hint="eastAsia" w:ascii="宋体" w:hAnsi="宋体" w:cs="宋体"/>
          <w:color w:val="auto"/>
          <w:sz w:val="21"/>
          <w:szCs w:val="21"/>
        </w:rPr>
        <w:t>2.1.1 投标人所提供的电子文件必须以光盘形式提供，与纸质文件内容相一致。</w:t>
      </w:r>
    </w:p>
    <w:p>
      <w:pPr>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2.1.2 投标人所提供的光盘数据不得加密、压缩，无计算机病毒。若出现光盘损坏、文件无法打开等情况，投标人应重新提供。</w:t>
      </w:r>
    </w:p>
    <w:p>
      <w:pPr>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2.1.3 光盘背面特制的书写面上必须有明显的、不易被擦除的标识，包括合同号、光盘ID号、资料清单号、提供日期、投标人标记及责任人的手写签名等，其中光盘ID号应同时作为光盘卷标刻录到光盘上，光盘ID号可与资料清单号一致。</w:t>
      </w:r>
    </w:p>
    <w:p>
      <w:pPr>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2.1.4 投标人所提供的电子文件格式应为Word、Excel和CAD格式（或在本协议中明确的其他格式）。投标人提供的竣工资料的所有文件还应同时提供PDF或TIF格式的副本。</w:t>
      </w:r>
    </w:p>
    <w:p>
      <w:pPr>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2.1.5 所提供电子文件所用语种为简体中文，中文汉字内码以GB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2312为标准。CAD文件应同时提供使用的字库文件。</w:t>
      </w:r>
    </w:p>
    <w:p>
      <w:pPr>
        <w:spacing w:line="360" w:lineRule="auto"/>
        <w:ind w:left="630" w:hanging="630" w:hangingChars="300"/>
        <w:rPr>
          <w:rFonts w:hint="eastAsia" w:ascii="宋体" w:hAnsi="宋体" w:cs="宋体"/>
          <w:color w:val="auto"/>
          <w:sz w:val="21"/>
          <w:szCs w:val="21"/>
        </w:rPr>
      </w:pPr>
      <w:r>
        <w:rPr>
          <w:rFonts w:hint="eastAsia" w:ascii="宋体" w:hAnsi="宋体" w:cs="宋体"/>
          <w:color w:val="auto"/>
          <w:sz w:val="21"/>
          <w:szCs w:val="21"/>
        </w:rPr>
        <w:t>2.1.6 电子文件用图号来命名，一个图号的图纸对应一个电子文件。</w:t>
      </w:r>
    </w:p>
    <w:p>
      <w:pPr>
        <w:spacing w:line="360" w:lineRule="auto"/>
        <w:ind w:left="0" w:right="-360" w:rightChars="-150" w:firstLine="0" w:firstLineChars="0"/>
        <w:rPr>
          <w:rFonts w:hint="eastAsia" w:ascii="宋体" w:hAnsi="宋体" w:cs="宋体"/>
          <w:color w:val="auto"/>
          <w:sz w:val="21"/>
          <w:szCs w:val="21"/>
        </w:rPr>
      </w:pPr>
      <w:r>
        <w:rPr>
          <w:rFonts w:hint="eastAsia" w:ascii="宋体" w:hAnsi="宋体" w:cs="宋体"/>
          <w:color w:val="auto"/>
          <w:sz w:val="21"/>
          <w:szCs w:val="21"/>
        </w:rPr>
        <w:t>2.1.7 同一套技术资料的电子文件必须存放在同一张光盘内，一张光盘内可存放多套技术资料。在每张光盘根目录还应提供如下目录和文件：</w:t>
      </w:r>
    </w:p>
    <w:p>
      <w:pPr>
        <w:spacing w:line="360" w:lineRule="auto"/>
        <w:ind w:right="-360" w:rightChars="-150" w:firstLine="420" w:firstLineChars="200"/>
        <w:rPr>
          <w:rFonts w:hint="eastAsia" w:ascii="宋体" w:hAnsi="宋体" w:cs="宋体"/>
          <w:color w:val="auto"/>
          <w:sz w:val="21"/>
          <w:szCs w:val="21"/>
        </w:rPr>
      </w:pPr>
      <w:r>
        <w:rPr>
          <w:rFonts w:hint="eastAsia" w:ascii="宋体" w:hAnsi="宋体" w:cs="宋体"/>
          <w:color w:val="auto"/>
          <w:sz w:val="21"/>
          <w:szCs w:val="21"/>
        </w:rPr>
        <w:t>说明文件Readme.txt/doc：用于说明该光盘的整体信息；</w:t>
      </w:r>
    </w:p>
    <w:p>
      <w:pPr>
        <w:spacing w:line="360" w:lineRule="auto"/>
        <w:ind w:right="-360" w:rightChars="-150" w:firstLine="420" w:firstLineChars="200"/>
        <w:rPr>
          <w:rFonts w:hint="eastAsia" w:ascii="宋体" w:hAnsi="宋体" w:cs="宋体"/>
          <w:color w:val="auto"/>
          <w:sz w:val="21"/>
          <w:szCs w:val="21"/>
        </w:rPr>
      </w:pPr>
      <w:r>
        <w:rPr>
          <w:rFonts w:hint="eastAsia" w:ascii="宋体" w:hAnsi="宋体" w:cs="宋体"/>
          <w:color w:val="auto"/>
          <w:sz w:val="21"/>
          <w:szCs w:val="21"/>
        </w:rPr>
        <w:t>辅读信息文件Assist.txt/doc：用于说明该光盘内各种格式电子文件的环境信息；</w:t>
      </w:r>
    </w:p>
    <w:p>
      <w:pPr>
        <w:spacing w:line="360" w:lineRule="auto"/>
        <w:ind w:right="-360" w:rightChars="-150" w:firstLine="420" w:firstLineChars="200"/>
        <w:rPr>
          <w:rFonts w:hint="eastAsia" w:ascii="宋体" w:hAnsi="宋体" w:cs="宋体"/>
          <w:color w:val="auto"/>
          <w:sz w:val="21"/>
          <w:szCs w:val="21"/>
        </w:rPr>
      </w:pPr>
      <w:r>
        <w:rPr>
          <w:rFonts w:hint="eastAsia" w:ascii="宋体" w:hAnsi="宋体" w:cs="宋体"/>
          <w:color w:val="auto"/>
          <w:sz w:val="21"/>
          <w:szCs w:val="21"/>
        </w:rPr>
        <w:t>著录文件QD.xls；电子文件清单，用于表明电子文件数据信息，包括序号、电子文件名、格式、合同号、资料清单号、图号、图纸名称、幅面、张数、版次、日期、备注等；</w:t>
      </w:r>
    </w:p>
    <w:p>
      <w:pPr>
        <w:spacing w:line="360" w:lineRule="auto"/>
        <w:ind w:right="120" w:rightChars="50" w:firstLine="420" w:firstLineChars="200"/>
        <w:rPr>
          <w:rFonts w:hint="eastAsia" w:ascii="宋体" w:hAnsi="宋体" w:cs="宋体"/>
          <w:color w:val="auto"/>
          <w:sz w:val="21"/>
          <w:szCs w:val="21"/>
        </w:rPr>
      </w:pPr>
      <w:r>
        <w:rPr>
          <w:rFonts w:hint="eastAsia" w:ascii="宋体" w:hAnsi="宋体" w:cs="宋体"/>
          <w:color w:val="auto"/>
          <w:sz w:val="21"/>
          <w:szCs w:val="21"/>
        </w:rPr>
        <w:t>子目录DATA：用于存放Word、Excel、CAD格式（或在本协议中明确的其他格式）的正式文件；</w:t>
      </w:r>
    </w:p>
    <w:p>
      <w:pPr>
        <w:spacing w:line="360" w:lineRule="auto"/>
        <w:ind w:right="120" w:rightChars="50" w:firstLine="420" w:firstLineChars="200"/>
        <w:rPr>
          <w:rFonts w:hint="eastAsia" w:ascii="宋体" w:hAnsi="宋体" w:cs="宋体"/>
          <w:color w:val="auto"/>
          <w:sz w:val="21"/>
          <w:szCs w:val="21"/>
        </w:rPr>
      </w:pPr>
      <w:r>
        <w:rPr>
          <w:rFonts w:hint="eastAsia" w:ascii="宋体" w:hAnsi="宋体" w:cs="宋体"/>
          <w:color w:val="auto"/>
          <w:sz w:val="21"/>
          <w:szCs w:val="21"/>
        </w:rPr>
        <w:t>子目录DATAB：用于存放PDF和TIF格式的文件副本（仅指竣工资料）；</w:t>
      </w:r>
    </w:p>
    <w:p>
      <w:pPr>
        <w:spacing w:line="360" w:lineRule="auto"/>
        <w:ind w:right="120" w:rightChars="50" w:firstLine="420" w:firstLineChars="200"/>
        <w:rPr>
          <w:rFonts w:hint="eastAsia" w:ascii="宋体" w:hAnsi="宋体" w:cs="宋体"/>
          <w:color w:val="auto"/>
          <w:sz w:val="21"/>
          <w:szCs w:val="21"/>
        </w:rPr>
      </w:pPr>
      <w:r>
        <w:rPr>
          <w:rFonts w:hint="eastAsia" w:ascii="宋体" w:hAnsi="宋体" w:cs="宋体"/>
          <w:color w:val="auto"/>
          <w:sz w:val="21"/>
          <w:szCs w:val="21"/>
        </w:rPr>
        <w:t>子目录OTHERS：用于存放相关字库、符号库、数据字典、外部参考等保证文件准确还原的环境文件及其它说明文件等。</w:t>
      </w:r>
    </w:p>
    <w:p>
      <w:pPr>
        <w:spacing w:line="360" w:lineRule="auto"/>
        <w:rPr>
          <w:rFonts w:hint="eastAsia" w:ascii="宋体" w:hAnsi="宋体" w:cs="宋体"/>
          <w:color w:val="auto"/>
          <w:sz w:val="21"/>
          <w:szCs w:val="21"/>
        </w:rPr>
      </w:pPr>
      <w:r>
        <w:rPr>
          <w:rFonts w:hint="eastAsia" w:ascii="宋体" w:hAnsi="宋体" w:cs="宋体"/>
          <w:color w:val="auto"/>
          <w:sz w:val="21"/>
          <w:szCs w:val="21"/>
        </w:rPr>
        <w:t>2.2 需要配合工程初步设计进度提供资料与图纸</w:t>
      </w:r>
    </w:p>
    <w:p>
      <w:pPr>
        <w:spacing w:line="360" w:lineRule="auto"/>
        <w:rPr>
          <w:rFonts w:hint="eastAsia" w:ascii="宋体" w:hAnsi="宋体" w:cs="宋体"/>
          <w:color w:val="auto"/>
          <w:sz w:val="21"/>
          <w:szCs w:val="21"/>
        </w:rPr>
      </w:pPr>
      <w:r>
        <w:rPr>
          <w:rFonts w:hint="eastAsia" w:ascii="宋体" w:hAnsi="宋体" w:cs="宋体"/>
          <w:color w:val="auto"/>
          <w:sz w:val="21"/>
          <w:szCs w:val="21"/>
        </w:rPr>
        <w:t>2.3 需要配合工程施工图设计进度提供资料与图纸</w:t>
      </w:r>
    </w:p>
    <w:p>
      <w:pPr>
        <w:spacing w:line="360" w:lineRule="auto"/>
        <w:rPr>
          <w:rFonts w:hint="eastAsia" w:ascii="宋体" w:hAnsi="宋体" w:cs="宋体"/>
          <w:color w:val="auto"/>
          <w:sz w:val="21"/>
          <w:szCs w:val="21"/>
        </w:rPr>
      </w:pPr>
      <w:r>
        <w:rPr>
          <w:rFonts w:hint="eastAsia" w:ascii="宋体" w:hAnsi="宋体" w:cs="宋体"/>
          <w:color w:val="auto"/>
          <w:sz w:val="21"/>
          <w:szCs w:val="21"/>
        </w:rPr>
        <w:t>2.4 根据工程进展中的其它方面的需要，配合提供资料与图纸</w:t>
      </w:r>
    </w:p>
    <w:p>
      <w:pPr>
        <w:snapToGrid/>
        <w:spacing w:before="0" w:beforeLines="0" w:after="0" w:afterLines="0"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3 资料提交的基本内容</w:t>
      </w:r>
    </w:p>
    <w:p>
      <w:pPr>
        <w:spacing w:line="360" w:lineRule="auto"/>
        <w:rPr>
          <w:rFonts w:hint="eastAsia" w:ascii="宋体" w:hAnsi="宋体" w:cs="宋体"/>
          <w:color w:val="auto"/>
          <w:sz w:val="21"/>
          <w:szCs w:val="21"/>
        </w:rPr>
      </w:pPr>
      <w:r>
        <w:rPr>
          <w:rFonts w:hint="eastAsia" w:ascii="宋体" w:hAnsi="宋体" w:cs="宋体"/>
          <w:color w:val="auto"/>
          <w:sz w:val="21"/>
          <w:szCs w:val="21"/>
        </w:rPr>
        <w:t>3.1 投标人在投标阶段向招标人提供一般性资料如：鉴定证书、报价书、典型说明书、屏面布置图、系统原理图、保护配置图和主要技术参数等。</w:t>
      </w:r>
    </w:p>
    <w:p>
      <w:pPr>
        <w:spacing w:line="360" w:lineRule="auto"/>
        <w:rPr>
          <w:rFonts w:hint="eastAsia" w:ascii="宋体" w:hAnsi="宋体" w:cs="宋体"/>
          <w:color w:val="auto"/>
          <w:sz w:val="21"/>
          <w:szCs w:val="21"/>
        </w:rPr>
      </w:pPr>
      <w:r>
        <w:rPr>
          <w:rFonts w:hint="eastAsia" w:ascii="宋体" w:hAnsi="宋体" w:cs="宋体"/>
          <w:color w:val="auto"/>
          <w:sz w:val="21"/>
          <w:szCs w:val="21"/>
        </w:rPr>
        <w:t>3.2 在合同签定30天内，投标人向招标人提供下列技术文件以供确认。</w:t>
      </w:r>
    </w:p>
    <w:p>
      <w:pPr>
        <w:tabs>
          <w:tab w:val="left" w:pos="420"/>
        </w:tabs>
        <w:spacing w:line="360" w:lineRule="auto"/>
        <w:ind w:left="425"/>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eastAsia="zh-CN"/>
        </w:rPr>
        <w:t>）</w:t>
      </w:r>
      <w:r>
        <w:rPr>
          <w:rFonts w:hint="eastAsia" w:ascii="宋体" w:hAnsi="宋体" w:cs="宋体"/>
          <w:color w:val="auto"/>
          <w:sz w:val="21"/>
          <w:szCs w:val="21"/>
        </w:rPr>
        <w:t>保护原理图及保护出口、信号回路图</w:t>
      </w:r>
    </w:p>
    <w:p>
      <w:pPr>
        <w:tabs>
          <w:tab w:val="left" w:pos="420"/>
        </w:tabs>
        <w:spacing w:line="360" w:lineRule="auto"/>
        <w:ind w:left="845" w:hanging="42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eastAsia="zh-CN"/>
        </w:rPr>
        <w:t>）</w:t>
      </w:r>
      <w:r>
        <w:rPr>
          <w:rFonts w:hint="eastAsia" w:ascii="宋体" w:hAnsi="宋体" w:cs="宋体"/>
          <w:color w:val="auto"/>
          <w:sz w:val="21"/>
          <w:szCs w:val="21"/>
        </w:rPr>
        <w:t>保护柜柜面布置图、柜体重量、安装要求</w:t>
      </w:r>
    </w:p>
    <w:p>
      <w:pPr>
        <w:tabs>
          <w:tab w:val="left" w:pos="420"/>
        </w:tabs>
        <w:spacing w:line="360" w:lineRule="auto"/>
        <w:ind w:left="845" w:hanging="420"/>
        <w:rPr>
          <w:rFonts w:hint="eastAsia" w:ascii="宋体" w:hAnsi="宋体" w:cs="宋体"/>
          <w:color w:val="auto"/>
          <w:sz w:val="21"/>
          <w:szCs w:val="21"/>
        </w:rPr>
      </w:pPr>
      <w:r>
        <w:rPr>
          <w:rFonts w:hint="eastAsia" w:ascii="宋体" w:hAnsi="宋体" w:cs="宋体"/>
          <w:color w:val="auto"/>
          <w:sz w:val="21"/>
          <w:szCs w:val="21"/>
        </w:rPr>
        <w:t>3</w:t>
      </w:r>
      <w:r>
        <w:rPr>
          <w:rFonts w:hint="eastAsia" w:ascii="宋体" w:hAnsi="宋体" w:cs="宋体"/>
          <w:color w:val="auto"/>
          <w:sz w:val="21"/>
          <w:szCs w:val="21"/>
          <w:lang w:eastAsia="zh-CN"/>
        </w:rPr>
        <w:t>）</w:t>
      </w:r>
      <w:r>
        <w:rPr>
          <w:rFonts w:hint="eastAsia" w:ascii="宋体" w:hAnsi="宋体" w:cs="宋体"/>
          <w:color w:val="auto"/>
          <w:sz w:val="21"/>
          <w:szCs w:val="21"/>
        </w:rPr>
        <w:t>保护柜交直流回路图</w:t>
      </w:r>
    </w:p>
    <w:p>
      <w:pPr>
        <w:tabs>
          <w:tab w:val="left" w:pos="420"/>
        </w:tabs>
        <w:spacing w:line="360" w:lineRule="auto"/>
        <w:ind w:left="845" w:hanging="420"/>
        <w:rPr>
          <w:rFonts w:hint="eastAsia" w:ascii="宋体" w:hAnsi="宋体" w:cs="宋体"/>
          <w:color w:val="auto"/>
          <w:sz w:val="21"/>
          <w:szCs w:val="21"/>
        </w:rPr>
      </w:pPr>
      <w:r>
        <w:rPr>
          <w:rFonts w:hint="eastAsia" w:ascii="宋体" w:hAnsi="宋体" w:cs="宋体"/>
          <w:color w:val="auto"/>
          <w:sz w:val="21"/>
          <w:szCs w:val="21"/>
        </w:rPr>
        <w:t>4</w:t>
      </w:r>
      <w:r>
        <w:rPr>
          <w:rFonts w:hint="eastAsia" w:ascii="宋体" w:hAnsi="宋体" w:cs="宋体"/>
          <w:color w:val="auto"/>
          <w:sz w:val="21"/>
          <w:szCs w:val="21"/>
          <w:lang w:val="en-US" w:eastAsia="zh-CN"/>
        </w:rPr>
        <w:t>）</w:t>
      </w:r>
      <w:r>
        <w:rPr>
          <w:rFonts w:hint="eastAsia" w:ascii="宋体" w:hAnsi="宋体" w:cs="宋体"/>
          <w:color w:val="auto"/>
          <w:sz w:val="21"/>
          <w:szCs w:val="21"/>
        </w:rPr>
        <w:t>保护柜插件分配图</w:t>
      </w:r>
    </w:p>
    <w:p>
      <w:pPr>
        <w:tabs>
          <w:tab w:val="left" w:pos="420"/>
        </w:tabs>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5</w:t>
      </w:r>
      <w:r>
        <w:rPr>
          <w:rFonts w:hint="eastAsia" w:ascii="宋体" w:hAnsi="宋体" w:cs="宋体"/>
          <w:color w:val="auto"/>
          <w:sz w:val="21"/>
          <w:szCs w:val="21"/>
          <w:lang w:eastAsia="zh-CN"/>
        </w:rPr>
        <w:t>）</w:t>
      </w:r>
      <w:r>
        <w:rPr>
          <w:rFonts w:hint="eastAsia" w:ascii="宋体" w:hAnsi="宋体" w:cs="宋体"/>
          <w:color w:val="auto"/>
          <w:sz w:val="21"/>
          <w:szCs w:val="21"/>
        </w:rPr>
        <w:t>保护柜背板接线图及端子排图</w:t>
      </w:r>
    </w:p>
    <w:p>
      <w:pPr>
        <w:tabs>
          <w:tab w:val="left" w:pos="420"/>
        </w:tabs>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6</w:t>
      </w:r>
      <w:r>
        <w:rPr>
          <w:rFonts w:hint="eastAsia" w:ascii="宋体" w:hAnsi="宋体" w:cs="宋体"/>
          <w:color w:val="auto"/>
          <w:sz w:val="21"/>
          <w:szCs w:val="21"/>
          <w:lang w:eastAsia="zh-CN"/>
        </w:rPr>
        <w:t>）</w:t>
      </w:r>
      <w:r>
        <w:rPr>
          <w:rFonts w:hint="eastAsia" w:ascii="宋体" w:hAnsi="宋体" w:cs="宋体"/>
          <w:color w:val="auto"/>
          <w:sz w:val="21"/>
          <w:szCs w:val="21"/>
        </w:rPr>
        <w:t>保护逻辑图</w:t>
      </w:r>
    </w:p>
    <w:p>
      <w:pPr>
        <w:tabs>
          <w:tab w:val="left" w:pos="420"/>
        </w:tabs>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7</w:t>
      </w:r>
      <w:r>
        <w:rPr>
          <w:rFonts w:hint="eastAsia" w:ascii="宋体" w:hAnsi="宋体" w:cs="宋体"/>
          <w:color w:val="auto"/>
          <w:sz w:val="21"/>
          <w:szCs w:val="21"/>
          <w:lang w:eastAsia="zh-CN"/>
        </w:rPr>
        <w:t>）</w:t>
      </w:r>
      <w:r>
        <w:rPr>
          <w:rFonts w:hint="eastAsia" w:ascii="宋体" w:hAnsi="宋体" w:cs="宋体"/>
          <w:color w:val="auto"/>
          <w:sz w:val="21"/>
          <w:szCs w:val="21"/>
        </w:rPr>
        <w:t>调试大纲</w:t>
      </w:r>
    </w:p>
    <w:p>
      <w:pPr>
        <w:tabs>
          <w:tab w:val="left" w:pos="420"/>
        </w:tabs>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8</w:t>
      </w:r>
      <w:r>
        <w:rPr>
          <w:rFonts w:hint="eastAsia" w:ascii="宋体" w:hAnsi="宋体" w:cs="宋体"/>
          <w:color w:val="auto"/>
          <w:sz w:val="21"/>
          <w:szCs w:val="21"/>
          <w:lang w:eastAsia="zh-CN"/>
        </w:rPr>
        <w:t>）</w:t>
      </w:r>
      <w:r>
        <w:rPr>
          <w:rFonts w:hint="eastAsia" w:ascii="宋体" w:hAnsi="宋体" w:cs="宋体"/>
          <w:color w:val="auto"/>
          <w:sz w:val="21"/>
          <w:szCs w:val="21"/>
        </w:rPr>
        <w:t>机组的图纸应按每台机组出图并应标上高层代号、设备代号和KKS编码</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投标人应向招标人提供保护整定计算书，如某些保护装置整定范围或灵敏度不能满足运行条件时，招标人有权要求投标人改进。</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投标人在提供确认图纸时必须提供为审核该张图纸所需的资料。招标人有权要求投标人对其图纸中的任一装置任一部件作必要修改，而招标人不需承担额外费用。</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在收到招标人最终认可图纸前，投标人所购买的材料或制造所发生的费用及其风险全由投标人单独承担。</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生产的成品应符合合同的技术规范。招标人对图纸的确认并不能解除投标人对其图纸的完善性和准确性应承担的责任。</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在设计联络会后30天内，投标人应提供全部正式图纸的最终图和所有图纸的CAD光盘及其相关的支撑软件。</w:t>
      </w:r>
    </w:p>
    <w:p>
      <w:pPr>
        <w:spacing w:line="360" w:lineRule="auto"/>
        <w:rPr>
          <w:rFonts w:hint="eastAsia" w:ascii="宋体" w:hAnsi="宋体" w:cs="宋体"/>
          <w:color w:val="auto"/>
          <w:sz w:val="21"/>
          <w:szCs w:val="21"/>
        </w:rPr>
      </w:pPr>
      <w:r>
        <w:rPr>
          <w:rFonts w:hint="eastAsia" w:ascii="宋体" w:hAnsi="宋体" w:cs="宋体"/>
          <w:color w:val="auto"/>
          <w:sz w:val="21"/>
          <w:szCs w:val="21"/>
        </w:rPr>
        <w:t>3.3 设备供货时提供下列资料:</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设备的开箱资料，除了3.2所述图纸还应包括安装、运行、维护、修理说明书，部件清单资料，工厂试验报告，产品合格证，产品原产地证明等。</w:t>
      </w:r>
    </w:p>
    <w:p>
      <w:pPr>
        <w:spacing w:before="0" w:beforeLines="0" w:after="0" w:afterLines="0" w:line="360" w:lineRule="auto"/>
        <w:rPr>
          <w:rFonts w:hint="eastAsia" w:ascii="宋体" w:hAnsi="宋体" w:cs="宋体"/>
          <w:color w:val="auto"/>
          <w:sz w:val="32"/>
          <w:szCs w:val="32"/>
        </w:rPr>
      </w:pPr>
      <w:r>
        <w:rPr>
          <w:rFonts w:hint="eastAsia" w:ascii="宋体" w:hAnsi="宋体" w:cs="宋体"/>
          <w:color w:val="auto"/>
          <w:sz w:val="21"/>
          <w:szCs w:val="21"/>
        </w:rPr>
        <w:br w:type="page"/>
      </w:r>
      <w:bookmarkStart w:id="60" w:name="_Toc526944932"/>
      <w:bookmarkStart w:id="61" w:name="_Toc343695400"/>
      <w:bookmarkStart w:id="62" w:name="_Toc515785175"/>
      <w:bookmarkStart w:id="63" w:name="_Toc513014512"/>
      <w:r>
        <w:rPr>
          <w:rFonts w:hint="eastAsia" w:ascii="宋体" w:hAnsi="宋体" w:cs="宋体"/>
          <w:b/>
          <w:bCs/>
          <w:color w:val="auto"/>
          <w:sz w:val="30"/>
          <w:szCs w:val="30"/>
        </w:rPr>
        <w:t>附件4 设备交货进度</w:t>
      </w:r>
      <w:bookmarkEnd w:id="60"/>
      <w:bookmarkEnd w:id="61"/>
      <w:bookmarkEnd w:id="62"/>
      <w:bookmarkEnd w:id="63"/>
    </w:p>
    <w:p>
      <w:pPr>
        <w:pStyle w:val="5"/>
        <w:spacing w:line="360" w:lineRule="auto"/>
        <w:ind w:firstLineChars="200"/>
        <w:rPr>
          <w:rFonts w:hint="eastAsia" w:ascii="宋体" w:hAnsi="宋体" w:cs="宋体"/>
          <w:color w:val="auto"/>
          <w:sz w:val="21"/>
          <w:szCs w:val="21"/>
        </w:rPr>
      </w:pPr>
      <w:r>
        <w:rPr>
          <w:rFonts w:hint="eastAsia" w:ascii="宋体" w:hAnsi="宋体" w:cs="宋体"/>
          <w:color w:val="auto"/>
          <w:sz w:val="21"/>
          <w:szCs w:val="21"/>
        </w:rPr>
        <w:t>设备交货进度应按满足工程安装进度的要求，招标人要求的交货时间</w:t>
      </w:r>
      <w:r>
        <w:rPr>
          <w:rFonts w:hint="eastAsia" w:ascii="宋体" w:hAnsi="宋体" w:cs="宋体"/>
          <w:color w:val="auto"/>
          <w:sz w:val="21"/>
          <w:szCs w:val="21"/>
          <w:lang w:eastAsia="zh-CN"/>
        </w:rPr>
        <w:t>：</w:t>
      </w:r>
    </w:p>
    <w:p>
      <w:pPr>
        <w:pStyle w:val="5"/>
        <w:spacing w:after="157" w:afterLines="50" w:line="360" w:lineRule="auto"/>
        <w:jc w:val="center"/>
        <w:rPr>
          <w:rFonts w:hint="eastAsia" w:ascii="宋体" w:hAnsi="宋体" w:cs="宋体"/>
          <w:color w:val="auto"/>
          <w:sz w:val="21"/>
          <w:szCs w:val="21"/>
        </w:rPr>
      </w:pPr>
      <w:r>
        <w:rPr>
          <w:rFonts w:hint="eastAsia" w:ascii="宋体" w:hAnsi="宋体" w:cs="宋体"/>
          <w:color w:val="auto"/>
          <w:sz w:val="21"/>
          <w:szCs w:val="21"/>
        </w:rPr>
        <w:t>交货进度表(包括设备、备品备件、进口件及专用工具)</w:t>
      </w:r>
    </w:p>
    <w:tbl>
      <w:tblPr>
        <w:tblStyle w:val="18"/>
        <w:tblW w:w="8400" w:type="dxa"/>
        <w:tblInd w:w="-4"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68"/>
        <w:gridCol w:w="2507"/>
        <w:gridCol w:w="1680"/>
        <w:gridCol w:w="344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68"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序号</w:t>
            </w:r>
          </w:p>
        </w:tc>
        <w:tc>
          <w:tcPr>
            <w:tcW w:w="2507"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名称、型号</w:t>
            </w:r>
          </w:p>
        </w:tc>
        <w:tc>
          <w:tcPr>
            <w:tcW w:w="1680"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交货地点</w:t>
            </w:r>
          </w:p>
        </w:tc>
        <w:tc>
          <w:tcPr>
            <w:tcW w:w="3445"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交货时间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68"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2507" w:type="dxa"/>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发变组保护设备、智能变送器设备</w:t>
            </w:r>
          </w:p>
        </w:tc>
        <w:tc>
          <w:tcPr>
            <w:tcW w:w="1680" w:type="dxa"/>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rPr>
              <w:t>电厂工地现场</w:t>
            </w:r>
          </w:p>
        </w:tc>
        <w:tc>
          <w:tcPr>
            <w:tcW w:w="3445" w:type="dxa"/>
            <w:vMerge w:val="restart"/>
            <w:vAlign w:val="center"/>
          </w:tcPr>
          <w:p>
            <w:pPr>
              <w:snapToGrid w:val="0"/>
              <w:spacing w:line="240" w:lineRule="auto"/>
              <w:jc w:val="center"/>
              <w:rPr>
                <w:rFonts w:hint="default"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合同签订后1个月内</w:t>
            </w:r>
          </w:p>
          <w:p>
            <w:pPr>
              <w:snapToGrid w:val="0"/>
              <w:spacing w:line="240" w:lineRule="auto"/>
              <w:jc w:val="center"/>
              <w:rPr>
                <w:rFonts w:hint="eastAsia" w:ascii="宋体" w:hAnsi="宋体" w:eastAsia="宋体" w:cs="宋体"/>
                <w:color w:val="auto"/>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68"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p>
        </w:tc>
        <w:tc>
          <w:tcPr>
            <w:tcW w:w="2507" w:type="dxa"/>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rPr>
              <w:t>备品备件</w:t>
            </w:r>
          </w:p>
        </w:tc>
        <w:tc>
          <w:tcPr>
            <w:tcW w:w="1680" w:type="dxa"/>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rPr>
              <w:t>电厂工地现场</w:t>
            </w:r>
          </w:p>
        </w:tc>
        <w:tc>
          <w:tcPr>
            <w:tcW w:w="3445" w:type="dxa"/>
            <w:vMerge w:val="continue"/>
            <w:vAlign w:val="center"/>
          </w:tcPr>
          <w:p>
            <w:pPr>
              <w:snapToGrid w:val="0"/>
              <w:spacing w:line="240" w:lineRule="auto"/>
              <w:jc w:val="center"/>
              <w:rPr>
                <w:rFonts w:hint="eastAsia" w:ascii="宋体" w:hAnsi="宋体" w:eastAsia="宋体" w:cs="宋体"/>
                <w:color w:val="auto"/>
                <w:kern w:val="0"/>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68" w:type="dxa"/>
            <w:tcBorders>
              <w:bottom w:val="single" w:color="000000" w:sz="12" w:space="0"/>
            </w:tcBorders>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p>
        </w:tc>
        <w:tc>
          <w:tcPr>
            <w:tcW w:w="2507" w:type="dxa"/>
            <w:tcBorders>
              <w:bottom w:val="single" w:color="000000" w:sz="12" w:space="0"/>
            </w:tcBorders>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专用软件和工器具</w:t>
            </w:r>
          </w:p>
        </w:tc>
        <w:tc>
          <w:tcPr>
            <w:tcW w:w="1680" w:type="dxa"/>
            <w:tcBorders>
              <w:bottom w:val="single" w:color="000000" w:sz="12" w:space="0"/>
            </w:tcBorders>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rPr>
              <w:t>电厂工地现场</w:t>
            </w:r>
          </w:p>
        </w:tc>
        <w:tc>
          <w:tcPr>
            <w:tcW w:w="3445" w:type="dxa"/>
            <w:vMerge w:val="continue"/>
            <w:tcBorders>
              <w:bottom w:val="single" w:color="000000" w:sz="12" w:space="0"/>
            </w:tcBorders>
            <w:vAlign w:val="center"/>
          </w:tcPr>
          <w:p>
            <w:pPr>
              <w:snapToGrid w:val="0"/>
              <w:spacing w:line="240" w:lineRule="auto"/>
              <w:jc w:val="center"/>
              <w:rPr>
                <w:rFonts w:hint="eastAsia" w:ascii="宋体" w:hAnsi="宋体" w:eastAsia="宋体" w:cs="宋体"/>
                <w:color w:val="auto"/>
                <w:kern w:val="0"/>
                <w:sz w:val="21"/>
                <w:szCs w:val="21"/>
              </w:rPr>
            </w:pPr>
          </w:p>
        </w:tc>
      </w:tr>
    </w:tbl>
    <w:p>
      <w:pPr>
        <w:pStyle w:val="5"/>
        <w:adjustRightInd/>
        <w:spacing w:before="157" w:beforeLines="50" w:line="360" w:lineRule="auto"/>
        <w:ind w:left="0" w:leftChars="0" w:firstLine="420" w:firstLineChars="200"/>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eastAsia="宋体" w:cs="宋体"/>
          <w:color w:val="auto"/>
          <w:sz w:val="21"/>
          <w:szCs w:val="21"/>
          <w:lang w:eastAsia="zh-CN"/>
        </w:rPr>
        <w:t xml:space="preserve"> </w:t>
      </w:r>
      <w:r>
        <w:rPr>
          <w:rFonts w:hint="eastAsia" w:ascii="宋体" w:hAnsi="宋体" w:cs="宋体"/>
          <w:color w:val="auto"/>
          <w:sz w:val="21"/>
          <w:szCs w:val="21"/>
        </w:rPr>
        <w:t>本交货时间为暂定计划，投标人承诺满足工程进度的要求。</w:t>
      </w:r>
    </w:p>
    <w:p>
      <w:pPr>
        <w:pStyle w:val="5"/>
        <w:adjustRightInd/>
        <w:spacing w:line="360" w:lineRule="auto"/>
        <w:ind w:left="0" w:leftChars="0" w:firstLineChars="20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eastAsia="宋体" w:cs="宋体"/>
          <w:color w:val="auto"/>
          <w:sz w:val="21"/>
          <w:szCs w:val="21"/>
          <w:lang w:eastAsia="zh-CN"/>
        </w:rPr>
        <w:t xml:space="preserve"> </w:t>
      </w:r>
      <w:r>
        <w:rPr>
          <w:rFonts w:hint="eastAsia" w:ascii="宋体" w:hAnsi="宋体" w:cs="宋体"/>
          <w:color w:val="auto"/>
          <w:sz w:val="21"/>
          <w:szCs w:val="21"/>
        </w:rPr>
        <w:t>投标人将上述设备发运至指定交货地点的运杂费包含在投标总价中。</w:t>
      </w:r>
    </w:p>
    <w:p>
      <w:pPr>
        <w:pStyle w:val="5"/>
        <w:adjustRightInd/>
        <w:spacing w:line="360" w:lineRule="auto"/>
        <w:ind w:left="0" w:leftChars="0" w:firstLineChars="200"/>
        <w:rPr>
          <w:rFonts w:hint="eastAsia" w:ascii="宋体" w:hAnsi="宋体" w:cs="宋体"/>
          <w:color w:val="auto"/>
          <w:sz w:val="21"/>
          <w:szCs w:val="21"/>
        </w:rPr>
      </w:pPr>
      <w:r>
        <w:rPr>
          <w:rFonts w:hint="eastAsia" w:ascii="宋体" w:hAnsi="宋体" w:cs="宋体"/>
          <w:color w:val="auto"/>
          <w:sz w:val="21"/>
          <w:szCs w:val="21"/>
        </w:rPr>
        <w:t>3</w:t>
      </w:r>
      <w:r>
        <w:rPr>
          <w:rFonts w:hint="eastAsia" w:ascii="宋体" w:hAnsi="宋体" w:eastAsia="宋体" w:cs="宋体"/>
          <w:color w:val="auto"/>
          <w:sz w:val="21"/>
          <w:szCs w:val="21"/>
          <w:lang w:eastAsia="zh-CN"/>
        </w:rPr>
        <w:t xml:space="preserve"> </w:t>
      </w:r>
      <w:r>
        <w:rPr>
          <w:rFonts w:hint="eastAsia" w:ascii="宋体" w:hAnsi="宋体" w:cs="宋体"/>
          <w:color w:val="auto"/>
          <w:sz w:val="21"/>
          <w:szCs w:val="21"/>
        </w:rPr>
        <w:t>如交货进度有变动，招标人</w:t>
      </w:r>
      <w:r>
        <w:rPr>
          <w:rFonts w:hint="eastAsia" w:ascii="宋体" w:hAnsi="宋体" w:cs="宋体"/>
          <w:color w:val="auto"/>
          <w:sz w:val="21"/>
          <w:szCs w:val="21"/>
          <w:lang w:val="en-US" w:eastAsia="zh-CN"/>
        </w:rPr>
        <w:t>应</w:t>
      </w:r>
      <w:r>
        <w:rPr>
          <w:rFonts w:hint="eastAsia" w:ascii="宋体" w:hAnsi="宋体" w:cs="宋体"/>
          <w:color w:val="auto"/>
          <w:sz w:val="21"/>
          <w:szCs w:val="21"/>
        </w:rPr>
        <w:t>提前通知，投标人不产生额外费用。</w:t>
      </w:r>
    </w:p>
    <w:p>
      <w:pPr>
        <w:spacing w:before="0" w:beforeLines="0" w:after="0" w:afterLines="0" w:line="360" w:lineRule="auto"/>
        <w:rPr>
          <w:rFonts w:hint="eastAsia" w:ascii="宋体" w:hAnsi="宋体" w:cs="宋体"/>
          <w:color w:val="auto"/>
          <w:sz w:val="30"/>
          <w:szCs w:val="30"/>
        </w:rPr>
      </w:pPr>
      <w:r>
        <w:rPr>
          <w:rFonts w:hint="eastAsia" w:ascii="宋体" w:hAnsi="宋体" w:cs="宋体"/>
          <w:color w:val="auto"/>
          <w:sz w:val="21"/>
          <w:szCs w:val="21"/>
        </w:rPr>
        <w:br w:type="page"/>
      </w:r>
      <w:bookmarkStart w:id="64" w:name="_Toc515785176"/>
      <w:bookmarkStart w:id="65" w:name="_Toc501817570"/>
      <w:bookmarkStart w:id="66" w:name="_Toc343695401"/>
      <w:bookmarkStart w:id="67" w:name="_Toc526944933"/>
      <w:bookmarkStart w:id="68" w:name="_Toc513014514"/>
      <w:r>
        <w:rPr>
          <w:rFonts w:hint="eastAsia" w:ascii="宋体" w:hAnsi="宋体" w:cs="宋体"/>
          <w:b/>
          <w:bCs/>
          <w:color w:val="auto"/>
          <w:sz w:val="30"/>
          <w:szCs w:val="30"/>
        </w:rPr>
        <w:t>附件5 设备监造、检验和性能验收试验</w:t>
      </w:r>
      <w:bookmarkEnd w:id="64"/>
      <w:bookmarkEnd w:id="65"/>
      <w:bookmarkEnd w:id="66"/>
      <w:bookmarkEnd w:id="67"/>
      <w:bookmarkEnd w:id="68"/>
    </w:p>
    <w:p>
      <w:pPr>
        <w:snapToGrid/>
        <w:spacing w:before="0" w:beforeLines="0" w:after="0" w:afterLines="0" w:line="360" w:lineRule="auto"/>
        <w:rPr>
          <w:rFonts w:hint="eastAsia" w:ascii="宋体" w:hAnsi="宋体" w:eastAsia="宋体" w:cs="宋体"/>
          <w:b/>
          <w:bCs/>
          <w:color w:val="auto"/>
          <w:sz w:val="28"/>
          <w:szCs w:val="28"/>
        </w:rPr>
      </w:pPr>
      <w:bookmarkStart w:id="69" w:name="_Toc515785177"/>
      <w:bookmarkStart w:id="70" w:name="_Toc501817571"/>
      <w:bookmarkStart w:id="71" w:name="_Toc513014515"/>
      <w:r>
        <w:rPr>
          <w:rFonts w:hint="eastAsia" w:ascii="宋体" w:hAnsi="宋体" w:eastAsia="宋体" w:cs="宋体"/>
          <w:b/>
          <w:bCs/>
          <w:color w:val="auto"/>
          <w:sz w:val="28"/>
          <w:szCs w:val="28"/>
        </w:rPr>
        <w:t>1</w:t>
      </w:r>
      <w:r>
        <w:rPr>
          <w:rFonts w:hint="eastAsia" w:ascii="宋体" w:hAnsi="宋体" w:eastAsia="宋体" w:cs="宋体"/>
          <w:b/>
          <w:bCs/>
          <w:color w:val="auto"/>
          <w:sz w:val="28"/>
          <w:szCs w:val="28"/>
          <w:lang w:eastAsia="zh-CN"/>
        </w:rPr>
        <w:t xml:space="preserve"> </w:t>
      </w:r>
      <w:r>
        <w:rPr>
          <w:rFonts w:hint="eastAsia" w:ascii="宋体" w:hAnsi="宋体" w:eastAsia="宋体" w:cs="宋体"/>
          <w:b/>
          <w:bCs/>
          <w:color w:val="auto"/>
          <w:sz w:val="28"/>
          <w:szCs w:val="28"/>
        </w:rPr>
        <w:t>概述</w:t>
      </w:r>
      <w:bookmarkEnd w:id="69"/>
      <w:bookmarkEnd w:id="70"/>
      <w:bookmarkEnd w:id="71"/>
    </w:p>
    <w:p>
      <w:pPr>
        <w:spacing w:line="300" w:lineRule="auto"/>
        <w:ind w:firstLine="0"/>
        <w:rPr>
          <w:rFonts w:hint="eastAsia" w:ascii="宋体" w:hAnsi="宋体" w:cs="宋体"/>
          <w:color w:val="auto"/>
          <w:sz w:val="21"/>
          <w:szCs w:val="21"/>
        </w:rPr>
      </w:pPr>
      <w:r>
        <w:rPr>
          <w:rFonts w:hint="eastAsia" w:ascii="宋体" w:hAnsi="宋体" w:cs="宋体"/>
          <w:color w:val="auto"/>
          <w:sz w:val="21"/>
          <w:szCs w:val="21"/>
        </w:rPr>
        <w:t>1.1 本附件用于合同执行期间对</w:t>
      </w:r>
      <w:r>
        <w:rPr>
          <w:rFonts w:hint="eastAsia" w:ascii="宋体" w:hAnsi="宋体" w:cs="宋体"/>
          <w:color w:val="auto"/>
          <w:sz w:val="21"/>
          <w:szCs w:val="21"/>
          <w:lang w:eastAsia="zh-CN"/>
        </w:rPr>
        <w:t>投标人</w:t>
      </w:r>
      <w:r>
        <w:rPr>
          <w:rFonts w:hint="eastAsia" w:ascii="宋体" w:hAnsi="宋体" w:cs="宋体"/>
          <w:color w:val="auto"/>
          <w:sz w:val="21"/>
          <w:szCs w:val="21"/>
        </w:rPr>
        <w:t>所提供的设备（包括对分包外购设备）进行检验、监造和性能验收试验，确保</w:t>
      </w:r>
      <w:r>
        <w:rPr>
          <w:rFonts w:hint="eastAsia" w:ascii="宋体" w:hAnsi="宋体" w:cs="宋体"/>
          <w:color w:val="auto"/>
          <w:sz w:val="21"/>
          <w:szCs w:val="21"/>
          <w:lang w:eastAsia="zh-CN"/>
        </w:rPr>
        <w:t>投标人</w:t>
      </w:r>
      <w:r>
        <w:rPr>
          <w:rFonts w:hint="eastAsia" w:ascii="宋体" w:hAnsi="宋体" w:cs="宋体"/>
          <w:color w:val="auto"/>
          <w:sz w:val="21"/>
          <w:szCs w:val="21"/>
        </w:rPr>
        <w:t>所提供的设备符合附件1规定的要求。</w:t>
      </w:r>
    </w:p>
    <w:p>
      <w:pPr>
        <w:spacing w:line="300" w:lineRule="auto"/>
        <w:ind w:firstLine="0"/>
        <w:rPr>
          <w:rFonts w:hint="eastAsia" w:ascii="宋体" w:hAnsi="宋体" w:cs="宋体"/>
          <w:color w:val="auto"/>
          <w:sz w:val="21"/>
          <w:szCs w:val="21"/>
        </w:rPr>
      </w:pPr>
      <w:r>
        <w:rPr>
          <w:rFonts w:hint="eastAsia" w:ascii="宋体" w:hAnsi="宋体" w:cs="宋体"/>
          <w:color w:val="auto"/>
          <w:sz w:val="21"/>
          <w:szCs w:val="21"/>
        </w:rPr>
        <w:t xml:space="preserve">1.2 </w:t>
      </w:r>
      <w:r>
        <w:rPr>
          <w:rFonts w:hint="eastAsia" w:ascii="宋体" w:hAnsi="宋体" w:cs="宋体"/>
          <w:color w:val="auto"/>
          <w:sz w:val="21"/>
          <w:szCs w:val="21"/>
          <w:lang w:eastAsia="zh-CN"/>
        </w:rPr>
        <w:t>投标人</w:t>
      </w:r>
      <w:r>
        <w:rPr>
          <w:rFonts w:hint="eastAsia" w:ascii="宋体" w:hAnsi="宋体" w:cs="宋体"/>
          <w:color w:val="auto"/>
          <w:sz w:val="21"/>
          <w:szCs w:val="21"/>
        </w:rPr>
        <w:t>应在本合同生效后</w:t>
      </w:r>
      <w:r>
        <w:rPr>
          <w:rFonts w:hint="eastAsia" w:ascii="宋体" w:hAnsi="宋体" w:cs="宋体"/>
          <w:color w:val="auto"/>
          <w:sz w:val="21"/>
          <w:szCs w:val="21"/>
          <w:lang w:eastAsia="zh-CN"/>
        </w:rPr>
        <w:t>1</w:t>
      </w:r>
      <w:r>
        <w:rPr>
          <w:rFonts w:hint="eastAsia" w:ascii="宋体" w:hAnsi="宋体" w:cs="宋体"/>
          <w:color w:val="auto"/>
          <w:sz w:val="21"/>
          <w:szCs w:val="21"/>
        </w:rPr>
        <w:t>个月内，向</w:t>
      </w:r>
      <w:r>
        <w:rPr>
          <w:rFonts w:hint="eastAsia" w:ascii="宋体" w:hAnsi="宋体" w:cs="宋体"/>
          <w:color w:val="auto"/>
          <w:sz w:val="21"/>
          <w:szCs w:val="21"/>
          <w:lang w:eastAsia="zh-CN"/>
        </w:rPr>
        <w:t>招标人</w:t>
      </w:r>
      <w:r>
        <w:rPr>
          <w:rFonts w:hint="eastAsia" w:ascii="宋体" w:hAnsi="宋体" w:cs="宋体"/>
          <w:color w:val="auto"/>
          <w:sz w:val="21"/>
          <w:szCs w:val="21"/>
        </w:rPr>
        <w:t>提供与本合同设备有关的监造、检验、性能验收试验标准。有关标准应符合附件1的规定。</w:t>
      </w:r>
    </w:p>
    <w:p>
      <w:pPr>
        <w:snapToGrid/>
        <w:spacing w:before="0" w:beforeLines="0" w:after="0" w:afterLines="0" w:line="360" w:lineRule="auto"/>
        <w:rPr>
          <w:rFonts w:hint="eastAsia" w:ascii="宋体" w:hAnsi="宋体" w:eastAsia="宋体" w:cs="宋体"/>
          <w:b/>
          <w:bCs/>
          <w:color w:val="auto"/>
          <w:sz w:val="28"/>
          <w:szCs w:val="28"/>
        </w:rPr>
      </w:pPr>
      <w:bookmarkStart w:id="72" w:name="_Toc501817572"/>
      <w:bookmarkStart w:id="73" w:name="_Toc515785178"/>
      <w:bookmarkStart w:id="74" w:name="_Toc513014516"/>
      <w:r>
        <w:rPr>
          <w:rFonts w:hint="eastAsia" w:ascii="宋体" w:hAnsi="宋体" w:eastAsia="宋体" w:cs="宋体"/>
          <w:b/>
          <w:bCs/>
          <w:color w:val="auto"/>
          <w:sz w:val="28"/>
          <w:szCs w:val="28"/>
        </w:rPr>
        <w:t>2</w:t>
      </w:r>
      <w:r>
        <w:rPr>
          <w:rFonts w:hint="eastAsia" w:ascii="宋体" w:hAnsi="宋体" w:eastAsia="宋体" w:cs="宋体"/>
          <w:b/>
          <w:bCs/>
          <w:color w:val="auto"/>
          <w:sz w:val="28"/>
          <w:szCs w:val="28"/>
          <w:lang w:eastAsia="zh-CN"/>
        </w:rPr>
        <w:t xml:space="preserve"> </w:t>
      </w:r>
      <w:r>
        <w:rPr>
          <w:rFonts w:hint="eastAsia" w:ascii="宋体" w:hAnsi="宋体" w:eastAsia="宋体" w:cs="宋体"/>
          <w:b/>
          <w:bCs/>
          <w:color w:val="auto"/>
          <w:sz w:val="28"/>
          <w:szCs w:val="28"/>
        </w:rPr>
        <w:t>工厂检查</w:t>
      </w:r>
      <w:bookmarkEnd w:id="72"/>
      <w:bookmarkEnd w:id="73"/>
      <w:bookmarkEnd w:id="74"/>
      <w:r>
        <w:rPr>
          <w:rFonts w:hint="eastAsia" w:ascii="宋体" w:hAnsi="宋体" w:eastAsia="宋体" w:cs="宋体"/>
          <w:b/>
          <w:bCs/>
          <w:color w:val="auto"/>
          <w:sz w:val="28"/>
          <w:szCs w:val="28"/>
        </w:rPr>
        <w:t>和监造</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 xml:space="preserve">2.1 </w:t>
      </w:r>
      <w:r>
        <w:rPr>
          <w:rFonts w:hint="eastAsia" w:ascii="宋体" w:hAnsi="宋体" w:cs="宋体"/>
          <w:color w:val="auto"/>
          <w:sz w:val="21"/>
          <w:szCs w:val="21"/>
          <w:lang w:eastAsia="zh-CN"/>
        </w:rPr>
        <w:t>招标人</w:t>
      </w:r>
      <w:r>
        <w:rPr>
          <w:rFonts w:hint="eastAsia" w:ascii="宋体" w:hAnsi="宋体" w:cs="宋体"/>
          <w:color w:val="auto"/>
          <w:sz w:val="21"/>
          <w:szCs w:val="21"/>
        </w:rPr>
        <w:t>有权派遣其检验人员到</w:t>
      </w:r>
      <w:r>
        <w:rPr>
          <w:rFonts w:hint="eastAsia" w:ascii="宋体" w:hAnsi="宋体" w:cs="宋体"/>
          <w:color w:val="auto"/>
          <w:sz w:val="21"/>
          <w:szCs w:val="21"/>
          <w:lang w:eastAsia="zh-CN"/>
        </w:rPr>
        <w:t>投标人</w:t>
      </w:r>
      <w:r>
        <w:rPr>
          <w:rFonts w:hint="eastAsia" w:ascii="宋体" w:hAnsi="宋体" w:cs="宋体"/>
          <w:color w:val="auto"/>
          <w:sz w:val="21"/>
          <w:szCs w:val="21"/>
        </w:rPr>
        <w:t>及其分包商的车间场所，对合同设备的加工制造进行检验和监造。</w:t>
      </w:r>
      <w:r>
        <w:rPr>
          <w:rFonts w:hint="eastAsia" w:ascii="宋体" w:hAnsi="宋体" w:cs="宋体"/>
          <w:color w:val="auto"/>
          <w:sz w:val="21"/>
          <w:szCs w:val="21"/>
          <w:lang w:eastAsia="zh-CN"/>
        </w:rPr>
        <w:t>招标人</w:t>
      </w:r>
      <w:r>
        <w:rPr>
          <w:rFonts w:hint="eastAsia" w:ascii="宋体" w:hAnsi="宋体" w:cs="宋体"/>
          <w:color w:val="auto"/>
          <w:sz w:val="21"/>
          <w:szCs w:val="21"/>
        </w:rPr>
        <w:t>将为此目的而派遣的代表的身份以书面形式通知</w:t>
      </w:r>
      <w:r>
        <w:rPr>
          <w:rFonts w:hint="eastAsia" w:ascii="宋体" w:hAnsi="宋体" w:cs="宋体"/>
          <w:color w:val="auto"/>
          <w:sz w:val="21"/>
          <w:szCs w:val="21"/>
          <w:lang w:eastAsia="zh-CN"/>
        </w:rPr>
        <w:t>投标人</w:t>
      </w:r>
      <w:r>
        <w:rPr>
          <w:rFonts w:hint="eastAsia" w:ascii="宋体" w:hAnsi="宋体" w:cs="宋体"/>
          <w:color w:val="auto"/>
          <w:sz w:val="21"/>
          <w:szCs w:val="21"/>
        </w:rPr>
        <w:t>。</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2.2 如有合同设备经检验和试验不符合技术规范的要求,</w:t>
      </w:r>
      <w:r>
        <w:rPr>
          <w:rFonts w:hint="eastAsia" w:ascii="宋体" w:hAnsi="宋体" w:cs="宋体"/>
          <w:color w:val="auto"/>
          <w:sz w:val="21"/>
          <w:szCs w:val="21"/>
          <w:lang w:eastAsia="zh-CN"/>
        </w:rPr>
        <w:t>招标人</w:t>
      </w:r>
      <w:r>
        <w:rPr>
          <w:rFonts w:hint="eastAsia" w:ascii="宋体" w:hAnsi="宋体" w:cs="宋体"/>
          <w:color w:val="auto"/>
          <w:sz w:val="21"/>
          <w:szCs w:val="21"/>
        </w:rPr>
        <w:t>可以拒收,</w:t>
      </w:r>
      <w:r>
        <w:rPr>
          <w:rFonts w:hint="eastAsia" w:ascii="宋体" w:hAnsi="宋体" w:cs="宋体"/>
          <w:color w:val="auto"/>
          <w:sz w:val="21"/>
          <w:szCs w:val="21"/>
          <w:lang w:eastAsia="zh-CN"/>
        </w:rPr>
        <w:t>投标人</w:t>
      </w:r>
      <w:r>
        <w:rPr>
          <w:rFonts w:hint="eastAsia" w:ascii="宋体" w:hAnsi="宋体" w:cs="宋体"/>
          <w:color w:val="auto"/>
          <w:sz w:val="21"/>
          <w:szCs w:val="21"/>
        </w:rPr>
        <w:t>应更换被拒收的货物，或进行必要的改造使之符合技术规范的要求，</w:t>
      </w:r>
      <w:r>
        <w:rPr>
          <w:rFonts w:hint="eastAsia" w:ascii="宋体" w:hAnsi="宋体" w:cs="宋体"/>
          <w:color w:val="auto"/>
          <w:sz w:val="21"/>
          <w:szCs w:val="21"/>
          <w:lang w:eastAsia="zh-CN"/>
        </w:rPr>
        <w:t>招标人</w:t>
      </w:r>
      <w:r>
        <w:rPr>
          <w:rFonts w:hint="eastAsia" w:ascii="宋体" w:hAnsi="宋体" w:cs="宋体"/>
          <w:color w:val="auto"/>
          <w:sz w:val="21"/>
          <w:szCs w:val="21"/>
        </w:rPr>
        <w:t>不承担上述的费用。</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 xml:space="preserve">2.3 </w:t>
      </w:r>
      <w:r>
        <w:rPr>
          <w:rFonts w:hint="eastAsia" w:ascii="宋体" w:hAnsi="宋体" w:cs="宋体"/>
          <w:color w:val="auto"/>
          <w:sz w:val="21"/>
          <w:szCs w:val="21"/>
          <w:lang w:eastAsia="zh-CN"/>
        </w:rPr>
        <w:t>招标人</w:t>
      </w:r>
      <w:r>
        <w:rPr>
          <w:rFonts w:hint="eastAsia" w:ascii="宋体" w:hAnsi="宋体" w:cs="宋体"/>
          <w:color w:val="auto"/>
          <w:sz w:val="21"/>
          <w:szCs w:val="21"/>
        </w:rPr>
        <w:t>对货物运到</w:t>
      </w:r>
      <w:r>
        <w:rPr>
          <w:rFonts w:hint="eastAsia" w:ascii="宋体" w:hAnsi="宋体" w:cs="宋体"/>
          <w:color w:val="auto"/>
          <w:sz w:val="21"/>
          <w:szCs w:val="21"/>
          <w:lang w:eastAsia="zh-CN"/>
        </w:rPr>
        <w:t>招标人</w:t>
      </w:r>
      <w:r>
        <w:rPr>
          <w:rFonts w:hint="eastAsia" w:ascii="宋体" w:hAnsi="宋体" w:cs="宋体"/>
          <w:color w:val="auto"/>
          <w:sz w:val="21"/>
          <w:szCs w:val="21"/>
        </w:rPr>
        <w:t>所在地以后进行检验、试验和拒收(如果必要时)的权利，不得因该货物在原产地发运以前已经由</w:t>
      </w:r>
      <w:r>
        <w:rPr>
          <w:rFonts w:hint="eastAsia" w:ascii="宋体" w:hAnsi="宋体" w:cs="宋体"/>
          <w:color w:val="auto"/>
          <w:sz w:val="21"/>
          <w:szCs w:val="21"/>
          <w:lang w:eastAsia="zh-CN"/>
        </w:rPr>
        <w:t>招标人</w:t>
      </w:r>
      <w:r>
        <w:rPr>
          <w:rFonts w:hint="eastAsia" w:ascii="宋体" w:hAnsi="宋体" w:cs="宋体"/>
          <w:color w:val="auto"/>
          <w:sz w:val="21"/>
          <w:szCs w:val="21"/>
        </w:rPr>
        <w:t>或其代表进行过监造和检验并已通过作为理由而受到限制。</w:t>
      </w:r>
      <w:r>
        <w:rPr>
          <w:rFonts w:hint="eastAsia" w:ascii="宋体" w:hAnsi="宋体" w:cs="宋体"/>
          <w:color w:val="auto"/>
          <w:sz w:val="21"/>
          <w:szCs w:val="21"/>
          <w:lang w:eastAsia="zh-CN"/>
        </w:rPr>
        <w:t>招标人</w:t>
      </w:r>
      <w:r>
        <w:rPr>
          <w:rFonts w:hint="eastAsia" w:ascii="宋体" w:hAnsi="宋体" w:cs="宋体"/>
          <w:color w:val="auto"/>
          <w:sz w:val="21"/>
          <w:szCs w:val="21"/>
        </w:rPr>
        <w:t>人员参加工厂试验,包括会签任何试验结果，既不免除</w:t>
      </w:r>
      <w:r>
        <w:rPr>
          <w:rFonts w:hint="eastAsia" w:ascii="宋体" w:hAnsi="宋体" w:cs="宋体"/>
          <w:color w:val="auto"/>
          <w:sz w:val="21"/>
          <w:szCs w:val="21"/>
          <w:lang w:eastAsia="zh-CN"/>
        </w:rPr>
        <w:t>投标人</w:t>
      </w:r>
      <w:r>
        <w:rPr>
          <w:rFonts w:hint="eastAsia" w:ascii="宋体" w:hAnsi="宋体" w:cs="宋体"/>
          <w:color w:val="auto"/>
          <w:sz w:val="21"/>
          <w:szCs w:val="21"/>
        </w:rPr>
        <w:t>按合同规定应负的责任,也不能代替合同设备到达现场后</w:t>
      </w:r>
      <w:r>
        <w:rPr>
          <w:rFonts w:hint="eastAsia" w:ascii="宋体" w:hAnsi="宋体" w:cs="宋体"/>
          <w:color w:val="auto"/>
          <w:sz w:val="21"/>
          <w:szCs w:val="21"/>
          <w:lang w:eastAsia="zh-CN"/>
        </w:rPr>
        <w:t>招标人</w:t>
      </w:r>
      <w:r>
        <w:rPr>
          <w:rFonts w:hint="eastAsia" w:ascii="宋体" w:hAnsi="宋体" w:cs="宋体"/>
          <w:color w:val="auto"/>
          <w:sz w:val="21"/>
          <w:szCs w:val="21"/>
        </w:rPr>
        <w:t>对其进行的检验。</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 xml:space="preserve">2.4 </w:t>
      </w:r>
      <w:r>
        <w:rPr>
          <w:rFonts w:hint="eastAsia" w:ascii="宋体" w:hAnsi="宋体" w:cs="宋体"/>
          <w:color w:val="auto"/>
          <w:sz w:val="21"/>
          <w:szCs w:val="21"/>
          <w:lang w:eastAsia="zh-CN"/>
        </w:rPr>
        <w:t>投标人</w:t>
      </w:r>
      <w:r>
        <w:rPr>
          <w:rFonts w:hint="eastAsia" w:ascii="宋体" w:hAnsi="宋体" w:cs="宋体"/>
          <w:color w:val="auto"/>
          <w:sz w:val="21"/>
          <w:szCs w:val="21"/>
        </w:rPr>
        <w:t>应在开始进行工厂试验前15天，通知</w:t>
      </w:r>
      <w:r>
        <w:rPr>
          <w:rFonts w:hint="eastAsia" w:ascii="宋体" w:hAnsi="宋体" w:cs="宋体"/>
          <w:color w:val="auto"/>
          <w:sz w:val="21"/>
          <w:szCs w:val="21"/>
          <w:lang w:eastAsia="zh-CN"/>
        </w:rPr>
        <w:t>招标人</w:t>
      </w:r>
      <w:r>
        <w:rPr>
          <w:rFonts w:hint="eastAsia" w:ascii="宋体" w:hAnsi="宋体" w:cs="宋体"/>
          <w:color w:val="auto"/>
          <w:sz w:val="21"/>
          <w:szCs w:val="21"/>
        </w:rPr>
        <w:t>其日程安排。根据这个日程安排，</w:t>
      </w:r>
      <w:r>
        <w:rPr>
          <w:rFonts w:hint="eastAsia" w:ascii="宋体" w:hAnsi="宋体" w:cs="宋体"/>
          <w:color w:val="auto"/>
          <w:sz w:val="21"/>
          <w:szCs w:val="21"/>
          <w:lang w:eastAsia="zh-CN"/>
        </w:rPr>
        <w:t>招标人</w:t>
      </w:r>
      <w:r>
        <w:rPr>
          <w:rFonts w:hint="eastAsia" w:ascii="宋体" w:hAnsi="宋体" w:cs="宋体"/>
          <w:color w:val="auto"/>
          <w:sz w:val="21"/>
          <w:szCs w:val="21"/>
        </w:rPr>
        <w:t>将确定对合同设备的那些试验项目和阶段要进行现场验证，并将在接到</w:t>
      </w:r>
      <w:r>
        <w:rPr>
          <w:rFonts w:hint="eastAsia" w:ascii="宋体" w:hAnsi="宋体" w:cs="宋体"/>
          <w:color w:val="auto"/>
          <w:sz w:val="21"/>
          <w:szCs w:val="21"/>
          <w:lang w:eastAsia="zh-CN"/>
        </w:rPr>
        <w:t>投标人</w:t>
      </w:r>
      <w:r>
        <w:rPr>
          <w:rFonts w:hint="eastAsia" w:ascii="宋体" w:hAnsi="宋体" w:cs="宋体"/>
          <w:color w:val="auto"/>
          <w:sz w:val="21"/>
          <w:szCs w:val="21"/>
        </w:rPr>
        <w:t>关于安装、试验和检验的日程安排通知后10天内通知</w:t>
      </w:r>
      <w:r>
        <w:rPr>
          <w:rFonts w:hint="eastAsia" w:ascii="宋体" w:hAnsi="宋体" w:cs="宋体"/>
          <w:color w:val="auto"/>
          <w:sz w:val="21"/>
          <w:szCs w:val="21"/>
          <w:lang w:eastAsia="zh-CN"/>
        </w:rPr>
        <w:t>投标人</w:t>
      </w:r>
      <w:r>
        <w:rPr>
          <w:rFonts w:hint="eastAsia" w:ascii="宋体" w:hAnsi="宋体" w:cs="宋体"/>
          <w:color w:val="auto"/>
          <w:sz w:val="21"/>
          <w:szCs w:val="21"/>
        </w:rPr>
        <w:t>。然后</w:t>
      </w:r>
      <w:r>
        <w:rPr>
          <w:rFonts w:hint="eastAsia" w:ascii="宋体" w:hAnsi="宋体" w:cs="宋体"/>
          <w:color w:val="auto"/>
          <w:sz w:val="21"/>
          <w:szCs w:val="21"/>
          <w:lang w:eastAsia="zh-CN"/>
        </w:rPr>
        <w:t>招标人</w:t>
      </w:r>
      <w:r>
        <w:rPr>
          <w:rFonts w:hint="eastAsia" w:ascii="宋体" w:hAnsi="宋体" w:cs="宋体"/>
          <w:color w:val="auto"/>
          <w:sz w:val="21"/>
          <w:szCs w:val="21"/>
        </w:rPr>
        <w:t>将派出技术人员前往</w:t>
      </w:r>
      <w:r>
        <w:rPr>
          <w:rFonts w:hint="eastAsia" w:ascii="宋体" w:hAnsi="宋体" w:cs="宋体"/>
          <w:color w:val="auto"/>
          <w:sz w:val="21"/>
          <w:szCs w:val="21"/>
          <w:lang w:eastAsia="zh-CN"/>
        </w:rPr>
        <w:t>投标人</w:t>
      </w:r>
      <w:r>
        <w:rPr>
          <w:rFonts w:hint="eastAsia" w:ascii="宋体" w:hAnsi="宋体" w:cs="宋体"/>
          <w:color w:val="auto"/>
          <w:sz w:val="21"/>
          <w:szCs w:val="21"/>
        </w:rPr>
        <w:t>和(或)其分包商生产现场，以观察和了解该合同设备工厂试验的情况及其运输包装的情况。若发现任一货物的质量不符合合同规定的标准，或包装不满足要求,</w:t>
      </w:r>
      <w:r>
        <w:rPr>
          <w:rFonts w:hint="eastAsia" w:ascii="宋体" w:hAnsi="宋体" w:cs="宋体"/>
          <w:color w:val="auto"/>
          <w:sz w:val="21"/>
          <w:szCs w:val="21"/>
          <w:lang w:eastAsia="zh-CN"/>
        </w:rPr>
        <w:t>招标人</w:t>
      </w:r>
      <w:r>
        <w:rPr>
          <w:rFonts w:hint="eastAsia" w:ascii="宋体" w:hAnsi="宋体" w:cs="宋体"/>
          <w:color w:val="auto"/>
          <w:sz w:val="21"/>
          <w:szCs w:val="21"/>
        </w:rPr>
        <w:t>代表有权发表意见,</w:t>
      </w:r>
      <w:r>
        <w:rPr>
          <w:rFonts w:hint="eastAsia" w:ascii="宋体" w:hAnsi="宋体" w:cs="宋体"/>
          <w:color w:val="auto"/>
          <w:sz w:val="21"/>
          <w:szCs w:val="21"/>
          <w:lang w:eastAsia="zh-CN"/>
        </w:rPr>
        <w:t>投标人</w:t>
      </w:r>
      <w:r>
        <w:rPr>
          <w:rFonts w:hint="eastAsia" w:ascii="宋体" w:hAnsi="宋体" w:cs="宋体"/>
          <w:color w:val="auto"/>
          <w:sz w:val="21"/>
          <w:szCs w:val="21"/>
        </w:rPr>
        <w:t>应认真考虑其意见，并采取必要措施以确保待运合同设备的质量，现场验证检验程序由双方代表共同协商决定。</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2.5 若</w:t>
      </w:r>
      <w:r>
        <w:rPr>
          <w:rFonts w:hint="eastAsia" w:ascii="宋体" w:hAnsi="宋体" w:cs="宋体"/>
          <w:color w:val="auto"/>
          <w:sz w:val="21"/>
          <w:szCs w:val="21"/>
          <w:lang w:eastAsia="zh-CN"/>
        </w:rPr>
        <w:t>招标人</w:t>
      </w:r>
      <w:r>
        <w:rPr>
          <w:rFonts w:hint="eastAsia" w:ascii="宋体" w:hAnsi="宋体" w:cs="宋体"/>
          <w:color w:val="auto"/>
          <w:sz w:val="21"/>
          <w:szCs w:val="21"/>
        </w:rPr>
        <w:t>不派代表参加上述试验,</w:t>
      </w:r>
      <w:r>
        <w:rPr>
          <w:rFonts w:hint="eastAsia" w:ascii="宋体" w:hAnsi="宋体" w:cs="宋体"/>
          <w:color w:val="auto"/>
          <w:sz w:val="21"/>
          <w:szCs w:val="21"/>
          <w:lang w:eastAsia="zh-CN"/>
        </w:rPr>
        <w:t>投标人</w:t>
      </w:r>
      <w:r>
        <w:rPr>
          <w:rFonts w:hint="eastAsia" w:ascii="宋体" w:hAnsi="宋体" w:cs="宋体"/>
          <w:color w:val="auto"/>
          <w:sz w:val="21"/>
          <w:szCs w:val="21"/>
        </w:rPr>
        <w:t>应在接到</w:t>
      </w:r>
      <w:r>
        <w:rPr>
          <w:rFonts w:hint="eastAsia" w:ascii="宋体" w:hAnsi="宋体" w:cs="宋体"/>
          <w:color w:val="auto"/>
          <w:sz w:val="21"/>
          <w:szCs w:val="21"/>
          <w:lang w:eastAsia="zh-CN"/>
        </w:rPr>
        <w:t>招标人</w:t>
      </w:r>
      <w:r>
        <w:rPr>
          <w:rFonts w:hint="eastAsia" w:ascii="宋体" w:hAnsi="宋体" w:cs="宋体"/>
          <w:color w:val="auto"/>
          <w:sz w:val="21"/>
          <w:szCs w:val="21"/>
        </w:rPr>
        <w:t>关于不派员到</w:t>
      </w:r>
      <w:r>
        <w:rPr>
          <w:rFonts w:hint="eastAsia" w:ascii="宋体" w:hAnsi="宋体" w:cs="宋体"/>
          <w:color w:val="auto"/>
          <w:sz w:val="21"/>
          <w:szCs w:val="21"/>
          <w:lang w:eastAsia="zh-CN"/>
        </w:rPr>
        <w:t>投标人</w:t>
      </w:r>
      <w:r>
        <w:rPr>
          <w:rFonts w:hint="eastAsia" w:ascii="宋体" w:hAnsi="宋体" w:cs="宋体"/>
          <w:color w:val="auto"/>
          <w:sz w:val="21"/>
          <w:szCs w:val="21"/>
        </w:rPr>
        <w:t>和(或)其分包商工厂的通知后,或</w:t>
      </w:r>
      <w:r>
        <w:rPr>
          <w:rFonts w:hint="eastAsia" w:ascii="宋体" w:hAnsi="宋体" w:cs="宋体"/>
          <w:color w:val="auto"/>
          <w:sz w:val="21"/>
          <w:szCs w:val="21"/>
          <w:lang w:eastAsia="zh-CN"/>
        </w:rPr>
        <w:t>招标人</w:t>
      </w:r>
      <w:r>
        <w:rPr>
          <w:rFonts w:hint="eastAsia" w:ascii="宋体" w:hAnsi="宋体" w:cs="宋体"/>
          <w:color w:val="auto"/>
          <w:sz w:val="21"/>
          <w:szCs w:val="21"/>
        </w:rPr>
        <w:t>未按时派遣人员参加的情况下，自行组织检验。</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 xml:space="preserve">2.6 </w:t>
      </w:r>
      <w:r>
        <w:rPr>
          <w:rFonts w:hint="eastAsia" w:ascii="宋体" w:hAnsi="宋体" w:cs="宋体"/>
          <w:color w:val="auto"/>
          <w:sz w:val="21"/>
          <w:szCs w:val="21"/>
          <w:lang w:eastAsia="zh-CN"/>
        </w:rPr>
        <w:t>招标人</w:t>
      </w:r>
      <w:r>
        <w:rPr>
          <w:rFonts w:hint="eastAsia" w:ascii="宋体" w:hAnsi="宋体" w:cs="宋体"/>
          <w:color w:val="auto"/>
          <w:sz w:val="21"/>
          <w:szCs w:val="21"/>
        </w:rPr>
        <w:t>将委托监造公司对本设备进行监造，监造公司将根据本技术协议附件五中的内容与</w:t>
      </w:r>
      <w:r>
        <w:rPr>
          <w:rFonts w:hint="eastAsia" w:ascii="宋体" w:hAnsi="宋体" w:cs="宋体"/>
          <w:color w:val="auto"/>
          <w:sz w:val="21"/>
          <w:szCs w:val="21"/>
          <w:lang w:eastAsia="zh-CN"/>
        </w:rPr>
        <w:t>投标人</w:t>
      </w:r>
      <w:r>
        <w:rPr>
          <w:rFonts w:hint="eastAsia" w:ascii="宋体" w:hAnsi="宋体" w:cs="宋体"/>
          <w:color w:val="auto"/>
          <w:sz w:val="21"/>
          <w:szCs w:val="21"/>
        </w:rPr>
        <w:t>签署一份监造协议，作为入厂对本设备监造的依据。监造者有权到生产合同设备的车间和部门了解生产信息，并提出监造中发现的问题(如有)。</w:t>
      </w:r>
    </w:p>
    <w:p>
      <w:pPr>
        <w:snapToGrid/>
        <w:spacing w:before="0" w:beforeLines="0" w:after="0" w:afterLines="0" w:line="360" w:lineRule="auto"/>
        <w:rPr>
          <w:rFonts w:hint="eastAsia" w:ascii="宋体" w:hAnsi="宋体" w:eastAsia="宋体" w:cs="宋体"/>
          <w:b/>
          <w:bCs/>
          <w:color w:val="auto"/>
          <w:sz w:val="28"/>
          <w:szCs w:val="28"/>
        </w:rPr>
      </w:pPr>
      <w:bookmarkStart w:id="75" w:name="_Toc515785180"/>
      <w:bookmarkStart w:id="76" w:name="_Toc501817574"/>
      <w:bookmarkStart w:id="77" w:name="_Toc513014518"/>
      <w:r>
        <w:rPr>
          <w:rFonts w:hint="eastAsia" w:ascii="宋体" w:hAnsi="宋体" w:eastAsia="宋体" w:cs="宋体"/>
          <w:b/>
          <w:bCs/>
          <w:color w:val="auto"/>
          <w:sz w:val="28"/>
          <w:szCs w:val="28"/>
        </w:rPr>
        <w:t>3</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性能验收试验</w:t>
      </w:r>
      <w:bookmarkEnd w:id="75"/>
      <w:bookmarkEnd w:id="76"/>
      <w:bookmarkEnd w:id="77"/>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质量保证</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3.1.1</w:t>
      </w:r>
      <w:r>
        <w:rPr>
          <w:rFonts w:hint="eastAsia" w:ascii="宋体" w:hAnsi="宋体" w:cs="宋体"/>
          <w:color w:val="auto"/>
          <w:sz w:val="21"/>
          <w:szCs w:val="21"/>
          <w:lang w:eastAsia="zh-CN"/>
        </w:rPr>
        <w:t xml:space="preserve"> </w:t>
      </w:r>
      <w:r>
        <w:rPr>
          <w:rFonts w:hint="eastAsia" w:ascii="宋体" w:hAnsi="宋体" w:cs="宋体"/>
          <w:color w:val="auto"/>
          <w:sz w:val="21"/>
          <w:szCs w:val="21"/>
        </w:rPr>
        <w:t>订购的新产品除应满足本规范书外，</w:t>
      </w:r>
      <w:r>
        <w:rPr>
          <w:rFonts w:hint="eastAsia" w:ascii="宋体" w:hAnsi="宋体" w:cs="宋体"/>
          <w:color w:val="auto"/>
          <w:sz w:val="21"/>
          <w:szCs w:val="21"/>
          <w:lang w:eastAsia="zh-CN"/>
        </w:rPr>
        <w:t>投标人</w:t>
      </w:r>
      <w:r>
        <w:rPr>
          <w:rFonts w:hint="eastAsia" w:ascii="宋体" w:hAnsi="宋体" w:cs="宋体"/>
          <w:color w:val="auto"/>
          <w:sz w:val="21"/>
          <w:szCs w:val="21"/>
        </w:rPr>
        <w:t>还应提供产品的鉴定证书。</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3.1.2</w:t>
      </w:r>
      <w:r>
        <w:rPr>
          <w:rFonts w:hint="eastAsia" w:ascii="宋体" w:hAnsi="宋体" w:cs="宋体"/>
          <w:color w:val="auto"/>
          <w:sz w:val="21"/>
          <w:szCs w:val="21"/>
          <w:lang w:eastAsia="zh-CN"/>
        </w:rPr>
        <w:t xml:space="preserve"> 投标人</w:t>
      </w:r>
      <w:r>
        <w:rPr>
          <w:rFonts w:hint="eastAsia" w:ascii="宋体" w:hAnsi="宋体" w:cs="宋体"/>
          <w:color w:val="auto"/>
          <w:sz w:val="21"/>
          <w:szCs w:val="21"/>
        </w:rPr>
        <w:t>应保证制造过程中的所有工艺、材料等（包括</w:t>
      </w:r>
      <w:r>
        <w:rPr>
          <w:rFonts w:hint="eastAsia" w:ascii="宋体" w:hAnsi="宋体" w:cs="宋体"/>
          <w:color w:val="auto"/>
          <w:sz w:val="21"/>
          <w:szCs w:val="21"/>
          <w:lang w:eastAsia="zh-CN"/>
        </w:rPr>
        <w:t>投标人</w:t>
      </w:r>
      <w:r>
        <w:rPr>
          <w:rFonts w:hint="eastAsia" w:ascii="宋体" w:hAnsi="宋体" w:cs="宋体"/>
          <w:color w:val="auto"/>
          <w:sz w:val="21"/>
          <w:szCs w:val="21"/>
        </w:rPr>
        <w:t>的外购件在内）均应符合规范书的规定。若</w:t>
      </w:r>
      <w:r>
        <w:rPr>
          <w:rFonts w:hint="eastAsia" w:ascii="宋体" w:hAnsi="宋体" w:cs="宋体"/>
          <w:color w:val="auto"/>
          <w:sz w:val="21"/>
          <w:szCs w:val="21"/>
          <w:lang w:eastAsia="zh-CN"/>
        </w:rPr>
        <w:t>招标人</w:t>
      </w:r>
      <w:r>
        <w:rPr>
          <w:rFonts w:hint="eastAsia" w:ascii="宋体" w:hAnsi="宋体" w:cs="宋体"/>
          <w:color w:val="auto"/>
          <w:sz w:val="21"/>
          <w:szCs w:val="21"/>
        </w:rPr>
        <w:t>根据运行经验指定</w:t>
      </w:r>
      <w:r>
        <w:rPr>
          <w:rFonts w:hint="eastAsia" w:ascii="宋体" w:hAnsi="宋体" w:cs="宋体"/>
          <w:color w:val="auto"/>
          <w:sz w:val="21"/>
          <w:szCs w:val="21"/>
          <w:lang w:eastAsia="zh-CN"/>
        </w:rPr>
        <w:t>投标人</w:t>
      </w:r>
      <w:r>
        <w:rPr>
          <w:rFonts w:hint="eastAsia" w:ascii="宋体" w:hAnsi="宋体" w:cs="宋体"/>
          <w:color w:val="auto"/>
          <w:sz w:val="21"/>
          <w:szCs w:val="21"/>
        </w:rPr>
        <w:t>提供某种外购零部件，</w:t>
      </w:r>
      <w:r>
        <w:rPr>
          <w:rFonts w:hint="eastAsia" w:ascii="宋体" w:hAnsi="宋体" w:cs="宋体"/>
          <w:color w:val="auto"/>
          <w:sz w:val="21"/>
          <w:szCs w:val="21"/>
          <w:lang w:eastAsia="zh-CN"/>
        </w:rPr>
        <w:t>投标人</w:t>
      </w:r>
      <w:r>
        <w:rPr>
          <w:rFonts w:hint="eastAsia" w:ascii="宋体" w:hAnsi="宋体" w:cs="宋体"/>
          <w:color w:val="auto"/>
          <w:sz w:val="21"/>
          <w:szCs w:val="21"/>
        </w:rPr>
        <w:t>应积极配合。</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3.1.3</w:t>
      </w:r>
      <w:r>
        <w:rPr>
          <w:rFonts w:hint="eastAsia" w:ascii="宋体" w:hAnsi="宋体" w:cs="宋体"/>
          <w:color w:val="auto"/>
          <w:sz w:val="21"/>
          <w:szCs w:val="21"/>
          <w:lang w:eastAsia="zh-CN"/>
        </w:rPr>
        <w:t xml:space="preserve"> 投标人</w:t>
      </w:r>
      <w:r>
        <w:rPr>
          <w:rFonts w:hint="eastAsia" w:ascii="宋体" w:hAnsi="宋体" w:cs="宋体"/>
          <w:color w:val="auto"/>
          <w:sz w:val="21"/>
          <w:szCs w:val="21"/>
        </w:rPr>
        <w:t>应遵守本规范书中各条款和工作项目的ISO</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900</w:t>
      </w:r>
      <w:r>
        <w:rPr>
          <w:rFonts w:hint="eastAsia" w:ascii="宋体" w:hAnsi="宋体" w:cs="宋体"/>
          <w:color w:val="auto"/>
          <w:sz w:val="21"/>
          <w:szCs w:val="21"/>
          <w:lang w:val="en-US" w:eastAsia="zh-CN"/>
        </w:rPr>
        <w:t>0或</w:t>
      </w:r>
      <w:r>
        <w:rPr>
          <w:rFonts w:hint="eastAsia" w:ascii="宋体" w:hAnsi="宋体" w:cs="宋体"/>
          <w:color w:val="auto"/>
          <w:sz w:val="21"/>
          <w:szCs w:val="21"/>
        </w:rPr>
        <w:t xml:space="preserve"> 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1900质量保证体系，该质量保证体系经过国家认证和正常运转。</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3.2</w:t>
      </w:r>
      <w:r>
        <w:rPr>
          <w:rFonts w:hint="eastAsia" w:ascii="宋体" w:hAnsi="宋体" w:cs="宋体"/>
          <w:color w:val="auto"/>
          <w:sz w:val="21"/>
          <w:szCs w:val="21"/>
          <w:lang w:eastAsia="zh-CN"/>
        </w:rPr>
        <w:t xml:space="preserve"> </w:t>
      </w:r>
      <w:r>
        <w:rPr>
          <w:rFonts w:hint="eastAsia" w:ascii="宋体" w:hAnsi="宋体" w:cs="宋体"/>
          <w:color w:val="auto"/>
          <w:sz w:val="21"/>
          <w:szCs w:val="21"/>
        </w:rPr>
        <w:t>试验条件</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3.2.1</w:t>
      </w:r>
      <w:r>
        <w:rPr>
          <w:rFonts w:hint="eastAsia" w:ascii="宋体" w:hAnsi="宋体" w:cs="宋体"/>
          <w:color w:val="auto"/>
          <w:sz w:val="21"/>
          <w:szCs w:val="21"/>
          <w:lang w:eastAsia="zh-CN"/>
        </w:rPr>
        <w:t xml:space="preserve"> </w:t>
      </w:r>
      <w:r>
        <w:rPr>
          <w:rFonts w:hint="eastAsia" w:ascii="宋体" w:hAnsi="宋体" w:cs="宋体"/>
          <w:color w:val="auto"/>
          <w:sz w:val="21"/>
          <w:szCs w:val="21"/>
        </w:rPr>
        <w:t>除另有规定外，各项试验均应在规定的试验的标准大气条件下进行。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3.2.2</w:t>
      </w:r>
      <w:r>
        <w:rPr>
          <w:rFonts w:hint="eastAsia" w:ascii="宋体" w:hAnsi="宋体" w:cs="宋体"/>
          <w:color w:val="auto"/>
          <w:sz w:val="21"/>
          <w:szCs w:val="21"/>
          <w:lang w:eastAsia="zh-CN"/>
        </w:rPr>
        <w:t xml:space="preserve"> </w:t>
      </w:r>
      <w:r>
        <w:rPr>
          <w:rFonts w:hint="eastAsia" w:ascii="宋体" w:hAnsi="宋体" w:cs="宋体"/>
          <w:color w:val="auto"/>
          <w:sz w:val="21"/>
          <w:szCs w:val="21"/>
        </w:rPr>
        <w:t>被试验装置和测试仪表必须良好接地，并考虑周围环境电磁干扰对测试结果的影响。</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3.3</w:t>
      </w:r>
      <w:r>
        <w:rPr>
          <w:rFonts w:hint="eastAsia" w:ascii="宋体" w:hAnsi="宋体" w:cs="宋体"/>
          <w:color w:val="auto"/>
          <w:sz w:val="21"/>
          <w:szCs w:val="21"/>
          <w:lang w:eastAsia="zh-CN"/>
        </w:rPr>
        <w:t xml:space="preserve"> </w:t>
      </w:r>
      <w:r>
        <w:rPr>
          <w:rFonts w:hint="eastAsia" w:ascii="宋体" w:hAnsi="宋体" w:cs="宋体"/>
          <w:color w:val="auto"/>
          <w:sz w:val="21"/>
          <w:szCs w:val="21"/>
        </w:rPr>
        <w:t>结构和外观检查</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3.4</w:t>
      </w:r>
      <w:r>
        <w:rPr>
          <w:rFonts w:hint="eastAsia" w:ascii="宋体" w:hAnsi="宋体" w:cs="宋体"/>
          <w:color w:val="auto"/>
          <w:sz w:val="21"/>
          <w:szCs w:val="21"/>
          <w:lang w:eastAsia="zh-CN"/>
        </w:rPr>
        <w:t xml:space="preserve"> </w:t>
      </w:r>
      <w:r>
        <w:rPr>
          <w:rFonts w:hint="eastAsia" w:ascii="宋体" w:hAnsi="宋体" w:cs="宋体"/>
          <w:color w:val="auto"/>
          <w:sz w:val="21"/>
          <w:szCs w:val="21"/>
        </w:rPr>
        <w:t>主要功能及技术要求试验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3.4.1</w:t>
      </w:r>
      <w:r>
        <w:rPr>
          <w:rFonts w:hint="eastAsia" w:ascii="宋体" w:hAnsi="宋体" w:cs="宋体"/>
          <w:color w:val="auto"/>
          <w:sz w:val="21"/>
          <w:szCs w:val="21"/>
          <w:lang w:eastAsia="zh-CN"/>
        </w:rPr>
        <w:t xml:space="preserve"> </w:t>
      </w:r>
      <w:r>
        <w:rPr>
          <w:rFonts w:hint="eastAsia" w:ascii="宋体" w:hAnsi="宋体" w:cs="宋体"/>
          <w:color w:val="auto"/>
          <w:sz w:val="21"/>
          <w:szCs w:val="21"/>
        </w:rPr>
        <w:t>基本功能试验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lang w:val="en-US" w:eastAsia="zh-CN"/>
        </w:rPr>
        <w:t>1）</w:t>
      </w:r>
      <w:r>
        <w:rPr>
          <w:rFonts w:hint="eastAsia" w:ascii="宋体" w:hAnsi="宋体" w:cs="宋体"/>
          <w:color w:val="auto"/>
          <w:sz w:val="21"/>
          <w:szCs w:val="21"/>
        </w:rPr>
        <w:t>装置中各种原理保护的定值试验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rPr>
        <w:t>各种原理保护动作时间特性试验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cs="宋体"/>
          <w:color w:val="auto"/>
          <w:sz w:val="21"/>
          <w:szCs w:val="21"/>
        </w:rPr>
        <w:t>各种原理保护动作特性试验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cs="宋体"/>
          <w:color w:val="auto"/>
          <w:sz w:val="21"/>
          <w:szCs w:val="21"/>
        </w:rPr>
        <w:t>逻辑回路及其联合动作正确性检查</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cs="宋体"/>
          <w:color w:val="auto"/>
          <w:sz w:val="21"/>
          <w:szCs w:val="21"/>
        </w:rPr>
        <w:t>微机保护的其它功能及技术要求试验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cs="宋体"/>
          <w:color w:val="auto"/>
          <w:sz w:val="21"/>
          <w:szCs w:val="21"/>
        </w:rPr>
        <w:t>硬件系统自检</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cs="宋体"/>
          <w:color w:val="auto"/>
          <w:sz w:val="21"/>
          <w:szCs w:val="21"/>
        </w:rPr>
        <w:t>硬件系统时钟校核</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cs="宋体"/>
          <w:color w:val="auto"/>
          <w:sz w:val="21"/>
          <w:szCs w:val="21"/>
        </w:rPr>
        <w:t>通信及信息输出功能试验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9）</w:t>
      </w:r>
      <w:r>
        <w:rPr>
          <w:rFonts w:hint="eastAsia" w:ascii="宋体" w:hAnsi="宋体" w:cs="宋体"/>
          <w:color w:val="auto"/>
          <w:sz w:val="21"/>
          <w:szCs w:val="21"/>
        </w:rPr>
        <w:t>开关量输入输出回路检查</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cs="宋体"/>
          <w:color w:val="auto"/>
          <w:sz w:val="21"/>
          <w:szCs w:val="21"/>
        </w:rPr>
        <w:t>数据采集系统的精度和线性度范围试验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3.5</w:t>
      </w:r>
      <w:r>
        <w:rPr>
          <w:rFonts w:hint="eastAsia" w:ascii="宋体" w:hAnsi="宋体" w:cs="宋体"/>
          <w:color w:val="auto"/>
          <w:sz w:val="21"/>
          <w:szCs w:val="21"/>
          <w:lang w:eastAsia="zh-CN"/>
        </w:rPr>
        <w:t xml:space="preserve"> </w:t>
      </w:r>
      <w:r>
        <w:rPr>
          <w:rFonts w:hint="eastAsia" w:ascii="宋体" w:hAnsi="宋体" w:cs="宋体"/>
          <w:color w:val="auto"/>
          <w:sz w:val="21"/>
          <w:szCs w:val="21"/>
        </w:rPr>
        <w:t>绝缘试验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87和方法，第20章规定，分别进行绝缘电阻测量介质强度及冲击电压试验。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3.6</w:t>
      </w:r>
      <w:r>
        <w:rPr>
          <w:rFonts w:hint="eastAsia" w:ascii="宋体" w:hAnsi="宋体" w:cs="宋体"/>
          <w:color w:val="auto"/>
          <w:sz w:val="21"/>
          <w:szCs w:val="21"/>
          <w:lang w:eastAsia="zh-CN"/>
        </w:rPr>
        <w:t xml:space="preserve"> </w:t>
      </w:r>
      <w:r>
        <w:rPr>
          <w:rFonts w:hint="eastAsia" w:ascii="宋体" w:hAnsi="宋体" w:cs="宋体"/>
          <w:color w:val="auto"/>
          <w:sz w:val="21"/>
          <w:szCs w:val="21"/>
        </w:rPr>
        <w:t>低温试验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87第12章的规定和方法进行。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3.7</w:t>
      </w:r>
      <w:r>
        <w:rPr>
          <w:rFonts w:hint="eastAsia" w:ascii="宋体" w:hAnsi="宋体" w:cs="宋体"/>
          <w:color w:val="auto"/>
          <w:sz w:val="21"/>
          <w:szCs w:val="21"/>
          <w:lang w:eastAsia="zh-CN"/>
        </w:rPr>
        <w:t xml:space="preserve"> </w:t>
      </w:r>
      <w:r>
        <w:rPr>
          <w:rFonts w:hint="eastAsia" w:ascii="宋体" w:hAnsi="宋体" w:cs="宋体"/>
          <w:color w:val="auto"/>
          <w:sz w:val="21"/>
          <w:szCs w:val="21"/>
        </w:rPr>
        <w:t>高温试验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87第13章的规定和方法进行。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3.8</w:t>
      </w:r>
      <w:r>
        <w:rPr>
          <w:rFonts w:hint="eastAsia" w:ascii="宋体" w:hAnsi="宋体" w:cs="宋体"/>
          <w:color w:val="auto"/>
          <w:sz w:val="21"/>
          <w:szCs w:val="21"/>
          <w:lang w:eastAsia="zh-CN"/>
        </w:rPr>
        <w:t xml:space="preserve"> </w:t>
      </w:r>
      <w:r>
        <w:rPr>
          <w:rFonts w:hint="eastAsia" w:ascii="宋体" w:hAnsi="宋体" w:cs="宋体"/>
          <w:color w:val="auto"/>
          <w:sz w:val="21"/>
          <w:szCs w:val="21"/>
        </w:rPr>
        <w:t>湿热试验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2423.9</w:t>
      </w:r>
      <w:r>
        <w:rPr>
          <w:rFonts w:hint="eastAsia" w:ascii="宋体" w:hAnsi="宋体" w:cs="宋体"/>
          <w:color w:val="auto"/>
          <w:sz w:val="21"/>
          <w:szCs w:val="21"/>
          <w:lang w:eastAsia="zh-CN"/>
        </w:rPr>
        <w:t>-</w:t>
      </w:r>
      <w:r>
        <w:rPr>
          <w:rFonts w:hint="eastAsia" w:ascii="宋体" w:hAnsi="宋体" w:cs="宋体"/>
          <w:color w:val="auto"/>
          <w:sz w:val="21"/>
          <w:szCs w:val="21"/>
        </w:rPr>
        <w:t>89或GB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87第21章的规定和方法进行。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eastAsia="zh-CN"/>
        </w:rPr>
        <w:t xml:space="preserve"> </w:t>
      </w:r>
      <w:r>
        <w:rPr>
          <w:rFonts w:hint="eastAsia" w:ascii="宋体" w:hAnsi="宋体" w:cs="宋体"/>
          <w:color w:val="auto"/>
          <w:sz w:val="21"/>
          <w:szCs w:val="21"/>
        </w:rPr>
        <w:t>电气干扰试验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 xml:space="preserve"> </w:t>
      </w: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14598.9的规定和方法，对装置进行辐射电磁场干扰试验。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val="en-US" w:eastAsia="zh-CN"/>
        </w:rPr>
        <w:t>2</w:t>
      </w:r>
      <w:r>
        <w:rPr>
          <w:rFonts w:hint="eastAsia" w:ascii="宋体" w:hAnsi="宋体" w:cs="宋体"/>
          <w:color w:val="auto"/>
          <w:sz w:val="21"/>
          <w:szCs w:val="21"/>
          <w:lang w:eastAsia="zh-CN"/>
        </w:rPr>
        <w:t xml:space="preserve"> </w:t>
      </w: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14598.10的规定和方法，对装置进行快速瞬变干扰试验。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eastAsia="zh-CN"/>
        </w:rPr>
        <w:t xml:space="preserve">3 </w:t>
      </w: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14598.13的规定和方法，对装置进行脉冲群干扰试验。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eastAsia="zh-CN"/>
        </w:rPr>
        <w:t xml:space="preserve">4 </w:t>
      </w: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14598.14的规定和方法，对装置进行静电放电试验。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w:t>
      </w:r>
      <w:r>
        <w:rPr>
          <w:rFonts w:hint="eastAsia" w:ascii="宋体" w:hAnsi="宋体" w:cs="宋体"/>
          <w:color w:val="auto"/>
          <w:sz w:val="21"/>
          <w:szCs w:val="21"/>
          <w:lang w:eastAsia="zh-CN"/>
        </w:rPr>
        <w:t xml:space="preserve"> </w:t>
      </w:r>
      <w:r>
        <w:rPr>
          <w:rFonts w:hint="eastAsia" w:ascii="宋体" w:hAnsi="宋体" w:cs="宋体"/>
          <w:color w:val="auto"/>
          <w:sz w:val="21"/>
          <w:szCs w:val="21"/>
        </w:rPr>
        <w:t>连续通电试验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3.10.1</w:t>
      </w:r>
      <w:r>
        <w:rPr>
          <w:rFonts w:hint="eastAsia" w:ascii="宋体" w:hAnsi="宋体" w:cs="宋体"/>
          <w:color w:val="auto"/>
          <w:sz w:val="21"/>
          <w:szCs w:val="21"/>
          <w:lang w:eastAsia="zh-CN"/>
        </w:rPr>
        <w:t xml:space="preserve"> </w:t>
      </w:r>
      <w:r>
        <w:rPr>
          <w:rFonts w:hint="eastAsia" w:ascii="宋体" w:hAnsi="宋体" w:cs="宋体"/>
          <w:color w:val="auto"/>
          <w:sz w:val="21"/>
          <w:szCs w:val="21"/>
        </w:rPr>
        <w:t>装置在完成调试后应进行连续通电试验。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3.10.2</w:t>
      </w:r>
      <w:r>
        <w:rPr>
          <w:rFonts w:hint="eastAsia" w:ascii="宋体" w:hAnsi="宋体" w:cs="宋体"/>
          <w:color w:val="auto"/>
          <w:sz w:val="21"/>
          <w:szCs w:val="21"/>
          <w:lang w:eastAsia="zh-CN"/>
        </w:rPr>
        <w:t xml:space="preserve"> </w:t>
      </w:r>
      <w:r>
        <w:rPr>
          <w:rFonts w:hint="eastAsia" w:ascii="宋体" w:hAnsi="宋体" w:cs="宋体"/>
          <w:color w:val="auto"/>
          <w:sz w:val="21"/>
          <w:szCs w:val="21"/>
        </w:rPr>
        <w:t>连续通电试验的被试装置只施加直流电源，必要时可施加其他激励量进行功能检测；</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3.10.3</w:t>
      </w:r>
      <w:r>
        <w:rPr>
          <w:rFonts w:hint="eastAsia" w:ascii="宋体" w:hAnsi="宋体" w:cs="宋体"/>
          <w:color w:val="auto"/>
          <w:sz w:val="21"/>
          <w:szCs w:val="21"/>
          <w:lang w:eastAsia="zh-CN"/>
        </w:rPr>
        <w:t xml:space="preserve"> </w:t>
      </w:r>
      <w:r>
        <w:rPr>
          <w:rFonts w:hint="eastAsia" w:ascii="宋体" w:hAnsi="宋体" w:cs="宋体"/>
          <w:color w:val="auto"/>
          <w:sz w:val="21"/>
          <w:szCs w:val="21"/>
        </w:rPr>
        <w:t>连续通电试验时间不少于100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h或72</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h。</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3.10.4</w:t>
      </w:r>
      <w:r>
        <w:rPr>
          <w:rFonts w:hint="eastAsia" w:ascii="宋体" w:hAnsi="宋体" w:cs="宋体"/>
          <w:color w:val="auto"/>
          <w:sz w:val="21"/>
          <w:szCs w:val="21"/>
          <w:lang w:eastAsia="zh-CN"/>
        </w:rPr>
        <w:t xml:space="preserve"> </w:t>
      </w:r>
      <w:r>
        <w:rPr>
          <w:rFonts w:hint="eastAsia" w:ascii="宋体" w:hAnsi="宋体" w:cs="宋体"/>
          <w:color w:val="auto"/>
          <w:sz w:val="21"/>
          <w:szCs w:val="21"/>
        </w:rPr>
        <w:t>在连续通电试验过程中，装置应工作正常，信号指示正确，不应有元器件损坏或其他异常情况出现。</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3.11</w:t>
      </w:r>
      <w:r>
        <w:rPr>
          <w:rFonts w:hint="eastAsia" w:ascii="宋体" w:hAnsi="宋体" w:cs="宋体"/>
          <w:color w:val="auto"/>
          <w:sz w:val="21"/>
          <w:szCs w:val="21"/>
          <w:lang w:eastAsia="zh-CN"/>
        </w:rPr>
        <w:t xml:space="preserve"> </w:t>
      </w:r>
      <w:r>
        <w:rPr>
          <w:rFonts w:hint="eastAsia" w:ascii="宋体" w:hAnsi="宋体" w:cs="宋体"/>
          <w:color w:val="auto"/>
          <w:sz w:val="21"/>
          <w:szCs w:val="21"/>
        </w:rPr>
        <w:t>过负荷能力试验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87第23章的规定和方法进行。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3.12</w:t>
      </w:r>
      <w:r>
        <w:rPr>
          <w:rFonts w:hint="eastAsia" w:ascii="宋体" w:hAnsi="宋体" w:cs="宋体"/>
          <w:color w:val="auto"/>
          <w:sz w:val="21"/>
          <w:szCs w:val="21"/>
          <w:lang w:eastAsia="zh-CN"/>
        </w:rPr>
        <w:t xml:space="preserve"> </w:t>
      </w:r>
      <w:r>
        <w:rPr>
          <w:rFonts w:hint="eastAsia" w:ascii="宋体" w:hAnsi="宋体" w:cs="宋体"/>
          <w:color w:val="auto"/>
          <w:sz w:val="21"/>
          <w:szCs w:val="21"/>
        </w:rPr>
        <w:t>电源影响试验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87第15章的规定和方法进行。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3.13</w:t>
      </w:r>
      <w:r>
        <w:rPr>
          <w:rFonts w:hint="eastAsia" w:ascii="宋体" w:hAnsi="宋体" w:cs="宋体"/>
          <w:color w:val="auto"/>
          <w:sz w:val="21"/>
          <w:szCs w:val="21"/>
          <w:lang w:eastAsia="zh-CN"/>
        </w:rPr>
        <w:t xml:space="preserve"> </w:t>
      </w:r>
      <w:r>
        <w:rPr>
          <w:rFonts w:hint="eastAsia" w:ascii="宋体" w:hAnsi="宋体" w:cs="宋体"/>
          <w:color w:val="auto"/>
          <w:sz w:val="21"/>
          <w:szCs w:val="21"/>
        </w:rPr>
        <w:t>出厂检验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每台装置出厂前必须由制造厂的检验部门进行出厂检验，出厂检验在试验的标准大气条件下进行。检验项目如下：</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1）</w:t>
      </w:r>
      <w:r>
        <w:rPr>
          <w:rFonts w:hint="eastAsia" w:ascii="宋体" w:hAnsi="宋体" w:cs="宋体"/>
          <w:color w:val="auto"/>
          <w:sz w:val="21"/>
          <w:szCs w:val="21"/>
        </w:rPr>
        <w:t>结构与外观</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2）</w:t>
      </w:r>
      <w:r>
        <w:rPr>
          <w:rFonts w:hint="eastAsia" w:ascii="宋体" w:hAnsi="宋体" w:cs="宋体"/>
          <w:color w:val="auto"/>
          <w:sz w:val="21"/>
          <w:szCs w:val="21"/>
        </w:rPr>
        <w:t>主要功能及技术性能</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3）</w:t>
      </w:r>
      <w:r>
        <w:rPr>
          <w:rFonts w:hint="eastAsia" w:ascii="宋体" w:hAnsi="宋体" w:cs="宋体"/>
          <w:color w:val="auto"/>
          <w:sz w:val="21"/>
          <w:szCs w:val="21"/>
        </w:rPr>
        <w:t>绝缘电阻</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4）</w:t>
      </w:r>
      <w:r>
        <w:rPr>
          <w:rFonts w:hint="eastAsia" w:ascii="宋体" w:hAnsi="宋体" w:cs="宋体"/>
          <w:color w:val="auto"/>
          <w:sz w:val="21"/>
          <w:szCs w:val="21"/>
        </w:rPr>
        <w:t>介质强度</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5）</w:t>
      </w:r>
      <w:r>
        <w:rPr>
          <w:rFonts w:hint="eastAsia" w:ascii="宋体" w:hAnsi="宋体" w:cs="宋体"/>
          <w:color w:val="auto"/>
          <w:sz w:val="21"/>
          <w:szCs w:val="21"/>
        </w:rPr>
        <w:t>连续通电</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3.14</w:t>
      </w:r>
      <w:r>
        <w:rPr>
          <w:rFonts w:hint="eastAsia" w:ascii="宋体" w:hAnsi="宋体" w:cs="宋体"/>
          <w:color w:val="auto"/>
          <w:sz w:val="21"/>
          <w:szCs w:val="21"/>
          <w:lang w:eastAsia="zh-CN"/>
        </w:rPr>
        <w:t xml:space="preserve"> </w:t>
      </w:r>
      <w:r>
        <w:rPr>
          <w:rFonts w:hint="eastAsia" w:ascii="宋体" w:hAnsi="宋体" w:cs="宋体"/>
          <w:color w:val="auto"/>
          <w:sz w:val="21"/>
          <w:szCs w:val="21"/>
        </w:rPr>
        <w:t>现场试验</w:t>
      </w:r>
    </w:p>
    <w:p>
      <w:pPr>
        <w:pStyle w:val="5"/>
        <w:spacing w:before="0" w:beforeLines="0" w:after="0" w:afterLines="0" w:line="360" w:lineRule="auto"/>
        <w:ind w:firstLine="0"/>
        <w:rPr>
          <w:rFonts w:hint="eastAsia" w:ascii="宋体" w:hAnsi="宋体" w:cs="宋体"/>
          <w:color w:val="auto"/>
          <w:sz w:val="32"/>
          <w:szCs w:val="32"/>
        </w:rPr>
      </w:pPr>
      <w:r>
        <w:rPr>
          <w:rFonts w:hint="eastAsia" w:ascii="宋体" w:hAnsi="宋体" w:cs="宋体"/>
          <w:color w:val="auto"/>
          <w:sz w:val="21"/>
          <w:szCs w:val="21"/>
        </w:rPr>
        <w:br w:type="page"/>
      </w:r>
      <w:bookmarkStart w:id="78" w:name="_Toc488922627"/>
      <w:bookmarkStart w:id="79" w:name="_Toc515697899"/>
      <w:bookmarkStart w:id="80" w:name="_Toc515332013"/>
      <w:bookmarkStart w:id="81" w:name="_Toc515622054"/>
      <w:bookmarkStart w:id="82" w:name="_Toc343695402"/>
      <w:bookmarkStart w:id="83" w:name="_Toc515335072"/>
      <w:bookmarkStart w:id="84" w:name="_Toc515785184"/>
      <w:bookmarkStart w:id="85" w:name="_Toc526944934"/>
      <w:bookmarkStart w:id="86" w:name="_Toc515727599"/>
      <w:bookmarkStart w:id="87" w:name="_Toc515705620"/>
      <w:bookmarkStart w:id="88" w:name="_Toc515708315"/>
      <w:r>
        <w:rPr>
          <w:rFonts w:hint="eastAsia" w:ascii="宋体" w:hAnsi="宋体" w:cs="宋体"/>
          <w:b/>
          <w:bCs/>
          <w:color w:val="auto"/>
          <w:kern w:val="2"/>
          <w:sz w:val="30"/>
          <w:szCs w:val="30"/>
        </w:rPr>
        <w:t>附件</w:t>
      </w:r>
      <w:bookmarkEnd w:id="78"/>
      <w:bookmarkStart w:id="89" w:name="_Hlt515349331"/>
      <w:bookmarkEnd w:id="89"/>
      <w:r>
        <w:rPr>
          <w:rFonts w:hint="eastAsia" w:ascii="宋体" w:hAnsi="宋体" w:cs="宋体"/>
          <w:b/>
          <w:bCs/>
          <w:color w:val="auto"/>
          <w:kern w:val="2"/>
          <w:sz w:val="30"/>
          <w:szCs w:val="30"/>
        </w:rPr>
        <w:t>6 技术服务和联络</w:t>
      </w:r>
      <w:bookmarkEnd w:id="79"/>
      <w:bookmarkEnd w:id="80"/>
      <w:bookmarkEnd w:id="81"/>
      <w:bookmarkEnd w:id="82"/>
      <w:bookmarkEnd w:id="83"/>
      <w:bookmarkEnd w:id="84"/>
      <w:bookmarkEnd w:id="85"/>
      <w:bookmarkEnd w:id="86"/>
      <w:bookmarkEnd w:id="87"/>
      <w:bookmarkEnd w:id="88"/>
      <w:bookmarkStart w:id="90" w:name="_Toc515727600"/>
      <w:bookmarkStart w:id="91" w:name="_Toc515705621"/>
      <w:bookmarkStart w:id="92" w:name="_Toc515697900"/>
      <w:bookmarkStart w:id="93" w:name="_Toc515708316"/>
      <w:bookmarkStart w:id="94" w:name="_Toc515785185"/>
    </w:p>
    <w:p>
      <w:pPr>
        <w:numPr>
          <w:ilvl w:val="-1"/>
          <w:numId w:val="0"/>
        </w:numPr>
        <w:snapToGrid/>
        <w:spacing w:before="0" w:beforeLines="0" w:after="0" w:afterLines="0" w:line="360" w:lineRule="auto"/>
        <w:ind w:left="0" w:firstLine="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 xml:space="preserve">1 </w:t>
      </w:r>
      <w:r>
        <w:rPr>
          <w:rFonts w:hint="eastAsia" w:ascii="宋体" w:hAnsi="宋体" w:eastAsia="宋体" w:cs="宋体"/>
          <w:b/>
          <w:bCs/>
          <w:color w:val="auto"/>
          <w:sz w:val="28"/>
          <w:szCs w:val="28"/>
        </w:rPr>
        <w:t>投标人现场技术服务</w:t>
      </w:r>
      <w:bookmarkEnd w:id="90"/>
      <w:bookmarkEnd w:id="91"/>
      <w:bookmarkEnd w:id="92"/>
      <w:bookmarkEnd w:id="93"/>
      <w:bookmarkEnd w:id="94"/>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1.1 投标人现场服务人员的目的是使所供设备安全、正常投运。投标人要派合格的现场服务人员。在投标阶段应提供包括服务人月数的现场服务计划表（格式）。如果此人月数不能满足工程需要，投标人</w:t>
      </w:r>
      <w:r>
        <w:rPr>
          <w:rFonts w:hint="eastAsia" w:ascii="宋体" w:hAnsi="宋体" w:cs="宋体"/>
          <w:color w:val="auto"/>
          <w:sz w:val="21"/>
          <w:szCs w:val="21"/>
          <w:lang w:eastAsia="zh-CN"/>
        </w:rPr>
        <w:t>应</w:t>
      </w:r>
      <w:r>
        <w:rPr>
          <w:rFonts w:hint="eastAsia" w:ascii="宋体" w:hAnsi="宋体" w:cs="宋体"/>
          <w:color w:val="auto"/>
          <w:sz w:val="21"/>
          <w:szCs w:val="21"/>
        </w:rPr>
        <w:t>追加人月数，且不发生费用。</w:t>
      </w:r>
    </w:p>
    <w:p>
      <w:pPr>
        <w:pStyle w:val="5"/>
        <w:spacing w:line="360" w:lineRule="auto"/>
        <w:jc w:val="center"/>
        <w:rPr>
          <w:rFonts w:hint="eastAsia" w:ascii="宋体" w:hAnsi="宋体" w:cs="宋体"/>
          <w:color w:val="auto"/>
          <w:sz w:val="21"/>
          <w:szCs w:val="21"/>
        </w:rPr>
      </w:pPr>
      <w:r>
        <w:rPr>
          <w:rFonts w:hint="eastAsia" w:ascii="宋体" w:hAnsi="宋体" w:cs="宋体"/>
          <w:color w:val="auto"/>
          <w:sz w:val="21"/>
          <w:szCs w:val="21"/>
        </w:rPr>
        <w:t>现场服务计划表</w:t>
      </w:r>
    </w:p>
    <w:tbl>
      <w:tblPr>
        <w:tblStyle w:val="18"/>
        <w:tblW w:w="836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96"/>
        <w:gridCol w:w="2029"/>
        <w:gridCol w:w="1736"/>
        <w:gridCol w:w="1247"/>
        <w:gridCol w:w="1315"/>
        <w:gridCol w:w="11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trPr>
        <w:tc>
          <w:tcPr>
            <w:tcW w:w="896"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序号</w:t>
            </w:r>
          </w:p>
        </w:tc>
        <w:tc>
          <w:tcPr>
            <w:tcW w:w="2029"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技术服务内容</w:t>
            </w:r>
          </w:p>
        </w:tc>
        <w:tc>
          <w:tcPr>
            <w:tcW w:w="1736"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计划人月数</w:t>
            </w:r>
          </w:p>
        </w:tc>
        <w:tc>
          <w:tcPr>
            <w:tcW w:w="2562" w:type="dxa"/>
            <w:gridSpan w:val="2"/>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派出人员构成</w:t>
            </w:r>
          </w:p>
        </w:tc>
        <w:tc>
          <w:tcPr>
            <w:tcW w:w="1139"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trPr>
        <w:tc>
          <w:tcPr>
            <w:tcW w:w="896"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2029"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736"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247" w:type="dxa"/>
            <w:tcBorders>
              <w:tl2br w:val="nil"/>
              <w:tr2bl w:val="nil"/>
            </w:tcBorders>
            <w:vAlign w:val="center"/>
          </w:tcPr>
          <w:p>
            <w:pPr>
              <w:pStyle w:val="5"/>
              <w:spacing w:line="360" w:lineRule="auto"/>
              <w:jc w:val="both"/>
              <w:rPr>
                <w:rFonts w:hint="eastAsia" w:ascii="宋体" w:hAnsi="宋体" w:cs="宋体"/>
                <w:color w:val="auto"/>
                <w:sz w:val="21"/>
                <w:szCs w:val="21"/>
              </w:rPr>
            </w:pPr>
            <w:r>
              <w:rPr>
                <w:rFonts w:hint="eastAsia" w:ascii="宋体" w:hAnsi="宋体" w:cs="宋体"/>
                <w:color w:val="auto"/>
                <w:sz w:val="21"/>
                <w:szCs w:val="21"/>
              </w:rPr>
              <w:t>职称</w:t>
            </w:r>
          </w:p>
        </w:tc>
        <w:tc>
          <w:tcPr>
            <w:tcW w:w="131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人数</w:t>
            </w:r>
          </w:p>
        </w:tc>
        <w:tc>
          <w:tcPr>
            <w:tcW w:w="1139"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96"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202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73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247"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31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3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96"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202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73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247"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31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3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96"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202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73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247"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31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3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bl>
    <w:p>
      <w:pPr>
        <w:pStyle w:val="5"/>
        <w:spacing w:before="157" w:beforeLines="50" w:line="360" w:lineRule="auto"/>
        <w:ind w:firstLine="0"/>
        <w:rPr>
          <w:rFonts w:hint="eastAsia" w:ascii="宋体" w:hAnsi="宋体" w:cs="宋体"/>
          <w:color w:val="auto"/>
          <w:sz w:val="21"/>
          <w:szCs w:val="21"/>
        </w:rPr>
      </w:pPr>
      <w:r>
        <w:rPr>
          <w:rFonts w:hint="eastAsia" w:ascii="宋体" w:hAnsi="宋体" w:cs="宋体"/>
          <w:color w:val="auto"/>
          <w:sz w:val="21"/>
          <w:szCs w:val="21"/>
        </w:rPr>
        <w:t>1.2 投标人现场服务人员应具有下列资质：</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1.2.1 遵守法纪，遵守现场的各项规章和制度</w:t>
      </w:r>
      <w:r>
        <w:rPr>
          <w:rFonts w:hint="eastAsia" w:ascii="宋体" w:hAnsi="宋体" w:cs="宋体"/>
          <w:color w:val="auto"/>
          <w:sz w:val="21"/>
          <w:szCs w:val="21"/>
          <w:lang w:eastAsia="zh-CN"/>
        </w:rPr>
        <w:t>；</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1.2.2 有较强的责任感和事业心，按时到位</w:t>
      </w:r>
      <w:r>
        <w:rPr>
          <w:rFonts w:hint="eastAsia" w:ascii="宋体" w:hAnsi="宋体" w:cs="宋体"/>
          <w:color w:val="auto"/>
          <w:sz w:val="21"/>
          <w:szCs w:val="21"/>
          <w:lang w:eastAsia="zh-CN"/>
        </w:rPr>
        <w:t>；</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1.2.3 了解合同设备的设计，熟悉其结构，有相同或相近机组的现场工作经验，能够正确地进行现场指导</w:t>
      </w:r>
      <w:r>
        <w:rPr>
          <w:rFonts w:hint="eastAsia" w:ascii="宋体" w:hAnsi="宋体" w:cs="宋体"/>
          <w:color w:val="auto"/>
          <w:sz w:val="21"/>
          <w:szCs w:val="21"/>
          <w:lang w:eastAsia="zh-CN"/>
        </w:rPr>
        <w:t>；</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1.2.4 身体健康，适应现场工作的条件。</w:t>
      </w:r>
    </w:p>
    <w:p>
      <w:pPr>
        <w:pStyle w:val="5"/>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投标人要向招标人提供服务人员情况表</w:t>
      </w:r>
      <w:r>
        <w:rPr>
          <w:rFonts w:hint="eastAsia" w:ascii="宋体" w:hAnsi="宋体" w:cs="宋体"/>
          <w:color w:val="auto"/>
          <w:sz w:val="21"/>
          <w:szCs w:val="21"/>
          <w:lang w:eastAsia="zh-CN"/>
        </w:rPr>
        <w:t>（</w:t>
      </w:r>
      <w:r>
        <w:rPr>
          <w:rFonts w:hint="eastAsia" w:ascii="宋体" w:hAnsi="宋体" w:cs="宋体"/>
          <w:color w:val="auto"/>
          <w:sz w:val="21"/>
          <w:szCs w:val="21"/>
        </w:rPr>
        <w:t>见下表格式</w:t>
      </w:r>
      <w:r>
        <w:rPr>
          <w:rFonts w:hint="eastAsia" w:ascii="宋体" w:hAnsi="宋体" w:cs="宋体"/>
          <w:color w:val="auto"/>
          <w:sz w:val="21"/>
          <w:szCs w:val="21"/>
          <w:lang w:eastAsia="zh-CN"/>
        </w:rPr>
        <w:t>）</w:t>
      </w:r>
      <w:r>
        <w:rPr>
          <w:rFonts w:hint="eastAsia" w:ascii="宋体" w:hAnsi="宋体" w:cs="宋体"/>
          <w:color w:val="auto"/>
          <w:sz w:val="21"/>
          <w:szCs w:val="21"/>
        </w:rPr>
        <w:t>。投标人须更换不合格的投标人现场服务人员。服务人员情况表：</w:t>
      </w:r>
    </w:p>
    <w:tbl>
      <w:tblPr>
        <w:tblStyle w:val="18"/>
        <w:tblW w:w="836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5"/>
        <w:gridCol w:w="1045"/>
        <w:gridCol w:w="1045"/>
        <w:gridCol w:w="1045"/>
        <w:gridCol w:w="1045"/>
        <w:gridCol w:w="1045"/>
        <w:gridCol w:w="1045"/>
        <w:gridCol w:w="10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r>
              <w:rPr>
                <w:rFonts w:hint="eastAsia" w:ascii="宋体" w:hAnsi="宋体" w:cs="宋体"/>
                <w:color w:val="auto"/>
                <w:sz w:val="21"/>
                <w:szCs w:val="21"/>
              </w:rPr>
              <w:t>姓名</w:t>
            </w: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r>
              <w:rPr>
                <w:rFonts w:hint="eastAsia" w:ascii="宋体" w:hAnsi="宋体" w:cs="宋体"/>
                <w:color w:val="auto"/>
                <w:sz w:val="21"/>
                <w:szCs w:val="21"/>
              </w:rPr>
              <w:t>性别</w:t>
            </w: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r>
              <w:rPr>
                <w:rFonts w:hint="eastAsia" w:ascii="宋体" w:hAnsi="宋体" w:cs="宋体"/>
                <w:color w:val="auto"/>
                <w:sz w:val="21"/>
                <w:szCs w:val="21"/>
              </w:rPr>
              <w:t>年龄</w:t>
            </w: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r>
              <w:rPr>
                <w:rFonts w:hint="eastAsia" w:ascii="宋体" w:hAnsi="宋体" w:cs="宋体"/>
                <w:color w:val="auto"/>
                <w:sz w:val="21"/>
                <w:szCs w:val="21"/>
              </w:rPr>
              <w:t>民族</w:t>
            </w:r>
          </w:p>
        </w:tc>
        <w:tc>
          <w:tcPr>
            <w:tcW w:w="1049"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学校</w:t>
            </w: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专业</w:t>
            </w: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职务</w:t>
            </w: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职称</w:t>
            </w:r>
          </w:p>
        </w:tc>
        <w:tc>
          <w:tcPr>
            <w:tcW w:w="104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154" w:hRule="atLeast"/>
        </w:trPr>
        <w:tc>
          <w:tcPr>
            <w:tcW w:w="1045" w:type="dxa"/>
            <w:tcBorders>
              <w:tl2br w:val="nil"/>
              <w:tr2bl w:val="nil"/>
            </w:tcBorders>
            <w:textDirection w:val="tbLrV"/>
            <w:vAlign w:val="center"/>
          </w:tcPr>
          <w:p>
            <w:pPr>
              <w:pStyle w:val="5"/>
              <w:spacing w:line="360" w:lineRule="auto"/>
              <w:ind w:left="0" w:right="113" w:firstLine="0" w:firstLineChars="0"/>
              <w:jc w:val="center"/>
              <w:rPr>
                <w:rFonts w:hint="eastAsia" w:ascii="宋体" w:hAnsi="宋体" w:cs="宋体"/>
                <w:color w:val="auto"/>
                <w:sz w:val="21"/>
                <w:szCs w:val="21"/>
              </w:rPr>
            </w:pPr>
            <w:r>
              <w:rPr>
                <w:rFonts w:hint="eastAsia" w:ascii="宋体" w:hAnsi="宋体" w:cs="宋体"/>
                <w:color w:val="auto"/>
                <w:sz w:val="21"/>
                <w:szCs w:val="21"/>
                <w:lang w:val="en-US" w:eastAsia="zh-CN"/>
              </w:rPr>
              <w:t>工作简历</w:t>
            </w:r>
          </w:p>
        </w:tc>
        <w:tc>
          <w:tcPr>
            <w:tcW w:w="7319" w:type="dxa"/>
            <w:gridSpan w:val="7"/>
            <w:tcBorders>
              <w:tl2br w:val="nil"/>
              <w:tr2bl w:val="nil"/>
            </w:tcBorders>
            <w:vAlign w:val="top"/>
          </w:tcPr>
          <w:p>
            <w:pPr>
              <w:pStyle w:val="5"/>
              <w:spacing w:line="360" w:lineRule="auto"/>
              <w:ind w:firstLine="0"/>
              <w:jc w:val="both"/>
              <w:rPr>
                <w:rFonts w:hint="eastAsia" w:ascii="宋体" w:hAnsi="宋体" w:cs="宋体"/>
                <w:color w:val="auto"/>
                <w:sz w:val="21"/>
                <w:szCs w:val="21"/>
              </w:rPr>
            </w:pPr>
            <w:r>
              <w:rPr>
                <w:rFonts w:hint="eastAsia" w:ascii="宋体" w:hAnsi="宋体" w:cs="宋体"/>
                <w:color w:val="auto"/>
                <w:sz w:val="21"/>
                <w:szCs w:val="21"/>
              </w:rPr>
              <w:t>（现场服务业绩）</w:t>
            </w:r>
          </w:p>
        </w:tc>
      </w:tr>
    </w:tbl>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（注：每人一表）</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 投标人现场服务人员的职责</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1.3.1 投标人现场服务人员的任务主要包括设备催交、货物的开箱检验、设备质量问题的处理、指导安装和调试、参加试运和性能验收试验。</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1.3.2</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在安装和调试前，投标人技术服务人员应向招标人技术交底，讲解和示范将要进行的程序和方法。对重要工序（见下表），投标人技术人员要对施工情况进行确认和签证，否则招标人不能进行下一道工序。经投标人确认和签证的工序如因投标人技术服务人员指导错误而发生问题，投标人负全部责任。</w:t>
      </w:r>
    </w:p>
    <w:p>
      <w:pPr>
        <w:pStyle w:val="5"/>
        <w:spacing w:line="360" w:lineRule="auto"/>
        <w:ind w:firstLine="420" w:firstLineChars="200"/>
        <w:jc w:val="center"/>
        <w:rPr>
          <w:rFonts w:hint="eastAsia" w:ascii="宋体" w:hAnsi="宋体" w:cs="宋体"/>
          <w:color w:val="auto"/>
          <w:sz w:val="21"/>
          <w:szCs w:val="21"/>
        </w:rPr>
      </w:pPr>
      <w:r>
        <w:rPr>
          <w:rFonts w:hint="eastAsia" w:ascii="宋体" w:hAnsi="宋体" w:cs="宋体"/>
          <w:color w:val="auto"/>
          <w:sz w:val="21"/>
          <w:szCs w:val="21"/>
        </w:rPr>
        <w:t>安装、调试重要工序表（投标人细化）</w:t>
      </w:r>
    </w:p>
    <w:tbl>
      <w:tblPr>
        <w:tblStyle w:val="18"/>
        <w:tblW w:w="836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00"/>
        <w:gridCol w:w="2767"/>
        <w:gridCol w:w="3000"/>
        <w:gridCol w:w="16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op w:val="single" w:color="000000" w:sz="12" w:space="0"/>
              <w:left w:val="single" w:color="000000" w:sz="12" w:space="0"/>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序号</w:t>
            </w:r>
          </w:p>
        </w:tc>
        <w:tc>
          <w:tcPr>
            <w:tcW w:w="2767" w:type="dxa"/>
            <w:tcBorders>
              <w:top w:val="single" w:color="000000" w:sz="12" w:space="0"/>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工序名称</w:t>
            </w:r>
          </w:p>
        </w:tc>
        <w:tc>
          <w:tcPr>
            <w:tcW w:w="3000" w:type="dxa"/>
            <w:tcBorders>
              <w:top w:val="single" w:color="000000" w:sz="12" w:space="0"/>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工序主要内容</w:t>
            </w:r>
          </w:p>
        </w:tc>
        <w:tc>
          <w:tcPr>
            <w:tcW w:w="1697" w:type="dxa"/>
            <w:tcBorders>
              <w:top w:val="single" w:color="000000" w:sz="12" w:space="0"/>
              <w:right w:val="single" w:color="000000" w:sz="12" w:space="0"/>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lef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2767" w:type="dxa"/>
            <w:vAlign w:val="center"/>
          </w:tcPr>
          <w:p>
            <w:pPr>
              <w:pStyle w:val="5"/>
              <w:spacing w:line="360" w:lineRule="auto"/>
              <w:ind w:firstLine="0"/>
              <w:jc w:val="center"/>
              <w:rPr>
                <w:rFonts w:hint="eastAsia" w:ascii="宋体" w:hAnsi="宋体" w:cs="宋体"/>
                <w:color w:val="auto"/>
                <w:sz w:val="21"/>
                <w:szCs w:val="21"/>
              </w:rPr>
            </w:pPr>
          </w:p>
        </w:tc>
        <w:tc>
          <w:tcPr>
            <w:tcW w:w="3000" w:type="dxa"/>
            <w:vAlign w:val="center"/>
          </w:tcPr>
          <w:p>
            <w:pPr>
              <w:pStyle w:val="5"/>
              <w:spacing w:line="360" w:lineRule="auto"/>
              <w:ind w:firstLine="0"/>
              <w:jc w:val="center"/>
              <w:rPr>
                <w:rFonts w:hint="eastAsia" w:ascii="宋体" w:hAnsi="宋体" w:cs="宋体"/>
                <w:color w:val="auto"/>
                <w:sz w:val="21"/>
                <w:szCs w:val="21"/>
              </w:rPr>
            </w:pPr>
          </w:p>
        </w:tc>
        <w:tc>
          <w:tcPr>
            <w:tcW w:w="1697" w:type="dxa"/>
            <w:tcBorders>
              <w:righ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lef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2767" w:type="dxa"/>
            <w:vAlign w:val="center"/>
          </w:tcPr>
          <w:p>
            <w:pPr>
              <w:pStyle w:val="5"/>
              <w:spacing w:line="360" w:lineRule="auto"/>
              <w:ind w:firstLine="0"/>
              <w:jc w:val="center"/>
              <w:rPr>
                <w:rFonts w:hint="eastAsia" w:ascii="宋体" w:hAnsi="宋体" w:cs="宋体"/>
                <w:color w:val="auto"/>
                <w:sz w:val="21"/>
                <w:szCs w:val="21"/>
              </w:rPr>
            </w:pPr>
          </w:p>
        </w:tc>
        <w:tc>
          <w:tcPr>
            <w:tcW w:w="3000" w:type="dxa"/>
            <w:vAlign w:val="center"/>
          </w:tcPr>
          <w:p>
            <w:pPr>
              <w:pStyle w:val="5"/>
              <w:spacing w:line="360" w:lineRule="auto"/>
              <w:ind w:firstLine="0"/>
              <w:jc w:val="center"/>
              <w:rPr>
                <w:rFonts w:hint="eastAsia" w:ascii="宋体" w:hAnsi="宋体" w:cs="宋体"/>
                <w:color w:val="auto"/>
                <w:sz w:val="21"/>
                <w:szCs w:val="21"/>
              </w:rPr>
            </w:pPr>
          </w:p>
        </w:tc>
        <w:tc>
          <w:tcPr>
            <w:tcW w:w="1697" w:type="dxa"/>
            <w:tcBorders>
              <w:righ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left w:val="single" w:color="000000" w:sz="12" w:space="0"/>
              <w:bottom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2767" w:type="dxa"/>
            <w:tcBorders>
              <w:bottom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3000" w:type="dxa"/>
            <w:tcBorders>
              <w:bottom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1697" w:type="dxa"/>
            <w:tcBorders>
              <w:bottom w:val="single" w:color="000000" w:sz="12" w:space="0"/>
              <w:righ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r>
    </w:tbl>
    <w:p>
      <w:pPr>
        <w:pStyle w:val="5"/>
        <w:spacing w:before="157" w:beforeLines="50" w:line="360" w:lineRule="auto"/>
        <w:ind w:firstLine="0"/>
        <w:rPr>
          <w:rFonts w:hint="eastAsia" w:ascii="宋体" w:hAnsi="宋体" w:cs="宋体"/>
          <w:color w:val="auto"/>
          <w:sz w:val="21"/>
          <w:szCs w:val="21"/>
        </w:rPr>
      </w:pPr>
      <w:r>
        <w:rPr>
          <w:rFonts w:hint="eastAsia" w:ascii="宋体" w:hAnsi="宋体" w:cs="宋体"/>
          <w:color w:val="auto"/>
          <w:sz w:val="21"/>
          <w:szCs w:val="21"/>
        </w:rPr>
        <w:t>1.3.3 投标人现场服务人员应有权全权处理现场出现的一切技术和商务问题。如现场发生质量问题，投标人现场人员要在招标人规定的时间内处理解决。如投标人委托招标人进行处理，投标人现场服务人员要出委托书并承担相应的经济责任。</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1.3.4 投标人对其现场服务人员的一切行为负全部责任。</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1.3.5 投标人现场服务人员的正常来去和更换事先与招标人协商。</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1.4 招标人的义务</w:t>
      </w:r>
    </w:p>
    <w:p>
      <w:pPr>
        <w:pStyle w:val="5"/>
        <w:spacing w:line="360" w:lineRule="auto"/>
        <w:rPr>
          <w:rFonts w:hint="eastAsia" w:ascii="宋体" w:hAnsi="宋体" w:cs="宋体"/>
          <w:color w:val="auto"/>
          <w:sz w:val="21"/>
          <w:szCs w:val="21"/>
        </w:rPr>
      </w:pPr>
      <w:r>
        <w:rPr>
          <w:rFonts w:hint="eastAsia" w:ascii="宋体" w:hAnsi="宋体" w:cs="宋体"/>
          <w:color w:val="auto"/>
          <w:sz w:val="21"/>
          <w:szCs w:val="21"/>
        </w:rPr>
        <w:t>招标人要配合投标人现场服务人员的工作，并在生活、交通和通讯上提供方便。</w:t>
      </w:r>
    </w:p>
    <w:p>
      <w:pPr>
        <w:numPr>
          <w:ilvl w:val="-1"/>
          <w:numId w:val="0"/>
        </w:numPr>
        <w:snapToGrid/>
        <w:spacing w:before="0" w:beforeLines="0" w:after="0" w:afterLines="0" w:line="360" w:lineRule="auto"/>
        <w:ind w:left="0" w:firstLine="0"/>
        <w:rPr>
          <w:rFonts w:hint="eastAsia" w:ascii="宋体" w:hAnsi="宋体" w:eastAsia="宋体" w:cs="宋体"/>
          <w:b/>
          <w:bCs/>
          <w:color w:val="auto"/>
          <w:sz w:val="28"/>
          <w:szCs w:val="28"/>
        </w:rPr>
      </w:pPr>
      <w:bookmarkStart w:id="95" w:name="_Toc515697901"/>
      <w:bookmarkStart w:id="96" w:name="_Toc515785186"/>
      <w:bookmarkStart w:id="97" w:name="_Toc515727601"/>
      <w:bookmarkStart w:id="98" w:name="_Toc515708317"/>
      <w:bookmarkStart w:id="99" w:name="_Toc515705622"/>
      <w:r>
        <w:rPr>
          <w:rFonts w:hint="eastAsia" w:ascii="宋体" w:hAnsi="宋体" w:eastAsia="宋体" w:cs="宋体"/>
          <w:b/>
          <w:bCs/>
          <w:color w:val="auto"/>
          <w:sz w:val="28"/>
          <w:szCs w:val="28"/>
          <w:lang w:val="en-US" w:eastAsia="zh-CN"/>
        </w:rPr>
        <w:t xml:space="preserve">2 </w:t>
      </w:r>
      <w:r>
        <w:rPr>
          <w:rFonts w:hint="eastAsia" w:ascii="宋体" w:hAnsi="宋体" w:eastAsia="宋体" w:cs="宋体"/>
          <w:b/>
          <w:bCs/>
          <w:color w:val="auto"/>
          <w:sz w:val="28"/>
          <w:szCs w:val="28"/>
        </w:rPr>
        <w:t>培训</w:t>
      </w:r>
      <w:bookmarkEnd w:id="95"/>
      <w:bookmarkEnd w:id="96"/>
      <w:bookmarkEnd w:id="97"/>
      <w:bookmarkEnd w:id="98"/>
      <w:bookmarkEnd w:id="99"/>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2.1 为使合同设备能正常安装和运行，投标人有责任提供相应的技术培训。培训内容应与工程进度相一致。</w:t>
      </w:r>
    </w:p>
    <w:tbl>
      <w:tblPr>
        <w:tblStyle w:val="18"/>
        <w:tblW w:w="83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9"/>
        <w:gridCol w:w="1938"/>
        <w:gridCol w:w="1161"/>
        <w:gridCol w:w="1080"/>
        <w:gridCol w:w="1080"/>
        <w:gridCol w:w="1080"/>
        <w:gridCol w:w="11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89"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序号</w:t>
            </w:r>
          </w:p>
        </w:tc>
        <w:tc>
          <w:tcPr>
            <w:tcW w:w="1938"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培训内容</w:t>
            </w:r>
          </w:p>
        </w:tc>
        <w:tc>
          <w:tcPr>
            <w:tcW w:w="1161"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计划人月数</w:t>
            </w:r>
          </w:p>
        </w:tc>
        <w:tc>
          <w:tcPr>
            <w:tcW w:w="2160" w:type="dxa"/>
            <w:gridSpan w:val="2"/>
            <w:tcBorders>
              <w:tl2br w:val="nil"/>
              <w:tr2bl w:val="nil"/>
            </w:tcBorders>
            <w:vAlign w:val="center"/>
          </w:tcPr>
          <w:p>
            <w:pPr>
              <w:pStyle w:val="5"/>
              <w:spacing w:line="360" w:lineRule="auto"/>
              <w:jc w:val="both"/>
              <w:rPr>
                <w:rFonts w:hint="eastAsia" w:ascii="宋体" w:hAnsi="宋体" w:cs="宋体"/>
                <w:color w:val="auto"/>
                <w:sz w:val="21"/>
                <w:szCs w:val="21"/>
              </w:rPr>
            </w:pPr>
            <w:r>
              <w:rPr>
                <w:rFonts w:hint="eastAsia" w:ascii="宋体" w:hAnsi="宋体" w:cs="宋体"/>
                <w:color w:val="auto"/>
                <w:sz w:val="21"/>
                <w:szCs w:val="21"/>
              </w:rPr>
              <w:t>培训教师构成</w:t>
            </w:r>
          </w:p>
        </w:tc>
        <w:tc>
          <w:tcPr>
            <w:tcW w:w="1080"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地点</w:t>
            </w:r>
          </w:p>
        </w:tc>
        <w:tc>
          <w:tcPr>
            <w:tcW w:w="1112"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89"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938"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161"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职称</w:t>
            </w: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人数</w:t>
            </w:r>
          </w:p>
        </w:tc>
        <w:tc>
          <w:tcPr>
            <w:tcW w:w="1080"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112"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9" w:type="dxa"/>
            <w:tcBorders>
              <w:tl2br w:val="nil"/>
              <w:tr2bl w:val="nil"/>
            </w:tcBorders>
            <w:vAlign w:val="center"/>
          </w:tcPr>
          <w:p>
            <w:pPr>
              <w:pStyle w:val="5"/>
              <w:spacing w:line="360" w:lineRule="auto"/>
              <w:jc w:val="both"/>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w:t>
            </w:r>
          </w:p>
        </w:tc>
        <w:tc>
          <w:tcPr>
            <w:tcW w:w="1938" w:type="dxa"/>
            <w:tcBorders>
              <w:tl2br w:val="nil"/>
              <w:tr2bl w:val="nil"/>
            </w:tcBorders>
            <w:vAlign w:val="center"/>
          </w:tcPr>
          <w:p>
            <w:pPr>
              <w:pStyle w:val="5"/>
              <w:spacing w:line="360" w:lineRule="auto"/>
              <w:ind w:firstLine="0"/>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发变组保护原理</w:t>
            </w:r>
          </w:p>
        </w:tc>
        <w:tc>
          <w:tcPr>
            <w:tcW w:w="1161" w:type="dxa"/>
            <w:tcBorders>
              <w:tl2br w:val="nil"/>
              <w:tr2bl w:val="nil"/>
            </w:tcBorders>
            <w:vAlign w:val="center"/>
          </w:tcPr>
          <w:p>
            <w:pPr>
              <w:pStyle w:val="5"/>
              <w:spacing w:line="360" w:lineRule="auto"/>
              <w:ind w:firstLine="0"/>
              <w:jc w:val="center"/>
              <w:rPr>
                <w:rFonts w:hint="eastAsia" w:ascii="宋体" w:hAnsi="宋体" w:eastAsia="宋体" w:cs="宋体"/>
                <w:color w:val="auto"/>
                <w:sz w:val="21"/>
                <w:szCs w:val="21"/>
                <w:lang w:val="en-US" w:eastAsia="zh-CN"/>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9" w:type="dxa"/>
            <w:tcBorders>
              <w:tl2br w:val="nil"/>
              <w:tr2bl w:val="nil"/>
            </w:tcBorders>
            <w:vAlign w:val="center"/>
          </w:tcPr>
          <w:p>
            <w:pPr>
              <w:pStyle w:val="5"/>
              <w:spacing w:line="360" w:lineRule="auto"/>
              <w:jc w:val="both"/>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2</w:t>
            </w:r>
          </w:p>
        </w:tc>
        <w:tc>
          <w:tcPr>
            <w:tcW w:w="1938" w:type="dxa"/>
            <w:tcBorders>
              <w:tl2br w:val="nil"/>
              <w:tr2bl w:val="nil"/>
            </w:tcBorders>
            <w:vAlign w:val="center"/>
          </w:tcPr>
          <w:p>
            <w:pPr>
              <w:pStyle w:val="5"/>
              <w:spacing w:line="360" w:lineRule="auto"/>
              <w:ind w:firstLine="0"/>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发变组调试方法</w:t>
            </w:r>
          </w:p>
        </w:tc>
        <w:tc>
          <w:tcPr>
            <w:tcW w:w="1161" w:type="dxa"/>
            <w:tcBorders>
              <w:tl2br w:val="nil"/>
              <w:tr2bl w:val="nil"/>
            </w:tcBorders>
            <w:vAlign w:val="center"/>
          </w:tcPr>
          <w:p>
            <w:pPr>
              <w:pStyle w:val="5"/>
              <w:spacing w:line="360" w:lineRule="auto"/>
              <w:ind w:firstLine="0"/>
              <w:jc w:val="center"/>
              <w:rPr>
                <w:rFonts w:hint="eastAsia" w:ascii="宋体" w:hAnsi="宋体" w:eastAsia="宋体" w:cs="宋体"/>
                <w:color w:val="auto"/>
                <w:sz w:val="21"/>
                <w:szCs w:val="21"/>
                <w:lang w:val="en-US" w:eastAsia="zh-CN"/>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bl>
    <w:p>
      <w:pPr>
        <w:pStyle w:val="5"/>
        <w:spacing w:before="157" w:beforeLines="50" w:line="360" w:lineRule="auto"/>
        <w:ind w:firstLine="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val="en-US" w:eastAsia="zh-CN"/>
        </w:rPr>
        <w:t>2</w:t>
      </w:r>
      <w:r>
        <w:rPr>
          <w:rFonts w:hint="eastAsia" w:ascii="宋体" w:hAnsi="宋体" w:cs="宋体"/>
          <w:color w:val="auto"/>
          <w:sz w:val="21"/>
          <w:szCs w:val="21"/>
        </w:rPr>
        <w:t xml:space="preserve"> </w:t>
      </w:r>
      <w:r>
        <w:rPr>
          <w:rFonts w:hint="eastAsia" w:ascii="宋体" w:hAnsi="宋体" w:cs="宋体"/>
          <w:color w:val="auto"/>
          <w:sz w:val="21"/>
          <w:szCs w:val="21"/>
          <w:lang w:val="en-US" w:eastAsia="zh-CN"/>
        </w:rPr>
        <w:t>若需求发生变化，</w:t>
      </w:r>
      <w:r>
        <w:rPr>
          <w:rFonts w:hint="eastAsia" w:ascii="宋体" w:hAnsi="宋体" w:cs="宋体"/>
          <w:color w:val="auto"/>
          <w:sz w:val="21"/>
          <w:szCs w:val="21"/>
        </w:rPr>
        <w:t>培训的时间、人数、地点等具体内容由招投标双方商定。</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val="en-US" w:eastAsia="zh-CN"/>
        </w:rPr>
        <w:t>3</w:t>
      </w:r>
      <w:r>
        <w:rPr>
          <w:rFonts w:hint="eastAsia" w:ascii="宋体" w:hAnsi="宋体" w:cs="宋体"/>
          <w:color w:val="auto"/>
          <w:sz w:val="21"/>
          <w:szCs w:val="21"/>
        </w:rPr>
        <w:t xml:space="preserve"> 投标人为招标人培训人员提供设备、场地、资料等培训条件，并提供食宿和交通、通信方便。</w:t>
      </w:r>
    </w:p>
    <w:p>
      <w:pPr>
        <w:pStyle w:val="5"/>
        <w:spacing w:line="360" w:lineRule="auto"/>
        <w:ind w:firstLine="0"/>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2.4 培训的时间、人数、地点等具体内容由双方商定。</w:t>
      </w:r>
    </w:p>
    <w:p>
      <w:pPr>
        <w:pStyle w:val="5"/>
        <w:spacing w:line="360" w:lineRule="auto"/>
        <w:ind w:firstLineChars="200"/>
        <w:rPr>
          <w:rFonts w:hint="eastAsia" w:ascii="宋体" w:hAnsi="宋体" w:cs="宋体"/>
          <w:color w:val="auto"/>
          <w:sz w:val="21"/>
          <w:szCs w:val="21"/>
        </w:rPr>
      </w:pPr>
      <w:r>
        <w:rPr>
          <w:rFonts w:hint="eastAsia" w:ascii="宋体" w:hAnsi="宋体" w:cs="宋体"/>
          <w:color w:val="auto"/>
          <w:sz w:val="21"/>
          <w:szCs w:val="21"/>
        </w:rPr>
        <w:t>现场、工厂培训费用包含在合同总价中，如因工程实际的需要，</w:t>
      </w:r>
      <w:r>
        <w:rPr>
          <w:rFonts w:hint="eastAsia" w:ascii="宋体" w:hAnsi="宋体" w:cs="宋体"/>
          <w:color w:val="auto"/>
          <w:sz w:val="21"/>
          <w:szCs w:val="21"/>
          <w:lang w:eastAsia="zh-CN"/>
        </w:rPr>
        <w:t>招标人</w:t>
      </w:r>
      <w:r>
        <w:rPr>
          <w:rFonts w:hint="eastAsia" w:ascii="宋体" w:hAnsi="宋体" w:cs="宋体"/>
          <w:color w:val="auto"/>
          <w:sz w:val="21"/>
          <w:szCs w:val="21"/>
        </w:rPr>
        <w:t>需培训人数和次数的增加均不影响合同总价。</w:t>
      </w:r>
    </w:p>
    <w:p>
      <w:pPr>
        <w:numPr>
          <w:ilvl w:val="-1"/>
          <w:numId w:val="0"/>
        </w:numPr>
        <w:snapToGrid/>
        <w:spacing w:before="0" w:beforeLines="0" w:after="0" w:afterLines="0" w:line="360" w:lineRule="auto"/>
        <w:ind w:left="0" w:firstLine="0"/>
        <w:rPr>
          <w:rFonts w:hint="eastAsia" w:ascii="宋体" w:hAnsi="宋体" w:eastAsia="宋体" w:cs="宋体"/>
          <w:b/>
          <w:bCs/>
          <w:color w:val="auto"/>
          <w:sz w:val="28"/>
          <w:szCs w:val="28"/>
        </w:rPr>
      </w:pPr>
      <w:bookmarkStart w:id="100" w:name="_Toc515705623"/>
      <w:bookmarkStart w:id="101" w:name="_Toc515727602"/>
      <w:bookmarkStart w:id="102" w:name="_Toc515785187"/>
      <w:bookmarkStart w:id="103" w:name="_Toc515708318"/>
      <w:bookmarkStart w:id="104" w:name="_Toc515697902"/>
      <w:r>
        <w:rPr>
          <w:rFonts w:hint="eastAsia" w:ascii="宋体" w:hAnsi="宋体" w:eastAsia="宋体" w:cs="宋体"/>
          <w:b/>
          <w:bCs/>
          <w:color w:val="auto"/>
          <w:sz w:val="28"/>
          <w:szCs w:val="28"/>
          <w:lang w:val="en-US" w:eastAsia="zh-CN"/>
        </w:rPr>
        <w:t xml:space="preserve">3 </w:t>
      </w:r>
      <w:r>
        <w:rPr>
          <w:rFonts w:hint="eastAsia" w:ascii="宋体" w:hAnsi="宋体" w:eastAsia="宋体" w:cs="宋体"/>
          <w:b/>
          <w:bCs/>
          <w:color w:val="auto"/>
          <w:sz w:val="28"/>
          <w:szCs w:val="28"/>
        </w:rPr>
        <w:t>设计联络会</w:t>
      </w:r>
      <w:bookmarkEnd w:id="100"/>
      <w:bookmarkEnd w:id="101"/>
      <w:bookmarkEnd w:id="102"/>
      <w:bookmarkEnd w:id="103"/>
      <w:bookmarkEnd w:id="104"/>
    </w:p>
    <w:p>
      <w:pPr>
        <w:pStyle w:val="5"/>
        <w:spacing w:line="360" w:lineRule="auto"/>
        <w:ind w:firstLineChars="200"/>
        <w:rPr>
          <w:rFonts w:hint="eastAsia" w:ascii="宋体" w:hAnsi="宋体" w:cs="宋体"/>
          <w:color w:val="auto"/>
          <w:sz w:val="21"/>
          <w:szCs w:val="21"/>
        </w:rPr>
      </w:pPr>
      <w:r>
        <w:rPr>
          <w:rFonts w:hint="eastAsia" w:ascii="宋体" w:hAnsi="宋体" w:cs="宋体"/>
          <w:color w:val="auto"/>
          <w:sz w:val="21"/>
          <w:szCs w:val="21"/>
        </w:rPr>
        <w:t>本</w:t>
      </w:r>
      <w:r>
        <w:rPr>
          <w:rFonts w:hint="eastAsia" w:ascii="宋体" w:hAnsi="宋体" w:cs="宋体"/>
          <w:color w:val="auto"/>
          <w:sz w:val="21"/>
          <w:szCs w:val="21"/>
          <w:lang w:val="en-US" w:eastAsia="zh-CN"/>
        </w:rPr>
        <w:t>项目</w:t>
      </w:r>
      <w:r>
        <w:rPr>
          <w:rFonts w:hint="eastAsia" w:ascii="宋体" w:hAnsi="宋体" w:cs="宋体"/>
          <w:color w:val="auto"/>
          <w:sz w:val="21"/>
          <w:szCs w:val="21"/>
        </w:rPr>
        <w:t>的设计联络会安排二次，会务费用报价人负责，差旅费均各自理。有关设计联络的计划、时间、地点和内容要求由招投标双方商定。</w:t>
      </w:r>
    </w:p>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设计联络计划表</w:t>
      </w:r>
    </w:p>
    <w:tbl>
      <w:tblPr>
        <w:tblStyle w:val="18"/>
        <w:tblW w:w="8352"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900"/>
        <w:gridCol w:w="924"/>
        <w:gridCol w:w="1920"/>
        <w:gridCol w:w="1692"/>
        <w:gridCol w:w="1800"/>
        <w:gridCol w:w="111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序号</w:t>
            </w:r>
          </w:p>
        </w:tc>
        <w:tc>
          <w:tcPr>
            <w:tcW w:w="924"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次数</w:t>
            </w:r>
          </w:p>
        </w:tc>
        <w:tc>
          <w:tcPr>
            <w:tcW w:w="192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内容</w:t>
            </w:r>
          </w:p>
        </w:tc>
        <w:tc>
          <w:tcPr>
            <w:tcW w:w="169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时间</w:t>
            </w:r>
          </w:p>
        </w:tc>
        <w:tc>
          <w:tcPr>
            <w:tcW w:w="18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地点</w:t>
            </w:r>
          </w:p>
        </w:tc>
        <w:tc>
          <w:tcPr>
            <w:tcW w:w="111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人数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924"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192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69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8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924"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192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69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8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924"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192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69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8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bl>
    <w:p>
      <w:pPr>
        <w:spacing w:before="0" w:beforeLines="0" w:after="0" w:afterLines="0" w:line="360" w:lineRule="auto"/>
        <w:rPr>
          <w:rFonts w:hint="eastAsia" w:ascii="宋体" w:hAnsi="宋体" w:cs="宋体"/>
          <w:color w:val="auto"/>
          <w:sz w:val="32"/>
          <w:szCs w:val="32"/>
        </w:rPr>
      </w:pPr>
      <w:r>
        <w:rPr>
          <w:rFonts w:hint="eastAsia" w:ascii="宋体" w:hAnsi="宋体" w:cs="宋体"/>
          <w:color w:val="auto"/>
        </w:rPr>
        <w:br w:type="page"/>
      </w:r>
      <w:bookmarkStart w:id="105" w:name="_Toc526944935"/>
      <w:bookmarkStart w:id="106" w:name="_Toc343695403"/>
      <w:r>
        <w:rPr>
          <w:rFonts w:hint="eastAsia" w:ascii="宋体" w:hAnsi="宋体" w:cs="宋体"/>
          <w:b/>
          <w:bCs/>
          <w:color w:val="auto"/>
          <w:sz w:val="30"/>
          <w:szCs w:val="30"/>
        </w:rPr>
        <w:t>附件7 分包与外购</w:t>
      </w:r>
      <w:bookmarkEnd w:id="105"/>
      <w:bookmarkEnd w:id="106"/>
    </w:p>
    <w:p>
      <w:pPr>
        <w:spacing w:afterLines="0"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投标人要按下列表格填写分包情况表，并报各分包厂家的简要资质情况（包括与本设备的配套业绩）。</w:t>
      </w:r>
    </w:p>
    <w:p>
      <w:pPr>
        <w:spacing w:afterLines="0"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注：下表中的序号和内容应与附件2的一致</w:t>
      </w:r>
    </w:p>
    <w:tbl>
      <w:tblPr>
        <w:tblStyle w:val="18"/>
        <w:tblW w:w="8352" w:type="dxa"/>
        <w:tblInd w:w="7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8"/>
        <w:gridCol w:w="1372"/>
        <w:gridCol w:w="1428"/>
        <w:gridCol w:w="980"/>
        <w:gridCol w:w="1120"/>
        <w:gridCol w:w="1105"/>
        <w:gridCol w:w="768"/>
        <w:gridCol w:w="8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序号</w:t>
            </w:r>
          </w:p>
        </w:tc>
        <w:tc>
          <w:tcPr>
            <w:tcW w:w="1372"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设备组件</w:t>
            </w:r>
          </w:p>
        </w:tc>
        <w:tc>
          <w:tcPr>
            <w:tcW w:w="1428"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厂家名称</w:t>
            </w:r>
          </w:p>
        </w:tc>
        <w:tc>
          <w:tcPr>
            <w:tcW w:w="980"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型号</w:t>
            </w:r>
          </w:p>
        </w:tc>
        <w:tc>
          <w:tcPr>
            <w:tcW w:w="1120"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单位</w:t>
            </w:r>
          </w:p>
        </w:tc>
        <w:tc>
          <w:tcPr>
            <w:tcW w:w="1105"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数量</w:t>
            </w:r>
          </w:p>
        </w:tc>
        <w:tc>
          <w:tcPr>
            <w:tcW w:w="768"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产地</w:t>
            </w:r>
          </w:p>
        </w:tc>
        <w:tc>
          <w:tcPr>
            <w:tcW w:w="851"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restart"/>
            <w:tcBorders>
              <w:tl2br w:val="nil"/>
              <w:tr2bl w:val="nil"/>
            </w:tcBorders>
            <w:vAlign w:val="center"/>
          </w:tcPr>
          <w:p>
            <w:pPr>
              <w:jc w:val="center"/>
              <w:rPr>
                <w:rFonts w:hint="eastAsia" w:ascii="宋体" w:hAnsi="宋体" w:cs="宋体"/>
                <w:color w:val="auto"/>
                <w:sz w:val="21"/>
                <w:szCs w:val="21"/>
              </w:rPr>
            </w:pPr>
          </w:p>
        </w:tc>
        <w:tc>
          <w:tcPr>
            <w:tcW w:w="1372" w:type="dxa"/>
            <w:vMerge w:val="restart"/>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restart"/>
            <w:tcBorders>
              <w:tl2br w:val="nil"/>
              <w:tr2bl w:val="nil"/>
            </w:tcBorders>
            <w:vAlign w:val="center"/>
          </w:tcPr>
          <w:p>
            <w:pPr>
              <w:jc w:val="center"/>
              <w:rPr>
                <w:rFonts w:hint="eastAsia" w:ascii="宋体" w:hAnsi="宋体" w:cs="宋体"/>
                <w:color w:val="auto"/>
                <w:sz w:val="21"/>
                <w:szCs w:val="21"/>
              </w:rPr>
            </w:pPr>
          </w:p>
        </w:tc>
        <w:tc>
          <w:tcPr>
            <w:tcW w:w="1372" w:type="dxa"/>
            <w:vMerge w:val="restart"/>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restart"/>
            <w:tcBorders>
              <w:tl2br w:val="nil"/>
              <w:tr2bl w:val="nil"/>
            </w:tcBorders>
            <w:vAlign w:val="center"/>
          </w:tcPr>
          <w:p>
            <w:pPr>
              <w:jc w:val="center"/>
              <w:rPr>
                <w:rFonts w:hint="eastAsia" w:ascii="宋体" w:hAnsi="宋体" w:cs="宋体"/>
                <w:color w:val="auto"/>
                <w:sz w:val="21"/>
                <w:szCs w:val="21"/>
              </w:rPr>
            </w:pPr>
          </w:p>
        </w:tc>
        <w:tc>
          <w:tcPr>
            <w:tcW w:w="1372" w:type="dxa"/>
            <w:vMerge w:val="restart"/>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bl>
    <w:p>
      <w:pPr>
        <w:spacing w:before="0" w:beforeLines="0" w:after="0" w:afterLines="0" w:line="360" w:lineRule="auto"/>
        <w:rPr>
          <w:rFonts w:hint="eastAsia" w:ascii="宋体" w:hAnsi="宋体" w:eastAsia="宋体" w:cs="宋体"/>
          <w:b/>
          <w:bCs/>
          <w:color w:val="auto"/>
          <w:sz w:val="30"/>
          <w:szCs w:val="30"/>
        </w:rPr>
      </w:pPr>
      <w:r>
        <w:rPr>
          <w:rFonts w:hint="eastAsia" w:ascii="宋体" w:hAnsi="宋体" w:cs="宋体"/>
          <w:color w:val="auto"/>
        </w:rPr>
        <w:br w:type="page"/>
      </w:r>
      <w:r>
        <w:rPr>
          <w:rFonts w:hint="eastAsia" w:ascii="宋体" w:hAnsi="宋体" w:cs="宋体"/>
          <w:b/>
          <w:bCs/>
          <w:color w:val="auto"/>
          <w:sz w:val="30"/>
          <w:szCs w:val="30"/>
          <w:lang w:val="en-US" w:eastAsia="zh-CN"/>
        </w:rPr>
        <w:t>附</w:t>
      </w:r>
      <w:bookmarkStart w:id="107" w:name="_Toc201065489"/>
      <w:bookmarkStart w:id="108" w:name="_Toc526944936"/>
      <w:bookmarkStart w:id="109" w:name="_Toc343695404"/>
      <w:r>
        <w:rPr>
          <w:rFonts w:hint="eastAsia" w:ascii="宋体" w:hAnsi="宋体" w:eastAsia="宋体" w:cs="宋体"/>
          <w:b/>
          <w:bCs/>
          <w:color w:val="auto"/>
          <w:sz w:val="30"/>
          <w:szCs w:val="30"/>
        </w:rPr>
        <w:t>件8 运行维护手册</w:t>
      </w:r>
      <w:bookmarkEnd w:id="107"/>
      <w:bookmarkEnd w:id="108"/>
      <w:bookmarkEnd w:id="109"/>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运行维护手册格式要求如下：</w:t>
      </w:r>
    </w:p>
    <w:p>
      <w:pPr>
        <w:spacing w:line="360" w:lineRule="auto"/>
        <w:rPr>
          <w:rFonts w:hint="eastAsia" w:ascii="宋体" w:hAnsi="宋体" w:cs="宋体"/>
          <w:color w:val="auto"/>
        </w:rPr>
      </w:pPr>
    </w:p>
    <w:p>
      <w:pPr>
        <w:spacing w:line="360" w:lineRule="auto"/>
        <w:jc w:val="center"/>
        <w:rPr>
          <w:rFonts w:hint="eastAsia" w:ascii="宋体" w:hAnsi="宋体" w:cs="宋体"/>
          <w:b/>
          <w:color w:val="auto"/>
          <w:sz w:val="44"/>
          <w:szCs w:val="44"/>
        </w:rPr>
      </w:pPr>
      <w:r>
        <w:rPr>
          <w:rFonts w:hint="eastAsia" w:ascii="宋体" w:hAnsi="宋体" w:cs="宋体"/>
          <w:b/>
          <w:color w:val="auto"/>
          <w:sz w:val="44"/>
          <w:szCs w:val="44"/>
        </w:rPr>
        <w:t>浙能**工程（项目名称）</w:t>
      </w:r>
    </w:p>
    <w:p>
      <w:pPr>
        <w:spacing w:line="360" w:lineRule="auto"/>
        <w:rPr>
          <w:rFonts w:hint="eastAsia" w:ascii="宋体" w:hAnsi="宋体" w:cs="宋体"/>
          <w:b/>
          <w:color w:val="auto"/>
          <w:sz w:val="32"/>
        </w:rPr>
      </w:pPr>
    </w:p>
    <w:p>
      <w:pPr>
        <w:spacing w:line="360" w:lineRule="auto"/>
        <w:jc w:val="center"/>
        <w:rPr>
          <w:rFonts w:hint="eastAsia" w:ascii="宋体" w:hAnsi="宋体" w:cs="宋体"/>
          <w:b/>
          <w:color w:val="auto"/>
          <w:sz w:val="36"/>
          <w:szCs w:val="36"/>
        </w:rPr>
      </w:pPr>
      <w:r>
        <w:rPr>
          <w:rFonts w:hint="eastAsia" w:ascii="宋体" w:hAnsi="宋体" w:cs="宋体"/>
          <w:b/>
          <w:color w:val="auto"/>
          <w:sz w:val="36"/>
          <w:szCs w:val="36"/>
        </w:rPr>
        <w:t>发变组保护装置</w:t>
      </w:r>
    </w:p>
    <w:p>
      <w:pPr>
        <w:spacing w:line="360" w:lineRule="auto"/>
        <w:jc w:val="both"/>
        <w:rPr>
          <w:rFonts w:hint="eastAsia" w:ascii="宋体" w:hAnsi="宋体" w:cs="宋体"/>
          <w:b/>
          <w:color w:val="auto"/>
          <w:sz w:val="36"/>
          <w:szCs w:val="36"/>
        </w:rPr>
      </w:pPr>
    </w:p>
    <w:p>
      <w:pPr>
        <w:spacing w:line="360" w:lineRule="auto"/>
        <w:jc w:val="center"/>
        <w:rPr>
          <w:rFonts w:hint="eastAsia" w:ascii="宋体" w:hAnsi="宋体" w:cs="宋体"/>
          <w:b/>
          <w:color w:val="auto"/>
          <w:sz w:val="32"/>
        </w:rPr>
      </w:pPr>
      <w:r>
        <w:rPr>
          <w:rFonts w:hint="eastAsia" w:ascii="宋体" w:hAnsi="宋体" w:cs="宋体"/>
          <w:b/>
          <w:color w:val="auto"/>
          <w:sz w:val="32"/>
        </w:rPr>
        <w:t xml:space="preserve">运 </w:t>
      </w:r>
      <w:r>
        <w:rPr>
          <w:rFonts w:hint="eastAsia" w:ascii="宋体" w:hAnsi="宋体" w:cs="宋体"/>
          <w:b/>
          <w:color w:val="auto"/>
          <w:sz w:val="32"/>
          <w:lang w:val="en-US" w:eastAsia="zh-CN"/>
        </w:rPr>
        <w:t xml:space="preserve"> </w:t>
      </w:r>
      <w:r>
        <w:rPr>
          <w:rFonts w:hint="eastAsia" w:ascii="宋体" w:hAnsi="宋体" w:cs="宋体"/>
          <w:b/>
          <w:color w:val="auto"/>
          <w:sz w:val="32"/>
        </w:rPr>
        <w:t>行  维  护</w:t>
      </w:r>
    </w:p>
    <w:p>
      <w:pPr>
        <w:spacing w:line="360" w:lineRule="auto"/>
        <w:jc w:val="both"/>
        <w:rPr>
          <w:rFonts w:hint="eastAsia" w:ascii="宋体" w:hAnsi="宋体" w:cs="宋体"/>
          <w:b/>
          <w:color w:val="auto"/>
          <w:sz w:val="32"/>
        </w:rPr>
      </w:pPr>
    </w:p>
    <w:p>
      <w:pPr>
        <w:spacing w:line="360" w:lineRule="auto"/>
        <w:jc w:val="center"/>
        <w:rPr>
          <w:rFonts w:hint="eastAsia" w:ascii="宋体" w:hAnsi="宋体" w:cs="宋体"/>
          <w:b/>
          <w:color w:val="auto"/>
          <w:sz w:val="32"/>
        </w:rPr>
      </w:pPr>
      <w:r>
        <w:rPr>
          <w:rFonts w:hint="eastAsia" w:ascii="宋体" w:hAnsi="宋体" w:cs="宋体"/>
          <w:b/>
          <w:color w:val="auto"/>
          <w:sz w:val="32"/>
        </w:rPr>
        <w:t>手</w:t>
      </w:r>
    </w:p>
    <w:p>
      <w:pPr>
        <w:spacing w:line="360" w:lineRule="auto"/>
        <w:jc w:val="both"/>
        <w:rPr>
          <w:rFonts w:hint="eastAsia" w:ascii="宋体" w:hAnsi="宋体" w:cs="宋体"/>
          <w:b/>
          <w:color w:val="auto"/>
          <w:sz w:val="32"/>
        </w:rPr>
      </w:pPr>
    </w:p>
    <w:p>
      <w:pPr>
        <w:spacing w:line="360" w:lineRule="auto"/>
        <w:jc w:val="center"/>
        <w:rPr>
          <w:rFonts w:hint="eastAsia" w:ascii="宋体" w:hAnsi="宋体" w:cs="宋体"/>
          <w:b/>
          <w:color w:val="auto"/>
          <w:sz w:val="32"/>
        </w:rPr>
      </w:pPr>
      <w:r>
        <w:rPr>
          <w:rFonts w:hint="eastAsia" w:ascii="宋体" w:hAnsi="宋体" w:cs="宋体"/>
          <w:b/>
          <w:color w:val="auto"/>
          <w:sz w:val="32"/>
        </w:rPr>
        <w:t>册</w:t>
      </w:r>
    </w:p>
    <w:p>
      <w:pPr>
        <w:spacing w:line="360" w:lineRule="auto"/>
        <w:jc w:val="both"/>
        <w:rPr>
          <w:rFonts w:hint="eastAsia" w:ascii="宋体" w:hAnsi="宋体" w:cs="宋体"/>
          <w:b/>
          <w:color w:val="auto"/>
          <w:sz w:val="32"/>
        </w:rPr>
      </w:pP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要求：一式10套</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纸张：A4</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字体：宋体，小四号</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行间距：1.5倍</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页边距（mm）：左-30  右-25  上-30  下-40</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页眉：XX设备运行维护手册</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注：在正式提交前，先由招标人审定。</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设备运行和维护手册的目的是能够把全部必要的数据和说明装订成册，这样，运行人员可以较好地查阅和理解最初调试及试运行工作、有效操作以及在正常、事故和异常(非设计情况)下怎样正确操作设备和停机。在提交之前，双方应商定操作和维护手册的形式和内容。</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该手册应详细地叙述和说明设备构造，使新来的操作和维护人员能够研究和理解设备的功能的控制方法。</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手册中应能够快速查阅运行参数、设备说明书、操作、维护和安全程度。</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运行和维护手册应包括，但不限于下述内容：</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1）</w:t>
      </w:r>
      <w:r>
        <w:rPr>
          <w:rFonts w:hint="eastAsia" w:ascii="宋体" w:hAnsi="宋体" w:cs="宋体"/>
          <w:color w:val="auto"/>
          <w:sz w:val="21"/>
          <w:szCs w:val="21"/>
        </w:rPr>
        <w:t>设备概述，包括设备、系统说明、设备结构、功能说明、技术规范等。</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2）</w:t>
      </w:r>
      <w:r>
        <w:rPr>
          <w:rFonts w:hint="eastAsia" w:ascii="宋体" w:hAnsi="宋体" w:cs="宋体"/>
          <w:color w:val="auto"/>
          <w:sz w:val="21"/>
          <w:szCs w:val="21"/>
        </w:rPr>
        <w:t>设备启动、运行和停运的操作程序及注意事项。</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3）</w:t>
      </w:r>
      <w:r>
        <w:rPr>
          <w:rFonts w:hint="eastAsia" w:ascii="宋体" w:hAnsi="宋体" w:cs="宋体"/>
          <w:color w:val="auto"/>
          <w:sz w:val="21"/>
          <w:szCs w:val="21"/>
        </w:rPr>
        <w:t>设备联锁和保护功能说明。</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4）</w:t>
      </w:r>
      <w:r>
        <w:rPr>
          <w:rFonts w:hint="eastAsia" w:ascii="宋体" w:hAnsi="宋体" w:cs="宋体"/>
          <w:color w:val="auto"/>
          <w:sz w:val="21"/>
          <w:szCs w:val="21"/>
        </w:rPr>
        <w:t>设备安装、拆卸、维护的程序及注意事项。</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5）</w:t>
      </w:r>
      <w:r>
        <w:rPr>
          <w:rFonts w:hint="eastAsia" w:ascii="宋体" w:hAnsi="宋体" w:cs="宋体"/>
          <w:color w:val="auto"/>
          <w:sz w:val="21"/>
          <w:szCs w:val="21"/>
        </w:rPr>
        <w:t>设备零、部件清单，包括名称、图号、规格、材质、制造厂家全称等。</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6）</w:t>
      </w:r>
      <w:r>
        <w:rPr>
          <w:rFonts w:hint="eastAsia" w:ascii="宋体" w:hAnsi="宋体" w:cs="宋体"/>
          <w:color w:val="auto"/>
          <w:sz w:val="21"/>
          <w:szCs w:val="21"/>
        </w:rPr>
        <w:t>设备易损件、消耗性材料清单，包括名称、规格、制造厂家全称等。</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为便于使用和查阅，手册应分成卷，每一卷包括封面的最大厚度为50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mm。</w:t>
      </w:r>
    </w:p>
    <w:p>
      <w:pPr>
        <w:pStyle w:val="8"/>
        <w:ind w:left="0" w:firstLine="420" w:firstLineChars="200"/>
        <w:rPr>
          <w:rFonts w:hint="eastAsia" w:hAnsi="宋体" w:cs="宋体"/>
          <w:color w:val="auto"/>
          <w:sz w:val="21"/>
          <w:szCs w:val="21"/>
        </w:rPr>
      </w:pPr>
      <w:r>
        <w:rPr>
          <w:rFonts w:hint="eastAsia" w:hAnsi="宋体" w:cs="宋体"/>
          <w:color w:val="auto"/>
          <w:sz w:val="21"/>
          <w:szCs w:val="21"/>
        </w:rPr>
        <w:t>每一卷的版式应尽可能地一致，每一部分的系统、设备等描述顺序也应一致。</w:t>
      </w:r>
    </w:p>
    <w:p>
      <w:pPr>
        <w:spacing w:before="0" w:beforeLines="0" w:after="0" w:afterLines="0" w:line="360" w:lineRule="auto"/>
        <w:rPr>
          <w:rFonts w:hint="eastAsia" w:ascii="宋体" w:hAnsi="宋体" w:eastAsia="宋体" w:cs="宋体"/>
          <w:b/>
          <w:bCs/>
          <w:color w:val="auto"/>
          <w:sz w:val="30"/>
          <w:szCs w:val="30"/>
        </w:rPr>
      </w:pPr>
      <w:r>
        <w:rPr>
          <w:rFonts w:hint="eastAsia" w:ascii="宋体" w:hAnsi="宋体" w:cs="宋体"/>
          <w:color w:val="auto"/>
        </w:rPr>
        <w:br w:type="page"/>
      </w:r>
      <w:bookmarkStart w:id="110" w:name="_Toc343695405"/>
      <w:bookmarkStart w:id="111" w:name="_Toc526944937"/>
      <w:r>
        <w:rPr>
          <w:rFonts w:hint="eastAsia" w:ascii="宋体" w:hAnsi="宋体" w:eastAsia="宋体" w:cs="宋体"/>
          <w:b/>
          <w:bCs/>
          <w:color w:val="auto"/>
          <w:sz w:val="30"/>
          <w:szCs w:val="30"/>
        </w:rPr>
        <w:t>附件9</w:t>
      </w:r>
      <w:r>
        <w:rPr>
          <w:rFonts w:hint="eastAsia" w:ascii="宋体" w:hAnsi="宋体" w:eastAsia="宋体" w:cs="宋体"/>
          <w:b/>
          <w:bCs/>
          <w:color w:val="auto"/>
          <w:sz w:val="30"/>
          <w:szCs w:val="30"/>
          <w:lang w:eastAsia="zh-CN"/>
        </w:rPr>
        <w:t xml:space="preserve"> </w:t>
      </w:r>
      <w:r>
        <w:rPr>
          <w:rFonts w:hint="eastAsia" w:ascii="宋体" w:hAnsi="宋体" w:eastAsia="宋体" w:cs="宋体"/>
          <w:b/>
          <w:bCs/>
          <w:color w:val="auto"/>
          <w:sz w:val="30"/>
          <w:szCs w:val="30"/>
        </w:rPr>
        <w:t>大（部）件情况</w:t>
      </w:r>
      <w:bookmarkEnd w:id="110"/>
      <w:bookmarkEnd w:id="111"/>
    </w:p>
    <w:p>
      <w:pPr>
        <w:spacing w:before="157" w:beforeLines="50" w:after="157" w:afterLines="50" w:line="360" w:lineRule="auto"/>
        <w:rPr>
          <w:rFonts w:hint="eastAsia" w:ascii="宋体" w:hAnsi="宋体" w:cs="宋体"/>
          <w:color w:val="auto"/>
          <w:sz w:val="21"/>
          <w:szCs w:val="21"/>
        </w:rPr>
      </w:pPr>
      <w:r>
        <w:rPr>
          <w:rFonts w:hint="eastAsia" w:ascii="宋体" w:hAnsi="宋体" w:cs="宋体"/>
          <w:color w:val="auto"/>
          <w:sz w:val="21"/>
          <w:szCs w:val="21"/>
        </w:rPr>
        <w:t>投标人应把超级超限的情况详细予以说明</w:t>
      </w:r>
    </w:p>
    <w:tbl>
      <w:tblPr>
        <w:tblStyle w:val="18"/>
        <w:tblW w:w="878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60"/>
        <w:gridCol w:w="668"/>
        <w:gridCol w:w="652"/>
        <w:gridCol w:w="1003"/>
        <w:gridCol w:w="1010"/>
        <w:gridCol w:w="895"/>
        <w:gridCol w:w="882"/>
        <w:gridCol w:w="740"/>
        <w:gridCol w:w="1037"/>
        <w:gridCol w:w="740"/>
        <w:gridCol w:w="5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560"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序号</w:t>
            </w:r>
          </w:p>
        </w:tc>
        <w:tc>
          <w:tcPr>
            <w:tcW w:w="668"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部件</w:t>
            </w:r>
          </w:p>
          <w:p>
            <w:pPr>
              <w:jc w:val="center"/>
              <w:rPr>
                <w:rFonts w:hint="eastAsia" w:ascii="宋体" w:hAnsi="宋体" w:cs="宋体"/>
                <w:color w:val="auto"/>
                <w:sz w:val="21"/>
                <w:szCs w:val="21"/>
              </w:rPr>
            </w:pPr>
            <w:r>
              <w:rPr>
                <w:rFonts w:hint="eastAsia" w:ascii="宋体" w:hAnsi="宋体" w:cs="宋体"/>
                <w:color w:val="auto"/>
                <w:sz w:val="21"/>
                <w:szCs w:val="21"/>
              </w:rPr>
              <w:t>名称</w:t>
            </w:r>
          </w:p>
        </w:tc>
        <w:tc>
          <w:tcPr>
            <w:tcW w:w="652"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数量</w:t>
            </w:r>
          </w:p>
        </w:tc>
        <w:tc>
          <w:tcPr>
            <w:tcW w:w="2013" w:type="dxa"/>
            <w:gridSpan w:val="2"/>
            <w:vAlign w:val="center"/>
          </w:tcPr>
          <w:p>
            <w:pPr>
              <w:jc w:val="center"/>
              <w:rPr>
                <w:rFonts w:hint="eastAsia" w:ascii="宋体" w:hAnsi="宋体" w:cs="宋体"/>
                <w:color w:val="auto"/>
                <w:sz w:val="21"/>
                <w:szCs w:val="21"/>
              </w:rPr>
            </w:pPr>
            <w:r>
              <w:rPr>
                <w:rFonts w:hint="eastAsia" w:ascii="宋体" w:hAnsi="宋体" w:cs="宋体"/>
                <w:color w:val="auto"/>
                <w:sz w:val="21"/>
                <w:szCs w:val="21"/>
              </w:rPr>
              <w:t>长×宽×高</w:t>
            </w:r>
          </w:p>
        </w:tc>
        <w:tc>
          <w:tcPr>
            <w:tcW w:w="1777" w:type="dxa"/>
            <w:gridSpan w:val="2"/>
            <w:vAlign w:val="center"/>
          </w:tcPr>
          <w:p>
            <w:pPr>
              <w:jc w:val="center"/>
              <w:rPr>
                <w:rFonts w:hint="eastAsia" w:ascii="宋体" w:hAnsi="宋体" w:cs="宋体"/>
                <w:color w:val="auto"/>
                <w:sz w:val="21"/>
                <w:szCs w:val="21"/>
              </w:rPr>
            </w:pPr>
            <w:r>
              <w:rPr>
                <w:rFonts w:hint="eastAsia" w:ascii="宋体" w:hAnsi="宋体" w:cs="宋体"/>
                <w:color w:val="auto"/>
                <w:sz w:val="21"/>
                <w:szCs w:val="21"/>
              </w:rPr>
              <w:t>重量</w:t>
            </w:r>
          </w:p>
        </w:tc>
        <w:tc>
          <w:tcPr>
            <w:tcW w:w="740"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厂家</w:t>
            </w:r>
          </w:p>
          <w:p>
            <w:pPr>
              <w:jc w:val="center"/>
              <w:rPr>
                <w:rFonts w:hint="eastAsia" w:ascii="宋体" w:hAnsi="宋体" w:cs="宋体"/>
                <w:color w:val="auto"/>
                <w:sz w:val="21"/>
                <w:szCs w:val="21"/>
              </w:rPr>
            </w:pPr>
            <w:r>
              <w:rPr>
                <w:rFonts w:hint="eastAsia" w:ascii="宋体" w:hAnsi="宋体" w:cs="宋体"/>
                <w:color w:val="auto"/>
                <w:sz w:val="21"/>
                <w:szCs w:val="21"/>
              </w:rPr>
              <w:t>名称</w:t>
            </w:r>
          </w:p>
        </w:tc>
        <w:tc>
          <w:tcPr>
            <w:tcW w:w="1037"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货物发</w:t>
            </w:r>
          </w:p>
          <w:p>
            <w:pPr>
              <w:jc w:val="center"/>
              <w:rPr>
                <w:rFonts w:hint="eastAsia" w:ascii="宋体" w:hAnsi="宋体" w:cs="宋体"/>
                <w:color w:val="auto"/>
                <w:sz w:val="21"/>
                <w:szCs w:val="21"/>
              </w:rPr>
            </w:pPr>
            <w:r>
              <w:rPr>
                <w:rFonts w:hint="eastAsia" w:ascii="宋体" w:hAnsi="宋体" w:cs="宋体"/>
                <w:color w:val="auto"/>
                <w:sz w:val="21"/>
                <w:szCs w:val="21"/>
              </w:rPr>
              <w:t>运地点</w:t>
            </w:r>
          </w:p>
        </w:tc>
        <w:tc>
          <w:tcPr>
            <w:tcW w:w="740"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运输</w:t>
            </w:r>
          </w:p>
          <w:p>
            <w:pPr>
              <w:jc w:val="center"/>
              <w:rPr>
                <w:rFonts w:hint="eastAsia" w:ascii="宋体" w:hAnsi="宋体" w:cs="宋体"/>
                <w:color w:val="auto"/>
                <w:sz w:val="21"/>
                <w:szCs w:val="21"/>
              </w:rPr>
            </w:pPr>
            <w:r>
              <w:rPr>
                <w:rFonts w:hint="eastAsia" w:ascii="宋体" w:hAnsi="宋体" w:cs="宋体"/>
                <w:color w:val="auto"/>
                <w:sz w:val="21"/>
                <w:szCs w:val="21"/>
              </w:rPr>
              <w:t>方式</w:t>
            </w:r>
          </w:p>
        </w:tc>
        <w:tc>
          <w:tcPr>
            <w:tcW w:w="599"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560" w:type="dxa"/>
            <w:vMerge w:val="continue"/>
            <w:vAlign w:val="center"/>
          </w:tcPr>
          <w:p>
            <w:pPr>
              <w:jc w:val="center"/>
              <w:rPr>
                <w:rFonts w:hint="eastAsia" w:ascii="宋体" w:hAnsi="宋体" w:cs="宋体"/>
                <w:color w:val="auto"/>
                <w:sz w:val="21"/>
                <w:szCs w:val="21"/>
              </w:rPr>
            </w:pPr>
          </w:p>
        </w:tc>
        <w:tc>
          <w:tcPr>
            <w:tcW w:w="668" w:type="dxa"/>
            <w:vMerge w:val="continue"/>
            <w:vAlign w:val="center"/>
          </w:tcPr>
          <w:p>
            <w:pPr>
              <w:jc w:val="center"/>
              <w:rPr>
                <w:rFonts w:hint="eastAsia" w:ascii="宋体" w:hAnsi="宋体" w:cs="宋体"/>
                <w:color w:val="auto"/>
                <w:sz w:val="21"/>
                <w:szCs w:val="21"/>
              </w:rPr>
            </w:pPr>
          </w:p>
        </w:tc>
        <w:tc>
          <w:tcPr>
            <w:tcW w:w="652" w:type="dxa"/>
            <w:vMerge w:val="continue"/>
            <w:vAlign w:val="center"/>
          </w:tcPr>
          <w:p>
            <w:pPr>
              <w:jc w:val="center"/>
              <w:rPr>
                <w:rFonts w:hint="eastAsia" w:ascii="宋体" w:hAnsi="宋体" w:cs="宋体"/>
                <w:color w:val="auto"/>
                <w:sz w:val="21"/>
                <w:szCs w:val="21"/>
              </w:rPr>
            </w:pPr>
          </w:p>
        </w:tc>
        <w:tc>
          <w:tcPr>
            <w:tcW w:w="1003" w:type="dxa"/>
            <w:vAlign w:val="center"/>
          </w:tcPr>
          <w:p>
            <w:pPr>
              <w:jc w:val="center"/>
              <w:rPr>
                <w:rFonts w:hint="eastAsia" w:ascii="宋体" w:hAnsi="宋体" w:cs="宋体"/>
                <w:color w:val="auto"/>
                <w:sz w:val="21"/>
                <w:szCs w:val="21"/>
              </w:rPr>
            </w:pPr>
            <w:r>
              <w:rPr>
                <w:rFonts w:hint="eastAsia" w:ascii="宋体" w:hAnsi="宋体" w:cs="宋体"/>
                <w:color w:val="auto"/>
                <w:sz w:val="21"/>
                <w:szCs w:val="21"/>
              </w:rPr>
              <w:t>包装</w:t>
            </w:r>
          </w:p>
        </w:tc>
        <w:tc>
          <w:tcPr>
            <w:tcW w:w="1010" w:type="dxa"/>
            <w:vAlign w:val="center"/>
          </w:tcPr>
          <w:p>
            <w:pPr>
              <w:jc w:val="center"/>
              <w:rPr>
                <w:rFonts w:hint="eastAsia" w:ascii="宋体" w:hAnsi="宋体" w:cs="宋体"/>
                <w:color w:val="auto"/>
                <w:sz w:val="21"/>
                <w:szCs w:val="21"/>
              </w:rPr>
            </w:pPr>
            <w:r>
              <w:rPr>
                <w:rFonts w:hint="eastAsia" w:ascii="宋体" w:hAnsi="宋体" w:cs="宋体"/>
                <w:color w:val="auto"/>
                <w:sz w:val="21"/>
                <w:szCs w:val="21"/>
              </w:rPr>
              <w:t>未包装</w:t>
            </w:r>
          </w:p>
        </w:tc>
        <w:tc>
          <w:tcPr>
            <w:tcW w:w="895" w:type="dxa"/>
            <w:vAlign w:val="center"/>
          </w:tcPr>
          <w:p>
            <w:pPr>
              <w:jc w:val="center"/>
              <w:rPr>
                <w:rFonts w:hint="eastAsia" w:ascii="宋体" w:hAnsi="宋体" w:cs="宋体"/>
                <w:color w:val="auto"/>
                <w:sz w:val="21"/>
                <w:szCs w:val="21"/>
              </w:rPr>
            </w:pPr>
            <w:r>
              <w:rPr>
                <w:rFonts w:hint="eastAsia" w:ascii="宋体" w:hAnsi="宋体" w:cs="宋体"/>
                <w:color w:val="auto"/>
                <w:sz w:val="21"/>
                <w:szCs w:val="21"/>
              </w:rPr>
              <w:t>包装</w:t>
            </w:r>
          </w:p>
        </w:tc>
        <w:tc>
          <w:tcPr>
            <w:tcW w:w="882" w:type="dxa"/>
            <w:vAlign w:val="center"/>
          </w:tcPr>
          <w:p>
            <w:pPr>
              <w:jc w:val="center"/>
              <w:rPr>
                <w:rFonts w:hint="eastAsia" w:ascii="宋体" w:hAnsi="宋体" w:cs="宋体"/>
                <w:color w:val="auto"/>
                <w:sz w:val="21"/>
                <w:szCs w:val="21"/>
              </w:rPr>
            </w:pPr>
            <w:r>
              <w:rPr>
                <w:rFonts w:hint="eastAsia" w:ascii="宋体" w:hAnsi="宋体" w:cs="宋体"/>
                <w:color w:val="auto"/>
                <w:sz w:val="21"/>
                <w:szCs w:val="21"/>
              </w:rPr>
              <w:t>未包装</w:t>
            </w:r>
          </w:p>
        </w:tc>
        <w:tc>
          <w:tcPr>
            <w:tcW w:w="740" w:type="dxa"/>
            <w:vMerge w:val="continue"/>
            <w:vAlign w:val="center"/>
          </w:tcPr>
          <w:p>
            <w:pPr>
              <w:jc w:val="center"/>
              <w:rPr>
                <w:rFonts w:hint="eastAsia" w:ascii="宋体" w:hAnsi="宋体" w:cs="宋体"/>
                <w:color w:val="auto"/>
                <w:sz w:val="21"/>
                <w:szCs w:val="21"/>
              </w:rPr>
            </w:pPr>
          </w:p>
        </w:tc>
        <w:tc>
          <w:tcPr>
            <w:tcW w:w="1037" w:type="dxa"/>
            <w:vMerge w:val="continue"/>
            <w:vAlign w:val="center"/>
          </w:tcPr>
          <w:p>
            <w:pPr>
              <w:jc w:val="center"/>
              <w:rPr>
                <w:rFonts w:hint="eastAsia" w:ascii="宋体" w:hAnsi="宋体" w:cs="宋体"/>
                <w:color w:val="auto"/>
                <w:sz w:val="21"/>
                <w:szCs w:val="21"/>
              </w:rPr>
            </w:pPr>
          </w:p>
        </w:tc>
        <w:tc>
          <w:tcPr>
            <w:tcW w:w="740" w:type="dxa"/>
            <w:vMerge w:val="continue"/>
            <w:vAlign w:val="center"/>
          </w:tcPr>
          <w:p>
            <w:pPr>
              <w:jc w:val="center"/>
              <w:rPr>
                <w:rFonts w:hint="eastAsia" w:ascii="宋体" w:hAnsi="宋体" w:cs="宋体"/>
                <w:color w:val="auto"/>
                <w:sz w:val="21"/>
                <w:szCs w:val="21"/>
              </w:rPr>
            </w:pPr>
          </w:p>
        </w:tc>
        <w:tc>
          <w:tcPr>
            <w:tcW w:w="599" w:type="dxa"/>
            <w:vMerge w:val="continue"/>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60" w:type="dxa"/>
            <w:vAlign w:val="center"/>
          </w:tcPr>
          <w:p>
            <w:pPr>
              <w:jc w:val="center"/>
              <w:rPr>
                <w:rFonts w:hint="eastAsia" w:ascii="宋体" w:hAnsi="宋体" w:cs="宋体"/>
                <w:color w:val="auto"/>
                <w:sz w:val="21"/>
                <w:szCs w:val="21"/>
              </w:rPr>
            </w:pPr>
          </w:p>
        </w:tc>
        <w:tc>
          <w:tcPr>
            <w:tcW w:w="668" w:type="dxa"/>
            <w:vAlign w:val="center"/>
          </w:tcPr>
          <w:p>
            <w:pPr>
              <w:jc w:val="center"/>
              <w:rPr>
                <w:rFonts w:hint="eastAsia" w:ascii="宋体" w:hAnsi="宋体" w:cs="宋体"/>
                <w:color w:val="auto"/>
                <w:sz w:val="21"/>
                <w:szCs w:val="21"/>
              </w:rPr>
            </w:pPr>
          </w:p>
        </w:tc>
        <w:tc>
          <w:tcPr>
            <w:tcW w:w="652" w:type="dxa"/>
            <w:vAlign w:val="center"/>
          </w:tcPr>
          <w:p>
            <w:pPr>
              <w:jc w:val="center"/>
              <w:rPr>
                <w:rFonts w:hint="eastAsia" w:ascii="宋体" w:hAnsi="宋体" w:cs="宋体"/>
                <w:color w:val="auto"/>
                <w:sz w:val="21"/>
                <w:szCs w:val="21"/>
              </w:rPr>
            </w:pPr>
          </w:p>
        </w:tc>
        <w:tc>
          <w:tcPr>
            <w:tcW w:w="1003" w:type="dxa"/>
            <w:vAlign w:val="center"/>
          </w:tcPr>
          <w:p>
            <w:pPr>
              <w:jc w:val="center"/>
              <w:rPr>
                <w:rFonts w:hint="eastAsia" w:ascii="宋体" w:hAnsi="宋体" w:cs="宋体"/>
                <w:color w:val="auto"/>
                <w:sz w:val="21"/>
                <w:szCs w:val="21"/>
              </w:rPr>
            </w:pPr>
          </w:p>
        </w:tc>
        <w:tc>
          <w:tcPr>
            <w:tcW w:w="1010" w:type="dxa"/>
            <w:vAlign w:val="center"/>
          </w:tcPr>
          <w:p>
            <w:pPr>
              <w:jc w:val="center"/>
              <w:rPr>
                <w:rFonts w:hint="eastAsia" w:ascii="宋体" w:hAnsi="宋体" w:cs="宋体"/>
                <w:color w:val="auto"/>
                <w:sz w:val="21"/>
                <w:szCs w:val="21"/>
              </w:rPr>
            </w:pPr>
          </w:p>
        </w:tc>
        <w:tc>
          <w:tcPr>
            <w:tcW w:w="895" w:type="dxa"/>
            <w:vAlign w:val="center"/>
          </w:tcPr>
          <w:p>
            <w:pPr>
              <w:jc w:val="center"/>
              <w:rPr>
                <w:rFonts w:hint="eastAsia" w:ascii="宋体" w:hAnsi="宋体" w:cs="宋体"/>
                <w:color w:val="auto"/>
                <w:sz w:val="21"/>
                <w:szCs w:val="21"/>
              </w:rPr>
            </w:pPr>
          </w:p>
        </w:tc>
        <w:tc>
          <w:tcPr>
            <w:tcW w:w="882"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1037"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599" w:type="dxa"/>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60" w:type="dxa"/>
            <w:vAlign w:val="center"/>
          </w:tcPr>
          <w:p>
            <w:pPr>
              <w:jc w:val="center"/>
              <w:rPr>
                <w:rFonts w:hint="eastAsia" w:ascii="宋体" w:hAnsi="宋体" w:cs="宋体"/>
                <w:color w:val="auto"/>
                <w:sz w:val="21"/>
                <w:szCs w:val="21"/>
              </w:rPr>
            </w:pPr>
          </w:p>
        </w:tc>
        <w:tc>
          <w:tcPr>
            <w:tcW w:w="668" w:type="dxa"/>
            <w:vAlign w:val="center"/>
          </w:tcPr>
          <w:p>
            <w:pPr>
              <w:jc w:val="center"/>
              <w:rPr>
                <w:rFonts w:hint="eastAsia" w:ascii="宋体" w:hAnsi="宋体" w:cs="宋体"/>
                <w:color w:val="auto"/>
                <w:sz w:val="21"/>
                <w:szCs w:val="21"/>
              </w:rPr>
            </w:pPr>
          </w:p>
        </w:tc>
        <w:tc>
          <w:tcPr>
            <w:tcW w:w="652" w:type="dxa"/>
            <w:vAlign w:val="center"/>
          </w:tcPr>
          <w:p>
            <w:pPr>
              <w:jc w:val="center"/>
              <w:rPr>
                <w:rFonts w:hint="eastAsia" w:ascii="宋体" w:hAnsi="宋体" w:cs="宋体"/>
                <w:color w:val="auto"/>
                <w:sz w:val="21"/>
                <w:szCs w:val="21"/>
              </w:rPr>
            </w:pPr>
          </w:p>
        </w:tc>
        <w:tc>
          <w:tcPr>
            <w:tcW w:w="1003" w:type="dxa"/>
            <w:vAlign w:val="center"/>
          </w:tcPr>
          <w:p>
            <w:pPr>
              <w:jc w:val="center"/>
              <w:rPr>
                <w:rFonts w:hint="eastAsia" w:ascii="宋体" w:hAnsi="宋体" w:cs="宋体"/>
                <w:color w:val="auto"/>
                <w:sz w:val="21"/>
                <w:szCs w:val="21"/>
              </w:rPr>
            </w:pPr>
          </w:p>
        </w:tc>
        <w:tc>
          <w:tcPr>
            <w:tcW w:w="1010" w:type="dxa"/>
            <w:vAlign w:val="center"/>
          </w:tcPr>
          <w:p>
            <w:pPr>
              <w:jc w:val="center"/>
              <w:rPr>
                <w:rFonts w:hint="eastAsia" w:ascii="宋体" w:hAnsi="宋体" w:cs="宋体"/>
                <w:color w:val="auto"/>
                <w:sz w:val="21"/>
                <w:szCs w:val="21"/>
              </w:rPr>
            </w:pPr>
          </w:p>
        </w:tc>
        <w:tc>
          <w:tcPr>
            <w:tcW w:w="895" w:type="dxa"/>
            <w:vAlign w:val="center"/>
          </w:tcPr>
          <w:p>
            <w:pPr>
              <w:jc w:val="center"/>
              <w:rPr>
                <w:rFonts w:hint="eastAsia" w:ascii="宋体" w:hAnsi="宋体" w:cs="宋体"/>
                <w:color w:val="auto"/>
                <w:sz w:val="21"/>
                <w:szCs w:val="21"/>
              </w:rPr>
            </w:pPr>
          </w:p>
        </w:tc>
        <w:tc>
          <w:tcPr>
            <w:tcW w:w="882"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1037"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599" w:type="dxa"/>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60" w:type="dxa"/>
            <w:vAlign w:val="center"/>
          </w:tcPr>
          <w:p>
            <w:pPr>
              <w:jc w:val="center"/>
              <w:rPr>
                <w:rFonts w:hint="eastAsia" w:ascii="宋体" w:hAnsi="宋体" w:cs="宋体"/>
                <w:color w:val="auto"/>
                <w:sz w:val="21"/>
                <w:szCs w:val="21"/>
              </w:rPr>
            </w:pPr>
          </w:p>
        </w:tc>
        <w:tc>
          <w:tcPr>
            <w:tcW w:w="668" w:type="dxa"/>
            <w:vAlign w:val="center"/>
          </w:tcPr>
          <w:p>
            <w:pPr>
              <w:jc w:val="center"/>
              <w:rPr>
                <w:rFonts w:hint="eastAsia" w:ascii="宋体" w:hAnsi="宋体" w:cs="宋体"/>
                <w:color w:val="auto"/>
                <w:sz w:val="21"/>
                <w:szCs w:val="21"/>
              </w:rPr>
            </w:pPr>
          </w:p>
        </w:tc>
        <w:tc>
          <w:tcPr>
            <w:tcW w:w="652" w:type="dxa"/>
            <w:vAlign w:val="center"/>
          </w:tcPr>
          <w:p>
            <w:pPr>
              <w:jc w:val="center"/>
              <w:rPr>
                <w:rFonts w:hint="eastAsia" w:ascii="宋体" w:hAnsi="宋体" w:cs="宋体"/>
                <w:color w:val="auto"/>
                <w:sz w:val="21"/>
                <w:szCs w:val="21"/>
              </w:rPr>
            </w:pPr>
          </w:p>
        </w:tc>
        <w:tc>
          <w:tcPr>
            <w:tcW w:w="1003" w:type="dxa"/>
            <w:vAlign w:val="center"/>
          </w:tcPr>
          <w:p>
            <w:pPr>
              <w:jc w:val="center"/>
              <w:rPr>
                <w:rFonts w:hint="eastAsia" w:ascii="宋体" w:hAnsi="宋体" w:cs="宋体"/>
                <w:color w:val="auto"/>
                <w:sz w:val="21"/>
                <w:szCs w:val="21"/>
              </w:rPr>
            </w:pPr>
          </w:p>
        </w:tc>
        <w:tc>
          <w:tcPr>
            <w:tcW w:w="1010" w:type="dxa"/>
            <w:vAlign w:val="center"/>
          </w:tcPr>
          <w:p>
            <w:pPr>
              <w:jc w:val="center"/>
              <w:rPr>
                <w:rFonts w:hint="eastAsia" w:ascii="宋体" w:hAnsi="宋体" w:cs="宋体"/>
                <w:color w:val="auto"/>
                <w:sz w:val="21"/>
                <w:szCs w:val="21"/>
              </w:rPr>
            </w:pPr>
          </w:p>
        </w:tc>
        <w:tc>
          <w:tcPr>
            <w:tcW w:w="895" w:type="dxa"/>
            <w:vAlign w:val="center"/>
          </w:tcPr>
          <w:p>
            <w:pPr>
              <w:jc w:val="center"/>
              <w:rPr>
                <w:rFonts w:hint="eastAsia" w:ascii="宋体" w:hAnsi="宋体" w:cs="宋体"/>
                <w:color w:val="auto"/>
                <w:sz w:val="21"/>
                <w:szCs w:val="21"/>
              </w:rPr>
            </w:pPr>
          </w:p>
        </w:tc>
        <w:tc>
          <w:tcPr>
            <w:tcW w:w="882"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1037"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599" w:type="dxa"/>
            <w:vAlign w:val="center"/>
          </w:tcPr>
          <w:p>
            <w:pPr>
              <w:jc w:val="center"/>
              <w:rPr>
                <w:rFonts w:hint="eastAsia" w:ascii="宋体" w:hAnsi="宋体" w:cs="宋体"/>
                <w:color w:val="auto"/>
                <w:sz w:val="21"/>
                <w:szCs w:val="21"/>
              </w:rPr>
            </w:pPr>
          </w:p>
        </w:tc>
      </w:tr>
    </w:tbl>
    <w:p>
      <w:pPr>
        <w:rPr>
          <w:rFonts w:hint="eastAsia" w:ascii="宋体" w:hAnsi="宋体" w:cs="宋体"/>
          <w:color w:val="auto"/>
          <w:sz w:val="21"/>
          <w:szCs w:val="21"/>
        </w:rPr>
      </w:pPr>
    </w:p>
    <w:p>
      <w:pPr>
        <w:spacing w:before="0" w:beforeLines="0" w:after="0" w:afterLines="0" w:line="360" w:lineRule="auto"/>
        <w:rPr>
          <w:rFonts w:hint="eastAsia" w:ascii="宋体" w:hAnsi="宋体" w:cs="宋体"/>
          <w:b/>
          <w:bCs/>
          <w:color w:val="auto"/>
          <w:sz w:val="30"/>
          <w:szCs w:val="30"/>
        </w:rPr>
      </w:pPr>
      <w:r>
        <w:rPr>
          <w:rFonts w:hint="eastAsia" w:ascii="宋体" w:hAnsi="宋体" w:cs="宋体"/>
          <w:color w:val="auto"/>
        </w:rPr>
        <w:br w:type="page"/>
      </w:r>
      <w:bookmarkStart w:id="112" w:name="_Toc399326523"/>
      <w:bookmarkStart w:id="113" w:name="_Toc343695406"/>
      <w:bookmarkStart w:id="114" w:name="_Toc397131869"/>
      <w:bookmarkStart w:id="115" w:name="_Toc397175925"/>
      <w:bookmarkStart w:id="116" w:name="_Toc396529293"/>
      <w:bookmarkStart w:id="117" w:name="_Toc396988670"/>
      <w:bookmarkStart w:id="118" w:name="_Toc396528069"/>
      <w:bookmarkStart w:id="119" w:name="_Toc396990284"/>
      <w:bookmarkStart w:id="120" w:name="_Toc526944938"/>
      <w:bookmarkStart w:id="121" w:name="_Toc396528500"/>
      <w:bookmarkStart w:id="122" w:name="_Toc501940892"/>
      <w:bookmarkStart w:id="123" w:name="_Toc517056038"/>
      <w:bookmarkStart w:id="124" w:name="_Toc399318779"/>
      <w:bookmarkStart w:id="125" w:name="_Toc396527854"/>
      <w:bookmarkStart w:id="126" w:name="_Toc397174654"/>
      <w:r>
        <w:rPr>
          <w:rFonts w:hint="eastAsia" w:ascii="宋体" w:hAnsi="宋体" w:cs="宋体"/>
          <w:b/>
          <w:bCs/>
          <w:color w:val="auto"/>
          <w:sz w:val="30"/>
          <w:szCs w:val="30"/>
        </w:rPr>
        <w:t>附件10 技术差异表</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pPr>
        <w:spacing w:line="400" w:lineRule="atLeast"/>
        <w:ind w:firstLine="420" w:firstLineChars="200"/>
        <w:rPr>
          <w:rFonts w:hint="eastAsia" w:ascii="宋体" w:hAnsi="宋体" w:cs="宋体"/>
          <w:color w:val="auto"/>
          <w:sz w:val="21"/>
          <w:szCs w:val="21"/>
        </w:rPr>
      </w:pPr>
      <w:r>
        <w:rPr>
          <w:rFonts w:hint="eastAsia" w:ascii="宋体" w:hAnsi="宋体" w:cs="宋体"/>
          <w:color w:val="auto"/>
          <w:sz w:val="21"/>
          <w:szCs w:val="21"/>
        </w:rPr>
        <w:t>投标人</w:t>
      </w:r>
      <w:r>
        <w:rPr>
          <w:rFonts w:hint="eastAsia" w:ascii="宋体" w:hAnsi="宋体" w:cs="宋体"/>
          <w:color w:val="auto"/>
          <w:sz w:val="21"/>
          <w:szCs w:val="21"/>
          <w:lang w:val="en-US" w:eastAsia="zh-CN"/>
        </w:rPr>
        <w:t>应</w:t>
      </w:r>
      <w:r>
        <w:rPr>
          <w:rFonts w:hint="eastAsia" w:ascii="宋体" w:hAnsi="宋体" w:cs="宋体"/>
          <w:color w:val="auto"/>
          <w:sz w:val="21"/>
          <w:szCs w:val="21"/>
        </w:rPr>
        <w:t>将投标文件和</w:t>
      </w:r>
      <w:r>
        <w:rPr>
          <w:rFonts w:hint="eastAsia" w:ascii="宋体" w:hAnsi="宋体" w:cs="宋体"/>
          <w:color w:val="auto"/>
          <w:sz w:val="21"/>
          <w:szCs w:val="21"/>
          <w:lang w:eastAsia="zh-CN"/>
        </w:rPr>
        <w:t>技术规范书</w:t>
      </w:r>
      <w:r>
        <w:rPr>
          <w:rFonts w:hint="eastAsia" w:ascii="宋体" w:hAnsi="宋体" w:cs="宋体"/>
          <w:color w:val="auto"/>
          <w:sz w:val="21"/>
          <w:szCs w:val="21"/>
        </w:rPr>
        <w:t>的差异之处汇集成表。技术部分和商务部分</w:t>
      </w:r>
      <w:r>
        <w:rPr>
          <w:rFonts w:hint="eastAsia" w:ascii="宋体" w:hAnsi="宋体" w:cs="宋体"/>
          <w:color w:val="auto"/>
          <w:sz w:val="21"/>
          <w:szCs w:val="21"/>
          <w:lang w:eastAsia="zh-CN"/>
        </w:rPr>
        <w:t>需</w:t>
      </w:r>
      <w:r>
        <w:rPr>
          <w:rFonts w:hint="eastAsia" w:ascii="宋体" w:hAnsi="宋体" w:cs="宋体"/>
          <w:color w:val="auto"/>
          <w:sz w:val="21"/>
          <w:szCs w:val="21"/>
        </w:rPr>
        <w:t>单独列表。</w:t>
      </w:r>
    </w:p>
    <w:p>
      <w:pPr>
        <w:spacing w:line="360" w:lineRule="auto"/>
        <w:jc w:val="center"/>
        <w:rPr>
          <w:rFonts w:hint="eastAsia" w:ascii="宋体" w:hAnsi="宋体" w:cs="宋体"/>
          <w:color w:val="auto"/>
          <w:sz w:val="21"/>
          <w:szCs w:val="21"/>
        </w:rPr>
      </w:pPr>
      <w:r>
        <w:rPr>
          <w:rFonts w:hint="eastAsia" w:ascii="宋体" w:hAnsi="宋体" w:cs="宋体"/>
          <w:color w:val="auto"/>
          <w:sz w:val="21"/>
          <w:szCs w:val="21"/>
        </w:rPr>
        <w:t>差异表</w:t>
      </w:r>
    </w:p>
    <w:tbl>
      <w:tblPr>
        <w:tblStyle w:val="18"/>
        <w:tblW w:w="835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40"/>
        <w:gridCol w:w="1830"/>
        <w:gridCol w:w="1830"/>
        <w:gridCol w:w="1830"/>
        <w:gridCol w:w="20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trPr>
        <w:tc>
          <w:tcPr>
            <w:tcW w:w="840" w:type="dxa"/>
            <w:vMerge w:val="restart"/>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序号</w:t>
            </w:r>
          </w:p>
        </w:tc>
        <w:tc>
          <w:tcPr>
            <w:tcW w:w="3660" w:type="dxa"/>
            <w:gridSpan w:val="2"/>
            <w:tcBorders>
              <w:tl2br w:val="nil"/>
              <w:tr2bl w:val="nil"/>
            </w:tcBorders>
            <w:vAlign w:val="center"/>
          </w:tcPr>
          <w:p>
            <w:pPr>
              <w:spacing w:line="240" w:lineRule="auto"/>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技术规范书</w:t>
            </w:r>
          </w:p>
        </w:tc>
        <w:tc>
          <w:tcPr>
            <w:tcW w:w="3852" w:type="dxa"/>
            <w:gridSpan w:val="2"/>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投标文件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trPr>
        <w:tc>
          <w:tcPr>
            <w:tcW w:w="840" w:type="dxa"/>
            <w:vMerge w:val="continue"/>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条目</w:t>
            </w: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简要内容</w:t>
            </w: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条目</w:t>
            </w:r>
          </w:p>
        </w:tc>
        <w:tc>
          <w:tcPr>
            <w:tcW w:w="2022" w:type="dxa"/>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简要内容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4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pStyle w:val="10"/>
              <w:spacing w:line="240" w:lineRule="auto"/>
              <w:jc w:val="center"/>
              <w:rPr>
                <w:rFonts w:hint="eastAsia" w:ascii="宋体" w:hAnsi="宋体" w:cs="宋体"/>
                <w:color w:val="auto"/>
                <w:sz w:val="21"/>
                <w:szCs w:val="21"/>
                <w:lang w:val="en-US" w:eastAsia="zh-CN"/>
              </w:rPr>
            </w:pPr>
          </w:p>
        </w:tc>
        <w:tc>
          <w:tcPr>
            <w:tcW w:w="2022" w:type="dxa"/>
            <w:tcBorders>
              <w:tl2br w:val="nil"/>
              <w:tr2bl w:val="nil"/>
            </w:tcBorders>
            <w:vAlign w:val="center"/>
          </w:tcPr>
          <w:p>
            <w:pPr>
              <w:spacing w:line="240" w:lineRule="auto"/>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4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2022" w:type="dxa"/>
            <w:tcBorders>
              <w:tl2br w:val="nil"/>
              <w:tr2bl w:val="nil"/>
            </w:tcBorders>
            <w:vAlign w:val="center"/>
          </w:tcPr>
          <w:p>
            <w:pPr>
              <w:spacing w:line="240" w:lineRule="auto"/>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4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2022" w:type="dxa"/>
            <w:tcBorders>
              <w:tl2br w:val="nil"/>
              <w:tr2bl w:val="nil"/>
            </w:tcBorders>
            <w:vAlign w:val="center"/>
          </w:tcPr>
          <w:p>
            <w:pPr>
              <w:spacing w:line="240" w:lineRule="auto"/>
              <w:jc w:val="center"/>
              <w:rPr>
                <w:rFonts w:hint="eastAsia" w:ascii="宋体" w:hAnsi="宋体" w:cs="宋体"/>
                <w:color w:val="auto"/>
                <w:sz w:val="21"/>
                <w:szCs w:val="21"/>
              </w:rPr>
            </w:pPr>
          </w:p>
        </w:tc>
      </w:tr>
    </w:tbl>
    <w:p>
      <w:pPr>
        <w:rPr>
          <w:rFonts w:hint="eastAsia" w:ascii="宋体" w:hAnsi="宋体" w:cs="宋体"/>
          <w:color w:val="auto"/>
        </w:rPr>
      </w:pPr>
    </w:p>
    <w:p>
      <w:pPr>
        <w:spacing w:line="360" w:lineRule="auto"/>
        <w:rPr>
          <w:rFonts w:hint="eastAsia" w:ascii="宋体" w:hAnsi="宋体" w:cs="宋体"/>
          <w:color w:val="auto"/>
          <w:sz w:val="32"/>
          <w:szCs w:val="32"/>
        </w:rPr>
      </w:pPr>
      <w:r>
        <w:rPr>
          <w:rFonts w:hint="eastAsia" w:ascii="宋体" w:hAnsi="宋体" w:cs="宋体"/>
          <w:color w:val="auto"/>
        </w:rPr>
        <w:br w:type="page"/>
      </w:r>
      <w:bookmarkStart w:id="127" w:name="_Toc526944940"/>
      <w:bookmarkStart w:id="128" w:name="_Toc343695408"/>
      <w:r>
        <w:rPr>
          <w:rFonts w:hint="eastAsia" w:ascii="宋体" w:hAnsi="宋体" w:cs="宋体"/>
          <w:b/>
          <w:bCs/>
          <w:color w:val="auto"/>
          <w:sz w:val="30"/>
          <w:szCs w:val="30"/>
        </w:rPr>
        <w:t>附件1</w:t>
      </w:r>
      <w:r>
        <w:rPr>
          <w:rFonts w:hint="eastAsia" w:ascii="宋体" w:hAnsi="宋体" w:cs="宋体"/>
          <w:b/>
          <w:bCs/>
          <w:color w:val="auto"/>
          <w:sz w:val="30"/>
          <w:szCs w:val="30"/>
          <w:lang w:val="en-US" w:eastAsia="zh-CN"/>
        </w:rPr>
        <w:t>1</w:t>
      </w:r>
      <w:r>
        <w:rPr>
          <w:rFonts w:hint="eastAsia" w:ascii="宋体" w:hAnsi="宋体" w:cs="宋体"/>
          <w:b/>
          <w:bCs/>
          <w:color w:val="auto"/>
          <w:sz w:val="30"/>
          <w:szCs w:val="30"/>
        </w:rPr>
        <w:t xml:space="preserve"> 性能考核条款</w:t>
      </w:r>
      <w:bookmarkEnd w:id="127"/>
      <w:bookmarkEnd w:id="128"/>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1 </w:t>
      </w:r>
      <w:r>
        <w:rPr>
          <w:rFonts w:hint="eastAsia" w:ascii="宋体" w:hAnsi="宋体" w:eastAsia="宋体" w:cs="宋体"/>
          <w:color w:val="auto"/>
          <w:kern w:val="0"/>
          <w:sz w:val="21"/>
          <w:szCs w:val="21"/>
        </w:rPr>
        <w:t>投标人所提供的产品应达到技术协议所要求的技术指标，如未达到，投标人应支付该分项合同设备价3%/项的违约金，并且投标人接到招标人通知后一周内免费调试或免费更换，直至满足性能要求。</w:t>
      </w:r>
    </w:p>
    <w:p>
      <w:pPr>
        <w:pStyle w:val="5"/>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2 </w:t>
      </w:r>
      <w:r>
        <w:rPr>
          <w:rFonts w:hint="eastAsia" w:ascii="宋体" w:hAnsi="宋体" w:eastAsia="宋体" w:cs="宋体"/>
          <w:color w:val="auto"/>
          <w:sz w:val="21"/>
          <w:szCs w:val="21"/>
        </w:rPr>
        <w:t>由于投标人原因，影响系统的安装与调试整体项目进度，每推迟一天投入运行扣除合同金额的0.1%。</w:t>
      </w:r>
    </w:p>
    <w:p>
      <w:pPr>
        <w:pStyle w:val="5"/>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 xml:space="preserve">3 </w:t>
      </w:r>
      <w:r>
        <w:rPr>
          <w:rFonts w:hint="eastAsia" w:ascii="宋体" w:hAnsi="宋体" w:cs="宋体"/>
          <w:color w:val="auto"/>
          <w:sz w:val="21"/>
          <w:szCs w:val="21"/>
        </w:rPr>
        <w:t>质保期内因投标人设备质量原因发生保护拒动或误动的，投标人免费整改至满足技术规范书的要求并按每次5万人民币的支付违约金。</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4 </w:t>
      </w:r>
      <w:r>
        <w:rPr>
          <w:rFonts w:hint="eastAsia" w:ascii="宋体" w:hAnsi="宋体" w:eastAsia="宋体" w:cs="宋体"/>
          <w:color w:val="auto"/>
          <w:kern w:val="0"/>
          <w:sz w:val="21"/>
          <w:szCs w:val="21"/>
        </w:rPr>
        <w:t>设备发生故障，从通知之日起投标人在二周内仍未能将其消除故障，以致影响调试工期，投标人除必须继续工作直至故障消除外，并承担所发生的一切费用，同时支付合同价2</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的违约金。</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5 </w:t>
      </w:r>
      <w:r>
        <w:rPr>
          <w:rFonts w:hint="eastAsia" w:ascii="宋体" w:hAnsi="宋体" w:eastAsia="宋体" w:cs="宋体"/>
          <w:color w:val="auto"/>
          <w:kern w:val="0"/>
          <w:sz w:val="21"/>
          <w:szCs w:val="21"/>
        </w:rPr>
        <w:t>整套合同设备按照以上各项累积计算的最大违约金总金额将不超过每套合同设备总价的30</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。投标人支付全部违约金后，投标人仍应免费调试或免费更换，直至满足性能要求。</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6 </w:t>
      </w:r>
      <w:r>
        <w:rPr>
          <w:rFonts w:hint="eastAsia" w:ascii="宋体" w:hAnsi="宋体" w:eastAsia="宋体" w:cs="宋体"/>
          <w:color w:val="auto"/>
          <w:kern w:val="0"/>
          <w:sz w:val="21"/>
          <w:szCs w:val="21"/>
        </w:rPr>
        <w:t>设备及其部件在质保期内不允许发生因设备及其部件原因而导致的强迫停运，同时在要求的设备设计寿命期内也不因改造设备原因发生强迫停运，否则，投标人应采取措施消除存在的问题，并按每发生一次，扣除合同总价的2%。</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7 </w:t>
      </w:r>
      <w:r>
        <w:rPr>
          <w:rFonts w:hint="eastAsia" w:ascii="宋体" w:hAnsi="宋体" w:eastAsia="宋体" w:cs="宋体"/>
          <w:color w:val="auto"/>
          <w:kern w:val="0"/>
          <w:sz w:val="21"/>
          <w:szCs w:val="21"/>
        </w:rPr>
        <w:t>设备如达不到设计要求，投标人必须负责重新设计及免费更换，期间产生的一切费用由投标人负责。</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8 </w:t>
      </w:r>
      <w:r>
        <w:rPr>
          <w:rFonts w:hint="eastAsia" w:ascii="宋体" w:hAnsi="宋体" w:eastAsia="宋体" w:cs="宋体"/>
          <w:color w:val="auto"/>
          <w:kern w:val="0"/>
          <w:sz w:val="21"/>
          <w:szCs w:val="21"/>
        </w:rPr>
        <w:t>标的物不得选用国家已宣布淘汰的产品或元件。若在交货的标的物内含有国家已宣布淘汰的品名或元件，投标人应无条件退货或及时免费更换。</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9 </w:t>
      </w:r>
      <w:r>
        <w:rPr>
          <w:rFonts w:hint="eastAsia" w:ascii="宋体" w:hAnsi="宋体" w:eastAsia="宋体" w:cs="宋体"/>
          <w:color w:val="auto"/>
          <w:kern w:val="0"/>
          <w:sz w:val="21"/>
          <w:szCs w:val="21"/>
        </w:rPr>
        <w:t>如在安装和试运期间发现部件缺陷、损坏情况，在经证实设备储存安装、维护和运行符合要求时，投标人应尽快免费更换。</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10 </w:t>
      </w:r>
      <w:r>
        <w:rPr>
          <w:rFonts w:hint="eastAsia" w:ascii="宋体" w:hAnsi="宋体" w:cs="宋体"/>
          <w:color w:val="auto"/>
          <w:kern w:val="0"/>
          <w:sz w:val="21"/>
          <w:szCs w:val="21"/>
          <w:lang w:eastAsia="zh-CN"/>
        </w:rPr>
        <w:t>招标人</w:t>
      </w:r>
      <w:r>
        <w:rPr>
          <w:rFonts w:hint="eastAsia" w:ascii="宋体" w:hAnsi="宋体" w:eastAsia="宋体" w:cs="宋体"/>
          <w:color w:val="auto"/>
          <w:kern w:val="0"/>
          <w:sz w:val="21"/>
          <w:szCs w:val="21"/>
        </w:rPr>
        <w:t>应在开工前对施工人员进行安全和现场文明生产的教育，施工现场应符合GB26164.1《电业安全工作规程</w:t>
      </w:r>
      <w:r>
        <w:rPr>
          <w:rFonts w:hint="eastAsia" w:ascii="宋体" w:hAnsi="宋体" w:cs="宋体"/>
          <w:color w:val="auto"/>
          <w:kern w:val="0"/>
          <w:sz w:val="21"/>
          <w:szCs w:val="21"/>
          <w:lang w:val="en-US" w:eastAsia="zh-CN"/>
        </w:rPr>
        <w:t>-</w:t>
      </w:r>
      <w:r>
        <w:rPr>
          <w:rFonts w:hint="eastAsia" w:ascii="宋体" w:hAnsi="宋体" w:eastAsia="宋体" w:cs="宋体"/>
          <w:color w:val="auto"/>
          <w:kern w:val="0"/>
          <w:sz w:val="21"/>
          <w:szCs w:val="21"/>
        </w:rPr>
        <w:t>第1部分》及Q/ZNYD 2070《外包工程安全管理规定》中的相关要求，如有违反，应按《外包工程安全管理规定》及乐清电厂设备管理部《检修质量及进度考核》中的规定进行考核，表内的“考核者”指的是</w:t>
      </w:r>
      <w:r>
        <w:rPr>
          <w:rFonts w:hint="eastAsia" w:ascii="宋体" w:hAnsi="宋体" w:cs="宋体"/>
          <w:color w:val="auto"/>
          <w:kern w:val="0"/>
          <w:sz w:val="21"/>
          <w:szCs w:val="21"/>
          <w:lang w:eastAsia="zh-CN"/>
        </w:rPr>
        <w:t>招标人</w:t>
      </w:r>
      <w:r>
        <w:rPr>
          <w:rFonts w:hint="eastAsia" w:ascii="宋体" w:hAnsi="宋体" w:eastAsia="宋体" w:cs="宋体"/>
          <w:color w:val="auto"/>
          <w:kern w:val="0"/>
          <w:sz w:val="21"/>
          <w:szCs w:val="21"/>
        </w:rPr>
        <w:t>管理机构或人员。涉及生产现场考核内容按《生产现场考核标准》进行。现场服务安全要求参照《承发包项目安全管理实施细则》、《个人安全绩效考核办法》等乐清电厂相关制度。</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11 </w:t>
      </w:r>
      <w:r>
        <w:rPr>
          <w:rFonts w:hint="eastAsia" w:ascii="宋体" w:hAnsi="宋体" w:eastAsia="宋体" w:cs="宋体"/>
          <w:color w:val="auto"/>
          <w:kern w:val="0"/>
          <w:sz w:val="21"/>
          <w:szCs w:val="21"/>
        </w:rPr>
        <w:t>本章未尽事宜，遵守</w:t>
      </w:r>
      <w:r>
        <w:rPr>
          <w:rFonts w:hint="eastAsia" w:ascii="宋体" w:hAnsi="宋体" w:cs="宋体"/>
          <w:color w:val="auto"/>
          <w:kern w:val="0"/>
          <w:sz w:val="21"/>
          <w:szCs w:val="21"/>
          <w:lang w:eastAsia="zh-CN"/>
        </w:rPr>
        <w:t>技术规范书</w:t>
      </w:r>
      <w:r>
        <w:rPr>
          <w:rFonts w:hint="eastAsia" w:ascii="宋体" w:hAnsi="宋体" w:eastAsia="宋体" w:cs="宋体"/>
          <w:color w:val="auto"/>
          <w:kern w:val="0"/>
          <w:sz w:val="21"/>
          <w:szCs w:val="21"/>
        </w:rPr>
        <w:t>商务部分的规定。</w:t>
      </w:r>
    </w:p>
    <w:p>
      <w:pPr>
        <w:spacing w:before="0" w:beforeLines="0" w:after="0" w:afterLines="0" w:line="360" w:lineRule="auto"/>
        <w:rPr>
          <w:rFonts w:hint="eastAsia" w:ascii="宋体" w:hAnsi="宋体" w:cs="宋体"/>
          <w:color w:val="auto"/>
          <w:sz w:val="30"/>
          <w:szCs w:val="30"/>
        </w:rPr>
      </w:pPr>
      <w:bookmarkStart w:id="129" w:name="_Toc526944941"/>
      <w:bookmarkStart w:id="130" w:name="_Toc343695409"/>
      <w:r>
        <w:rPr>
          <w:rFonts w:hint="eastAsia" w:ascii="宋体" w:hAnsi="宋体" w:cs="宋体"/>
          <w:b/>
          <w:bCs/>
          <w:color w:val="auto"/>
          <w:sz w:val="30"/>
          <w:szCs w:val="30"/>
        </w:rPr>
        <w:t>附件1</w:t>
      </w:r>
      <w:r>
        <w:rPr>
          <w:rFonts w:hint="eastAsia" w:ascii="宋体" w:hAnsi="宋体" w:cs="宋体"/>
          <w:b/>
          <w:bCs/>
          <w:color w:val="auto"/>
          <w:sz w:val="30"/>
          <w:szCs w:val="30"/>
          <w:lang w:val="en-US" w:eastAsia="zh-CN"/>
        </w:rPr>
        <w:t>2</w:t>
      </w:r>
      <w:r>
        <w:rPr>
          <w:rFonts w:hint="eastAsia" w:ascii="宋体" w:hAnsi="宋体" w:cs="宋体"/>
          <w:b/>
          <w:bCs/>
          <w:color w:val="auto"/>
          <w:sz w:val="30"/>
          <w:szCs w:val="30"/>
        </w:rPr>
        <w:t xml:space="preserve"> 投标人需要说明的其他问题（质量承诺及售后承诺等）</w:t>
      </w:r>
      <w:bookmarkEnd w:id="129"/>
      <w:bookmarkEnd w:id="130"/>
    </w:p>
    <w:p>
      <w:pPr>
        <w:spacing w:line="360" w:lineRule="auto"/>
        <w:ind w:firstLine="420"/>
        <w:rPr>
          <w:color w:val="auto"/>
          <w:sz w:val="21"/>
          <w:szCs w:val="21"/>
        </w:rPr>
      </w:pPr>
      <w:r>
        <w:rPr>
          <w:rFonts w:hint="eastAsia" w:ascii="宋体" w:hAnsi="宋体" w:cs="宋体"/>
          <w:color w:val="auto"/>
          <w:sz w:val="21"/>
          <w:szCs w:val="21"/>
        </w:rPr>
        <w:t>投标人提供在专业技术、设备设施、人员组织、业绩经验等方面具有设计、制造、质量控制、经营管理的相应的资格和能力的资料。</w:t>
      </w:r>
    </w:p>
    <w:p>
      <w:pPr>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7A"/>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A3939"/>
    <w:multiLevelType w:val="multilevel"/>
    <w:tmpl w:val="8ACA3939"/>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904A33BE"/>
    <w:multiLevelType w:val="multilevel"/>
    <w:tmpl w:val="904A33BE"/>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90E74316"/>
    <w:multiLevelType w:val="multilevel"/>
    <w:tmpl w:val="90E7431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9CCCDFE8"/>
    <w:multiLevelType w:val="multilevel"/>
    <w:tmpl w:val="9CCCDFE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A0DD280D"/>
    <w:multiLevelType w:val="multilevel"/>
    <w:tmpl w:val="A0DD280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A2FEC088"/>
    <w:multiLevelType w:val="multilevel"/>
    <w:tmpl w:val="A2FEC08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BF41B21B"/>
    <w:multiLevelType w:val="multilevel"/>
    <w:tmpl w:val="BF41B21B"/>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C0B0634D"/>
    <w:multiLevelType w:val="multilevel"/>
    <w:tmpl w:val="C0B0634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C81F1E22"/>
    <w:multiLevelType w:val="multilevel"/>
    <w:tmpl w:val="C81F1E22"/>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C8715E1D"/>
    <w:multiLevelType w:val="multilevel"/>
    <w:tmpl w:val="C8715E1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CC6954F5"/>
    <w:multiLevelType w:val="multilevel"/>
    <w:tmpl w:val="CC6954F5"/>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D9BB100A"/>
    <w:multiLevelType w:val="multilevel"/>
    <w:tmpl w:val="D9BB100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E45D2385"/>
    <w:multiLevelType w:val="multilevel"/>
    <w:tmpl w:val="E45D2385"/>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F94308E6"/>
    <w:multiLevelType w:val="multilevel"/>
    <w:tmpl w:val="F94308E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FF829E49"/>
    <w:multiLevelType w:val="multilevel"/>
    <w:tmpl w:val="FF829E49"/>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0C8E35F3"/>
    <w:multiLevelType w:val="multilevel"/>
    <w:tmpl w:val="0C8E35F3"/>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6">
    <w:nsid w:val="0EBF029A"/>
    <w:multiLevelType w:val="multilevel"/>
    <w:tmpl w:val="0EBF029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7">
    <w:nsid w:val="1438636A"/>
    <w:multiLevelType w:val="multilevel"/>
    <w:tmpl w:val="1438636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17A54263"/>
    <w:multiLevelType w:val="singleLevel"/>
    <w:tmpl w:val="17A54263"/>
    <w:lvl w:ilvl="0" w:tentative="0">
      <w:start w:val="1"/>
      <w:numFmt w:val="lowerLetter"/>
      <w:lvlText w:val="%1)"/>
      <w:lvlJc w:val="left"/>
      <w:pPr>
        <w:ind w:left="420" w:hanging="420"/>
      </w:pPr>
      <w:rPr>
        <w:rFonts w:hint="eastAsia"/>
      </w:rPr>
    </w:lvl>
  </w:abstractNum>
  <w:abstractNum w:abstractNumId="19">
    <w:nsid w:val="319BAEE6"/>
    <w:multiLevelType w:val="multilevel"/>
    <w:tmpl w:val="319BAEE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38F523EC"/>
    <w:multiLevelType w:val="multilevel"/>
    <w:tmpl w:val="38F523EC"/>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1">
    <w:nsid w:val="395DA9EF"/>
    <w:multiLevelType w:val="multilevel"/>
    <w:tmpl w:val="395DA9E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2">
    <w:nsid w:val="3DA0F0BD"/>
    <w:multiLevelType w:val="multilevel"/>
    <w:tmpl w:val="3DA0F0B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3">
    <w:nsid w:val="40EEE8E2"/>
    <w:multiLevelType w:val="multilevel"/>
    <w:tmpl w:val="40EEE8E2"/>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418C5196"/>
    <w:multiLevelType w:val="singleLevel"/>
    <w:tmpl w:val="418C5196"/>
    <w:lvl w:ilvl="0" w:tentative="0">
      <w:start w:val="1"/>
      <w:numFmt w:val="bullet"/>
      <w:lvlText w:val=""/>
      <w:lvlJc w:val="left"/>
      <w:pPr>
        <w:tabs>
          <w:tab w:val="left" w:pos="927"/>
        </w:tabs>
        <w:ind w:left="624" w:hanging="57"/>
      </w:pPr>
      <w:rPr>
        <w:rFonts w:hint="default" w:ascii="Wingdings" w:hAnsi="Wingdings"/>
        <w:sz w:val="15"/>
      </w:rPr>
    </w:lvl>
  </w:abstractNum>
  <w:abstractNum w:abstractNumId="25">
    <w:nsid w:val="44E53FCA"/>
    <w:multiLevelType w:val="multilevel"/>
    <w:tmpl w:val="44E53FC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6">
    <w:nsid w:val="48BC926F"/>
    <w:multiLevelType w:val="multilevel"/>
    <w:tmpl w:val="48BC926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7">
    <w:nsid w:val="4D835FE0"/>
    <w:multiLevelType w:val="multilevel"/>
    <w:tmpl w:val="4D835FE0"/>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8">
    <w:nsid w:val="562AD2B8"/>
    <w:multiLevelType w:val="multilevel"/>
    <w:tmpl w:val="562AD2B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585D2B9A"/>
    <w:multiLevelType w:val="singleLevel"/>
    <w:tmpl w:val="585D2B9A"/>
    <w:lvl w:ilvl="0" w:tentative="0">
      <w:start w:val="1"/>
      <w:numFmt w:val="decimal"/>
      <w:lvlText w:val="%1)"/>
      <w:lvlJc w:val="left"/>
      <w:pPr>
        <w:tabs>
          <w:tab w:val="left" w:pos="1260"/>
        </w:tabs>
        <w:ind w:left="1260" w:hanging="420"/>
      </w:pPr>
      <w:rPr>
        <w:rFonts w:hint="default"/>
      </w:rPr>
    </w:lvl>
  </w:abstractNum>
  <w:abstractNum w:abstractNumId="30">
    <w:nsid w:val="63CDA292"/>
    <w:multiLevelType w:val="multilevel"/>
    <w:tmpl w:val="63CDA292"/>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1">
    <w:nsid w:val="6665C568"/>
    <w:multiLevelType w:val="multilevel"/>
    <w:tmpl w:val="6665C56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2">
    <w:nsid w:val="6CDBE076"/>
    <w:multiLevelType w:val="multilevel"/>
    <w:tmpl w:val="6CDBE07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3">
    <w:nsid w:val="71597A31"/>
    <w:multiLevelType w:val="multilevel"/>
    <w:tmpl w:val="71597A31"/>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4">
    <w:nsid w:val="736AA61C"/>
    <w:multiLevelType w:val="multilevel"/>
    <w:tmpl w:val="736AA61C"/>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5">
    <w:nsid w:val="7C7306BB"/>
    <w:multiLevelType w:val="multilevel"/>
    <w:tmpl w:val="7C7306BB"/>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6">
    <w:nsid w:val="7DC555C3"/>
    <w:multiLevelType w:val="multilevel"/>
    <w:tmpl w:val="7DC555C3"/>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9"/>
  </w:num>
  <w:num w:numId="2">
    <w:abstractNumId w:val="24"/>
  </w:num>
  <w:num w:numId="3">
    <w:abstractNumId w:val="27"/>
  </w:num>
  <w:num w:numId="4">
    <w:abstractNumId w:val="13"/>
  </w:num>
  <w:num w:numId="5">
    <w:abstractNumId w:val="8"/>
  </w:num>
  <w:num w:numId="6">
    <w:abstractNumId w:val="14"/>
  </w:num>
  <w:num w:numId="7">
    <w:abstractNumId w:val="1"/>
  </w:num>
  <w:num w:numId="8">
    <w:abstractNumId w:val="18"/>
  </w:num>
  <w:num w:numId="9">
    <w:abstractNumId w:val="16"/>
  </w:num>
  <w:num w:numId="10">
    <w:abstractNumId w:val="6"/>
  </w:num>
  <w:num w:numId="11">
    <w:abstractNumId w:val="15"/>
  </w:num>
  <w:num w:numId="12">
    <w:abstractNumId w:val="17"/>
  </w:num>
  <w:num w:numId="13">
    <w:abstractNumId w:val="31"/>
  </w:num>
  <w:num w:numId="14">
    <w:abstractNumId w:val="12"/>
  </w:num>
  <w:num w:numId="15">
    <w:abstractNumId w:val="32"/>
  </w:num>
  <w:num w:numId="16">
    <w:abstractNumId w:val="19"/>
  </w:num>
  <w:num w:numId="17">
    <w:abstractNumId w:val="28"/>
  </w:num>
  <w:num w:numId="18">
    <w:abstractNumId w:val="34"/>
  </w:num>
  <w:num w:numId="19">
    <w:abstractNumId w:val="11"/>
  </w:num>
  <w:num w:numId="20">
    <w:abstractNumId w:val="3"/>
  </w:num>
  <w:num w:numId="21">
    <w:abstractNumId w:val="2"/>
  </w:num>
  <w:num w:numId="22">
    <w:abstractNumId w:val="0"/>
  </w:num>
  <w:num w:numId="23">
    <w:abstractNumId w:val="23"/>
  </w:num>
  <w:num w:numId="24">
    <w:abstractNumId w:val="20"/>
  </w:num>
  <w:num w:numId="25">
    <w:abstractNumId w:val="9"/>
  </w:num>
  <w:num w:numId="26">
    <w:abstractNumId w:val="21"/>
  </w:num>
  <w:num w:numId="27">
    <w:abstractNumId w:val="35"/>
  </w:num>
  <w:num w:numId="28">
    <w:abstractNumId w:val="26"/>
  </w:num>
  <w:num w:numId="29">
    <w:abstractNumId w:val="36"/>
  </w:num>
  <w:num w:numId="30">
    <w:abstractNumId w:val="30"/>
  </w:num>
  <w:num w:numId="31">
    <w:abstractNumId w:val="7"/>
  </w:num>
  <w:num w:numId="32">
    <w:abstractNumId w:val="10"/>
  </w:num>
  <w:num w:numId="33">
    <w:abstractNumId w:val="25"/>
  </w:num>
  <w:num w:numId="34">
    <w:abstractNumId w:val="22"/>
  </w:num>
  <w:num w:numId="35">
    <w:abstractNumId w:val="4"/>
  </w:num>
  <w:num w:numId="36">
    <w:abstractNumId w:val="33"/>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jMmM5N2VhZThkZmNiYjhhODRlOWU0OWExMTk5NjUifQ=="/>
  </w:docVars>
  <w:rsids>
    <w:rsidRoot w:val="00FF439E"/>
    <w:rsid w:val="00024FA2"/>
    <w:rsid w:val="00027A4E"/>
    <w:rsid w:val="0003475F"/>
    <w:rsid w:val="00040B27"/>
    <w:rsid w:val="000577A6"/>
    <w:rsid w:val="00060078"/>
    <w:rsid w:val="00074A8A"/>
    <w:rsid w:val="000839FB"/>
    <w:rsid w:val="00087753"/>
    <w:rsid w:val="00094241"/>
    <w:rsid w:val="000A1D30"/>
    <w:rsid w:val="000A5671"/>
    <w:rsid w:val="000C310A"/>
    <w:rsid w:val="000D0A96"/>
    <w:rsid w:val="000D40F7"/>
    <w:rsid w:val="000D6A7B"/>
    <w:rsid w:val="000D7179"/>
    <w:rsid w:val="000E0155"/>
    <w:rsid w:val="000E6071"/>
    <w:rsid w:val="000F7C52"/>
    <w:rsid w:val="00101C8D"/>
    <w:rsid w:val="001048E1"/>
    <w:rsid w:val="00106309"/>
    <w:rsid w:val="00107F12"/>
    <w:rsid w:val="00120DA7"/>
    <w:rsid w:val="00124897"/>
    <w:rsid w:val="00125AE5"/>
    <w:rsid w:val="0012757F"/>
    <w:rsid w:val="00127E90"/>
    <w:rsid w:val="0013640A"/>
    <w:rsid w:val="0014678A"/>
    <w:rsid w:val="001574DA"/>
    <w:rsid w:val="00163AF3"/>
    <w:rsid w:val="00175F4A"/>
    <w:rsid w:val="0017651E"/>
    <w:rsid w:val="001834EA"/>
    <w:rsid w:val="00183636"/>
    <w:rsid w:val="00185BAC"/>
    <w:rsid w:val="00186CFE"/>
    <w:rsid w:val="00190191"/>
    <w:rsid w:val="001909C2"/>
    <w:rsid w:val="001919D9"/>
    <w:rsid w:val="001935B4"/>
    <w:rsid w:val="0019750F"/>
    <w:rsid w:val="001A2E69"/>
    <w:rsid w:val="001A3FF5"/>
    <w:rsid w:val="001A77E4"/>
    <w:rsid w:val="001B1899"/>
    <w:rsid w:val="001B2B7E"/>
    <w:rsid w:val="001C0DE9"/>
    <w:rsid w:val="001C12BF"/>
    <w:rsid w:val="001E0A6A"/>
    <w:rsid w:val="001E7410"/>
    <w:rsid w:val="001F2EC5"/>
    <w:rsid w:val="001F532E"/>
    <w:rsid w:val="00200FFC"/>
    <w:rsid w:val="00204C60"/>
    <w:rsid w:val="00205591"/>
    <w:rsid w:val="00205B32"/>
    <w:rsid w:val="002153D1"/>
    <w:rsid w:val="00231A44"/>
    <w:rsid w:val="002427AB"/>
    <w:rsid w:val="002464EC"/>
    <w:rsid w:val="0025019B"/>
    <w:rsid w:val="00262415"/>
    <w:rsid w:val="002643A3"/>
    <w:rsid w:val="00275CBE"/>
    <w:rsid w:val="00280572"/>
    <w:rsid w:val="0028116E"/>
    <w:rsid w:val="00283E2D"/>
    <w:rsid w:val="00287D48"/>
    <w:rsid w:val="002A1DA5"/>
    <w:rsid w:val="002A7089"/>
    <w:rsid w:val="002A75D1"/>
    <w:rsid w:val="002C0237"/>
    <w:rsid w:val="002C1F6E"/>
    <w:rsid w:val="002D0055"/>
    <w:rsid w:val="002D71A8"/>
    <w:rsid w:val="002E195E"/>
    <w:rsid w:val="002E50A7"/>
    <w:rsid w:val="002E6928"/>
    <w:rsid w:val="002E71A7"/>
    <w:rsid w:val="002F7FC6"/>
    <w:rsid w:val="00307E1F"/>
    <w:rsid w:val="003103AF"/>
    <w:rsid w:val="00325BD2"/>
    <w:rsid w:val="00337A50"/>
    <w:rsid w:val="00340499"/>
    <w:rsid w:val="00345C08"/>
    <w:rsid w:val="00346439"/>
    <w:rsid w:val="003476AD"/>
    <w:rsid w:val="00347FBB"/>
    <w:rsid w:val="00353BC4"/>
    <w:rsid w:val="003A54C3"/>
    <w:rsid w:val="003C17DF"/>
    <w:rsid w:val="003C2BB4"/>
    <w:rsid w:val="003C360B"/>
    <w:rsid w:val="003C49BD"/>
    <w:rsid w:val="003C7F89"/>
    <w:rsid w:val="003D107C"/>
    <w:rsid w:val="003D369A"/>
    <w:rsid w:val="003D7239"/>
    <w:rsid w:val="003E0909"/>
    <w:rsid w:val="003E4C54"/>
    <w:rsid w:val="00441977"/>
    <w:rsid w:val="0044389A"/>
    <w:rsid w:val="00466EF0"/>
    <w:rsid w:val="00470C2E"/>
    <w:rsid w:val="004711EF"/>
    <w:rsid w:val="00477D65"/>
    <w:rsid w:val="00482B0C"/>
    <w:rsid w:val="00482BC1"/>
    <w:rsid w:val="00490A3B"/>
    <w:rsid w:val="00497F32"/>
    <w:rsid w:val="004A5B63"/>
    <w:rsid w:val="004B06C7"/>
    <w:rsid w:val="004C153A"/>
    <w:rsid w:val="004C1861"/>
    <w:rsid w:val="004C1D67"/>
    <w:rsid w:val="004D3123"/>
    <w:rsid w:val="004D44C9"/>
    <w:rsid w:val="004F06AF"/>
    <w:rsid w:val="004F0F86"/>
    <w:rsid w:val="00504CF8"/>
    <w:rsid w:val="0051408E"/>
    <w:rsid w:val="00527047"/>
    <w:rsid w:val="00530A6B"/>
    <w:rsid w:val="00535FB0"/>
    <w:rsid w:val="00537274"/>
    <w:rsid w:val="005434E4"/>
    <w:rsid w:val="005502B2"/>
    <w:rsid w:val="00551586"/>
    <w:rsid w:val="00551BFD"/>
    <w:rsid w:val="00552C38"/>
    <w:rsid w:val="005749DC"/>
    <w:rsid w:val="0058032B"/>
    <w:rsid w:val="00587CD6"/>
    <w:rsid w:val="00596432"/>
    <w:rsid w:val="005A113E"/>
    <w:rsid w:val="005A4A68"/>
    <w:rsid w:val="005A4C7E"/>
    <w:rsid w:val="005B0397"/>
    <w:rsid w:val="005B6C7E"/>
    <w:rsid w:val="005C130B"/>
    <w:rsid w:val="005C4FF0"/>
    <w:rsid w:val="005D3DBF"/>
    <w:rsid w:val="005D57BE"/>
    <w:rsid w:val="005E23F6"/>
    <w:rsid w:val="005F20CC"/>
    <w:rsid w:val="005F6364"/>
    <w:rsid w:val="00601838"/>
    <w:rsid w:val="00606C5E"/>
    <w:rsid w:val="00613189"/>
    <w:rsid w:val="00616B5A"/>
    <w:rsid w:val="0062278D"/>
    <w:rsid w:val="00632153"/>
    <w:rsid w:val="0064786A"/>
    <w:rsid w:val="006517F9"/>
    <w:rsid w:val="006548BB"/>
    <w:rsid w:val="00660274"/>
    <w:rsid w:val="00662B30"/>
    <w:rsid w:val="006635EF"/>
    <w:rsid w:val="00671E74"/>
    <w:rsid w:val="006723AA"/>
    <w:rsid w:val="00676BCC"/>
    <w:rsid w:val="00681A7A"/>
    <w:rsid w:val="0069174C"/>
    <w:rsid w:val="006939D2"/>
    <w:rsid w:val="00694204"/>
    <w:rsid w:val="006966F2"/>
    <w:rsid w:val="006A079D"/>
    <w:rsid w:val="006A1317"/>
    <w:rsid w:val="006A1E53"/>
    <w:rsid w:val="006C00CF"/>
    <w:rsid w:val="006C4935"/>
    <w:rsid w:val="006D3B80"/>
    <w:rsid w:val="006F567C"/>
    <w:rsid w:val="007014FB"/>
    <w:rsid w:val="00701B45"/>
    <w:rsid w:val="00732327"/>
    <w:rsid w:val="00734775"/>
    <w:rsid w:val="00735ADB"/>
    <w:rsid w:val="00743079"/>
    <w:rsid w:val="00743F2F"/>
    <w:rsid w:val="00747594"/>
    <w:rsid w:val="007615EB"/>
    <w:rsid w:val="00761FB1"/>
    <w:rsid w:val="00763851"/>
    <w:rsid w:val="00763A93"/>
    <w:rsid w:val="00771B67"/>
    <w:rsid w:val="00773BFB"/>
    <w:rsid w:val="007757D5"/>
    <w:rsid w:val="007852C9"/>
    <w:rsid w:val="007950B9"/>
    <w:rsid w:val="007A653C"/>
    <w:rsid w:val="007B37CF"/>
    <w:rsid w:val="007B5350"/>
    <w:rsid w:val="007C2A6D"/>
    <w:rsid w:val="007C6136"/>
    <w:rsid w:val="007C732C"/>
    <w:rsid w:val="007D185E"/>
    <w:rsid w:val="007D1B11"/>
    <w:rsid w:val="007F4CF5"/>
    <w:rsid w:val="007F4DAC"/>
    <w:rsid w:val="007F7C9D"/>
    <w:rsid w:val="0080114E"/>
    <w:rsid w:val="008033DA"/>
    <w:rsid w:val="00814479"/>
    <w:rsid w:val="00821676"/>
    <w:rsid w:val="008317EE"/>
    <w:rsid w:val="0083555E"/>
    <w:rsid w:val="00837D8F"/>
    <w:rsid w:val="00850EC9"/>
    <w:rsid w:val="00854AAB"/>
    <w:rsid w:val="00864157"/>
    <w:rsid w:val="00873077"/>
    <w:rsid w:val="00874C4D"/>
    <w:rsid w:val="008769B9"/>
    <w:rsid w:val="00876E04"/>
    <w:rsid w:val="008847A5"/>
    <w:rsid w:val="008904FB"/>
    <w:rsid w:val="008907E9"/>
    <w:rsid w:val="0089460D"/>
    <w:rsid w:val="008A6E87"/>
    <w:rsid w:val="008B79DD"/>
    <w:rsid w:val="008C4064"/>
    <w:rsid w:val="008C4362"/>
    <w:rsid w:val="008C598C"/>
    <w:rsid w:val="008D26C8"/>
    <w:rsid w:val="008D2AAC"/>
    <w:rsid w:val="008D622C"/>
    <w:rsid w:val="008D6BED"/>
    <w:rsid w:val="008E7CAF"/>
    <w:rsid w:val="008F1AEC"/>
    <w:rsid w:val="008F1B0B"/>
    <w:rsid w:val="008F2347"/>
    <w:rsid w:val="009002E9"/>
    <w:rsid w:val="00915502"/>
    <w:rsid w:val="00922462"/>
    <w:rsid w:val="009242FE"/>
    <w:rsid w:val="009264D1"/>
    <w:rsid w:val="00930DD0"/>
    <w:rsid w:val="00933649"/>
    <w:rsid w:val="0093520A"/>
    <w:rsid w:val="00943626"/>
    <w:rsid w:val="009467A0"/>
    <w:rsid w:val="00947F17"/>
    <w:rsid w:val="009508D4"/>
    <w:rsid w:val="0095200D"/>
    <w:rsid w:val="0095451C"/>
    <w:rsid w:val="00961FBA"/>
    <w:rsid w:val="0096533C"/>
    <w:rsid w:val="009729B1"/>
    <w:rsid w:val="00977C40"/>
    <w:rsid w:val="00984743"/>
    <w:rsid w:val="009868FF"/>
    <w:rsid w:val="00990BA5"/>
    <w:rsid w:val="009911CB"/>
    <w:rsid w:val="009A0489"/>
    <w:rsid w:val="009A567C"/>
    <w:rsid w:val="009B075C"/>
    <w:rsid w:val="009B3789"/>
    <w:rsid w:val="009B52B0"/>
    <w:rsid w:val="009D6703"/>
    <w:rsid w:val="009D7C6F"/>
    <w:rsid w:val="009E1D76"/>
    <w:rsid w:val="009E250F"/>
    <w:rsid w:val="009E4CFB"/>
    <w:rsid w:val="009F3DA0"/>
    <w:rsid w:val="00A0247B"/>
    <w:rsid w:val="00A040D3"/>
    <w:rsid w:val="00A06370"/>
    <w:rsid w:val="00A10617"/>
    <w:rsid w:val="00A22343"/>
    <w:rsid w:val="00A370B0"/>
    <w:rsid w:val="00A40F4E"/>
    <w:rsid w:val="00A4542D"/>
    <w:rsid w:val="00A47635"/>
    <w:rsid w:val="00A5036B"/>
    <w:rsid w:val="00A63BB9"/>
    <w:rsid w:val="00A67981"/>
    <w:rsid w:val="00A70145"/>
    <w:rsid w:val="00A71035"/>
    <w:rsid w:val="00A80873"/>
    <w:rsid w:val="00A92141"/>
    <w:rsid w:val="00A93353"/>
    <w:rsid w:val="00AA73FF"/>
    <w:rsid w:val="00AA7868"/>
    <w:rsid w:val="00AB6196"/>
    <w:rsid w:val="00AC0691"/>
    <w:rsid w:val="00AC6EFB"/>
    <w:rsid w:val="00AD4A9B"/>
    <w:rsid w:val="00AF7CC1"/>
    <w:rsid w:val="00B01CF8"/>
    <w:rsid w:val="00B02999"/>
    <w:rsid w:val="00B170DC"/>
    <w:rsid w:val="00B17920"/>
    <w:rsid w:val="00B23EEC"/>
    <w:rsid w:val="00B25410"/>
    <w:rsid w:val="00B26908"/>
    <w:rsid w:val="00B26AB8"/>
    <w:rsid w:val="00B34D37"/>
    <w:rsid w:val="00B46FB9"/>
    <w:rsid w:val="00B5197D"/>
    <w:rsid w:val="00B53FB9"/>
    <w:rsid w:val="00B5782F"/>
    <w:rsid w:val="00B70FF2"/>
    <w:rsid w:val="00B777A8"/>
    <w:rsid w:val="00B835B4"/>
    <w:rsid w:val="00B910F0"/>
    <w:rsid w:val="00B96193"/>
    <w:rsid w:val="00B9674D"/>
    <w:rsid w:val="00BA17DF"/>
    <w:rsid w:val="00BA2E12"/>
    <w:rsid w:val="00BA44ED"/>
    <w:rsid w:val="00BB3927"/>
    <w:rsid w:val="00BC1DED"/>
    <w:rsid w:val="00BC26DF"/>
    <w:rsid w:val="00BD7D1C"/>
    <w:rsid w:val="00BE4B40"/>
    <w:rsid w:val="00BE5E90"/>
    <w:rsid w:val="00BF0E20"/>
    <w:rsid w:val="00BF43A7"/>
    <w:rsid w:val="00BF7043"/>
    <w:rsid w:val="00C01542"/>
    <w:rsid w:val="00C14A4A"/>
    <w:rsid w:val="00C14AC0"/>
    <w:rsid w:val="00C23F96"/>
    <w:rsid w:val="00C24F27"/>
    <w:rsid w:val="00C252A6"/>
    <w:rsid w:val="00C260AF"/>
    <w:rsid w:val="00C30EA0"/>
    <w:rsid w:val="00C34E8F"/>
    <w:rsid w:val="00C365CF"/>
    <w:rsid w:val="00C42E07"/>
    <w:rsid w:val="00C43B39"/>
    <w:rsid w:val="00C44A57"/>
    <w:rsid w:val="00C54CE7"/>
    <w:rsid w:val="00C6081E"/>
    <w:rsid w:val="00C654F6"/>
    <w:rsid w:val="00C7024C"/>
    <w:rsid w:val="00C8167A"/>
    <w:rsid w:val="00C81EF6"/>
    <w:rsid w:val="00C86F9A"/>
    <w:rsid w:val="00C96FB8"/>
    <w:rsid w:val="00CB1723"/>
    <w:rsid w:val="00CB39D5"/>
    <w:rsid w:val="00CC047A"/>
    <w:rsid w:val="00CC2B54"/>
    <w:rsid w:val="00CD5405"/>
    <w:rsid w:val="00CD6510"/>
    <w:rsid w:val="00CE48F3"/>
    <w:rsid w:val="00CE5B66"/>
    <w:rsid w:val="00CF59ED"/>
    <w:rsid w:val="00D04203"/>
    <w:rsid w:val="00D0555C"/>
    <w:rsid w:val="00D05DAF"/>
    <w:rsid w:val="00D165FC"/>
    <w:rsid w:val="00D24B4D"/>
    <w:rsid w:val="00D3043A"/>
    <w:rsid w:val="00D37268"/>
    <w:rsid w:val="00D45222"/>
    <w:rsid w:val="00D467A3"/>
    <w:rsid w:val="00D47D66"/>
    <w:rsid w:val="00D5504C"/>
    <w:rsid w:val="00D62CE8"/>
    <w:rsid w:val="00D71770"/>
    <w:rsid w:val="00D74F47"/>
    <w:rsid w:val="00D82AA9"/>
    <w:rsid w:val="00D87130"/>
    <w:rsid w:val="00D876DE"/>
    <w:rsid w:val="00D91236"/>
    <w:rsid w:val="00D962B5"/>
    <w:rsid w:val="00DA206B"/>
    <w:rsid w:val="00DA3EB4"/>
    <w:rsid w:val="00DB2695"/>
    <w:rsid w:val="00DB39A8"/>
    <w:rsid w:val="00DC16D8"/>
    <w:rsid w:val="00DC2C1C"/>
    <w:rsid w:val="00DC2F1D"/>
    <w:rsid w:val="00DC71B5"/>
    <w:rsid w:val="00DD0965"/>
    <w:rsid w:val="00DD7711"/>
    <w:rsid w:val="00DF676F"/>
    <w:rsid w:val="00E065C5"/>
    <w:rsid w:val="00E11152"/>
    <w:rsid w:val="00E13038"/>
    <w:rsid w:val="00E223CF"/>
    <w:rsid w:val="00E24296"/>
    <w:rsid w:val="00E24AF5"/>
    <w:rsid w:val="00E26B6F"/>
    <w:rsid w:val="00E37069"/>
    <w:rsid w:val="00E434AE"/>
    <w:rsid w:val="00E46606"/>
    <w:rsid w:val="00E55481"/>
    <w:rsid w:val="00E60F6A"/>
    <w:rsid w:val="00E740E7"/>
    <w:rsid w:val="00E83905"/>
    <w:rsid w:val="00E90355"/>
    <w:rsid w:val="00E95FA8"/>
    <w:rsid w:val="00E96E38"/>
    <w:rsid w:val="00E97D12"/>
    <w:rsid w:val="00EB3B49"/>
    <w:rsid w:val="00EC36F3"/>
    <w:rsid w:val="00EC5871"/>
    <w:rsid w:val="00EE0193"/>
    <w:rsid w:val="00EF535E"/>
    <w:rsid w:val="00F1256E"/>
    <w:rsid w:val="00F21DD3"/>
    <w:rsid w:val="00F22FBA"/>
    <w:rsid w:val="00F2379B"/>
    <w:rsid w:val="00F24539"/>
    <w:rsid w:val="00F31A1C"/>
    <w:rsid w:val="00F365B9"/>
    <w:rsid w:val="00F373ED"/>
    <w:rsid w:val="00F37EA0"/>
    <w:rsid w:val="00F455DC"/>
    <w:rsid w:val="00F52C77"/>
    <w:rsid w:val="00F567E2"/>
    <w:rsid w:val="00F60F7B"/>
    <w:rsid w:val="00F74F68"/>
    <w:rsid w:val="00F76D22"/>
    <w:rsid w:val="00F817C3"/>
    <w:rsid w:val="00F910EC"/>
    <w:rsid w:val="00F95B43"/>
    <w:rsid w:val="00FA5B5C"/>
    <w:rsid w:val="00FB6982"/>
    <w:rsid w:val="00FD45F2"/>
    <w:rsid w:val="00FD54F1"/>
    <w:rsid w:val="00FE0A78"/>
    <w:rsid w:val="00FE1326"/>
    <w:rsid w:val="00FE5BC9"/>
    <w:rsid w:val="00FE7A68"/>
    <w:rsid w:val="00FF016E"/>
    <w:rsid w:val="00FF439E"/>
    <w:rsid w:val="01F41F89"/>
    <w:rsid w:val="02132CA4"/>
    <w:rsid w:val="05315B22"/>
    <w:rsid w:val="05AF6F4D"/>
    <w:rsid w:val="06597E8A"/>
    <w:rsid w:val="067A5054"/>
    <w:rsid w:val="07887558"/>
    <w:rsid w:val="08137FF3"/>
    <w:rsid w:val="086357C7"/>
    <w:rsid w:val="088558A3"/>
    <w:rsid w:val="09581270"/>
    <w:rsid w:val="09F1640D"/>
    <w:rsid w:val="0A1876E0"/>
    <w:rsid w:val="0A327FC6"/>
    <w:rsid w:val="0A8446A2"/>
    <w:rsid w:val="0B1C2945"/>
    <w:rsid w:val="0B7A65DB"/>
    <w:rsid w:val="0BAE7E92"/>
    <w:rsid w:val="0BEA54A6"/>
    <w:rsid w:val="0C322333"/>
    <w:rsid w:val="0C454836"/>
    <w:rsid w:val="0C6E697F"/>
    <w:rsid w:val="0C885B7A"/>
    <w:rsid w:val="0CAC2B5D"/>
    <w:rsid w:val="0DCE61AE"/>
    <w:rsid w:val="0E063E03"/>
    <w:rsid w:val="0E0D4DD8"/>
    <w:rsid w:val="0EF75A61"/>
    <w:rsid w:val="0F484F25"/>
    <w:rsid w:val="0FD84B21"/>
    <w:rsid w:val="102D746D"/>
    <w:rsid w:val="103B5130"/>
    <w:rsid w:val="10424A9B"/>
    <w:rsid w:val="10F76A2B"/>
    <w:rsid w:val="11340891"/>
    <w:rsid w:val="1243062A"/>
    <w:rsid w:val="12434FC5"/>
    <w:rsid w:val="12F86C96"/>
    <w:rsid w:val="1530573D"/>
    <w:rsid w:val="15A47B09"/>
    <w:rsid w:val="15D07394"/>
    <w:rsid w:val="15E83E69"/>
    <w:rsid w:val="16555549"/>
    <w:rsid w:val="16921080"/>
    <w:rsid w:val="171747FA"/>
    <w:rsid w:val="179D48A5"/>
    <w:rsid w:val="199543BE"/>
    <w:rsid w:val="1AA869AD"/>
    <w:rsid w:val="1B392EE7"/>
    <w:rsid w:val="1B4047A5"/>
    <w:rsid w:val="1B411546"/>
    <w:rsid w:val="1B5C1583"/>
    <w:rsid w:val="1BBE397C"/>
    <w:rsid w:val="1D023669"/>
    <w:rsid w:val="1D044858"/>
    <w:rsid w:val="1D1E46AF"/>
    <w:rsid w:val="1D6A587E"/>
    <w:rsid w:val="1E297AD1"/>
    <w:rsid w:val="1EF14C76"/>
    <w:rsid w:val="1F33463C"/>
    <w:rsid w:val="1F83668F"/>
    <w:rsid w:val="1FC136C4"/>
    <w:rsid w:val="1FCA4CDA"/>
    <w:rsid w:val="201325AD"/>
    <w:rsid w:val="2053754B"/>
    <w:rsid w:val="20DA1F05"/>
    <w:rsid w:val="20E128F1"/>
    <w:rsid w:val="21383CBA"/>
    <w:rsid w:val="226A7012"/>
    <w:rsid w:val="23154978"/>
    <w:rsid w:val="23553B74"/>
    <w:rsid w:val="237A77B8"/>
    <w:rsid w:val="23C40504"/>
    <w:rsid w:val="244E1C1C"/>
    <w:rsid w:val="2484436F"/>
    <w:rsid w:val="24E32521"/>
    <w:rsid w:val="24FE7A5B"/>
    <w:rsid w:val="25EC52E6"/>
    <w:rsid w:val="268D0971"/>
    <w:rsid w:val="26F02018"/>
    <w:rsid w:val="271D7DBB"/>
    <w:rsid w:val="272760FC"/>
    <w:rsid w:val="273B779C"/>
    <w:rsid w:val="273D3B93"/>
    <w:rsid w:val="2815786B"/>
    <w:rsid w:val="28592E80"/>
    <w:rsid w:val="29915CCF"/>
    <w:rsid w:val="2A067A0F"/>
    <w:rsid w:val="2A307F99"/>
    <w:rsid w:val="2A5E0833"/>
    <w:rsid w:val="2A701FA4"/>
    <w:rsid w:val="2A710664"/>
    <w:rsid w:val="2B104A39"/>
    <w:rsid w:val="2B463099"/>
    <w:rsid w:val="2BB60EDB"/>
    <w:rsid w:val="2BD76EAB"/>
    <w:rsid w:val="2BDE183C"/>
    <w:rsid w:val="2C5B38FC"/>
    <w:rsid w:val="2C950E9E"/>
    <w:rsid w:val="2D1F6919"/>
    <w:rsid w:val="2DA504DC"/>
    <w:rsid w:val="2E2B7F64"/>
    <w:rsid w:val="2E5F438C"/>
    <w:rsid w:val="2EEB62E7"/>
    <w:rsid w:val="2F5868E5"/>
    <w:rsid w:val="2FEF6D23"/>
    <w:rsid w:val="2FF51FE4"/>
    <w:rsid w:val="3003046E"/>
    <w:rsid w:val="3075454B"/>
    <w:rsid w:val="30A55446"/>
    <w:rsid w:val="30A75974"/>
    <w:rsid w:val="30EA440A"/>
    <w:rsid w:val="312002AA"/>
    <w:rsid w:val="3146545B"/>
    <w:rsid w:val="3164718E"/>
    <w:rsid w:val="317D47D8"/>
    <w:rsid w:val="324E1126"/>
    <w:rsid w:val="32AC2E25"/>
    <w:rsid w:val="32E01F2E"/>
    <w:rsid w:val="3369627D"/>
    <w:rsid w:val="33845854"/>
    <w:rsid w:val="33BB049E"/>
    <w:rsid w:val="351168B7"/>
    <w:rsid w:val="35F449B1"/>
    <w:rsid w:val="364913B9"/>
    <w:rsid w:val="36DA16C8"/>
    <w:rsid w:val="371B37D7"/>
    <w:rsid w:val="38CB5D1D"/>
    <w:rsid w:val="3A4535C8"/>
    <w:rsid w:val="3A5C05A0"/>
    <w:rsid w:val="3A724EF3"/>
    <w:rsid w:val="3AFD4B93"/>
    <w:rsid w:val="3B7FF343"/>
    <w:rsid w:val="3C071F4E"/>
    <w:rsid w:val="3CE0268A"/>
    <w:rsid w:val="3D2C7EA5"/>
    <w:rsid w:val="3D956A8E"/>
    <w:rsid w:val="3DFB004F"/>
    <w:rsid w:val="3E07467A"/>
    <w:rsid w:val="3F021266"/>
    <w:rsid w:val="3F125DAB"/>
    <w:rsid w:val="3FA40B2A"/>
    <w:rsid w:val="40D03882"/>
    <w:rsid w:val="40F51A87"/>
    <w:rsid w:val="411B09D0"/>
    <w:rsid w:val="412F232A"/>
    <w:rsid w:val="417E36B4"/>
    <w:rsid w:val="419260B3"/>
    <w:rsid w:val="42045514"/>
    <w:rsid w:val="42595A38"/>
    <w:rsid w:val="42B36E9A"/>
    <w:rsid w:val="42C6545D"/>
    <w:rsid w:val="42F76CF1"/>
    <w:rsid w:val="45040A62"/>
    <w:rsid w:val="45354DD3"/>
    <w:rsid w:val="461D4876"/>
    <w:rsid w:val="4620494C"/>
    <w:rsid w:val="46261A56"/>
    <w:rsid w:val="47E16CBE"/>
    <w:rsid w:val="48987112"/>
    <w:rsid w:val="48F44BB1"/>
    <w:rsid w:val="496373E6"/>
    <w:rsid w:val="4A0D0CB1"/>
    <w:rsid w:val="4B353DD5"/>
    <w:rsid w:val="4B787A8C"/>
    <w:rsid w:val="4B805748"/>
    <w:rsid w:val="4B9417E7"/>
    <w:rsid w:val="4BDD179A"/>
    <w:rsid w:val="4D2856FB"/>
    <w:rsid w:val="4D570D8A"/>
    <w:rsid w:val="4E094A4F"/>
    <w:rsid w:val="4F6F7D66"/>
    <w:rsid w:val="4F9C07F8"/>
    <w:rsid w:val="50931DCA"/>
    <w:rsid w:val="516C604D"/>
    <w:rsid w:val="51BF0A7A"/>
    <w:rsid w:val="52115064"/>
    <w:rsid w:val="52F75B02"/>
    <w:rsid w:val="531907BF"/>
    <w:rsid w:val="531B5AF6"/>
    <w:rsid w:val="5349153E"/>
    <w:rsid w:val="53CD68F6"/>
    <w:rsid w:val="53EF48FB"/>
    <w:rsid w:val="54755B3B"/>
    <w:rsid w:val="54F03446"/>
    <w:rsid w:val="55E54E3F"/>
    <w:rsid w:val="562760C3"/>
    <w:rsid w:val="572D72D3"/>
    <w:rsid w:val="5735423D"/>
    <w:rsid w:val="57995354"/>
    <w:rsid w:val="58F506C6"/>
    <w:rsid w:val="590B31AE"/>
    <w:rsid w:val="59A779CF"/>
    <w:rsid w:val="5A9104F8"/>
    <w:rsid w:val="5ADA1C4D"/>
    <w:rsid w:val="5BE79884"/>
    <w:rsid w:val="5C2B1CC9"/>
    <w:rsid w:val="5C5D0B1A"/>
    <w:rsid w:val="5CD034F4"/>
    <w:rsid w:val="5CE206F6"/>
    <w:rsid w:val="5D1A51C3"/>
    <w:rsid w:val="5D3502DE"/>
    <w:rsid w:val="5D8FD6E5"/>
    <w:rsid w:val="5E607EC4"/>
    <w:rsid w:val="5E8067E8"/>
    <w:rsid w:val="5E986FD9"/>
    <w:rsid w:val="5F33F81F"/>
    <w:rsid w:val="5FC36343"/>
    <w:rsid w:val="5FF7D1BB"/>
    <w:rsid w:val="60985C38"/>
    <w:rsid w:val="60AF4214"/>
    <w:rsid w:val="60D76F87"/>
    <w:rsid w:val="61B243F7"/>
    <w:rsid w:val="620146C6"/>
    <w:rsid w:val="62385652"/>
    <w:rsid w:val="633FC88E"/>
    <w:rsid w:val="635A55F8"/>
    <w:rsid w:val="63BF6914"/>
    <w:rsid w:val="63DD7674"/>
    <w:rsid w:val="651255A4"/>
    <w:rsid w:val="661021BB"/>
    <w:rsid w:val="66EA74A4"/>
    <w:rsid w:val="67325ED7"/>
    <w:rsid w:val="67C669F5"/>
    <w:rsid w:val="682812CA"/>
    <w:rsid w:val="68285E14"/>
    <w:rsid w:val="69335A73"/>
    <w:rsid w:val="695E169D"/>
    <w:rsid w:val="696A3FBF"/>
    <w:rsid w:val="6AB15BE4"/>
    <w:rsid w:val="6AF31D0F"/>
    <w:rsid w:val="6B2A2FDD"/>
    <w:rsid w:val="6B40578E"/>
    <w:rsid w:val="6C85722F"/>
    <w:rsid w:val="6E102F4E"/>
    <w:rsid w:val="6E3B52DF"/>
    <w:rsid w:val="6E4A490C"/>
    <w:rsid w:val="6EBD4602"/>
    <w:rsid w:val="6F4115B7"/>
    <w:rsid w:val="6FB933DB"/>
    <w:rsid w:val="6FEF0B6E"/>
    <w:rsid w:val="708834A0"/>
    <w:rsid w:val="70E343EB"/>
    <w:rsid w:val="71FD0184"/>
    <w:rsid w:val="727924C1"/>
    <w:rsid w:val="72886AC9"/>
    <w:rsid w:val="72FFF287"/>
    <w:rsid w:val="732912D7"/>
    <w:rsid w:val="73405BB3"/>
    <w:rsid w:val="744C6916"/>
    <w:rsid w:val="750F488B"/>
    <w:rsid w:val="754E68EF"/>
    <w:rsid w:val="76502DE8"/>
    <w:rsid w:val="775E0CEF"/>
    <w:rsid w:val="788516DD"/>
    <w:rsid w:val="78D95689"/>
    <w:rsid w:val="792A1F84"/>
    <w:rsid w:val="79350922"/>
    <w:rsid w:val="794411AA"/>
    <w:rsid w:val="79814585"/>
    <w:rsid w:val="79933D43"/>
    <w:rsid w:val="79A62D77"/>
    <w:rsid w:val="79A82975"/>
    <w:rsid w:val="7A124D59"/>
    <w:rsid w:val="7AA95FEE"/>
    <w:rsid w:val="7B0B23BC"/>
    <w:rsid w:val="7B674D2E"/>
    <w:rsid w:val="7BBF56C8"/>
    <w:rsid w:val="7BD96F2A"/>
    <w:rsid w:val="7C6267DB"/>
    <w:rsid w:val="7CEB29FE"/>
    <w:rsid w:val="7DBB66A9"/>
    <w:rsid w:val="7DE817C9"/>
    <w:rsid w:val="7F8D3097"/>
    <w:rsid w:val="7FEC6131"/>
    <w:rsid w:val="7FFB81C0"/>
    <w:rsid w:val="7FFF21AF"/>
    <w:rsid w:val="9EA98516"/>
    <w:rsid w:val="AF57E102"/>
    <w:rsid w:val="CB4F0DD9"/>
    <w:rsid w:val="FB7FAEC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3">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2">
    <w:name w:val="heading 2"/>
    <w:basedOn w:val="1"/>
    <w:next w:val="1"/>
    <w:link w:val="29"/>
    <w:qFormat/>
    <w:uiPriority w:val="0"/>
    <w:pPr>
      <w:keepNext/>
      <w:keepLines/>
      <w:adjustRightInd w:val="0"/>
      <w:spacing w:before="260" w:after="260" w:line="416" w:lineRule="atLeast"/>
      <w:textAlignment w:val="baseline"/>
      <w:outlineLvl w:val="1"/>
    </w:pPr>
    <w:rPr>
      <w:rFonts w:ascii="宋体"/>
      <w:b/>
      <w:kern w:val="44"/>
      <w:sz w:val="28"/>
      <w:szCs w:val="20"/>
    </w:rPr>
  </w:style>
  <w:style w:type="paragraph" w:styleId="4">
    <w:name w:val="heading 3"/>
    <w:basedOn w:val="1"/>
    <w:next w:val="1"/>
    <w:qFormat/>
    <w:uiPriority w:val="0"/>
    <w:pPr>
      <w:keepNext/>
      <w:keepLines/>
      <w:spacing w:line="360" w:lineRule="auto"/>
      <w:outlineLvl w:val="2"/>
    </w:pPr>
    <w:rPr>
      <w:rFonts w:ascii="宋体" w:hAnsi="宋体"/>
      <w:b/>
      <w:bCs/>
      <w:sz w:val="28"/>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adjustRightInd w:val="0"/>
      <w:spacing w:line="360" w:lineRule="atLeast"/>
      <w:ind w:firstLine="420"/>
      <w:jc w:val="left"/>
      <w:textAlignment w:val="baseline"/>
    </w:pPr>
    <w:rPr>
      <w:kern w:val="0"/>
      <w:szCs w:val="20"/>
    </w:rPr>
  </w:style>
  <w:style w:type="paragraph" w:styleId="6">
    <w:name w:val="Document Map"/>
    <w:basedOn w:val="1"/>
    <w:link w:val="40"/>
    <w:semiHidden/>
    <w:unhideWhenUsed/>
    <w:qFormat/>
    <w:uiPriority w:val="99"/>
    <w:rPr>
      <w:rFonts w:ascii="宋体"/>
      <w:sz w:val="18"/>
      <w:szCs w:val="18"/>
    </w:rPr>
  </w:style>
  <w:style w:type="paragraph" w:styleId="7">
    <w:name w:val="annotation text"/>
    <w:basedOn w:val="1"/>
    <w:link w:val="34"/>
    <w:unhideWhenUsed/>
    <w:qFormat/>
    <w:uiPriority w:val="0"/>
    <w:pPr>
      <w:jc w:val="left"/>
    </w:pPr>
  </w:style>
  <w:style w:type="paragraph" w:styleId="8">
    <w:name w:val="Body Text Indent"/>
    <w:basedOn w:val="1"/>
    <w:link w:val="33"/>
    <w:qFormat/>
    <w:uiPriority w:val="0"/>
    <w:pPr>
      <w:adjustRightInd w:val="0"/>
      <w:spacing w:line="360" w:lineRule="auto"/>
      <w:ind w:left="454"/>
      <w:jc w:val="left"/>
      <w:textAlignment w:val="baseline"/>
    </w:pPr>
    <w:rPr>
      <w:rFonts w:ascii="宋体"/>
      <w:kern w:val="0"/>
      <w:szCs w:val="20"/>
    </w:rPr>
  </w:style>
  <w:style w:type="paragraph" w:styleId="9">
    <w:name w:val="Plain Text"/>
    <w:basedOn w:val="1"/>
    <w:link w:val="38"/>
    <w:qFormat/>
    <w:uiPriority w:val="0"/>
    <w:rPr>
      <w:rFonts w:ascii="宋体" w:hAnsi="Courier New"/>
      <w:sz w:val="21"/>
      <w:szCs w:val="20"/>
    </w:rPr>
  </w:style>
  <w:style w:type="paragraph" w:styleId="10">
    <w:name w:val="Date"/>
    <w:basedOn w:val="1"/>
    <w:next w:val="1"/>
    <w:link w:val="37"/>
    <w:qFormat/>
    <w:uiPriority w:val="0"/>
    <w:pPr>
      <w:adjustRightInd w:val="0"/>
      <w:spacing w:line="360" w:lineRule="atLeast"/>
      <w:textAlignment w:val="baseline"/>
    </w:pPr>
    <w:rPr>
      <w:rFonts w:ascii="宋体"/>
      <w:kern w:val="0"/>
      <w:szCs w:val="20"/>
    </w:rPr>
  </w:style>
  <w:style w:type="paragraph" w:styleId="11">
    <w:name w:val="Balloon Text"/>
    <w:basedOn w:val="1"/>
    <w:link w:val="36"/>
    <w:semiHidden/>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rFonts w:ascii="等线" w:hAnsi="等线" w:eastAsia="等线"/>
      <w:kern w:val="0"/>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14">
    <w:name w:val="toc 1"/>
    <w:basedOn w:val="1"/>
    <w:next w:val="1"/>
    <w:unhideWhenUsed/>
    <w:qFormat/>
    <w:uiPriority w:val="39"/>
  </w:style>
  <w:style w:type="paragraph" w:styleId="15">
    <w:name w:val="Body Text Indent 3"/>
    <w:basedOn w:val="1"/>
    <w:link w:val="39"/>
    <w:qFormat/>
    <w:uiPriority w:val="0"/>
    <w:pPr>
      <w:spacing w:after="120"/>
      <w:ind w:left="420" w:leftChars="200"/>
    </w:pPr>
    <w:rPr>
      <w:sz w:val="16"/>
      <w:szCs w:val="16"/>
    </w:rPr>
  </w:style>
  <w:style w:type="paragraph" w:styleId="16">
    <w:name w:val="Title"/>
    <w:basedOn w:val="1"/>
    <w:link w:val="32"/>
    <w:qFormat/>
    <w:uiPriority w:val="0"/>
    <w:pPr>
      <w:spacing w:before="240" w:after="60"/>
      <w:jc w:val="center"/>
      <w:outlineLvl w:val="0"/>
    </w:pPr>
    <w:rPr>
      <w:rFonts w:ascii="Arial" w:hAnsi="Arial"/>
      <w:b/>
      <w:kern w:val="0"/>
      <w:sz w:val="32"/>
      <w:szCs w:val="20"/>
    </w:rPr>
  </w:style>
  <w:style w:type="paragraph" w:styleId="17">
    <w:name w:val="annotation subject"/>
    <w:basedOn w:val="7"/>
    <w:next w:val="7"/>
    <w:link w:val="35"/>
    <w:semiHidden/>
    <w:unhideWhenUsed/>
    <w:qFormat/>
    <w:uiPriority w:val="99"/>
    <w:rPr>
      <w:b/>
      <w:bCs/>
    </w:rPr>
  </w:style>
  <w:style w:type="character" w:styleId="20">
    <w:name w:val="Hyperlink"/>
    <w:qFormat/>
    <w:uiPriority w:val="99"/>
    <w:rPr>
      <w:color w:val="0000FF"/>
      <w:u w:val="single"/>
    </w:rPr>
  </w:style>
  <w:style w:type="character" w:styleId="21">
    <w:name w:val="annotation reference"/>
    <w:semiHidden/>
    <w:unhideWhenUsed/>
    <w:qFormat/>
    <w:uiPriority w:val="99"/>
    <w:rPr>
      <w:sz w:val="21"/>
      <w:szCs w:val="21"/>
    </w:rPr>
  </w:style>
  <w:style w:type="paragraph" w:customStyle="1" w:styleId="22">
    <w:name w:val="样式2"/>
    <w:basedOn w:val="9"/>
    <w:qFormat/>
    <w:uiPriority w:val="0"/>
    <w:pPr>
      <w:snapToGrid w:val="0"/>
      <w:spacing w:line="460" w:lineRule="atLeast"/>
      <w:ind w:left="426" w:hanging="426"/>
    </w:pPr>
    <w:rPr>
      <w:rFonts w:ascii="Times New Roman" w:hAnsi="Times New Roman"/>
      <w:spacing w:val="10"/>
      <w:sz w:val="24"/>
    </w:rPr>
  </w:style>
  <w:style w:type="paragraph" w:customStyle="1" w:styleId="23">
    <w:name w:val="_Style 5"/>
    <w:basedOn w:val="1"/>
    <w:next w:val="1"/>
    <w:qFormat/>
    <w:uiPriority w:val="39"/>
    <w:pPr>
      <w:tabs>
        <w:tab w:val="right" w:leader="dot" w:pos="8296"/>
      </w:tabs>
      <w:spacing w:before="120" w:after="120"/>
    </w:pPr>
    <w:rPr>
      <w:caps/>
      <w:sz w:val="28"/>
      <w:szCs w:val="28"/>
    </w:rPr>
  </w:style>
  <w:style w:type="paragraph" w:styleId="24">
    <w:name w:val="List Paragraph"/>
    <w:basedOn w:val="1"/>
    <w:qFormat/>
    <w:uiPriority w:val="34"/>
    <w:pPr>
      <w:ind w:firstLine="420" w:firstLineChars="200"/>
    </w:pPr>
  </w:style>
  <w:style w:type="paragraph" w:customStyle="1" w:styleId="25">
    <w:name w:val="样式1"/>
    <w:basedOn w:val="1"/>
    <w:qFormat/>
    <w:uiPriority w:val="0"/>
    <w:pPr>
      <w:adjustRightInd w:val="0"/>
      <w:spacing w:line="420" w:lineRule="auto"/>
      <w:jc w:val="center"/>
      <w:textAlignment w:val="baseline"/>
    </w:pPr>
    <w:rPr>
      <w:rFonts w:ascii="宋体"/>
      <w:kern w:val="0"/>
      <w:szCs w:val="20"/>
    </w:rPr>
  </w:style>
  <w:style w:type="paragraph" w:customStyle="1" w:styleId="26">
    <w:name w:val="_Style 25"/>
    <w:hidden/>
    <w:semiHidden/>
    <w:qFormat/>
    <w:uiPriority w:val="99"/>
    <w:rPr>
      <w:rFonts w:ascii="Times New Roman" w:hAnsi="Times New Roman" w:eastAsia="宋体" w:cs="Times New Roman"/>
      <w:kern w:val="2"/>
      <w:sz w:val="24"/>
      <w:szCs w:val="24"/>
      <w:lang w:val="en-US" w:eastAsia="zh-CN" w:bidi="ar-SA"/>
    </w:rPr>
  </w:style>
  <w:style w:type="character" w:customStyle="1" w:styleId="27">
    <w:name w:val="页眉 Char"/>
    <w:link w:val="13"/>
    <w:qFormat/>
    <w:uiPriority w:val="99"/>
    <w:rPr>
      <w:sz w:val="18"/>
      <w:szCs w:val="18"/>
    </w:rPr>
  </w:style>
  <w:style w:type="character" w:customStyle="1" w:styleId="28">
    <w:name w:val="页脚 Char"/>
    <w:link w:val="12"/>
    <w:qFormat/>
    <w:uiPriority w:val="99"/>
    <w:rPr>
      <w:sz w:val="18"/>
      <w:szCs w:val="18"/>
    </w:rPr>
  </w:style>
  <w:style w:type="character" w:customStyle="1" w:styleId="29">
    <w:name w:val="标题 2 Char"/>
    <w:link w:val="2"/>
    <w:qFormat/>
    <w:uiPriority w:val="0"/>
    <w:rPr>
      <w:rFonts w:ascii="宋体" w:hAnsi="Times New Roman" w:eastAsia="宋体" w:cs="Times New Roman"/>
      <w:b/>
      <w:kern w:val="44"/>
      <w:sz w:val="28"/>
      <w:szCs w:val="20"/>
    </w:rPr>
  </w:style>
  <w:style w:type="character" w:customStyle="1" w:styleId="30">
    <w:name w:val="标题 1 Char"/>
    <w:link w:val="3"/>
    <w:qFormat/>
    <w:uiPriority w:val="9"/>
    <w:rPr>
      <w:rFonts w:ascii="Times New Roman" w:hAnsi="Times New Roman" w:eastAsia="宋体" w:cs="Times New Roman"/>
      <w:b/>
      <w:bCs/>
      <w:kern w:val="44"/>
      <w:sz w:val="44"/>
      <w:szCs w:val="44"/>
    </w:rPr>
  </w:style>
  <w:style w:type="character" w:customStyle="1" w:styleId="31">
    <w:name w:val="标题 字符"/>
    <w:qFormat/>
    <w:uiPriority w:val="10"/>
    <w:rPr>
      <w:rFonts w:ascii="等线 Light" w:hAnsi="等线 Light" w:eastAsia="等线 Light" w:cs="Times New Roman"/>
      <w:b/>
      <w:bCs/>
      <w:sz w:val="32"/>
      <w:szCs w:val="32"/>
    </w:rPr>
  </w:style>
  <w:style w:type="character" w:customStyle="1" w:styleId="32">
    <w:name w:val="标题 Char"/>
    <w:link w:val="16"/>
    <w:qFormat/>
    <w:uiPriority w:val="0"/>
    <w:rPr>
      <w:rFonts w:ascii="Arial" w:hAnsi="Arial" w:eastAsia="宋体" w:cs="Times New Roman"/>
      <w:b/>
      <w:sz w:val="32"/>
      <w:szCs w:val="20"/>
    </w:rPr>
  </w:style>
  <w:style w:type="character" w:customStyle="1" w:styleId="33">
    <w:name w:val="正文文本缩进 Char"/>
    <w:link w:val="8"/>
    <w:qFormat/>
    <w:uiPriority w:val="0"/>
    <w:rPr>
      <w:rFonts w:ascii="宋体" w:hAnsi="Times New Roman" w:eastAsia="宋体" w:cs="Times New Roman"/>
      <w:kern w:val="0"/>
      <w:sz w:val="24"/>
      <w:szCs w:val="20"/>
    </w:rPr>
  </w:style>
  <w:style w:type="character" w:customStyle="1" w:styleId="34">
    <w:name w:val="批注文字 Char"/>
    <w:link w:val="7"/>
    <w:qFormat/>
    <w:uiPriority w:val="0"/>
    <w:rPr>
      <w:rFonts w:ascii="Times New Roman" w:hAnsi="Times New Roman" w:eastAsia="宋体"/>
      <w:kern w:val="2"/>
      <w:sz w:val="24"/>
      <w:szCs w:val="24"/>
    </w:rPr>
  </w:style>
  <w:style w:type="character" w:customStyle="1" w:styleId="35">
    <w:name w:val="批注主题 Char"/>
    <w:link w:val="17"/>
    <w:semiHidden/>
    <w:qFormat/>
    <w:uiPriority w:val="99"/>
    <w:rPr>
      <w:rFonts w:ascii="Times New Roman" w:hAnsi="Times New Roman" w:eastAsia="宋体"/>
      <w:b/>
      <w:bCs/>
      <w:kern w:val="2"/>
      <w:sz w:val="24"/>
      <w:szCs w:val="24"/>
    </w:rPr>
  </w:style>
  <w:style w:type="character" w:customStyle="1" w:styleId="36">
    <w:name w:val="批注框文本 Char"/>
    <w:link w:val="11"/>
    <w:semiHidden/>
    <w:qFormat/>
    <w:uiPriority w:val="99"/>
    <w:rPr>
      <w:rFonts w:ascii="Times New Roman" w:hAnsi="Times New Roman" w:eastAsia="宋体"/>
      <w:kern w:val="2"/>
      <w:sz w:val="18"/>
      <w:szCs w:val="18"/>
    </w:rPr>
  </w:style>
  <w:style w:type="character" w:customStyle="1" w:styleId="37">
    <w:name w:val="日期 Char"/>
    <w:link w:val="10"/>
    <w:qFormat/>
    <w:uiPriority w:val="0"/>
    <w:rPr>
      <w:rFonts w:ascii="宋体" w:hAnsi="Times New Roman" w:eastAsia="宋体"/>
      <w:sz w:val="24"/>
    </w:rPr>
  </w:style>
  <w:style w:type="character" w:customStyle="1" w:styleId="38">
    <w:name w:val="纯文本 Char"/>
    <w:link w:val="9"/>
    <w:qFormat/>
    <w:uiPriority w:val="0"/>
    <w:rPr>
      <w:rFonts w:ascii="宋体" w:hAnsi="Courier New" w:eastAsia="宋体"/>
      <w:kern w:val="2"/>
      <w:sz w:val="21"/>
    </w:rPr>
  </w:style>
  <w:style w:type="character" w:customStyle="1" w:styleId="39">
    <w:name w:val="正文文本缩进 3 Char"/>
    <w:link w:val="15"/>
    <w:qFormat/>
    <w:uiPriority w:val="0"/>
    <w:rPr>
      <w:rFonts w:ascii="Times New Roman" w:hAnsi="Times New Roman" w:eastAsia="宋体"/>
      <w:kern w:val="2"/>
      <w:sz w:val="16"/>
      <w:szCs w:val="16"/>
    </w:rPr>
  </w:style>
  <w:style w:type="character" w:customStyle="1" w:styleId="40">
    <w:name w:val="文档结构图 Char"/>
    <w:link w:val="6"/>
    <w:semiHidden/>
    <w:qFormat/>
    <w:uiPriority w:val="99"/>
    <w:rPr>
      <w:rFonts w:ascii="宋体"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w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60</Pages>
  <Words>29572</Words>
  <Characters>32861</Characters>
  <Lines>257</Lines>
  <Paragraphs>72</Paragraphs>
  <TotalTime>22</TotalTime>
  <ScaleCrop>false</ScaleCrop>
  <LinksUpToDate>false</LinksUpToDate>
  <CharactersWithSpaces>33476</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2018-10-28T18:25:00Z</dcterms:created>
  <dc:creator>Admin</dc:creator>
  <cp:lastModifiedBy>申屠俊捷</cp:lastModifiedBy>
  <cp:lastPrinted>2025-05-21T01:02:00Z</cp:lastPrinted>
  <dcterms:modified xsi:type="dcterms:W3CDTF">2025-07-17T07:49:15Z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581DEC311DEC4AF5A98DFD93F86C9D84_13</vt:lpwstr>
  </property>
  <property fmtid="{D5CDD505-2E9C-101B-9397-08002B2CF9AE}" pid="4" name="KSOTemplateDocerSaveRecord">
    <vt:lpwstr>eyJoZGlkIjoiZGE2Mjg2YTZkZTMyMTYwY2M1OTQ5YzJlN2MyYmRjOGEiLCJ1c2VySWQiOiIxNTY5NDgyOTM2In0=</vt:lpwstr>
  </property>
</Properties>
</file>