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8192A">
      <w:pPr>
        <w:jc w:val="center"/>
        <w:rPr>
          <w:sz w:val="24"/>
          <w:szCs w:val="24"/>
        </w:rPr>
      </w:pPr>
      <w:bookmarkStart w:id="128" w:name="_GoBack"/>
      <w:bookmarkEnd w:id="128"/>
    </w:p>
    <w:p w14:paraId="5BA017F3">
      <w:pPr>
        <w:jc w:val="center"/>
        <w:rPr>
          <w:sz w:val="28"/>
          <w:szCs w:val="28"/>
        </w:rPr>
      </w:pPr>
      <w:r>
        <w:rPr>
          <w:rFonts w:hint="eastAsia"/>
          <w:sz w:val="28"/>
          <w:szCs w:val="28"/>
        </w:rPr>
        <w:t>合同编号：</w:t>
      </w:r>
    </w:p>
    <w:p w14:paraId="13D4196D">
      <w:pPr>
        <w:pStyle w:val="5"/>
        <w:rPr>
          <w:rFonts w:ascii="Times New Roman" w:hAnsi="Times New Roman" w:cs="Times New Roman"/>
          <w:color w:val="auto"/>
        </w:rPr>
      </w:pPr>
    </w:p>
    <w:p w14:paraId="5A7F9871">
      <w:pPr>
        <w:pStyle w:val="5"/>
        <w:ind w:left="0" w:leftChars="-1" w:hanging="2" w:firstLineChars="0"/>
        <w:jc w:val="center"/>
        <w:rPr>
          <w:rFonts w:ascii="Times New Roman" w:hAnsi="Times New Roman" w:cs="Times New Roman"/>
          <w:b/>
          <w:bCs/>
          <w:color w:val="auto"/>
          <w:sz w:val="36"/>
          <w:szCs w:val="36"/>
        </w:rPr>
      </w:pPr>
    </w:p>
    <w:p w14:paraId="679CD058">
      <w:pPr>
        <w:pStyle w:val="5"/>
        <w:ind w:left="0" w:leftChars="-1" w:hanging="2" w:firstLineChars="0"/>
        <w:jc w:val="center"/>
        <w:rPr>
          <w:rFonts w:ascii="Times New Roman" w:hAnsi="Times New Roman" w:cs="Times New Roman"/>
          <w:b/>
          <w:bCs/>
          <w:color w:val="auto"/>
          <w:sz w:val="36"/>
          <w:szCs w:val="36"/>
        </w:rPr>
      </w:pPr>
    </w:p>
    <w:p w14:paraId="37118780">
      <w:pPr>
        <w:pStyle w:val="5"/>
        <w:ind w:left="0" w:leftChars="-1" w:hanging="2" w:firstLineChars="0"/>
        <w:jc w:val="center"/>
        <w:rPr>
          <w:rFonts w:ascii="Times New Roman" w:hAnsi="Times New Roman" w:cs="Times New Roman"/>
          <w:b/>
          <w:bCs/>
          <w:color w:val="auto"/>
          <w:sz w:val="36"/>
          <w:szCs w:val="36"/>
        </w:rPr>
      </w:pPr>
    </w:p>
    <w:p w14:paraId="55556253">
      <w:pPr>
        <w:pStyle w:val="5"/>
        <w:ind w:left="0" w:leftChars="-1" w:hanging="2" w:firstLineChars="0"/>
        <w:jc w:val="center"/>
        <w:rPr>
          <w:rFonts w:ascii="Times New Roman" w:hAnsi="Times New Roman" w:cs="Times New Roman"/>
          <w:b/>
          <w:bCs/>
          <w:color w:val="auto"/>
          <w:sz w:val="36"/>
          <w:szCs w:val="36"/>
        </w:rPr>
      </w:pPr>
    </w:p>
    <w:p w14:paraId="4BFF1163">
      <w:pPr>
        <w:pStyle w:val="5"/>
        <w:ind w:left="0" w:leftChars="-1" w:hanging="2" w:firstLineChars="0"/>
        <w:jc w:val="center"/>
        <w:rPr>
          <w:rFonts w:ascii="Times New Roman" w:hAnsi="Times New Roman" w:cs="Times New Roman"/>
          <w:b/>
          <w:bCs/>
          <w:color w:val="auto"/>
          <w:sz w:val="36"/>
          <w:szCs w:val="36"/>
        </w:rPr>
      </w:pPr>
    </w:p>
    <w:p w14:paraId="55876401">
      <w:pPr>
        <w:pStyle w:val="5"/>
        <w:ind w:left="0" w:leftChars="-1" w:hanging="2" w:firstLineChars="0"/>
        <w:jc w:val="center"/>
        <w:rPr>
          <w:rFonts w:ascii="Times New Roman" w:hAnsi="Times New Roman" w:cs="Times New Roman"/>
          <w:b/>
          <w:bCs/>
          <w:color w:val="auto"/>
          <w:sz w:val="36"/>
          <w:szCs w:val="36"/>
        </w:rPr>
      </w:pPr>
    </w:p>
    <w:p w14:paraId="77AAB717">
      <w:pPr>
        <w:pStyle w:val="5"/>
        <w:ind w:left="0" w:leftChars="-1" w:hanging="2" w:firstLineChars="0"/>
        <w:jc w:val="center"/>
        <w:rPr>
          <w:rFonts w:ascii="Times New Roman" w:hAnsi="Times New Roman" w:cs="Times New Roman"/>
          <w:b/>
          <w:bCs/>
          <w:color w:val="auto"/>
          <w:sz w:val="36"/>
          <w:szCs w:val="36"/>
        </w:rPr>
      </w:pPr>
    </w:p>
    <w:p w14:paraId="582A80BA">
      <w:pPr>
        <w:jc w:val="center"/>
        <w:rPr>
          <w:rFonts w:hint="eastAsia"/>
          <w:b/>
          <w:bCs/>
          <w:sz w:val="48"/>
          <w:szCs w:val="48"/>
        </w:rPr>
      </w:pPr>
      <w:r>
        <w:rPr>
          <w:rFonts w:hint="eastAsia"/>
          <w:b/>
          <w:bCs/>
          <w:sz w:val="48"/>
          <w:szCs w:val="48"/>
          <w:lang w:val="en-US" w:eastAsia="zh-CN"/>
        </w:rPr>
        <w:t>浙能台州1号</w:t>
      </w:r>
      <w:r>
        <w:rPr>
          <w:rFonts w:hint="eastAsia"/>
          <w:b/>
          <w:bCs/>
          <w:sz w:val="48"/>
          <w:szCs w:val="48"/>
        </w:rPr>
        <w:t>海上风电场</w:t>
      </w:r>
    </w:p>
    <w:p w14:paraId="647E3EF8">
      <w:pPr>
        <w:jc w:val="center"/>
        <w:rPr>
          <w:sz w:val="24"/>
          <w:szCs w:val="24"/>
        </w:rPr>
      </w:pPr>
      <w:r>
        <w:rPr>
          <w:rFonts w:hint="eastAsia"/>
          <w:b/>
          <w:bCs/>
          <w:sz w:val="48"/>
          <w:szCs w:val="48"/>
          <w:lang w:val="en-US" w:eastAsia="zh-CN"/>
        </w:rPr>
        <w:t>2025-2027年</w:t>
      </w:r>
      <w:r>
        <w:rPr>
          <w:rFonts w:hint="eastAsia"/>
          <w:b/>
          <w:bCs/>
          <w:sz w:val="48"/>
          <w:szCs w:val="48"/>
        </w:rPr>
        <w:t>安全监测服务合同</w:t>
      </w:r>
    </w:p>
    <w:p w14:paraId="0707D23C">
      <w:pPr>
        <w:pStyle w:val="5"/>
        <w:rPr>
          <w:rFonts w:ascii="Times New Roman" w:hAnsi="Times New Roman" w:cs="Times New Roman"/>
          <w:color w:val="auto"/>
        </w:rPr>
      </w:pPr>
    </w:p>
    <w:p w14:paraId="30AD0DC4">
      <w:pPr>
        <w:pStyle w:val="5"/>
        <w:ind w:left="-4" w:leftChars="-27" w:hanging="55" w:hangingChars="23"/>
        <w:rPr>
          <w:rFonts w:ascii="Times New Roman" w:hAnsi="Times New Roman" w:cs="Times New Roman"/>
          <w:color w:val="auto"/>
        </w:rPr>
      </w:pPr>
    </w:p>
    <w:p w14:paraId="010003FB">
      <w:pPr>
        <w:pStyle w:val="5"/>
        <w:ind w:left="-4" w:leftChars="-27" w:hanging="55" w:hangingChars="23"/>
        <w:rPr>
          <w:rFonts w:ascii="Times New Roman" w:hAnsi="Times New Roman" w:cs="Times New Roman"/>
          <w:color w:val="auto"/>
        </w:rPr>
      </w:pPr>
    </w:p>
    <w:p w14:paraId="0123B50F">
      <w:pPr>
        <w:pStyle w:val="5"/>
        <w:ind w:left="-4" w:leftChars="-27" w:hanging="55" w:hangingChars="23"/>
        <w:rPr>
          <w:rFonts w:ascii="Times New Roman" w:hAnsi="Times New Roman" w:cs="Times New Roman"/>
          <w:color w:val="auto"/>
        </w:rPr>
      </w:pPr>
    </w:p>
    <w:p w14:paraId="7595192F">
      <w:pPr>
        <w:pStyle w:val="5"/>
        <w:ind w:left="-4" w:leftChars="-27" w:hanging="55" w:hangingChars="23"/>
        <w:rPr>
          <w:rFonts w:ascii="Times New Roman" w:hAnsi="Times New Roman" w:cs="Times New Roman"/>
          <w:color w:val="auto"/>
        </w:rPr>
      </w:pPr>
    </w:p>
    <w:p w14:paraId="3246B9E3">
      <w:pPr>
        <w:pStyle w:val="5"/>
        <w:ind w:left="-4" w:leftChars="-27" w:hanging="55" w:hangingChars="23"/>
        <w:rPr>
          <w:rFonts w:ascii="Times New Roman" w:hAnsi="Times New Roman" w:cs="Times New Roman"/>
          <w:color w:val="auto"/>
        </w:rPr>
      </w:pPr>
    </w:p>
    <w:p w14:paraId="68770979">
      <w:pPr>
        <w:pStyle w:val="5"/>
        <w:ind w:left="-4" w:leftChars="-27" w:hanging="55" w:hangingChars="23"/>
        <w:rPr>
          <w:rFonts w:ascii="Times New Roman" w:hAnsi="Times New Roman" w:cs="Times New Roman"/>
          <w:color w:val="auto"/>
        </w:rPr>
      </w:pPr>
    </w:p>
    <w:p w14:paraId="575993CE">
      <w:pPr>
        <w:pStyle w:val="5"/>
        <w:ind w:left="-4" w:leftChars="-27" w:hanging="55" w:hangingChars="23"/>
        <w:rPr>
          <w:rFonts w:ascii="Times New Roman" w:hAnsi="Times New Roman" w:cs="Times New Roman"/>
          <w:color w:val="auto"/>
        </w:rPr>
      </w:pPr>
    </w:p>
    <w:p w14:paraId="489EB234">
      <w:pPr>
        <w:pStyle w:val="5"/>
        <w:ind w:left="-4" w:leftChars="-27" w:hanging="55" w:hangingChars="23"/>
        <w:rPr>
          <w:rFonts w:ascii="Times New Roman" w:hAnsi="Times New Roman" w:cs="Times New Roman"/>
          <w:color w:val="auto"/>
        </w:rPr>
      </w:pPr>
    </w:p>
    <w:p w14:paraId="7AFE9FF7">
      <w:pPr>
        <w:pStyle w:val="5"/>
        <w:ind w:left="-4" w:leftChars="-27" w:hanging="55" w:hangingChars="23"/>
        <w:rPr>
          <w:rFonts w:ascii="Times New Roman" w:hAnsi="Times New Roman" w:cs="Times New Roman"/>
          <w:color w:val="auto"/>
        </w:rPr>
      </w:pPr>
    </w:p>
    <w:p w14:paraId="33613078">
      <w:pPr>
        <w:pStyle w:val="5"/>
        <w:adjustRightInd w:val="0"/>
        <w:snapToGrid w:val="0"/>
        <w:spacing w:line="360" w:lineRule="auto"/>
        <w:ind w:left="0" w:right="0" w:firstLine="1120" w:firstLineChars="400"/>
        <w:rPr>
          <w:rFonts w:hint="default" w:ascii="Times New Roman" w:hAnsi="Times New Roman" w:eastAsia="宋体" w:cs="Times New Roman"/>
          <w:color w:val="auto"/>
          <w:sz w:val="28"/>
          <w:szCs w:val="28"/>
          <w:lang w:val="en-US" w:eastAsia="zh-CN"/>
        </w:rPr>
      </w:pPr>
      <w:r>
        <w:rPr>
          <w:rFonts w:hint="eastAsia" w:ascii="Times New Roman" w:hAnsi="Times New Roman" w:cs="Times New Roman"/>
          <w:color w:val="auto"/>
          <w:sz w:val="28"/>
          <w:szCs w:val="28"/>
        </w:rPr>
        <w:t>委托方：</w:t>
      </w:r>
      <w:r>
        <w:rPr>
          <w:rFonts w:hint="eastAsia" w:ascii="Times New Roman" w:hAnsi="Times New Roman" w:cs="Times New Roman"/>
          <w:color w:val="auto"/>
          <w:sz w:val="28"/>
          <w:szCs w:val="28"/>
          <w:lang w:val="en-US" w:eastAsia="zh-CN"/>
        </w:rPr>
        <w:t>浙江浙能临海海上风力发电有限公司</w:t>
      </w:r>
    </w:p>
    <w:p w14:paraId="3C142DF3">
      <w:pPr>
        <w:pStyle w:val="5"/>
        <w:adjustRightInd w:val="0"/>
        <w:snapToGrid w:val="0"/>
        <w:spacing w:line="360" w:lineRule="auto"/>
        <w:ind w:left="0" w:right="0" w:firstLine="1120" w:firstLineChars="400"/>
        <w:rPr>
          <w:rFonts w:hint="default" w:ascii="Times New Roman" w:hAnsi="Times New Roman" w:eastAsia="宋体" w:cs="Times New Roman"/>
          <w:color w:val="auto"/>
          <w:sz w:val="28"/>
          <w:szCs w:val="28"/>
          <w:highlight w:val="yellow"/>
          <w:lang w:val="en-US" w:eastAsia="zh-CN"/>
        </w:rPr>
      </w:pPr>
      <w:r>
        <w:rPr>
          <w:rFonts w:hint="eastAsia" w:ascii="Times New Roman" w:hAnsi="Times New Roman" w:cs="Times New Roman"/>
          <w:color w:val="auto"/>
          <w:sz w:val="28"/>
          <w:szCs w:val="28"/>
        </w:rPr>
        <w:t>受托方：XXXXXXX</w:t>
      </w:r>
    </w:p>
    <w:p w14:paraId="48457B60">
      <w:pPr>
        <w:pStyle w:val="5"/>
        <w:adjustRightInd w:val="0"/>
        <w:snapToGrid w:val="0"/>
        <w:spacing w:line="360" w:lineRule="auto"/>
        <w:ind w:left="0" w:right="0" w:firstLine="1120" w:firstLineChars="400"/>
        <w:rPr>
          <w:rFonts w:hint="default" w:ascii="Times New Roman" w:hAnsi="Times New Roman" w:eastAsia="宋体" w:cs="Times New Roman"/>
          <w:color w:val="auto"/>
          <w:sz w:val="28"/>
          <w:szCs w:val="28"/>
          <w:highlight w:val="yellow"/>
          <w:lang w:val="en-US" w:eastAsia="zh-CN"/>
        </w:rPr>
      </w:pPr>
      <w:r>
        <w:rPr>
          <w:rFonts w:hint="eastAsia" w:ascii="Times New Roman" w:hAnsi="Times New Roman" w:cs="Times New Roman"/>
          <w:color w:val="auto"/>
          <w:sz w:val="28"/>
          <w:szCs w:val="28"/>
        </w:rPr>
        <w:t>签约时间：</w:t>
      </w:r>
      <w:r>
        <w:rPr>
          <w:rFonts w:hint="eastAsia" w:ascii="Times New Roman" w:hAnsi="Times New Roman" w:cs="Times New Roman"/>
          <w:color w:val="auto"/>
          <w:sz w:val="28"/>
          <w:szCs w:val="28"/>
          <w:highlight w:val="none"/>
          <w:lang w:val="en-US" w:eastAsia="zh-CN"/>
        </w:rPr>
        <w:t>2025</w:t>
      </w:r>
      <w:r>
        <w:rPr>
          <w:rFonts w:hint="eastAsia" w:ascii="Times New Roman" w:hAnsi="Times New Roman" w:cs="Times New Roman"/>
          <w:color w:val="auto"/>
          <w:sz w:val="28"/>
          <w:szCs w:val="28"/>
          <w:highlight w:val="none"/>
        </w:rPr>
        <w:t>年</w:t>
      </w:r>
      <w:r>
        <w:rPr>
          <w:rFonts w:hint="eastAsia" w:ascii="Times New Roman" w:hAnsi="Times New Roman" w:cs="Times New Roman"/>
          <w:color w:val="auto"/>
          <w:sz w:val="28"/>
          <w:szCs w:val="28"/>
          <w:highlight w:val="none"/>
          <w:lang w:val="en-US" w:eastAsia="zh-CN"/>
        </w:rPr>
        <w:t xml:space="preserve">  </w:t>
      </w:r>
      <w:r>
        <w:rPr>
          <w:rFonts w:hint="eastAsia" w:ascii="Times New Roman" w:hAnsi="Times New Roman" w:cs="Times New Roman"/>
          <w:color w:val="auto"/>
          <w:sz w:val="28"/>
          <w:szCs w:val="28"/>
          <w:highlight w:val="none"/>
        </w:rPr>
        <w:t>月</w:t>
      </w:r>
      <w:r>
        <w:rPr>
          <w:rFonts w:hint="eastAsia" w:ascii="Times New Roman" w:hAnsi="Times New Roman" w:cs="Times New Roman"/>
          <w:color w:val="auto"/>
          <w:sz w:val="28"/>
          <w:szCs w:val="28"/>
          <w:highlight w:val="none"/>
          <w:lang w:val="en-US" w:eastAsia="zh-CN"/>
        </w:rPr>
        <w:t xml:space="preserve">  日</w:t>
      </w:r>
    </w:p>
    <w:p w14:paraId="602FB9CB">
      <w:pPr>
        <w:pStyle w:val="5"/>
        <w:adjustRightInd w:val="0"/>
        <w:snapToGrid w:val="0"/>
        <w:spacing w:line="360" w:lineRule="auto"/>
        <w:ind w:left="0" w:right="0" w:firstLine="1120" w:firstLineChars="400"/>
        <w:rPr>
          <w:rFonts w:ascii="Times New Roman" w:hAnsi="Times New Roman" w:cs="Times New Roman"/>
          <w:color w:val="auto"/>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1"/>
          <w:cols w:space="720" w:num="1"/>
          <w:titlePg/>
          <w:docGrid w:linePitch="312" w:charSpace="0"/>
        </w:sectPr>
      </w:pPr>
      <w:r>
        <w:rPr>
          <w:rFonts w:hint="eastAsia" w:ascii="Times New Roman" w:hAnsi="Times New Roman" w:cs="Times New Roman"/>
          <w:color w:val="auto"/>
          <w:sz w:val="28"/>
          <w:szCs w:val="28"/>
        </w:rPr>
        <w:t>签约地点：XXXXXXX</w:t>
      </w:r>
    </w:p>
    <w:p w14:paraId="3A89B4D5">
      <w:pPr>
        <w:pStyle w:val="6"/>
        <w:spacing w:line="360" w:lineRule="auto"/>
        <w:ind w:left="0" w:leftChars="0" w:firstLine="0" w:firstLineChars="0"/>
        <w:jc w:val="center"/>
        <w:outlineLvl w:val="0"/>
        <w:rPr>
          <w:rFonts w:hint="eastAsia" w:ascii="宋体" w:hAnsi="宋体" w:eastAsia="宋体" w:cs="宋体"/>
          <w:b/>
          <w:bCs/>
          <w:snapToGrid w:val="0"/>
          <w:sz w:val="28"/>
          <w:szCs w:val="28"/>
        </w:rPr>
      </w:pPr>
      <w:r>
        <w:rPr>
          <w:rFonts w:hint="eastAsia" w:ascii="宋体" w:hAnsi="宋体" w:eastAsia="宋体" w:cs="宋体"/>
          <w:b/>
          <w:bCs/>
          <w:snapToGrid w:val="0"/>
          <w:sz w:val="32"/>
          <w:szCs w:val="32"/>
        </w:rPr>
        <w:t>浙能</w:t>
      </w:r>
      <w:r>
        <w:rPr>
          <w:rFonts w:hint="eastAsia" w:hAnsi="宋体" w:cs="宋体"/>
          <w:b/>
          <w:bCs/>
          <w:snapToGrid w:val="0"/>
          <w:sz w:val="32"/>
          <w:szCs w:val="32"/>
          <w:lang w:eastAsia="zh-CN"/>
        </w:rPr>
        <w:t>台州1号</w:t>
      </w:r>
      <w:r>
        <w:rPr>
          <w:rFonts w:hint="eastAsia" w:ascii="宋体" w:hAnsi="宋体" w:eastAsia="宋体" w:cs="宋体"/>
          <w:b/>
          <w:bCs/>
          <w:snapToGrid w:val="0"/>
          <w:sz w:val="32"/>
          <w:szCs w:val="32"/>
        </w:rPr>
        <w:t>海上风电场2025-2027年安全监测服务合同</w:t>
      </w:r>
    </w:p>
    <w:p w14:paraId="17AFBE3D">
      <w:pPr>
        <w:pStyle w:val="6"/>
        <w:spacing w:line="360" w:lineRule="auto"/>
        <w:ind w:left="0" w:leftChars="0" w:firstLine="0" w:firstLineChars="0"/>
        <w:rPr>
          <w:rFonts w:hint="eastAsia" w:ascii="宋体" w:hAnsi="宋体" w:eastAsia="宋体" w:cs="宋体"/>
          <w:b/>
          <w:bCs/>
          <w:snapToGrid w:val="0"/>
          <w:sz w:val="24"/>
          <w:szCs w:val="24"/>
        </w:rPr>
      </w:pPr>
    </w:p>
    <w:p w14:paraId="2ABA2E90">
      <w:pPr>
        <w:pStyle w:val="6"/>
        <w:spacing w:line="360" w:lineRule="auto"/>
        <w:ind w:left="0" w:leftChars="0" w:firstLine="0" w:firstLineChars="0"/>
        <w:rPr>
          <w:rFonts w:hint="eastAsia" w:ascii="宋体" w:hAnsi="宋体" w:eastAsia="宋体" w:cs="宋体"/>
          <w:color w:val="auto"/>
        </w:rPr>
      </w:pPr>
      <w:r>
        <w:rPr>
          <w:rFonts w:hint="eastAsia" w:ascii="宋体" w:hAnsi="宋体" w:eastAsia="宋体" w:cs="宋体"/>
          <w:b/>
          <w:bCs/>
          <w:snapToGrid w:val="0"/>
          <w:sz w:val="24"/>
          <w:szCs w:val="24"/>
        </w:rPr>
        <w:t>委托方（甲方）：</w:t>
      </w:r>
      <w:r>
        <w:rPr>
          <w:rFonts w:hint="eastAsia" w:ascii="宋体" w:hAnsi="宋体" w:eastAsia="宋体" w:cs="宋体"/>
          <w:b/>
          <w:bCs/>
          <w:snapToGrid w:val="0"/>
          <w:sz w:val="24"/>
          <w:szCs w:val="24"/>
          <w:lang w:val="en-US" w:eastAsia="zh-CN"/>
        </w:rPr>
        <w:t>浙江</w:t>
      </w:r>
      <w:r>
        <w:rPr>
          <w:rFonts w:hint="eastAsia" w:hAnsi="宋体" w:cs="宋体"/>
          <w:b/>
          <w:bCs/>
          <w:snapToGrid w:val="0"/>
          <w:sz w:val="24"/>
          <w:szCs w:val="24"/>
          <w:lang w:val="en-US" w:eastAsia="zh-CN"/>
        </w:rPr>
        <w:t>浙能临海海上风力</w:t>
      </w:r>
      <w:r>
        <w:rPr>
          <w:rFonts w:hint="eastAsia" w:ascii="宋体" w:hAnsi="宋体" w:eastAsia="宋体" w:cs="宋体"/>
          <w:b/>
          <w:bCs/>
          <w:snapToGrid w:val="0"/>
          <w:sz w:val="24"/>
          <w:szCs w:val="24"/>
          <w:lang w:val="en-US" w:eastAsia="zh-CN"/>
        </w:rPr>
        <w:t>发电有限公司</w:t>
      </w:r>
      <w:r>
        <w:rPr>
          <w:rFonts w:hint="eastAsia" w:ascii="宋体" w:hAnsi="宋体" w:eastAsia="宋体" w:cs="宋体"/>
          <w:snapToGrid w:val="0"/>
          <w:sz w:val="24"/>
          <w:szCs w:val="24"/>
        </w:rPr>
        <w:t>（以下简称“甲方”）</w:t>
      </w:r>
    </w:p>
    <w:p w14:paraId="01EA6DDC">
      <w:pPr>
        <w:pStyle w:val="6"/>
        <w:spacing w:line="360" w:lineRule="auto"/>
        <w:ind w:left="0" w:leftChars="0" w:firstLine="0" w:firstLineChars="0"/>
        <w:rPr>
          <w:rFonts w:hint="eastAsia" w:ascii="宋体" w:hAnsi="宋体" w:eastAsia="宋体" w:cs="宋体"/>
          <w:snapToGrid w:val="0"/>
          <w:sz w:val="24"/>
          <w:szCs w:val="24"/>
        </w:rPr>
      </w:pPr>
      <w:r>
        <w:rPr>
          <w:rFonts w:hint="eastAsia" w:ascii="宋体" w:hAnsi="宋体" w:eastAsia="宋体" w:cs="宋体"/>
          <w:b/>
          <w:bCs/>
          <w:snapToGrid w:val="0"/>
          <w:sz w:val="24"/>
          <w:szCs w:val="24"/>
        </w:rPr>
        <w:t>受托方（乙方）：</w:t>
      </w:r>
      <w:r>
        <w:rPr>
          <w:rFonts w:hint="eastAsia" w:ascii="宋体" w:hAnsi="宋体" w:eastAsia="宋体" w:cs="宋体"/>
          <w:b/>
          <w:bCs/>
          <w:snapToGrid w:val="0"/>
          <w:sz w:val="24"/>
          <w:szCs w:val="24"/>
          <w:lang w:val="en-US" w:eastAsia="zh-CN"/>
        </w:rPr>
        <w:t>XXXXXXXXXXX</w:t>
      </w:r>
      <w:r>
        <w:rPr>
          <w:rFonts w:hint="eastAsia" w:ascii="宋体" w:hAnsi="宋体" w:eastAsia="宋体" w:cs="宋体"/>
          <w:snapToGrid w:val="0"/>
          <w:sz w:val="24"/>
          <w:szCs w:val="24"/>
        </w:rPr>
        <w:t>（以下简称“</w:t>
      </w:r>
      <w:r>
        <w:rPr>
          <w:rFonts w:hint="eastAsia" w:ascii="宋体" w:hAnsi="宋体" w:eastAsia="宋体" w:cs="宋体"/>
          <w:snapToGrid w:val="0"/>
          <w:sz w:val="24"/>
          <w:szCs w:val="24"/>
          <w:lang w:val="en-US" w:eastAsia="zh-CN"/>
        </w:rPr>
        <w:t>乙</w:t>
      </w:r>
      <w:r>
        <w:rPr>
          <w:rFonts w:hint="eastAsia" w:ascii="宋体" w:hAnsi="宋体" w:eastAsia="宋体" w:cs="宋体"/>
          <w:snapToGrid w:val="0"/>
          <w:sz w:val="24"/>
          <w:szCs w:val="24"/>
        </w:rPr>
        <w:t>方”）</w:t>
      </w:r>
    </w:p>
    <w:p w14:paraId="47C4CA3A">
      <w:pPr>
        <w:pStyle w:val="6"/>
        <w:spacing w:line="360" w:lineRule="auto"/>
        <w:ind w:left="0" w:leftChars="0" w:firstLine="0" w:firstLineChars="0"/>
        <w:rPr>
          <w:rFonts w:hint="eastAsia" w:ascii="宋体" w:hAnsi="宋体" w:eastAsia="宋体" w:cs="宋体"/>
          <w:snapToGrid w:val="0"/>
          <w:sz w:val="24"/>
          <w:szCs w:val="24"/>
        </w:rPr>
      </w:pPr>
    </w:p>
    <w:p w14:paraId="4DBAE0F4">
      <w:pPr>
        <w:pStyle w:val="5"/>
        <w:ind w:left="-59" w:leftChars="-27"/>
        <w:rPr>
          <w:rFonts w:hint="eastAsia" w:ascii="宋体" w:hAnsi="宋体" w:eastAsia="宋体" w:cs="宋体"/>
          <w:snapToGrid w:val="0"/>
          <w:color w:val="auto"/>
        </w:rPr>
      </w:pPr>
      <w:r>
        <w:rPr>
          <w:rFonts w:hint="eastAsia" w:ascii="宋体" w:hAnsi="宋体" w:eastAsia="宋体" w:cs="宋体"/>
          <w:snapToGrid w:val="0"/>
          <w:color w:val="auto"/>
        </w:rPr>
        <w:t>甲方委托乙方就</w:t>
      </w:r>
      <w:r>
        <w:rPr>
          <w:rFonts w:hint="eastAsia" w:ascii="宋体" w:hAnsi="宋体" w:eastAsia="宋体" w:cs="宋体"/>
          <w:snapToGrid w:val="0"/>
          <w:color w:val="auto"/>
          <w:u w:val="single"/>
          <w:lang w:val="en-US" w:eastAsia="zh-CN"/>
        </w:rPr>
        <w:t>浙能</w:t>
      </w:r>
      <w:r>
        <w:rPr>
          <w:rFonts w:hint="eastAsia" w:ascii="宋体" w:hAnsi="宋体" w:cs="宋体"/>
          <w:snapToGrid w:val="0"/>
          <w:color w:val="auto"/>
          <w:u w:val="single"/>
          <w:lang w:val="en-US" w:eastAsia="zh-CN"/>
        </w:rPr>
        <w:t>台州1号</w:t>
      </w:r>
      <w:r>
        <w:rPr>
          <w:rFonts w:hint="eastAsia" w:ascii="宋体" w:hAnsi="宋体" w:eastAsia="宋体" w:cs="宋体"/>
          <w:snapToGrid w:val="0"/>
          <w:color w:val="auto"/>
          <w:u w:val="single"/>
        </w:rPr>
        <w:t>海上风电场安全监测</w:t>
      </w:r>
      <w:r>
        <w:rPr>
          <w:rFonts w:hint="eastAsia" w:ascii="宋体" w:hAnsi="宋体" w:cs="宋体"/>
          <w:snapToGrid w:val="0"/>
          <w:color w:val="auto"/>
          <w:u w:val="single"/>
          <w:lang w:val="en-US" w:eastAsia="zh-CN"/>
        </w:rPr>
        <w:t>服务项目</w:t>
      </w:r>
      <w:r>
        <w:rPr>
          <w:rFonts w:hint="eastAsia" w:ascii="宋体" w:hAnsi="宋体" w:eastAsia="宋体" w:cs="宋体"/>
          <w:snapToGrid w:val="0"/>
          <w:color w:val="auto"/>
        </w:rPr>
        <w:t>进行专项技术服务，并支付技术服务报酬。双方经过平等协商，在真实、充分地表达各自意愿的基础上，根据《中华人民共和国民法典》的规定，达成如下协议，并由双方共同恪守。</w:t>
      </w:r>
    </w:p>
    <w:p w14:paraId="765618A3">
      <w:pPr>
        <w:pStyle w:val="5"/>
        <w:rPr>
          <w:rFonts w:ascii="Times New Roman" w:hAnsi="Times New Roman" w:cs="Times New Roman"/>
          <w:color w:val="auto"/>
        </w:rPr>
      </w:pPr>
    </w:p>
    <w:p w14:paraId="437E2255">
      <w:pPr>
        <w:spacing w:line="360" w:lineRule="auto"/>
        <w:ind w:firstLine="480" w:firstLineChars="200"/>
        <w:outlineLvl w:val="0"/>
        <w:rPr>
          <w:b/>
          <w:kern w:val="0"/>
          <w:sz w:val="24"/>
        </w:rPr>
      </w:pPr>
      <w:bookmarkStart w:id="0" w:name="_Toc7148"/>
      <w:bookmarkStart w:id="1" w:name="_Toc444416869"/>
      <w:bookmarkStart w:id="2" w:name="_Toc404681487"/>
      <w:bookmarkStart w:id="3" w:name="_Toc406082367"/>
      <w:bookmarkStart w:id="4" w:name="_Toc6427"/>
      <w:bookmarkStart w:id="5" w:name="_Toc4522"/>
      <w:r>
        <w:rPr>
          <w:b/>
          <w:kern w:val="0"/>
          <w:sz w:val="24"/>
        </w:rPr>
        <w:t xml:space="preserve">1. </w:t>
      </w:r>
      <w:r>
        <w:rPr>
          <w:rFonts w:hint="eastAsia"/>
          <w:b/>
          <w:kern w:val="0"/>
          <w:sz w:val="24"/>
        </w:rPr>
        <w:t>定义</w:t>
      </w:r>
      <w:bookmarkEnd w:id="0"/>
      <w:bookmarkEnd w:id="1"/>
      <w:bookmarkEnd w:id="2"/>
      <w:bookmarkEnd w:id="3"/>
      <w:bookmarkEnd w:id="4"/>
      <w:bookmarkEnd w:id="5"/>
    </w:p>
    <w:p w14:paraId="6042C1E2">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本技术服务合同文本中以下的用词及词语，除根据上下文另有要求外，应具有本条所赋予的含义。</w:t>
      </w:r>
      <w:r>
        <w:rPr>
          <w:rFonts w:ascii="Times New Roman" w:hAnsi="Times New Roman"/>
          <w:snapToGrid w:val="0"/>
          <w:sz w:val="24"/>
          <w:szCs w:val="24"/>
        </w:rPr>
        <w:cr/>
      </w:r>
      <w:r>
        <w:rPr>
          <w:rFonts w:ascii="Times New Roman" w:hAnsi="Times New Roman"/>
          <w:snapToGrid w:val="0"/>
          <w:sz w:val="24"/>
          <w:szCs w:val="24"/>
        </w:rPr>
        <w:t xml:space="preserve">    1.1  </w:t>
      </w:r>
      <w:r>
        <w:rPr>
          <w:rFonts w:hint="eastAsia" w:ascii="Times New Roman" w:hAnsi="Times New Roman"/>
          <w:snapToGrid w:val="0"/>
          <w:sz w:val="24"/>
          <w:szCs w:val="24"/>
        </w:rPr>
        <w:t>合同：指本合同条件、协议书以及其他明确列入协议书中的此类进一步的文件。</w:t>
      </w:r>
      <w:r>
        <w:rPr>
          <w:rFonts w:ascii="Times New Roman" w:hAnsi="Times New Roman"/>
          <w:snapToGrid w:val="0"/>
          <w:sz w:val="24"/>
          <w:szCs w:val="24"/>
        </w:rPr>
        <w:cr/>
      </w:r>
      <w:r>
        <w:rPr>
          <w:rFonts w:ascii="Times New Roman" w:hAnsi="Times New Roman"/>
          <w:snapToGrid w:val="0"/>
          <w:sz w:val="24"/>
          <w:szCs w:val="24"/>
        </w:rPr>
        <w:t xml:space="preserve">    1.2  </w:t>
      </w:r>
      <w:r>
        <w:rPr>
          <w:rFonts w:hint="eastAsia" w:ascii="Times New Roman" w:hAnsi="Times New Roman"/>
          <w:snapToGrid w:val="0"/>
          <w:sz w:val="24"/>
          <w:szCs w:val="24"/>
        </w:rPr>
        <w:t>甲方：协议条款约定的发包主体和支付技术服务价款的当事人。</w:t>
      </w:r>
    </w:p>
    <w:p w14:paraId="42BA67E4">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1.3  </w:t>
      </w:r>
      <w:r>
        <w:rPr>
          <w:rFonts w:hint="eastAsia" w:ascii="Times New Roman" w:hAnsi="Times New Roman"/>
          <w:snapToGrid w:val="0"/>
          <w:sz w:val="24"/>
          <w:szCs w:val="24"/>
        </w:rPr>
        <w:t>乙方：具有承包</w:t>
      </w:r>
      <w:r>
        <w:rPr>
          <w:rFonts w:hint="eastAsia" w:ascii="Times New Roman" w:hAnsi="Times New Roman"/>
          <w:snapToGrid w:val="0"/>
          <w:sz w:val="24"/>
        </w:rPr>
        <w:t>风电场安全监测服务工作</w:t>
      </w:r>
      <w:r>
        <w:rPr>
          <w:rFonts w:hint="eastAsia" w:ascii="Times New Roman" w:hAnsi="Times New Roman"/>
          <w:snapToGrid w:val="0"/>
          <w:sz w:val="24"/>
          <w:szCs w:val="24"/>
        </w:rPr>
        <w:t>资质并被甲方接受完成技术服务的当事人。</w:t>
      </w:r>
    </w:p>
    <w:p w14:paraId="73640662">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  </w:t>
      </w:r>
      <w:r>
        <w:rPr>
          <w:rFonts w:hint="eastAsia" w:ascii="Times New Roman" w:hAnsi="Times New Roman"/>
          <w:snapToGrid w:val="0"/>
          <w:sz w:val="24"/>
          <w:szCs w:val="24"/>
        </w:rPr>
        <w:t>服务内容：浙能</w:t>
      </w:r>
      <w:r>
        <w:rPr>
          <w:rFonts w:hint="eastAsia" w:ascii="Times New Roman" w:hAnsi="Times New Roman"/>
          <w:snapToGrid w:val="0"/>
          <w:sz w:val="24"/>
          <w:szCs w:val="24"/>
          <w:lang w:eastAsia="zh-CN"/>
        </w:rPr>
        <w:t>台州1号</w:t>
      </w:r>
      <w:r>
        <w:rPr>
          <w:rFonts w:hint="eastAsia" w:ascii="Times New Roman" w:hAnsi="Times New Roman"/>
          <w:snapToGrid w:val="0"/>
          <w:sz w:val="24"/>
          <w:szCs w:val="24"/>
        </w:rPr>
        <w:t>海上风电场安全监测服务</w:t>
      </w:r>
      <w:r>
        <w:rPr>
          <w:rFonts w:hint="eastAsia" w:ascii="Times New Roman" w:hAnsi="Times New Roman"/>
          <w:snapToGrid w:val="0"/>
          <w:sz w:val="24"/>
          <w:szCs w:val="24"/>
          <w:lang w:eastAsia="zh-CN"/>
        </w:rPr>
        <w:t>（</w:t>
      </w:r>
      <w:r>
        <w:rPr>
          <w:rFonts w:hint="eastAsia" w:ascii="Times New Roman" w:hAnsi="Times New Roman"/>
          <w:snapToGrid w:val="0"/>
          <w:sz w:val="24"/>
          <w:szCs w:val="24"/>
          <w:lang w:val="en-US" w:eastAsia="zh-CN"/>
        </w:rPr>
        <w:t>包含安全监测系统维护及服务，以及沉降监测服务</w:t>
      </w:r>
      <w:r>
        <w:rPr>
          <w:rFonts w:hint="eastAsia" w:ascii="Times New Roman" w:hAnsi="Times New Roman"/>
          <w:snapToGrid w:val="0"/>
          <w:sz w:val="24"/>
          <w:szCs w:val="24"/>
          <w:lang w:eastAsia="zh-CN"/>
        </w:rPr>
        <w:t>）</w:t>
      </w:r>
      <w:r>
        <w:rPr>
          <w:rFonts w:hint="eastAsia" w:ascii="Times New Roman" w:hAnsi="Times New Roman"/>
          <w:snapToGrid w:val="0"/>
          <w:sz w:val="24"/>
          <w:szCs w:val="24"/>
        </w:rPr>
        <w:t>。</w:t>
      </w:r>
    </w:p>
    <w:p w14:paraId="6A55A9F8">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1.5  </w:t>
      </w:r>
      <w:r>
        <w:rPr>
          <w:rFonts w:hint="eastAsia" w:ascii="Times New Roman" w:hAnsi="Times New Roman"/>
          <w:snapToGrid w:val="0"/>
          <w:sz w:val="24"/>
          <w:szCs w:val="24"/>
        </w:rPr>
        <w:t>合同价款：指根据合同条款，用以支付乙方为完成技术服务及有关工作应付的总金额。</w:t>
      </w:r>
    </w:p>
    <w:p w14:paraId="70907FE0">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1.6  </w:t>
      </w:r>
      <w:r>
        <w:rPr>
          <w:rFonts w:hint="eastAsia" w:ascii="Times New Roman" w:hAnsi="Times New Roman"/>
          <w:snapToGrid w:val="0"/>
          <w:sz w:val="24"/>
          <w:szCs w:val="24"/>
        </w:rPr>
        <w:t>不可抗力：不能预见、无法避免又不能克服的客观强制力量。</w:t>
      </w:r>
      <w:bookmarkStart w:id="6" w:name="_Toc404681488"/>
      <w:bookmarkStart w:id="7" w:name="_Toc406082368"/>
      <w:bookmarkStart w:id="8" w:name="_Toc28634"/>
      <w:bookmarkStart w:id="9" w:name="_Toc3638"/>
      <w:bookmarkStart w:id="10" w:name="_Toc12281"/>
      <w:bookmarkStart w:id="11" w:name="_Toc444416870"/>
    </w:p>
    <w:bookmarkEnd w:id="6"/>
    <w:bookmarkEnd w:id="7"/>
    <w:bookmarkEnd w:id="8"/>
    <w:bookmarkEnd w:id="9"/>
    <w:bookmarkEnd w:id="10"/>
    <w:bookmarkEnd w:id="11"/>
    <w:p w14:paraId="4A7CA504">
      <w:pPr>
        <w:pStyle w:val="6"/>
        <w:spacing w:line="360" w:lineRule="auto"/>
        <w:ind w:firstLine="482"/>
        <w:outlineLvl w:val="0"/>
        <w:rPr>
          <w:rFonts w:ascii="Times New Roman" w:hAnsi="Times New Roman"/>
          <w:b/>
          <w:kern w:val="0"/>
          <w:sz w:val="24"/>
        </w:rPr>
      </w:pPr>
      <w:bookmarkStart w:id="12" w:name="_Toc14198"/>
      <w:bookmarkStart w:id="13" w:name="_Toc404681489"/>
      <w:bookmarkStart w:id="14" w:name="_Toc444416871"/>
      <w:bookmarkStart w:id="15" w:name="_Toc20595"/>
      <w:bookmarkStart w:id="16" w:name="_Toc4511"/>
      <w:bookmarkStart w:id="17" w:name="_Toc406082369"/>
      <w:r>
        <w:rPr>
          <w:rFonts w:ascii="Times New Roman" w:hAnsi="Times New Roman"/>
          <w:b/>
          <w:kern w:val="0"/>
          <w:sz w:val="24"/>
        </w:rPr>
        <w:t xml:space="preserve">2. </w:t>
      </w:r>
      <w:r>
        <w:rPr>
          <w:rFonts w:hint="eastAsia" w:ascii="Times New Roman" w:hAnsi="Times New Roman"/>
          <w:b/>
          <w:kern w:val="0"/>
          <w:sz w:val="24"/>
        </w:rPr>
        <w:t>合同适用的法律</w:t>
      </w:r>
      <w:bookmarkEnd w:id="12"/>
      <w:bookmarkEnd w:id="13"/>
      <w:bookmarkEnd w:id="14"/>
      <w:bookmarkEnd w:id="15"/>
      <w:bookmarkEnd w:id="16"/>
      <w:bookmarkEnd w:id="17"/>
    </w:p>
    <w:p w14:paraId="1364BD74">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适用于合同文件的法律为中华人民共和国国家的法律、法规及合同条件约定的部门规章或服务所在地的地方法规。</w:t>
      </w:r>
      <w:bookmarkStart w:id="18" w:name="_Toc404681490"/>
      <w:bookmarkStart w:id="19" w:name="_Toc406082370"/>
      <w:bookmarkStart w:id="20" w:name="_Toc444416872"/>
      <w:bookmarkStart w:id="21" w:name="_Toc27840"/>
      <w:bookmarkStart w:id="22" w:name="_Toc12797"/>
      <w:bookmarkStart w:id="23" w:name="_Toc24263"/>
    </w:p>
    <w:bookmarkEnd w:id="18"/>
    <w:bookmarkEnd w:id="19"/>
    <w:bookmarkEnd w:id="20"/>
    <w:bookmarkEnd w:id="21"/>
    <w:bookmarkEnd w:id="22"/>
    <w:bookmarkEnd w:id="23"/>
    <w:p w14:paraId="1EEDD74D">
      <w:pPr>
        <w:pStyle w:val="6"/>
        <w:spacing w:line="360" w:lineRule="auto"/>
        <w:ind w:firstLine="482"/>
        <w:outlineLvl w:val="0"/>
        <w:rPr>
          <w:rFonts w:ascii="Times New Roman" w:hAnsi="Times New Roman"/>
          <w:b/>
          <w:kern w:val="0"/>
          <w:sz w:val="24"/>
        </w:rPr>
      </w:pPr>
      <w:bookmarkStart w:id="24" w:name="_Toc444416874"/>
      <w:bookmarkStart w:id="25" w:name="_Toc404681492"/>
      <w:bookmarkStart w:id="26" w:name="_Toc5417"/>
      <w:bookmarkStart w:id="27" w:name="_Toc28289"/>
      <w:bookmarkStart w:id="28" w:name="_Toc23645"/>
      <w:bookmarkStart w:id="29" w:name="_Toc406082372"/>
      <w:r>
        <w:rPr>
          <w:rFonts w:ascii="Times New Roman" w:hAnsi="Times New Roman"/>
          <w:b/>
          <w:kern w:val="0"/>
          <w:sz w:val="24"/>
        </w:rPr>
        <w:t xml:space="preserve">3. </w:t>
      </w:r>
      <w:r>
        <w:rPr>
          <w:rFonts w:hint="eastAsia" w:ascii="Times New Roman" w:hAnsi="Times New Roman"/>
          <w:b/>
          <w:kern w:val="0"/>
          <w:sz w:val="24"/>
        </w:rPr>
        <w:t>工作范围及其内容</w:t>
      </w:r>
      <w:bookmarkEnd w:id="24"/>
      <w:bookmarkEnd w:id="25"/>
      <w:bookmarkEnd w:id="26"/>
      <w:bookmarkEnd w:id="27"/>
      <w:bookmarkEnd w:id="28"/>
      <w:bookmarkEnd w:id="29"/>
    </w:p>
    <w:p w14:paraId="14AEDB17">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本合同的工作范围包括：</w:t>
      </w:r>
    </w:p>
    <w:p w14:paraId="2EB4B14B">
      <w:pPr>
        <w:pStyle w:val="6"/>
        <w:spacing w:line="360" w:lineRule="auto"/>
        <w:ind w:firstLine="480"/>
        <w:rPr>
          <w:rFonts w:ascii="Times New Roman" w:hAnsi="Times New Roman"/>
          <w:snapToGrid w:val="0"/>
          <w:sz w:val="24"/>
          <w:szCs w:val="24"/>
          <w:highlight w:val="none"/>
        </w:rPr>
      </w:pPr>
      <w:r>
        <w:rPr>
          <w:rFonts w:ascii="Times New Roman" w:hAnsi="Times New Roman"/>
          <w:snapToGrid w:val="0"/>
          <w:sz w:val="24"/>
          <w:szCs w:val="24"/>
          <w:highlight w:val="none"/>
        </w:rPr>
        <w:t>3.1</w:t>
      </w:r>
      <w:r>
        <w:rPr>
          <w:rFonts w:hint="eastAsia" w:ascii="Times New Roman" w:hAnsi="Times New Roman"/>
          <w:snapToGrid w:val="0"/>
          <w:sz w:val="24"/>
          <w:szCs w:val="24"/>
          <w:highlight w:val="none"/>
          <w:lang w:val="en-US" w:eastAsia="zh-CN"/>
        </w:rPr>
        <w:t xml:space="preserve">  浙能台州1号海上风电项目安全监测系统维护与数据分析服务，陆上集控中心沉降监测、海缆登陆段电缆沟沉降观测监测、海上升压站不均匀沉降监测以及各监测项目监测分析及报告书编制等工作；</w:t>
      </w:r>
      <w:r>
        <w:rPr>
          <w:rFonts w:hint="eastAsia" w:ascii="Times New Roman" w:hAnsi="Times New Roman"/>
          <w:snapToGrid w:val="0"/>
          <w:sz w:val="24"/>
          <w:szCs w:val="24"/>
          <w:lang w:val="en-US" w:eastAsia="zh-CN"/>
        </w:rPr>
        <w:t>台风、大暴雨、大浪潮、强地震</w:t>
      </w:r>
      <w:r>
        <w:rPr>
          <w:rFonts w:ascii="宋体" w:hAnsi="宋体" w:eastAsia="宋体" w:cs="宋体"/>
          <w:sz w:val="24"/>
          <w:szCs w:val="24"/>
        </w:rPr>
        <w:t>等特殊情况影响过后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监测报告编制、</w:t>
      </w:r>
      <w:r>
        <w:rPr>
          <w:rFonts w:ascii="宋体" w:hAnsi="宋体" w:eastAsia="宋体" w:cs="宋体"/>
          <w:sz w:val="24"/>
          <w:szCs w:val="24"/>
        </w:rPr>
        <w:t>安全监测设施全面检查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及</w:t>
      </w:r>
      <w:r>
        <w:rPr>
          <w:rFonts w:ascii="宋体" w:hAnsi="宋体" w:eastAsia="宋体" w:cs="宋体"/>
          <w:sz w:val="24"/>
          <w:szCs w:val="24"/>
        </w:rPr>
        <w:t>损坏的设备修复或更换</w:t>
      </w:r>
      <w:r>
        <w:rPr>
          <w:rFonts w:hint="eastAsia" w:hAnsi="宋体" w:cs="宋体"/>
          <w:sz w:val="24"/>
          <w:szCs w:val="24"/>
          <w:lang w:val="en-US" w:eastAsia="zh-CN"/>
        </w:rPr>
        <w:t>等工作</w:t>
      </w:r>
      <w:r>
        <w:rPr>
          <w:rFonts w:hint="eastAsia" w:ascii="Times New Roman" w:hAnsi="Times New Roman"/>
          <w:snapToGrid w:val="0"/>
          <w:sz w:val="24"/>
          <w:szCs w:val="24"/>
          <w:highlight w:val="none"/>
        </w:rPr>
        <w:t>（详见技术</w:t>
      </w:r>
      <w:r>
        <w:rPr>
          <w:rFonts w:hint="eastAsia" w:ascii="Times New Roman" w:hAnsi="Times New Roman"/>
          <w:snapToGrid w:val="0"/>
          <w:sz w:val="24"/>
          <w:szCs w:val="24"/>
          <w:highlight w:val="none"/>
          <w:lang w:val="en-US" w:eastAsia="zh-CN"/>
        </w:rPr>
        <w:t>规范书</w:t>
      </w:r>
      <w:r>
        <w:rPr>
          <w:rFonts w:hint="eastAsia" w:ascii="Times New Roman" w:hAnsi="Times New Roman"/>
          <w:snapToGrid w:val="0"/>
          <w:sz w:val="24"/>
          <w:szCs w:val="24"/>
          <w:highlight w:val="none"/>
        </w:rPr>
        <w:t>）。</w:t>
      </w:r>
    </w:p>
    <w:p w14:paraId="340D7A4A">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3.2</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为完成承建项目服务与有关各方的协调配合等工作应包括在上述工作中。</w:t>
      </w:r>
    </w:p>
    <w:p w14:paraId="1C2916E1">
      <w:pPr>
        <w:pStyle w:val="6"/>
        <w:spacing w:line="360" w:lineRule="auto"/>
        <w:ind w:firstLine="482"/>
        <w:outlineLvl w:val="0"/>
        <w:rPr>
          <w:rFonts w:ascii="Times New Roman" w:hAnsi="Times New Roman"/>
          <w:b/>
          <w:kern w:val="0"/>
          <w:sz w:val="24"/>
        </w:rPr>
      </w:pPr>
      <w:bookmarkStart w:id="30" w:name="_Toc406082373"/>
      <w:bookmarkStart w:id="31" w:name="_Toc29750"/>
      <w:bookmarkStart w:id="32" w:name="_Toc1419"/>
      <w:bookmarkStart w:id="33" w:name="_Toc404681493"/>
      <w:bookmarkStart w:id="34" w:name="_Toc444416875"/>
      <w:bookmarkStart w:id="35" w:name="_Toc11824"/>
      <w:r>
        <w:rPr>
          <w:rFonts w:ascii="Times New Roman" w:hAnsi="Times New Roman"/>
          <w:b/>
          <w:kern w:val="0"/>
          <w:sz w:val="24"/>
        </w:rPr>
        <w:t xml:space="preserve">4. </w:t>
      </w:r>
      <w:r>
        <w:rPr>
          <w:rFonts w:hint="eastAsia" w:ascii="Times New Roman" w:hAnsi="Times New Roman"/>
          <w:b/>
          <w:kern w:val="0"/>
          <w:sz w:val="24"/>
        </w:rPr>
        <w:t>质量要求</w:t>
      </w:r>
      <w:bookmarkEnd w:id="30"/>
      <w:bookmarkEnd w:id="31"/>
      <w:bookmarkEnd w:id="32"/>
      <w:bookmarkEnd w:id="33"/>
      <w:bookmarkEnd w:id="34"/>
      <w:bookmarkEnd w:id="35"/>
    </w:p>
    <w:p w14:paraId="41E97AEA">
      <w:pPr>
        <w:pStyle w:val="6"/>
        <w:spacing w:line="360" w:lineRule="auto"/>
        <w:ind w:firstLine="480"/>
        <w:rPr>
          <w:rFonts w:ascii="Times New Roman" w:hAnsi="Times New Roman"/>
          <w:sz w:val="24"/>
          <w:szCs w:val="24"/>
        </w:rPr>
      </w:pPr>
      <w:r>
        <w:rPr>
          <w:rFonts w:hint="eastAsia" w:ascii="Times New Roman" w:hAnsi="Times New Roman"/>
          <w:snapToGrid w:val="0"/>
          <w:sz w:val="24"/>
          <w:szCs w:val="24"/>
        </w:rPr>
        <w:t>依据国家有关的法律、法规和相关规程、规范及本合同标准</w:t>
      </w:r>
      <w:r>
        <w:rPr>
          <w:rFonts w:hint="eastAsia" w:ascii="Times New Roman" w:hAnsi="Times New Roman"/>
          <w:sz w:val="24"/>
          <w:szCs w:val="24"/>
        </w:rPr>
        <w:t>。</w:t>
      </w:r>
      <w:bookmarkStart w:id="36" w:name="_Toc7933"/>
      <w:bookmarkStart w:id="37" w:name="_Toc404681494"/>
      <w:bookmarkStart w:id="38" w:name="_Toc18484"/>
      <w:bookmarkStart w:id="39" w:name="_Toc444416876"/>
      <w:bookmarkStart w:id="40" w:name="_Toc406082374"/>
      <w:bookmarkStart w:id="41" w:name="_Toc5555"/>
    </w:p>
    <w:p w14:paraId="6CFECBA7">
      <w:pPr>
        <w:pStyle w:val="6"/>
        <w:spacing w:line="360" w:lineRule="auto"/>
        <w:ind w:firstLine="482"/>
        <w:outlineLvl w:val="0"/>
        <w:rPr>
          <w:rFonts w:ascii="Times New Roman" w:hAnsi="Times New Roman"/>
          <w:b/>
          <w:kern w:val="0"/>
          <w:sz w:val="24"/>
        </w:rPr>
      </w:pPr>
      <w:r>
        <w:rPr>
          <w:rFonts w:ascii="Times New Roman" w:hAnsi="Times New Roman"/>
          <w:b/>
          <w:kern w:val="0"/>
          <w:sz w:val="24"/>
        </w:rPr>
        <w:t xml:space="preserve">5. </w:t>
      </w:r>
      <w:r>
        <w:rPr>
          <w:rFonts w:hint="eastAsia" w:ascii="Times New Roman" w:hAnsi="Times New Roman"/>
          <w:b/>
          <w:kern w:val="0"/>
          <w:sz w:val="24"/>
        </w:rPr>
        <w:t>工期</w:t>
      </w:r>
      <w:bookmarkEnd w:id="36"/>
      <w:bookmarkEnd w:id="37"/>
      <w:bookmarkEnd w:id="38"/>
      <w:bookmarkEnd w:id="39"/>
      <w:bookmarkEnd w:id="40"/>
      <w:bookmarkEnd w:id="41"/>
    </w:p>
    <w:p w14:paraId="6365D6A9">
      <w:pPr>
        <w:pStyle w:val="6"/>
        <w:spacing w:line="360" w:lineRule="auto"/>
        <w:ind w:firstLine="480"/>
        <w:rPr>
          <w:rFonts w:ascii="Times New Roman" w:hAnsi="Times New Roman"/>
          <w:snapToGrid w:val="0"/>
          <w:sz w:val="24"/>
          <w:highlight w:val="none"/>
        </w:rPr>
      </w:pPr>
      <w:r>
        <w:rPr>
          <w:rFonts w:hint="eastAsia" w:ascii="Times New Roman" w:hAnsi="Times New Roman"/>
          <w:snapToGrid w:val="0"/>
          <w:sz w:val="24"/>
          <w:highlight w:val="none"/>
        </w:rPr>
        <w:t>服务期限</w:t>
      </w:r>
      <w:r>
        <w:rPr>
          <w:rFonts w:hint="eastAsia" w:ascii="宋体" w:hAnsi="宋体" w:eastAsia="宋体" w:cs="宋体"/>
          <w:snapToGrid w:val="0"/>
          <w:sz w:val="24"/>
          <w:szCs w:val="24"/>
          <w:highlight w:val="none"/>
        </w:rPr>
        <w:t>：</w:t>
      </w:r>
      <w:r>
        <w:rPr>
          <w:rFonts w:hint="eastAsia" w:hAnsi="宋体" w:cs="宋体"/>
          <w:snapToGrid w:val="0"/>
          <w:sz w:val="24"/>
          <w:szCs w:val="24"/>
          <w:highlight w:val="none"/>
          <w:lang w:val="en-US" w:eastAsia="zh-CN"/>
        </w:rPr>
        <w:t>21个月，自</w:t>
      </w:r>
      <w:r>
        <w:rPr>
          <w:rFonts w:hint="eastAsia" w:ascii="宋体" w:hAnsi="宋体" w:eastAsia="宋体" w:cs="宋体"/>
          <w:sz w:val="24"/>
          <w:szCs w:val="24"/>
          <w:highlight w:val="none"/>
          <w:u w:val="single"/>
        </w:rPr>
        <w:t>20</w:t>
      </w:r>
      <w:r>
        <w:rPr>
          <w:rFonts w:hint="eastAsia" w:hAnsi="宋体" w:cs="宋体"/>
          <w:sz w:val="24"/>
          <w:szCs w:val="24"/>
          <w:highlight w:val="none"/>
          <w:u w:val="single"/>
          <w:lang w:val="en-US" w:eastAsia="zh-CN"/>
        </w:rPr>
        <w:t>26</w:t>
      </w:r>
      <w:r>
        <w:rPr>
          <w:rFonts w:hint="eastAsia" w:ascii="宋体" w:hAnsi="宋体" w:eastAsia="宋体" w:cs="宋体"/>
          <w:sz w:val="24"/>
          <w:szCs w:val="24"/>
          <w:highlight w:val="none"/>
          <w:u w:val="single"/>
        </w:rPr>
        <w:t>年</w:t>
      </w:r>
      <w:r>
        <w:rPr>
          <w:rFonts w:hint="eastAsia" w:hAnsi="宋体" w:cs="宋体"/>
          <w:sz w:val="24"/>
          <w:szCs w:val="24"/>
          <w:highlight w:val="none"/>
          <w:u w:val="single"/>
          <w:lang w:val="en-US" w:eastAsia="zh-CN"/>
        </w:rPr>
        <w:t>1</w:t>
      </w:r>
      <w:r>
        <w:rPr>
          <w:rFonts w:hint="eastAsia" w:ascii="宋体" w:hAnsi="宋体" w:eastAsia="宋体" w:cs="宋体"/>
          <w:sz w:val="24"/>
          <w:szCs w:val="24"/>
          <w:highlight w:val="none"/>
          <w:u w:val="single"/>
        </w:rPr>
        <w:t>月</w:t>
      </w:r>
      <w:r>
        <w:rPr>
          <w:rFonts w:hint="eastAsia" w:hAnsi="宋体" w:cs="宋体"/>
          <w:sz w:val="24"/>
          <w:szCs w:val="24"/>
          <w:highlight w:val="none"/>
          <w:u w:val="single"/>
          <w:lang w:val="en-US" w:eastAsia="zh-CN"/>
        </w:rPr>
        <w:t>25</w:t>
      </w:r>
      <w:r>
        <w:rPr>
          <w:rFonts w:hint="eastAsia" w:ascii="宋体" w:hAnsi="宋体" w:eastAsia="宋体" w:cs="宋体"/>
          <w:sz w:val="24"/>
          <w:szCs w:val="24"/>
          <w:highlight w:val="none"/>
          <w:u w:val="single"/>
        </w:rPr>
        <w:t>日至2027年9月30日</w:t>
      </w:r>
      <w:r>
        <w:rPr>
          <w:rFonts w:hint="eastAsia" w:ascii="Times New Roman" w:hAnsi="Times New Roman"/>
          <w:snapToGrid w:val="0"/>
          <w:sz w:val="24"/>
          <w:highlight w:val="none"/>
        </w:rPr>
        <w:t>。</w:t>
      </w:r>
      <w:bookmarkStart w:id="42" w:name="_Toc32676"/>
      <w:bookmarkStart w:id="43" w:name="_Toc444416877"/>
      <w:bookmarkStart w:id="44" w:name="_Toc406082375"/>
      <w:bookmarkStart w:id="45" w:name="_Toc404681495"/>
      <w:bookmarkStart w:id="46" w:name="_Toc26153"/>
    </w:p>
    <w:p w14:paraId="58AAD011">
      <w:pPr>
        <w:pStyle w:val="6"/>
        <w:spacing w:line="360" w:lineRule="auto"/>
        <w:ind w:firstLine="482"/>
        <w:outlineLvl w:val="0"/>
        <w:rPr>
          <w:rStyle w:val="13"/>
          <w:rFonts w:ascii="Times New Roman" w:hAnsi="Times New Roman" w:eastAsia="宋体"/>
          <w:snapToGrid w:val="0"/>
          <w:kern w:val="0"/>
          <w:sz w:val="28"/>
          <w:szCs w:val="28"/>
        </w:rPr>
      </w:pPr>
      <w:r>
        <w:rPr>
          <w:rFonts w:ascii="Times New Roman" w:hAnsi="Times New Roman"/>
          <w:b/>
          <w:kern w:val="0"/>
          <w:sz w:val="24"/>
        </w:rPr>
        <w:t xml:space="preserve">6. </w:t>
      </w:r>
      <w:r>
        <w:rPr>
          <w:rFonts w:hint="eastAsia" w:ascii="Times New Roman" w:hAnsi="Times New Roman"/>
          <w:b/>
          <w:kern w:val="0"/>
          <w:sz w:val="24"/>
        </w:rPr>
        <w:t>合同价款及支付</w:t>
      </w:r>
      <w:bookmarkEnd w:id="42"/>
      <w:bookmarkEnd w:id="43"/>
      <w:bookmarkEnd w:id="44"/>
      <w:bookmarkEnd w:id="45"/>
      <w:bookmarkEnd w:id="46"/>
    </w:p>
    <w:p w14:paraId="67940ACD">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6.1 </w:t>
      </w:r>
      <w:r>
        <w:rPr>
          <w:rFonts w:hint="eastAsia" w:ascii="宋体" w:hAnsi="宋体" w:eastAsia="宋体" w:cs="宋体"/>
          <w:snapToGrid w:val="0"/>
          <w:sz w:val="24"/>
          <w:szCs w:val="24"/>
        </w:rPr>
        <w:t>本合同</w:t>
      </w:r>
      <w:r>
        <w:rPr>
          <w:rFonts w:hint="eastAsia" w:hAnsi="宋体" w:cs="宋体"/>
          <w:snapToGrid w:val="0"/>
          <w:sz w:val="24"/>
          <w:szCs w:val="24"/>
          <w:lang w:val="en-US" w:eastAsia="zh-CN"/>
        </w:rPr>
        <w:t>暂估</w:t>
      </w:r>
      <w:r>
        <w:rPr>
          <w:rFonts w:hint="eastAsia" w:ascii="宋体" w:hAnsi="宋体" w:eastAsia="宋体" w:cs="宋体"/>
          <w:snapToGrid w:val="0"/>
          <w:sz w:val="24"/>
          <w:szCs w:val="24"/>
        </w:rPr>
        <w:t>总价为人民币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ascii="宋体" w:hAnsi="宋体" w:eastAsia="宋体" w:cs="宋体"/>
          <w:snapToGrid w:val="0"/>
          <w:sz w:val="24"/>
          <w:szCs w:val="24"/>
        </w:rPr>
        <w:t>,其中增值税税率为</w:t>
      </w:r>
      <w:r>
        <w:rPr>
          <w:rFonts w:hint="eastAsia" w:ascii="宋体" w:hAnsi="宋体" w:eastAsia="宋体" w:cs="宋体"/>
          <w:b/>
          <w:bCs/>
          <w:snapToGrid w:val="0"/>
          <w:sz w:val="24"/>
          <w:szCs w:val="24"/>
          <w:u w:val="single"/>
          <w:lang w:val="en-US" w:eastAsia="zh-CN"/>
        </w:rPr>
        <w:t>XX</w:t>
      </w:r>
      <w:r>
        <w:rPr>
          <w:rFonts w:hint="eastAsia" w:ascii="宋体" w:hAnsi="宋体" w:eastAsia="宋体" w:cs="宋体"/>
          <w:b/>
          <w:bCs/>
          <w:snapToGrid w:val="0"/>
          <w:sz w:val="24"/>
          <w:szCs w:val="24"/>
          <w:u w:val="single"/>
        </w:rPr>
        <w:t>%</w:t>
      </w:r>
      <w:r>
        <w:rPr>
          <w:rFonts w:hint="eastAsia" w:ascii="宋体" w:hAnsi="宋体" w:eastAsia="宋体" w:cs="宋体"/>
          <w:snapToGrid w:val="0"/>
          <w:sz w:val="24"/>
          <w:szCs w:val="24"/>
        </w:rPr>
        <w:t>，不含税金额为</w:t>
      </w:r>
      <w:r>
        <w:rPr>
          <w:rFonts w:hint="eastAsia" w:ascii="宋体" w:hAnsi="宋体" w:eastAsia="宋体" w:cs="宋体"/>
          <w:snapToGrid w:val="0"/>
          <w:sz w:val="24"/>
          <w:szCs w:val="24"/>
          <w:highlight w:val="none"/>
          <w:u w:val="single"/>
          <w:lang w:val="en-US" w:eastAsia="zh-CN"/>
        </w:rPr>
        <w:t>XXXXXX</w:t>
      </w:r>
      <w:r>
        <w:rPr>
          <w:rFonts w:hint="eastAsia" w:ascii="宋体" w:hAnsi="宋体" w:eastAsia="宋体" w:cs="宋体"/>
          <w:snapToGrid w:val="0"/>
          <w:sz w:val="24"/>
          <w:szCs w:val="24"/>
          <w:highlight w:val="none"/>
        </w:rPr>
        <w:t>元</w:t>
      </w:r>
      <w:r>
        <w:rPr>
          <w:rFonts w:hint="eastAsia" w:ascii="宋体" w:hAnsi="宋体" w:eastAsia="宋体" w:cs="宋体"/>
          <w:snapToGrid w:val="0"/>
          <w:sz w:val="24"/>
          <w:szCs w:val="24"/>
        </w:rPr>
        <w:t>，增值税税额为</w:t>
      </w:r>
      <w:r>
        <w:rPr>
          <w:rFonts w:hint="eastAsia" w:ascii="宋体" w:hAnsi="宋体" w:eastAsia="宋体" w:cs="宋体"/>
          <w:snapToGrid w:val="0"/>
          <w:sz w:val="24"/>
          <w:szCs w:val="24"/>
          <w:highlight w:val="none"/>
          <w:u w:val="single"/>
          <w:lang w:val="en-US" w:eastAsia="zh-CN"/>
        </w:rPr>
        <w:t>XXXXX</w:t>
      </w:r>
      <w:r>
        <w:rPr>
          <w:rFonts w:hint="eastAsia" w:ascii="宋体" w:hAnsi="宋体" w:eastAsia="宋体" w:cs="宋体"/>
          <w:snapToGrid w:val="0"/>
          <w:sz w:val="24"/>
          <w:szCs w:val="24"/>
          <w:highlight w:val="none"/>
        </w:rPr>
        <w:t>元</w:t>
      </w:r>
      <w:r>
        <w:rPr>
          <w:rFonts w:hint="eastAsia" w:ascii="Times New Roman" w:hAnsi="Times New Roman"/>
          <w:snapToGrid w:val="0"/>
          <w:sz w:val="24"/>
          <w:szCs w:val="24"/>
        </w:rPr>
        <w:t>（税额尾数以实际开票数为准）。</w:t>
      </w:r>
      <w:r>
        <w:rPr>
          <w:rFonts w:hint="eastAsia" w:ascii="宋体" w:hAnsi="宋体" w:eastAsia="宋体" w:cs="宋体"/>
          <w:snapToGrid w:val="0"/>
          <w:sz w:val="24"/>
          <w:szCs w:val="24"/>
          <w:lang w:val="en-US" w:eastAsia="zh-CN"/>
        </w:rPr>
        <w:t>本合同</w:t>
      </w:r>
      <w:r>
        <w:rPr>
          <w:rFonts w:hint="eastAsia" w:hAnsi="宋体" w:cs="宋体"/>
          <w:snapToGrid w:val="0"/>
          <w:sz w:val="24"/>
          <w:szCs w:val="24"/>
          <w:lang w:val="en-US" w:eastAsia="zh-CN"/>
        </w:rPr>
        <w:t>价款</w:t>
      </w:r>
      <w:r>
        <w:rPr>
          <w:rFonts w:hint="eastAsia" w:ascii="宋体" w:hAnsi="宋体" w:eastAsia="宋体" w:cs="宋体"/>
          <w:snapToGrid w:val="0"/>
          <w:sz w:val="24"/>
          <w:szCs w:val="24"/>
          <w:lang w:val="en-US" w:eastAsia="zh-CN"/>
        </w:rPr>
        <w:t>为完成本合同工作的所有费用，包括但不限于人工费、材料费、技术服务费、利润、税金、不可预见费用等。</w:t>
      </w:r>
      <w:r>
        <w:rPr>
          <w:rFonts w:hint="eastAsia" w:ascii="Times New Roman" w:hAnsi="Times New Roman"/>
          <w:snapToGrid w:val="0"/>
          <w:sz w:val="24"/>
          <w:szCs w:val="24"/>
        </w:rPr>
        <w:t>如遇国家增税税率政策调整，则不含税金额不变，按照开票时的税率调整合同总价。</w:t>
      </w:r>
    </w:p>
    <w:p w14:paraId="2FFF8B30">
      <w:pPr>
        <w:pStyle w:val="6"/>
        <w:spacing w:line="360" w:lineRule="auto"/>
        <w:ind w:firstLine="480"/>
        <w:rPr>
          <w:rFonts w:hint="eastAsia" w:hAnsi="宋体" w:cs="宋体"/>
          <w:snapToGrid w:val="0"/>
          <w:sz w:val="24"/>
          <w:szCs w:val="24"/>
          <w:lang w:val="en-US" w:eastAsia="zh-CN"/>
        </w:rPr>
      </w:pPr>
      <w:r>
        <w:rPr>
          <w:rFonts w:hint="eastAsia" w:ascii="Times New Roman" w:hAnsi="Times New Roman"/>
          <w:snapToGrid w:val="0"/>
          <w:sz w:val="24"/>
          <w:szCs w:val="24"/>
          <w:lang w:val="en-US" w:eastAsia="zh-CN"/>
        </w:rPr>
        <w:t>本合同暂估总价由以下</w:t>
      </w:r>
      <w:r>
        <w:rPr>
          <w:rFonts w:hint="eastAsia" w:hAnsi="宋体" w:cs="宋体"/>
          <w:snapToGrid w:val="0"/>
          <w:sz w:val="24"/>
          <w:szCs w:val="24"/>
          <w:lang w:val="en-US" w:eastAsia="zh-CN"/>
        </w:rPr>
        <w:t>五部分构成：</w:t>
      </w:r>
    </w:p>
    <w:p w14:paraId="3831F7CD">
      <w:pPr>
        <w:pStyle w:val="6"/>
        <w:spacing w:line="360" w:lineRule="auto"/>
        <w:ind w:firstLine="480"/>
        <w:rPr>
          <w:rFonts w:hint="eastAsia" w:cs="宋体"/>
          <w:color w:val="000000"/>
          <w:sz w:val="24"/>
          <w:szCs w:val="24"/>
          <w:highlight w:val="none"/>
          <w:lang w:eastAsia="zh-CN"/>
        </w:rPr>
      </w:pPr>
      <w:r>
        <w:rPr>
          <w:rFonts w:hint="eastAsia" w:hAnsi="宋体" w:cs="宋体"/>
          <w:snapToGrid w:val="0"/>
          <w:sz w:val="24"/>
          <w:szCs w:val="24"/>
          <w:lang w:val="en-US" w:eastAsia="zh-CN"/>
        </w:rPr>
        <w:t xml:space="preserve">6.1.1 </w:t>
      </w:r>
      <w:r>
        <w:rPr>
          <w:rFonts w:hint="eastAsia" w:ascii="宋体" w:cs="宋体"/>
          <w:color w:val="000000"/>
          <w:sz w:val="24"/>
          <w:szCs w:val="24"/>
          <w:highlight w:val="none"/>
          <w:lang w:eastAsia="zh-CN"/>
        </w:rPr>
        <w:t>结构安全监测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cs="宋体"/>
          <w:color w:val="000000"/>
          <w:sz w:val="24"/>
          <w:szCs w:val="24"/>
          <w:highlight w:val="none"/>
          <w:lang w:eastAsia="zh-CN"/>
        </w:rPr>
        <w:t>；</w:t>
      </w:r>
    </w:p>
    <w:p w14:paraId="7998F309">
      <w:pPr>
        <w:pStyle w:val="6"/>
        <w:spacing w:line="360" w:lineRule="auto"/>
        <w:ind w:firstLine="480"/>
        <w:rPr>
          <w:rFonts w:hint="eastAsia" w:cs="宋体"/>
          <w:color w:val="000000"/>
          <w:sz w:val="24"/>
          <w:szCs w:val="24"/>
          <w:highlight w:val="none"/>
          <w:lang w:eastAsia="zh-CN"/>
        </w:rPr>
      </w:pPr>
      <w:r>
        <w:rPr>
          <w:rFonts w:hint="eastAsia" w:cs="宋体"/>
          <w:color w:val="000000"/>
          <w:sz w:val="24"/>
          <w:szCs w:val="24"/>
          <w:highlight w:val="none"/>
          <w:lang w:val="en-US" w:eastAsia="zh-CN"/>
        </w:rPr>
        <w:t xml:space="preserve">6.1.2 </w:t>
      </w:r>
      <w:r>
        <w:rPr>
          <w:rFonts w:hint="eastAsia" w:ascii="宋体" w:cs="宋体"/>
          <w:color w:val="000000"/>
          <w:sz w:val="24"/>
          <w:szCs w:val="24"/>
          <w:highlight w:val="none"/>
          <w:lang w:eastAsia="zh-CN"/>
        </w:rPr>
        <w:t>沉降监测</w:t>
      </w:r>
      <w:r>
        <w:rPr>
          <w:rFonts w:hint="eastAsia" w:ascii="宋体" w:cs="宋体"/>
          <w:color w:val="000000"/>
          <w:sz w:val="24"/>
          <w:szCs w:val="24"/>
          <w:highlight w:val="none"/>
          <w:lang w:val="en-US" w:eastAsia="zh-CN"/>
        </w:rPr>
        <w:t>费</w:t>
      </w:r>
      <w:r>
        <w:rPr>
          <w:rFonts w:hint="eastAsia" w:cs="宋体"/>
          <w:color w:val="000000"/>
          <w:sz w:val="24"/>
          <w:szCs w:val="24"/>
          <w:highlight w:val="none"/>
          <w:lang w:val="en-US" w:eastAsia="zh-CN"/>
        </w:rPr>
        <w:t>：固定总价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cs="宋体"/>
          <w:color w:val="000000"/>
          <w:sz w:val="24"/>
          <w:szCs w:val="24"/>
          <w:highlight w:val="none"/>
          <w:lang w:eastAsia="zh-CN"/>
        </w:rPr>
        <w:t>；</w:t>
      </w:r>
    </w:p>
    <w:p w14:paraId="66E41A86">
      <w:pPr>
        <w:pStyle w:val="6"/>
        <w:spacing w:line="360" w:lineRule="auto"/>
        <w:ind w:firstLine="480"/>
        <w:rPr>
          <w:rFonts w:hint="eastAsia" w:ascii="Times New Roman" w:hAnsi="Times New Roman"/>
          <w:snapToGrid w:val="0"/>
          <w:sz w:val="24"/>
          <w:szCs w:val="24"/>
        </w:rPr>
      </w:pPr>
      <w:r>
        <w:rPr>
          <w:rFonts w:hint="eastAsia" w:hAnsi="宋体" w:cs="宋体"/>
          <w:snapToGrid w:val="0"/>
          <w:sz w:val="24"/>
          <w:szCs w:val="24"/>
          <w:highlight w:val="none"/>
          <w:lang w:val="en-US" w:eastAsia="zh-CN"/>
        </w:rPr>
        <w:t xml:space="preserve">6.1.3 </w:t>
      </w:r>
      <w:r>
        <w:rPr>
          <w:rFonts w:hint="eastAsia" w:ascii="宋体" w:cs="宋体"/>
          <w:color w:val="000000"/>
          <w:sz w:val="24"/>
          <w:szCs w:val="24"/>
          <w:highlight w:val="none"/>
          <w:lang w:eastAsia="zh-CN"/>
        </w:rPr>
        <w:t>安全监测设备设施更换及沉降监测点位修复</w:t>
      </w:r>
      <w:r>
        <w:rPr>
          <w:rFonts w:hint="eastAsia" w:ascii="宋体" w:cs="宋体"/>
          <w:color w:val="000000"/>
          <w:sz w:val="24"/>
          <w:szCs w:val="24"/>
          <w:highlight w:val="none"/>
          <w:lang w:val="en-US" w:eastAsia="zh-CN"/>
        </w:rPr>
        <w:t>费：按实际发生量结算，暂估</w:t>
      </w:r>
      <w:r>
        <w:rPr>
          <w:rFonts w:hint="eastAsia" w:cs="宋体"/>
          <w:color w:val="000000"/>
          <w:sz w:val="24"/>
          <w:szCs w:val="24"/>
          <w:highlight w:val="none"/>
          <w:lang w:val="en-US" w:eastAsia="zh-CN"/>
        </w:rPr>
        <w:t>总价</w:t>
      </w:r>
      <w:r>
        <w:rPr>
          <w:rFonts w:hint="eastAsia" w:ascii="宋体" w:hAnsi="宋体" w:eastAsia="宋体" w:cs="宋体"/>
          <w:snapToGrid w:val="0"/>
          <w:sz w:val="24"/>
          <w:szCs w:val="24"/>
        </w:rPr>
        <w:t>人民币</w:t>
      </w:r>
      <w:r>
        <w:rPr>
          <w:rFonts w:hint="eastAsia" w:ascii="宋体" w:hAnsi="宋体" w:eastAsia="宋体" w:cs="宋体"/>
          <w:b/>
          <w:bCs/>
          <w:snapToGrid w:val="0"/>
          <w:sz w:val="24"/>
          <w:szCs w:val="24"/>
          <w:highlight w:val="none"/>
          <w:u w:val="single"/>
          <w:lang w:val="en-US" w:eastAsia="zh-CN"/>
        </w:rPr>
        <w:t>XXXXX</w:t>
      </w:r>
      <w:r>
        <w:rPr>
          <w:rFonts w:hint="eastAsia" w:ascii="宋体" w:hAnsi="宋体" w:eastAsia="宋体" w:cs="宋体"/>
          <w:snapToGrid w:val="0"/>
          <w:sz w:val="24"/>
          <w:szCs w:val="24"/>
          <w:highlight w:val="none"/>
        </w:rPr>
        <w:t>（¥</w:t>
      </w:r>
      <w:r>
        <w:rPr>
          <w:rFonts w:hint="eastAsia" w:ascii="宋体" w:hAnsi="宋体" w:eastAsia="宋体" w:cs="宋体"/>
          <w:b/>
          <w:snapToGrid w:val="0"/>
          <w:sz w:val="24"/>
          <w:szCs w:val="24"/>
          <w:highlight w:val="none"/>
          <w:u w:val="single"/>
          <w:lang w:val="en-US" w:eastAsia="zh-CN"/>
        </w:rPr>
        <w:t>XXXXXX</w:t>
      </w:r>
      <w:r>
        <w:rPr>
          <w:rFonts w:hint="eastAsia" w:ascii="宋体" w:hAnsi="宋体" w:eastAsia="宋体" w:cs="宋体"/>
          <w:snapToGrid w:val="0"/>
          <w:sz w:val="24"/>
          <w:szCs w:val="24"/>
          <w:highlight w:val="none"/>
        </w:rPr>
        <w:t>）</w:t>
      </w:r>
      <w:r>
        <w:rPr>
          <w:rFonts w:hint="eastAsia" w:hAnsi="宋体" w:cs="宋体"/>
          <w:snapToGrid w:val="0"/>
          <w:sz w:val="24"/>
          <w:szCs w:val="24"/>
          <w:highlight w:val="none"/>
          <w:lang w:eastAsia="zh-CN"/>
        </w:rPr>
        <w:t>。</w:t>
      </w:r>
    </w:p>
    <w:p w14:paraId="2AF3C0B1">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6.2 </w:t>
      </w:r>
      <w:r>
        <w:rPr>
          <w:rFonts w:hint="eastAsia" w:ascii="Times New Roman" w:hAnsi="Times New Roman"/>
          <w:snapToGrid w:val="0"/>
          <w:sz w:val="24"/>
          <w:szCs w:val="24"/>
        </w:rPr>
        <w:t>价款支付：</w:t>
      </w:r>
    </w:p>
    <w:p w14:paraId="5C828B4D">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6.2.1</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本合同</w:t>
      </w:r>
      <w:r>
        <w:rPr>
          <w:rFonts w:hint="eastAsia" w:ascii="Times New Roman" w:hAnsi="Times New Roman"/>
          <w:snapToGrid w:val="0"/>
          <w:sz w:val="24"/>
          <w:szCs w:val="24"/>
          <w:lang w:val="en-US" w:eastAsia="zh-CN"/>
        </w:rPr>
        <w:t>服务</w:t>
      </w:r>
      <w:r>
        <w:rPr>
          <w:rFonts w:hint="eastAsia" w:ascii="Times New Roman" w:hAnsi="Times New Roman"/>
          <w:snapToGrid w:val="0"/>
          <w:sz w:val="24"/>
          <w:szCs w:val="24"/>
        </w:rPr>
        <w:t>费每半年支付</w:t>
      </w:r>
      <w:r>
        <w:rPr>
          <w:rFonts w:ascii="Times New Roman" w:hAnsi="Times New Roman"/>
          <w:snapToGrid w:val="0"/>
          <w:sz w:val="24"/>
          <w:szCs w:val="24"/>
        </w:rPr>
        <w:t>1</w:t>
      </w:r>
      <w:r>
        <w:rPr>
          <w:rFonts w:hint="eastAsia" w:ascii="Times New Roman" w:hAnsi="Times New Roman"/>
          <w:snapToGrid w:val="0"/>
          <w:sz w:val="24"/>
          <w:szCs w:val="24"/>
        </w:rPr>
        <w:t>次</w:t>
      </w:r>
      <w:r>
        <w:rPr>
          <w:rFonts w:hint="eastAsia" w:ascii="Times New Roman" w:hAnsi="Times New Roman"/>
          <w:snapToGrid w:val="0"/>
          <w:sz w:val="24"/>
          <w:szCs w:val="24"/>
          <w:lang w:eastAsia="zh-CN"/>
        </w:rPr>
        <w:t>；</w:t>
      </w:r>
      <w:r>
        <w:rPr>
          <w:rFonts w:hint="eastAsia" w:ascii="Times New Roman" w:hAnsi="Times New Roman"/>
          <w:snapToGrid w:val="0"/>
          <w:sz w:val="24"/>
          <w:szCs w:val="24"/>
        </w:rPr>
        <w:t>不足半年的，根据实际服务时间按月折算支付。完成半年度的服务内容后，</w:t>
      </w:r>
      <w:r>
        <w:rPr>
          <w:rFonts w:hint="eastAsia" w:ascii="Times New Roman" w:hAnsi="Times New Roman"/>
          <w:snapToGrid w:val="0"/>
          <w:sz w:val="24"/>
          <w:szCs w:val="24"/>
          <w:lang w:val="en-US" w:eastAsia="zh-CN"/>
        </w:rPr>
        <w:t>乙方</w:t>
      </w:r>
      <w:r>
        <w:rPr>
          <w:rFonts w:hint="eastAsia" w:ascii="Times New Roman" w:hAnsi="Times New Roman"/>
          <w:snapToGrid w:val="0"/>
          <w:sz w:val="24"/>
          <w:szCs w:val="24"/>
        </w:rPr>
        <w:t>提交相关成果报告、经验收合格后</w:t>
      </w:r>
      <w:r>
        <w:rPr>
          <w:rFonts w:hint="eastAsia" w:ascii="Times New Roman" w:hAnsi="Times New Roman"/>
          <w:snapToGrid w:val="0"/>
          <w:sz w:val="24"/>
          <w:szCs w:val="24"/>
          <w:lang w:val="en-US" w:eastAsia="zh-CN"/>
        </w:rPr>
        <w:t>30个工作日内</w:t>
      </w:r>
      <w:r>
        <w:rPr>
          <w:rFonts w:hint="eastAsia" w:ascii="Times New Roman" w:hAnsi="Times New Roman"/>
          <w:snapToGrid w:val="0"/>
          <w:sz w:val="24"/>
          <w:szCs w:val="24"/>
        </w:rPr>
        <w:t>，</w:t>
      </w:r>
      <w:r>
        <w:rPr>
          <w:rFonts w:hint="eastAsia" w:ascii="Times New Roman" w:hAnsi="Times New Roman"/>
          <w:snapToGrid w:val="0"/>
          <w:sz w:val="24"/>
          <w:szCs w:val="24"/>
          <w:lang w:val="en-US" w:eastAsia="zh-CN"/>
        </w:rPr>
        <w:t>甲方</w:t>
      </w:r>
      <w:r>
        <w:rPr>
          <w:rFonts w:hint="eastAsia" w:ascii="Times New Roman" w:hAnsi="Times New Roman"/>
          <w:snapToGrid w:val="0"/>
          <w:sz w:val="24"/>
          <w:szCs w:val="24"/>
        </w:rPr>
        <w:t>支付到半年度</w:t>
      </w:r>
      <w:r>
        <w:rPr>
          <w:rFonts w:hint="eastAsia" w:ascii="Times New Roman" w:hAnsi="Times New Roman"/>
          <w:snapToGrid w:val="0"/>
          <w:sz w:val="24"/>
          <w:szCs w:val="24"/>
          <w:lang w:val="en-US" w:eastAsia="zh-CN"/>
        </w:rPr>
        <w:t>服务</w:t>
      </w:r>
      <w:r>
        <w:rPr>
          <w:rFonts w:hint="eastAsia" w:ascii="Times New Roman" w:hAnsi="Times New Roman"/>
          <w:snapToGrid w:val="0"/>
          <w:sz w:val="24"/>
          <w:szCs w:val="24"/>
        </w:rPr>
        <w:t>费的95%</w:t>
      </w:r>
      <w:r>
        <w:rPr>
          <w:rFonts w:hint="eastAsia" w:ascii="Times New Roman" w:hAnsi="Times New Roman"/>
          <w:snapToGrid w:val="0"/>
          <w:sz w:val="24"/>
          <w:szCs w:val="24"/>
          <w:lang w:eastAsia="zh-CN"/>
        </w:rPr>
        <w:t>（</w:t>
      </w:r>
      <w:r>
        <w:rPr>
          <w:rFonts w:hint="eastAsia" w:ascii="Times New Roman" w:hAnsi="Times New Roman"/>
          <w:snapToGrid w:val="0"/>
          <w:sz w:val="24"/>
          <w:szCs w:val="24"/>
          <w:highlight w:val="none"/>
        </w:rPr>
        <w:t>¥</w:t>
      </w:r>
      <w:r>
        <w:rPr>
          <w:rFonts w:hint="eastAsia" w:ascii="Times New Roman" w:hAnsi="Times New Roman"/>
          <w:snapToGrid w:val="0"/>
          <w:sz w:val="24"/>
          <w:szCs w:val="24"/>
          <w:highlight w:val="none"/>
          <w:lang w:val="en-US" w:eastAsia="zh-CN"/>
        </w:rPr>
        <w:t xml:space="preserve"> </w:t>
      </w:r>
      <w:r>
        <w:rPr>
          <w:rFonts w:hint="eastAsia" w:ascii="宋体" w:hAnsi="宋体" w:eastAsia="宋体" w:cs="宋体"/>
          <w:b/>
          <w:bCs/>
          <w:snapToGrid w:val="0"/>
          <w:sz w:val="24"/>
          <w:szCs w:val="24"/>
          <w:highlight w:val="none"/>
          <w:u w:val="single"/>
          <w:lang w:val="en-US" w:eastAsia="zh-CN"/>
        </w:rPr>
        <w:t>XXXXXXXX</w:t>
      </w:r>
      <w:r>
        <w:rPr>
          <w:rFonts w:hint="eastAsia" w:ascii="Times New Roman" w:hAnsi="Times New Roman"/>
          <w:snapToGrid w:val="0"/>
          <w:sz w:val="24"/>
          <w:szCs w:val="24"/>
          <w:lang w:eastAsia="zh-CN"/>
        </w:rPr>
        <w:t>）。</w:t>
      </w:r>
    </w:p>
    <w:p w14:paraId="7BC6C451">
      <w:pPr>
        <w:pStyle w:val="6"/>
        <w:spacing w:line="360" w:lineRule="auto"/>
        <w:ind w:firstLine="480"/>
        <w:rPr>
          <w:rFonts w:hint="eastAsia" w:ascii="Times New Roman" w:hAnsi="Times New Roman"/>
          <w:snapToGrid w:val="0"/>
          <w:sz w:val="24"/>
          <w:szCs w:val="24"/>
        </w:rPr>
      </w:pPr>
      <w:r>
        <w:rPr>
          <w:rFonts w:hint="eastAsia" w:ascii="Times New Roman" w:hAnsi="Times New Roman"/>
          <w:snapToGrid w:val="0"/>
          <w:sz w:val="24"/>
          <w:szCs w:val="24"/>
          <w:lang w:val="en-US" w:eastAsia="zh-CN"/>
        </w:rPr>
        <w:t>6.2.2  合同总价的5%计提安全绩效考核金，根据安全绩效考核金执行条款按实结算，按年支付</w:t>
      </w:r>
      <w:r>
        <w:rPr>
          <w:rFonts w:hint="eastAsia" w:ascii="Times New Roman" w:hAnsi="Times New Roman"/>
          <w:snapToGrid w:val="0"/>
          <w:sz w:val="24"/>
          <w:szCs w:val="24"/>
        </w:rPr>
        <w:t>。</w:t>
      </w:r>
    </w:p>
    <w:p w14:paraId="3D2E62E1">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6.2.</w:t>
      </w:r>
      <w:r>
        <w:rPr>
          <w:rFonts w:hint="eastAsia" w:ascii="Times New Roman" w:hAnsi="Times New Roman"/>
          <w:snapToGrid w:val="0"/>
          <w:sz w:val="24"/>
          <w:szCs w:val="24"/>
          <w:lang w:val="en-US" w:eastAsia="zh-CN"/>
        </w:rPr>
        <w:t xml:space="preserve">3  </w:t>
      </w:r>
      <w:r>
        <w:rPr>
          <w:rFonts w:hint="eastAsia" w:ascii="Times New Roman" w:hAnsi="Times New Roman"/>
          <w:snapToGrid w:val="0"/>
          <w:sz w:val="24"/>
          <w:szCs w:val="24"/>
        </w:rPr>
        <w:t>每次付款前，乙方均应提供正规增值税专用发票</w:t>
      </w:r>
      <w:r>
        <w:rPr>
          <w:rFonts w:hint="eastAsia" w:ascii="Times New Roman" w:hAnsi="Times New Roman"/>
          <w:snapToGrid w:val="0"/>
          <w:sz w:val="24"/>
          <w:szCs w:val="24"/>
          <w:lang w:val="en-US" w:eastAsia="zh-CN"/>
        </w:rPr>
        <w:t>以及合同款支付申请单；若</w:t>
      </w:r>
      <w:r>
        <w:rPr>
          <w:rFonts w:hint="eastAsia" w:ascii="Times New Roman" w:hAnsi="Times New Roman"/>
          <w:snapToGrid w:val="0"/>
          <w:sz w:val="24"/>
          <w:szCs w:val="24"/>
        </w:rPr>
        <w:t>乙方</w:t>
      </w:r>
      <w:r>
        <w:rPr>
          <w:rFonts w:hint="eastAsia" w:ascii="Times New Roman" w:hAnsi="Times New Roman"/>
          <w:snapToGrid w:val="0"/>
          <w:sz w:val="24"/>
          <w:szCs w:val="24"/>
          <w:lang w:val="en-US" w:eastAsia="zh-CN"/>
        </w:rPr>
        <w:t>未能</w:t>
      </w:r>
      <w:r>
        <w:rPr>
          <w:rFonts w:hint="eastAsia" w:ascii="Times New Roman" w:hAnsi="Times New Roman"/>
          <w:snapToGrid w:val="0"/>
          <w:sz w:val="24"/>
          <w:szCs w:val="24"/>
        </w:rPr>
        <w:t>及时提供合法票据</w:t>
      </w:r>
      <w:r>
        <w:rPr>
          <w:rFonts w:hint="eastAsia" w:ascii="Times New Roman" w:hAnsi="Times New Roman"/>
          <w:snapToGrid w:val="0"/>
          <w:sz w:val="24"/>
          <w:szCs w:val="24"/>
          <w:lang w:val="en-US" w:eastAsia="zh-CN"/>
        </w:rPr>
        <w:t>和支付申请</w:t>
      </w:r>
      <w:r>
        <w:rPr>
          <w:rFonts w:hint="eastAsia" w:ascii="Times New Roman" w:hAnsi="Times New Roman"/>
          <w:snapToGrid w:val="0"/>
          <w:sz w:val="24"/>
          <w:szCs w:val="24"/>
          <w:lang w:eastAsia="zh-CN"/>
        </w:rPr>
        <w:t>，</w:t>
      </w:r>
      <w:r>
        <w:rPr>
          <w:rFonts w:hint="eastAsia" w:ascii="Times New Roman" w:hAnsi="Times New Roman"/>
          <w:snapToGrid w:val="0"/>
          <w:sz w:val="24"/>
          <w:szCs w:val="24"/>
          <w:lang w:val="en-US" w:eastAsia="zh-CN"/>
        </w:rPr>
        <w:t>导致</w:t>
      </w:r>
      <w:r>
        <w:rPr>
          <w:rFonts w:hint="eastAsia" w:ascii="Times New Roman" w:hAnsi="Times New Roman"/>
          <w:snapToGrid w:val="0"/>
          <w:sz w:val="24"/>
          <w:szCs w:val="24"/>
        </w:rPr>
        <w:t>甲方</w:t>
      </w:r>
      <w:r>
        <w:rPr>
          <w:rFonts w:hint="eastAsia" w:ascii="Times New Roman" w:hAnsi="Times New Roman"/>
          <w:snapToGrid w:val="0"/>
          <w:sz w:val="24"/>
          <w:szCs w:val="24"/>
          <w:lang w:val="en-US" w:eastAsia="zh-CN"/>
        </w:rPr>
        <w:t>付款延迟，甲方</w:t>
      </w:r>
      <w:r>
        <w:rPr>
          <w:rFonts w:hint="eastAsia" w:ascii="Times New Roman" w:hAnsi="Times New Roman"/>
          <w:snapToGrid w:val="0"/>
          <w:sz w:val="24"/>
          <w:szCs w:val="24"/>
        </w:rPr>
        <w:t>不承担任何责任</w:t>
      </w:r>
      <w:bookmarkStart w:id="47" w:name="_Toc2193"/>
      <w:bookmarkStart w:id="48" w:name="_Toc404681496"/>
      <w:bookmarkStart w:id="49" w:name="_Toc25763"/>
      <w:bookmarkStart w:id="50" w:name="_Toc444416878"/>
      <w:bookmarkStart w:id="51" w:name="_Toc406082376"/>
      <w:bookmarkStart w:id="52" w:name="_Toc27921"/>
      <w:r>
        <w:rPr>
          <w:rFonts w:hint="eastAsia" w:ascii="Times New Roman" w:hAnsi="Times New Roman"/>
          <w:snapToGrid w:val="0"/>
          <w:sz w:val="24"/>
          <w:szCs w:val="24"/>
        </w:rPr>
        <w:t>。</w:t>
      </w:r>
    </w:p>
    <w:p w14:paraId="374337C2">
      <w:pPr>
        <w:pStyle w:val="6"/>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6.2.4 合同款通过银行汇款，乙方开户行名称和账号为：</w:t>
      </w:r>
    </w:p>
    <w:p w14:paraId="26C1A617">
      <w:pPr>
        <w:pStyle w:val="6"/>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户名：</w:t>
      </w:r>
    </w:p>
    <w:p w14:paraId="7C6FC62A">
      <w:pPr>
        <w:pStyle w:val="6"/>
        <w:spacing w:line="360" w:lineRule="auto"/>
        <w:ind w:firstLine="480"/>
        <w:rPr>
          <w:rFonts w:hint="eastAsia" w:ascii="Times New Roman" w:hAnsi="Times New Roman"/>
          <w:snapToGrid w:val="0"/>
          <w:sz w:val="24"/>
          <w:szCs w:val="24"/>
          <w:lang w:val="en-US" w:eastAsia="zh-CN"/>
        </w:rPr>
      </w:pPr>
      <w:r>
        <w:rPr>
          <w:rFonts w:hint="eastAsia" w:ascii="Times New Roman" w:hAnsi="Times New Roman"/>
          <w:snapToGrid w:val="0"/>
          <w:sz w:val="24"/>
          <w:szCs w:val="24"/>
          <w:lang w:val="en-US" w:eastAsia="zh-CN"/>
        </w:rPr>
        <w:t>开户银行：</w:t>
      </w:r>
    </w:p>
    <w:p w14:paraId="55E24798">
      <w:pPr>
        <w:pStyle w:val="6"/>
        <w:spacing w:line="360" w:lineRule="auto"/>
        <w:ind w:firstLine="480"/>
        <w:rPr>
          <w:rFonts w:hint="default" w:ascii="Times New Roman" w:hAnsi="Times New Roman"/>
          <w:snapToGrid w:val="0"/>
          <w:sz w:val="24"/>
          <w:szCs w:val="24"/>
          <w:lang w:val="en-US" w:eastAsia="zh-CN"/>
        </w:rPr>
      </w:pPr>
      <w:r>
        <w:rPr>
          <w:rFonts w:hint="eastAsia" w:ascii="Times New Roman" w:hAnsi="Times New Roman"/>
          <w:snapToGrid w:val="0"/>
          <w:sz w:val="24"/>
          <w:szCs w:val="24"/>
          <w:lang w:val="en-US" w:eastAsia="zh-CN"/>
        </w:rPr>
        <w:t>开户行行号：</w:t>
      </w:r>
    </w:p>
    <w:p w14:paraId="352F725C">
      <w:pPr>
        <w:pStyle w:val="6"/>
        <w:spacing w:line="360" w:lineRule="auto"/>
        <w:ind w:firstLine="480"/>
        <w:rPr>
          <w:rFonts w:hint="eastAsia" w:ascii="Times New Roman" w:hAnsi="Times New Roman"/>
          <w:snapToGrid w:val="0"/>
          <w:sz w:val="24"/>
          <w:szCs w:val="24"/>
        </w:rPr>
      </w:pPr>
      <w:r>
        <w:rPr>
          <w:rFonts w:hint="eastAsia" w:ascii="Times New Roman" w:hAnsi="Times New Roman"/>
          <w:snapToGrid w:val="0"/>
          <w:sz w:val="24"/>
          <w:szCs w:val="24"/>
          <w:lang w:val="en-US" w:eastAsia="zh-CN"/>
        </w:rPr>
        <w:t>账号：</w:t>
      </w:r>
    </w:p>
    <w:p w14:paraId="60AE3492">
      <w:pPr>
        <w:pStyle w:val="6"/>
        <w:spacing w:line="360" w:lineRule="auto"/>
        <w:ind w:firstLine="482"/>
        <w:outlineLvl w:val="0"/>
        <w:rPr>
          <w:rFonts w:ascii="Times New Roman" w:hAnsi="Times New Roman"/>
          <w:b/>
          <w:kern w:val="0"/>
          <w:sz w:val="24"/>
        </w:rPr>
      </w:pPr>
      <w:r>
        <w:rPr>
          <w:rFonts w:ascii="Times New Roman" w:hAnsi="Times New Roman"/>
          <w:b/>
          <w:kern w:val="0"/>
          <w:sz w:val="24"/>
        </w:rPr>
        <w:t xml:space="preserve">7. </w:t>
      </w:r>
      <w:r>
        <w:rPr>
          <w:rFonts w:hint="eastAsia" w:ascii="Times New Roman" w:hAnsi="Times New Roman"/>
          <w:b/>
          <w:kern w:val="0"/>
          <w:sz w:val="24"/>
        </w:rPr>
        <w:t>人员</w:t>
      </w:r>
      <w:bookmarkEnd w:id="47"/>
      <w:bookmarkEnd w:id="48"/>
      <w:bookmarkEnd w:id="49"/>
      <w:bookmarkEnd w:id="50"/>
      <w:bookmarkEnd w:id="51"/>
      <w:bookmarkEnd w:id="52"/>
    </w:p>
    <w:p w14:paraId="113368DA">
      <w:pPr>
        <w:pStyle w:val="6"/>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7.1  乙方</w:t>
      </w:r>
      <w:r>
        <w:rPr>
          <w:rFonts w:hint="eastAsia" w:ascii="Times New Roman" w:hAnsi="Times New Roman" w:eastAsia="宋体" w:cs="宋体"/>
          <w:snapToGrid w:val="0"/>
          <w:sz w:val="24"/>
          <w:szCs w:val="24"/>
        </w:rPr>
        <w:t>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rPr>
        <w:t>为项目</w:t>
      </w:r>
      <w:r>
        <w:rPr>
          <w:rFonts w:hint="eastAsia" w:ascii="Times New Roman" w:hAnsi="Times New Roman" w:eastAsia="宋体" w:cs="宋体"/>
          <w:snapToGrid w:val="0"/>
          <w:sz w:val="24"/>
          <w:szCs w:val="24"/>
          <w:lang w:val="en-US"/>
        </w:rPr>
        <w:t>负责人</w:t>
      </w:r>
      <w:r>
        <w:rPr>
          <w:rFonts w:hint="eastAsia" w:ascii="Times New Roman" w:hAnsi="Times New Roman" w:eastAsia="宋体" w:cs="宋体"/>
          <w:snapToGrid w:val="0"/>
          <w:sz w:val="24"/>
          <w:szCs w:val="24"/>
        </w:rPr>
        <w:t>，</w:t>
      </w:r>
      <w:r>
        <w:rPr>
          <w:rFonts w:hint="eastAsia" w:ascii="Times New Roman" w:hAnsi="Times New Roman" w:eastAsia="宋体" w:cs="宋体"/>
          <w:snapToGrid w:val="0"/>
          <w:sz w:val="24"/>
          <w:szCs w:val="24"/>
          <w:lang w:val="zh-CN"/>
        </w:rPr>
        <w:t>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lang w:val="zh-CN"/>
        </w:rPr>
        <w:t>为技术负责人，指派</w:t>
      </w:r>
      <w:r>
        <w:rPr>
          <w:rFonts w:hint="eastAsia" w:ascii="Times New Roman" w:hAnsi="Times New Roman" w:eastAsia="宋体" w:cs="宋体"/>
          <w:snapToGrid w:val="0"/>
          <w:sz w:val="24"/>
          <w:szCs w:val="24"/>
          <w:u w:val="single"/>
          <w:lang w:val="en-US"/>
        </w:rPr>
        <w:t>XXXXX</w:t>
      </w:r>
      <w:r>
        <w:rPr>
          <w:rFonts w:hint="eastAsia" w:ascii="Times New Roman" w:hAnsi="Times New Roman" w:eastAsia="宋体" w:cs="宋体"/>
          <w:snapToGrid w:val="0"/>
          <w:sz w:val="24"/>
          <w:szCs w:val="24"/>
          <w:lang w:val="zh-CN"/>
        </w:rPr>
        <w:t>为安全员；</w:t>
      </w:r>
      <w:r>
        <w:rPr>
          <w:rFonts w:ascii="宋体" w:hAnsi="宋体" w:eastAsia="宋体" w:cs="宋体"/>
          <w:sz w:val="24"/>
          <w:szCs w:val="24"/>
        </w:rPr>
        <w:t>未经甲方事先书面同意，乙方不得更换其指派的项目负责人及主要人员</w:t>
      </w:r>
      <w:r>
        <w:rPr>
          <w:rFonts w:hint="eastAsia" w:hAnsi="宋体" w:cs="宋体"/>
          <w:sz w:val="24"/>
          <w:szCs w:val="24"/>
          <w:lang w:eastAsia="zh-CN"/>
        </w:rPr>
        <w:t>，</w:t>
      </w:r>
      <w:r>
        <w:rPr>
          <w:rFonts w:ascii="宋体" w:hAnsi="宋体" w:eastAsia="宋体" w:cs="宋体"/>
          <w:sz w:val="24"/>
          <w:szCs w:val="24"/>
        </w:rPr>
        <w:t>否则，甲方有权按5000.00元/人/次的标准扣除服务费。</w:t>
      </w:r>
    </w:p>
    <w:p w14:paraId="51FE6D94">
      <w:pPr>
        <w:pStyle w:val="6"/>
        <w:spacing w:line="360" w:lineRule="auto"/>
        <w:ind w:firstLine="480"/>
        <w:rPr>
          <w:rFonts w:ascii="Times New Roman" w:hAnsi="Times New Roman" w:eastAsia="宋体" w:cs="宋体"/>
          <w:snapToGrid w:val="0"/>
          <w:sz w:val="24"/>
          <w:szCs w:val="24"/>
          <w:lang w:val="zh-CN" w:eastAsia="zh-CN"/>
        </w:rPr>
      </w:pPr>
      <w:r>
        <w:rPr>
          <w:rFonts w:hint="eastAsia" w:ascii="Times New Roman" w:hAnsi="Times New Roman" w:eastAsia="宋体" w:cs="宋体"/>
          <w:snapToGrid w:val="0"/>
          <w:sz w:val="24"/>
          <w:szCs w:val="24"/>
          <w:lang w:val="en-US"/>
        </w:rPr>
        <w:t xml:space="preserve">7.2  </w:t>
      </w:r>
      <w:r>
        <w:rPr>
          <w:rFonts w:ascii="Times New Roman" w:hAnsi="Times New Roman" w:eastAsia="宋体" w:cs="宋体"/>
          <w:snapToGrid w:val="0"/>
          <w:sz w:val="24"/>
          <w:szCs w:val="24"/>
        </w:rPr>
        <w:t>乙方</w:t>
      </w:r>
      <w:r>
        <w:rPr>
          <w:rFonts w:hint="eastAsia" w:ascii="Times New Roman" w:hAnsi="Times New Roman" w:eastAsia="宋体" w:cs="宋体"/>
          <w:snapToGrid w:val="0"/>
          <w:sz w:val="24"/>
          <w:szCs w:val="24"/>
          <w:lang w:val="en-US"/>
        </w:rPr>
        <w:t>出海</w:t>
      </w:r>
      <w:r>
        <w:rPr>
          <w:rFonts w:hint="eastAsia" w:ascii="Times New Roman" w:hAnsi="Times New Roman" w:eastAsia="宋体" w:cs="宋体"/>
          <w:snapToGrid w:val="0"/>
          <w:sz w:val="24"/>
          <w:szCs w:val="24"/>
        </w:rPr>
        <w:t>作业</w:t>
      </w:r>
      <w:r>
        <w:rPr>
          <w:rFonts w:ascii="Times New Roman" w:hAnsi="Times New Roman" w:eastAsia="宋体" w:cs="宋体"/>
          <w:snapToGrid w:val="0"/>
          <w:sz w:val="24"/>
          <w:szCs w:val="24"/>
        </w:rPr>
        <w:t>人员须</w:t>
      </w:r>
      <w:r>
        <w:rPr>
          <w:rFonts w:hint="eastAsia" w:ascii="Times New Roman" w:hAnsi="Times New Roman" w:eastAsia="宋体" w:cs="宋体"/>
          <w:snapToGrid w:val="0"/>
          <w:sz w:val="24"/>
          <w:szCs w:val="24"/>
        </w:rPr>
        <w:t>持有</w:t>
      </w:r>
      <w:r>
        <w:rPr>
          <w:rFonts w:ascii="Times New Roman" w:hAnsi="Times New Roman" w:eastAsia="宋体" w:cs="宋体"/>
          <w:snapToGrid w:val="0"/>
          <w:sz w:val="24"/>
          <w:szCs w:val="24"/>
        </w:rPr>
        <w:t>海上交通安全技能培训合格证</w:t>
      </w:r>
      <w:r>
        <w:rPr>
          <w:rFonts w:hint="eastAsia" w:ascii="Times New Roman" w:hAnsi="Times New Roman" w:eastAsia="宋体" w:cs="宋体"/>
          <w:snapToGrid w:val="0"/>
          <w:sz w:val="24"/>
          <w:szCs w:val="24"/>
          <w:lang w:val="en-US"/>
        </w:rPr>
        <w:t>等</w:t>
      </w:r>
      <w:r>
        <w:rPr>
          <w:rFonts w:ascii="Times New Roman" w:hAnsi="Times New Roman" w:eastAsia="宋体" w:cs="宋体"/>
          <w:snapToGrid w:val="0"/>
          <w:sz w:val="24"/>
          <w:szCs w:val="24"/>
        </w:rPr>
        <w:t>，</w:t>
      </w:r>
      <w:r>
        <w:rPr>
          <w:rFonts w:hint="eastAsia" w:ascii="Times New Roman" w:hAnsi="Times New Roman" w:eastAsia="宋体" w:cs="宋体"/>
          <w:snapToGrid w:val="0"/>
          <w:sz w:val="24"/>
          <w:szCs w:val="24"/>
        </w:rPr>
        <w:t>所有</w:t>
      </w:r>
      <w:r>
        <w:rPr>
          <w:rFonts w:ascii="Times New Roman" w:hAnsi="Times New Roman" w:eastAsia="宋体" w:cs="宋体"/>
          <w:snapToGrid w:val="0"/>
          <w:sz w:val="24"/>
          <w:szCs w:val="24"/>
        </w:rPr>
        <w:t>资质</w:t>
      </w:r>
      <w:r>
        <w:rPr>
          <w:rFonts w:hint="eastAsia" w:ascii="Times New Roman" w:hAnsi="Times New Roman" w:eastAsia="宋体" w:cs="宋体"/>
          <w:snapToGrid w:val="0"/>
          <w:sz w:val="24"/>
          <w:szCs w:val="24"/>
        </w:rPr>
        <w:t>证明</w:t>
      </w:r>
      <w:r>
        <w:rPr>
          <w:rFonts w:ascii="Times New Roman" w:hAnsi="Times New Roman" w:eastAsia="宋体" w:cs="宋体"/>
          <w:snapToGrid w:val="0"/>
          <w:sz w:val="24"/>
          <w:szCs w:val="24"/>
        </w:rPr>
        <w:t>文件应报甲方备案</w:t>
      </w:r>
      <w:r>
        <w:rPr>
          <w:rFonts w:hint="eastAsia" w:ascii="Times New Roman" w:hAnsi="Times New Roman" w:eastAsia="宋体" w:cs="宋体"/>
          <w:snapToGrid w:val="0"/>
          <w:sz w:val="24"/>
          <w:szCs w:val="24"/>
        </w:rPr>
        <w:t>，</w:t>
      </w:r>
      <w:r>
        <w:rPr>
          <w:rFonts w:ascii="宋体" w:hAnsi="宋体" w:eastAsia="宋体" w:cs="宋体"/>
          <w:sz w:val="24"/>
          <w:szCs w:val="24"/>
        </w:rPr>
        <w:t>乙方在合同有效期内如需更换作业人员，须事先征得甲方同意，且乙方作业人员流动率不得超过15%</w:t>
      </w:r>
      <w:r>
        <w:rPr>
          <w:rFonts w:hint="eastAsia" w:ascii="Times New Roman" w:hAnsi="Times New Roman" w:eastAsia="宋体" w:cs="宋体"/>
          <w:snapToGrid w:val="0"/>
          <w:sz w:val="24"/>
          <w:szCs w:val="24"/>
        </w:rPr>
        <w:t>。</w:t>
      </w:r>
    </w:p>
    <w:p w14:paraId="7C6F708A">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7.</w:t>
      </w:r>
      <w:r>
        <w:rPr>
          <w:rFonts w:hint="eastAsia" w:ascii="Times New Roman" w:hAnsi="Times New Roman"/>
          <w:snapToGrid w:val="0"/>
          <w:sz w:val="24"/>
          <w:szCs w:val="24"/>
          <w:lang w:val="en-US" w:eastAsia="zh-CN"/>
        </w:rPr>
        <w:t>3</w:t>
      </w:r>
      <w:r>
        <w:rPr>
          <w:rFonts w:ascii="Times New Roman" w:hAnsi="Times New Roman"/>
          <w:snapToGrid w:val="0"/>
          <w:sz w:val="24"/>
          <w:szCs w:val="24"/>
        </w:rPr>
        <w:t xml:space="preserve">  </w:t>
      </w:r>
      <w:r>
        <w:rPr>
          <w:rFonts w:hint="eastAsia" w:ascii="Times New Roman" w:hAnsi="Times New Roman"/>
          <w:snapToGrid w:val="0"/>
          <w:sz w:val="24"/>
          <w:szCs w:val="24"/>
        </w:rPr>
        <w:t>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应指导报告文件的编写和合同的实施。除非合同中另有规定，项目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应接收</w:t>
      </w:r>
      <w:r>
        <w:rPr>
          <w:rFonts w:ascii="Times New Roman" w:hAnsi="Times New Roman"/>
          <w:snapToGrid w:val="0"/>
          <w:sz w:val="24"/>
          <w:szCs w:val="24"/>
        </w:rPr>
        <w:t>(</w:t>
      </w:r>
      <w:r>
        <w:rPr>
          <w:rFonts w:hint="eastAsia" w:ascii="Times New Roman" w:hAnsi="Times New Roman"/>
          <w:snapToGrid w:val="0"/>
          <w:sz w:val="24"/>
          <w:szCs w:val="24"/>
        </w:rPr>
        <w:t>以乙方名义</w:t>
      </w:r>
      <w:r>
        <w:rPr>
          <w:rFonts w:ascii="Times New Roman" w:hAnsi="Times New Roman"/>
          <w:snapToGrid w:val="0"/>
          <w:sz w:val="24"/>
          <w:szCs w:val="24"/>
        </w:rPr>
        <w:t>)</w:t>
      </w:r>
      <w:r>
        <w:rPr>
          <w:rFonts w:hint="eastAsia" w:ascii="Times New Roman" w:hAnsi="Times New Roman"/>
          <w:snapToGrid w:val="0"/>
          <w:sz w:val="24"/>
          <w:szCs w:val="24"/>
        </w:rPr>
        <w:t>合同项目下的所有通知、指示、同意、批准、证明、决定和其它通信。在现场服务期间，每当乙方项目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不在现场时，应任命一个合适的替代人并相应地通知甲方，项目</w:t>
      </w:r>
      <w:r>
        <w:rPr>
          <w:rFonts w:hint="eastAsia" w:ascii="Times New Roman" w:hAnsi="Times New Roman"/>
          <w:snapToGrid w:val="0"/>
          <w:sz w:val="24"/>
          <w:szCs w:val="24"/>
          <w:lang w:val="en-US" w:eastAsia="zh-CN"/>
        </w:rPr>
        <w:t>负责人</w:t>
      </w:r>
      <w:r>
        <w:rPr>
          <w:rFonts w:hint="eastAsia" w:ascii="Times New Roman" w:hAnsi="Times New Roman"/>
          <w:snapToGrid w:val="0"/>
          <w:sz w:val="24"/>
          <w:szCs w:val="24"/>
        </w:rPr>
        <w:t>拒绝接收上述文件或未能指派合适替代人员导致上述文件无法接收时视为甲方已履行送达义务。</w:t>
      </w:r>
      <w:bookmarkStart w:id="53" w:name="_Toc406082377"/>
      <w:bookmarkStart w:id="54" w:name="_Toc15615"/>
      <w:bookmarkStart w:id="55" w:name="_Toc404681497"/>
      <w:bookmarkStart w:id="56" w:name="_Toc27718"/>
      <w:bookmarkStart w:id="57" w:name="_Toc444416879"/>
      <w:bookmarkStart w:id="58" w:name="_Toc3648"/>
    </w:p>
    <w:p w14:paraId="1B524A18">
      <w:pPr>
        <w:pStyle w:val="6"/>
        <w:spacing w:line="360" w:lineRule="auto"/>
        <w:ind w:firstLine="482"/>
        <w:outlineLvl w:val="0"/>
        <w:rPr>
          <w:rFonts w:ascii="Times New Roman" w:hAnsi="Times New Roman"/>
          <w:b/>
          <w:kern w:val="0"/>
          <w:sz w:val="24"/>
        </w:rPr>
      </w:pPr>
      <w:r>
        <w:rPr>
          <w:rFonts w:ascii="Times New Roman" w:hAnsi="Times New Roman"/>
          <w:b/>
          <w:kern w:val="0"/>
          <w:sz w:val="24"/>
        </w:rPr>
        <w:t xml:space="preserve">8. </w:t>
      </w:r>
      <w:r>
        <w:rPr>
          <w:rFonts w:hint="eastAsia" w:ascii="Times New Roman" w:hAnsi="Times New Roman"/>
          <w:b/>
          <w:kern w:val="0"/>
          <w:sz w:val="24"/>
        </w:rPr>
        <w:t>甲方责任</w:t>
      </w:r>
      <w:bookmarkEnd w:id="53"/>
      <w:bookmarkEnd w:id="54"/>
      <w:bookmarkEnd w:id="55"/>
      <w:bookmarkEnd w:id="56"/>
      <w:bookmarkEnd w:id="57"/>
      <w:bookmarkEnd w:id="58"/>
    </w:p>
    <w:p w14:paraId="572D1E82">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8.1  </w:t>
      </w:r>
      <w:r>
        <w:rPr>
          <w:rFonts w:hint="eastAsia" w:ascii="Times New Roman" w:hAnsi="Times New Roman"/>
          <w:snapToGrid w:val="0"/>
          <w:sz w:val="24"/>
          <w:szCs w:val="24"/>
        </w:rPr>
        <w:t>有义务给乙方提供所需资料及工作上的配合</w:t>
      </w:r>
      <w:r>
        <w:rPr>
          <w:rFonts w:hint="eastAsia" w:ascii="Times New Roman" w:hAnsi="Times New Roman"/>
          <w:sz w:val="24"/>
          <w:szCs w:val="24"/>
        </w:rPr>
        <w:t>。</w:t>
      </w:r>
    </w:p>
    <w:p w14:paraId="5E8A8933">
      <w:pPr>
        <w:pStyle w:val="6"/>
        <w:spacing w:line="360" w:lineRule="auto"/>
        <w:ind w:firstLine="480"/>
        <w:rPr>
          <w:rFonts w:hint="eastAsia" w:ascii="Times New Roman" w:hAnsi="Times New Roman"/>
          <w:snapToGrid w:val="0"/>
          <w:kern w:val="0"/>
          <w:sz w:val="24"/>
        </w:rPr>
      </w:pPr>
      <w:r>
        <w:rPr>
          <w:rFonts w:ascii="Times New Roman" w:hAnsi="Times New Roman"/>
          <w:snapToGrid w:val="0"/>
          <w:kern w:val="0"/>
          <w:sz w:val="24"/>
        </w:rPr>
        <w:t xml:space="preserve">8.2  </w:t>
      </w:r>
      <w:r>
        <w:rPr>
          <w:rFonts w:hint="eastAsia" w:ascii="Times New Roman" w:hAnsi="Times New Roman"/>
          <w:snapToGrid w:val="0"/>
          <w:kern w:val="0"/>
          <w:sz w:val="24"/>
        </w:rPr>
        <w:t>按合同规定向乙方支付合同价款。</w:t>
      </w:r>
    </w:p>
    <w:p w14:paraId="1304E144">
      <w:pPr>
        <w:pStyle w:val="6"/>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8.3  </w:t>
      </w:r>
      <w:r>
        <w:rPr>
          <w:rFonts w:hint="eastAsia" w:ascii="Times New Roman" w:hAnsi="Times New Roman"/>
          <w:snapToGrid w:val="0"/>
          <w:sz w:val="24"/>
          <w:szCs w:val="24"/>
        </w:rPr>
        <w:t>在合同履行期间，甲方要求终止或解除合同，乙方未开展服务工作的，退还甲方已付的预付款，甲方有权但无义务根据实际情况给予乙方适当的补偿；已开始工作的，甲方应根据乙方已进行的实际工作量支付。</w:t>
      </w:r>
    </w:p>
    <w:p w14:paraId="6DFE7026">
      <w:pPr>
        <w:pStyle w:val="6"/>
        <w:spacing w:line="360" w:lineRule="auto"/>
        <w:ind w:firstLine="480"/>
        <w:rPr>
          <w:rFonts w:hint="eastAsia" w:hAnsi="Times New Roman"/>
          <w:snapToGrid w:val="0"/>
          <w:sz w:val="24"/>
          <w:szCs w:val="24"/>
        </w:rPr>
      </w:pPr>
      <w:r>
        <w:rPr>
          <w:rFonts w:ascii="Times New Roman" w:hAnsi="Times New Roman"/>
          <w:snapToGrid w:val="0"/>
          <w:sz w:val="24"/>
          <w:szCs w:val="24"/>
        </w:rPr>
        <w:t>8.4</w:t>
      </w:r>
      <w:r>
        <w:rPr>
          <w:snapToGrid w:val="0"/>
          <w:sz w:val="24"/>
          <w:szCs w:val="24"/>
        </w:rPr>
        <w:t xml:space="preserve">  </w:t>
      </w:r>
      <w:r>
        <w:rPr>
          <w:rFonts w:hint="eastAsia" w:ascii="Times New Roman" w:hAnsi="Times New Roman"/>
          <w:snapToGrid w:val="0"/>
          <w:sz w:val="24"/>
          <w:szCs w:val="24"/>
        </w:rPr>
        <w:t>甲方负责向乙方免费提供出海所用船舶，以便乙方出海开展监测系统维护</w:t>
      </w:r>
      <w:r>
        <w:rPr>
          <w:rFonts w:hint="eastAsia" w:hAnsi="Times New Roman"/>
          <w:snapToGrid w:val="0"/>
          <w:sz w:val="24"/>
          <w:szCs w:val="24"/>
        </w:rPr>
        <w:t>。</w:t>
      </w:r>
      <w:bookmarkStart w:id="59" w:name="_Toc5196"/>
      <w:bookmarkStart w:id="60" w:name="_Toc30828"/>
      <w:bookmarkStart w:id="61" w:name="_Toc406082378"/>
      <w:bookmarkStart w:id="62" w:name="_Toc19013"/>
      <w:bookmarkStart w:id="63" w:name="_Toc444416880"/>
      <w:bookmarkStart w:id="64" w:name="_Toc404681498"/>
    </w:p>
    <w:p w14:paraId="7EC549F3">
      <w:pPr>
        <w:pStyle w:val="6"/>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 xml:space="preserve">8.5  </w:t>
      </w:r>
      <w:r>
        <w:rPr>
          <w:rFonts w:hint="eastAsia" w:ascii="Times New Roman" w:hAnsi="Times New Roman" w:eastAsia="宋体" w:cs="宋体"/>
          <w:snapToGrid w:val="0"/>
          <w:sz w:val="24"/>
          <w:szCs w:val="24"/>
        </w:rPr>
        <w:t>督促乙方对施工人员进行安全入场教育及考试，并要求乙方将安全培训、考试情况备案</w:t>
      </w:r>
      <w:r>
        <w:rPr>
          <w:rFonts w:hint="eastAsia" w:ascii="Times New Roman" w:hAnsi="Times New Roman" w:eastAsia="宋体" w:cs="宋体"/>
          <w:snapToGrid w:val="0"/>
          <w:sz w:val="24"/>
          <w:szCs w:val="24"/>
          <w:lang w:eastAsia="zh-CN"/>
        </w:rPr>
        <w:t>。</w:t>
      </w:r>
    </w:p>
    <w:p w14:paraId="41263F09">
      <w:pPr>
        <w:pStyle w:val="6"/>
        <w:spacing w:line="360" w:lineRule="auto"/>
        <w:ind w:firstLine="480"/>
        <w:rPr>
          <w:rFonts w:hint="eastAsia" w:ascii="Times New Roman" w:hAnsi="Times New Roman" w:eastAsia="宋体" w:cs="宋体"/>
          <w:snapToGrid w:val="0"/>
          <w:sz w:val="24"/>
          <w:szCs w:val="24"/>
          <w:lang w:eastAsia="zh-CN"/>
        </w:rPr>
      </w:pPr>
      <w:r>
        <w:rPr>
          <w:rFonts w:hint="eastAsia" w:ascii="Times New Roman" w:hAnsi="Times New Roman" w:eastAsia="宋体" w:cs="宋体"/>
          <w:snapToGrid w:val="0"/>
          <w:sz w:val="24"/>
          <w:szCs w:val="24"/>
          <w:lang w:val="en-US" w:eastAsia="zh-CN"/>
        </w:rPr>
        <w:t xml:space="preserve">8.6  </w:t>
      </w:r>
      <w:r>
        <w:rPr>
          <w:rFonts w:hint="eastAsia" w:ascii="Times New Roman" w:hAnsi="Times New Roman" w:eastAsia="宋体" w:cs="宋体"/>
          <w:snapToGrid w:val="0"/>
          <w:sz w:val="24"/>
          <w:szCs w:val="24"/>
        </w:rPr>
        <w:t>有权对乙方施工人员的安全教育和安全考试的情况进行抽查或抽考，不合格者不得进入现场施工。若发现有不合格者</w:t>
      </w:r>
      <w:r>
        <w:rPr>
          <w:rFonts w:hint="eastAsia" w:ascii="Times New Roman" w:hAnsi="Times New Roman" w:eastAsia="宋体" w:cs="宋体"/>
          <w:snapToGrid w:val="0"/>
          <w:sz w:val="24"/>
          <w:szCs w:val="24"/>
          <w:lang w:val="en-US" w:eastAsia="zh-CN"/>
        </w:rPr>
        <w:t xml:space="preserve"> </w:t>
      </w:r>
      <w:r>
        <w:rPr>
          <w:rFonts w:hint="eastAsia" w:ascii="Times New Roman" w:hAnsi="Times New Roman" w:eastAsia="宋体" w:cs="宋体"/>
          <w:snapToGrid w:val="0"/>
          <w:sz w:val="24"/>
          <w:szCs w:val="24"/>
        </w:rPr>
        <w:t>或未进行教育考试人员进场后，甲方有权要求退场并根据规定作出考核决定</w:t>
      </w:r>
      <w:r>
        <w:rPr>
          <w:rFonts w:hint="eastAsia" w:ascii="Times New Roman" w:hAnsi="Times New Roman" w:eastAsia="宋体" w:cs="宋体"/>
          <w:snapToGrid w:val="0"/>
          <w:sz w:val="24"/>
          <w:szCs w:val="24"/>
          <w:lang w:eastAsia="zh-CN"/>
        </w:rPr>
        <w:t>。</w:t>
      </w:r>
    </w:p>
    <w:p w14:paraId="7D933FAF">
      <w:pPr>
        <w:pStyle w:val="6"/>
        <w:spacing w:line="360" w:lineRule="auto"/>
        <w:ind w:firstLine="480"/>
        <w:outlineLvl w:val="0"/>
        <w:rPr>
          <w:b/>
          <w:color w:val="000000" w:themeColor="text1"/>
          <w:kern w:val="0"/>
          <w:sz w:val="24"/>
          <w14:textFill>
            <w14:solidFill>
              <w14:schemeClr w14:val="tx1"/>
            </w14:solidFill>
          </w14:textFill>
        </w:rPr>
      </w:pPr>
      <w:r>
        <w:rPr>
          <w:rFonts w:ascii="Times New Roman" w:hAnsi="Times New Roman"/>
          <w:b/>
          <w:color w:val="000000" w:themeColor="text1"/>
          <w:kern w:val="0"/>
          <w:sz w:val="24"/>
          <w14:textFill>
            <w14:solidFill>
              <w14:schemeClr w14:val="tx1"/>
            </w14:solidFill>
          </w14:textFill>
        </w:rPr>
        <w:t xml:space="preserve">9. </w:t>
      </w:r>
      <w:r>
        <w:rPr>
          <w:rFonts w:hint="eastAsia" w:ascii="Times New Roman" w:hAnsi="Times New Roman"/>
          <w:b/>
          <w:color w:val="000000" w:themeColor="text1"/>
          <w:kern w:val="0"/>
          <w:sz w:val="24"/>
          <w14:textFill>
            <w14:solidFill>
              <w14:schemeClr w14:val="tx1"/>
            </w14:solidFill>
          </w14:textFill>
        </w:rPr>
        <w:t>乙方责任</w:t>
      </w:r>
      <w:bookmarkEnd w:id="59"/>
      <w:bookmarkEnd w:id="60"/>
      <w:bookmarkEnd w:id="61"/>
      <w:bookmarkEnd w:id="62"/>
      <w:bookmarkEnd w:id="63"/>
      <w:bookmarkEnd w:id="64"/>
    </w:p>
    <w:p w14:paraId="3CCBB7BE">
      <w:pPr>
        <w:spacing w:line="360" w:lineRule="auto"/>
        <w:ind w:firstLine="480" w:firstLineChars="200"/>
        <w:rPr>
          <w:rFonts w:hint="eastAsia" w:ascii="Times New Roman" w:hAnsi="Times New Roman"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 xml:space="preserve">9.1  </w:t>
      </w:r>
      <w:r>
        <w:rPr>
          <w:rFonts w:hint="eastAsia" w:ascii="Times New Roman" w:hAnsi="Times New Roman" w:eastAsia="宋体" w:cs="宋体"/>
          <w:snapToGrid w:val="0"/>
          <w:kern w:val="0"/>
          <w:sz w:val="24"/>
          <w:szCs w:val="24"/>
          <w:lang w:val="zh-CN" w:eastAsia="zh-CN" w:bidi="zh-CN"/>
        </w:rPr>
        <w:t>在整个工作期间，始终与甲方保持联系，并汇报工作进展情况</w:t>
      </w:r>
      <w:r>
        <w:rPr>
          <w:rFonts w:hint="eastAsia" w:ascii="Times New Roman" w:hAnsi="Times New Roman" w:cs="宋体"/>
          <w:snapToGrid w:val="0"/>
          <w:kern w:val="0"/>
          <w:sz w:val="24"/>
          <w:szCs w:val="24"/>
          <w:lang w:val="zh-CN" w:eastAsia="zh-CN" w:bidi="zh-CN"/>
        </w:rPr>
        <w:t>，</w:t>
      </w:r>
      <w:r>
        <w:rPr>
          <w:rFonts w:hint="eastAsia" w:ascii="Times New Roman" w:hAnsi="Times New Roman" w:eastAsia="宋体" w:cs="宋体"/>
          <w:snapToGrid w:val="0"/>
          <w:kern w:val="0"/>
          <w:sz w:val="24"/>
          <w:szCs w:val="24"/>
          <w:lang w:val="zh-CN" w:eastAsia="zh-CN" w:bidi="zh-CN"/>
        </w:rPr>
        <w:t>确保观测成果质量</w:t>
      </w:r>
      <w:r>
        <w:rPr>
          <w:rFonts w:hint="eastAsia" w:ascii="Times New Roman" w:hAnsi="Times New Roman" w:cs="宋体"/>
          <w:snapToGrid w:val="0"/>
          <w:kern w:val="0"/>
          <w:sz w:val="24"/>
          <w:szCs w:val="24"/>
          <w:lang w:val="zh-CN" w:eastAsia="zh-CN" w:bidi="zh-CN"/>
        </w:rPr>
        <w:t>。</w:t>
      </w:r>
    </w:p>
    <w:p w14:paraId="1C9D6DF1">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2</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按约定的文件项目、时间及份数，向甲方交付相应内容的报告文件，并对委托范围内的报告文件的完整性、准确性负责。</w:t>
      </w:r>
    </w:p>
    <w:p w14:paraId="65D595E4">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3</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乙方应严格按照本合同规定及甲方的要求进行本项目的相应工作，支持甲方工作安排，尊重甲方意见，及时向甲方汇报工作进展情况。对甲方提出的修改意见，乙方应予以重视、及时反馈意见，并使甲方满意</w:t>
      </w:r>
      <w:r>
        <w:rPr>
          <w:rFonts w:hint="eastAsia" w:ascii="Times New Roman" w:hAnsi="Times New Roman" w:cs="宋体"/>
          <w:snapToGrid w:val="0"/>
          <w:kern w:val="0"/>
          <w:sz w:val="24"/>
          <w:szCs w:val="24"/>
          <w:lang w:val="zh-CN" w:eastAsia="zh-CN" w:bidi="zh-CN"/>
        </w:rPr>
        <w:t>。</w:t>
      </w:r>
    </w:p>
    <w:p w14:paraId="70C38CBD">
      <w:pPr>
        <w:spacing w:line="360" w:lineRule="auto"/>
        <w:ind w:firstLine="480" w:firstLineChars="200"/>
        <w:rPr>
          <w:rFonts w:hint="eastAsia" w:ascii="Times New Roman" w:hAnsi="Times New Roman"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cs="宋体"/>
          <w:snapToGrid w:val="0"/>
          <w:kern w:val="0"/>
          <w:sz w:val="24"/>
          <w:szCs w:val="24"/>
          <w:lang w:val="en-US" w:eastAsia="zh-CN" w:bidi="zh-CN"/>
        </w:rPr>
        <w:t>4</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按照合同的规定和投标书中有关质量方面的承诺，进行安全监测的组织和具体实施，保证质量，乙方对报告文件出现的遗漏或错误负责修改或补充</w:t>
      </w:r>
      <w:r>
        <w:rPr>
          <w:rFonts w:hint="eastAsia" w:ascii="Times New Roman" w:hAnsi="Times New Roman" w:cs="宋体"/>
          <w:snapToGrid w:val="0"/>
          <w:kern w:val="0"/>
          <w:sz w:val="24"/>
          <w:szCs w:val="24"/>
          <w:lang w:val="zh-CN" w:eastAsia="zh-CN" w:bidi="zh-CN"/>
        </w:rPr>
        <w:t>。</w:t>
      </w:r>
    </w:p>
    <w:p w14:paraId="41A06939">
      <w:pPr>
        <w:spacing w:line="360" w:lineRule="auto"/>
        <w:ind w:firstLine="480" w:firstLineChars="200"/>
        <w:rPr>
          <w:rFonts w:hint="default" w:ascii="Times New Roman" w:hAnsi="Times New Roman" w:eastAsia="宋体" w:cs="宋体"/>
          <w:snapToGrid w:val="0"/>
          <w:kern w:val="0"/>
          <w:sz w:val="24"/>
          <w:szCs w:val="24"/>
          <w:lang w:val="en-US" w:eastAsia="zh-CN" w:bidi="zh-CN"/>
        </w:rPr>
      </w:pPr>
      <w:r>
        <w:rPr>
          <w:rFonts w:hint="eastAsia" w:ascii="Times New Roman" w:hAnsi="Times New Roman" w:eastAsia="宋体" w:cs="宋体"/>
          <w:snapToGrid w:val="0"/>
          <w:kern w:val="0"/>
          <w:sz w:val="24"/>
          <w:szCs w:val="24"/>
          <w:lang w:val="en-US" w:eastAsia="zh-CN" w:bidi="zh-CN"/>
        </w:rPr>
        <w:t>9.5  乙方不得发生《浙江省能源集团有限公司外包项目安全管理“负面清单”》所列禁止性行为</w:t>
      </w:r>
    </w:p>
    <w:p w14:paraId="695A1C80">
      <w:pPr>
        <w:spacing w:line="360" w:lineRule="auto"/>
        <w:ind w:firstLine="480" w:firstLineChars="200"/>
        <w:rPr>
          <w:rFonts w:ascii="Times New Roman" w:hAnsi="Times New Roman" w:eastAsia="宋体" w:cs="宋体"/>
          <w:snapToGrid w:val="0"/>
          <w:kern w:val="0"/>
          <w:sz w:val="24"/>
          <w:szCs w:val="24"/>
          <w:lang w:val="zh-CN" w:eastAsia="zh-CN" w:bidi="zh-CN"/>
        </w:rPr>
      </w:pPr>
      <w:r>
        <w:rPr>
          <w:rFonts w:ascii="Times New Roman" w:hAnsi="Times New Roman" w:eastAsia="宋体" w:cs="宋体"/>
          <w:snapToGrid w:val="0"/>
          <w:kern w:val="0"/>
          <w:sz w:val="24"/>
          <w:szCs w:val="24"/>
          <w:lang w:val="zh-CN" w:eastAsia="zh-CN" w:bidi="zh-CN"/>
        </w:rPr>
        <w:t>9.</w:t>
      </w:r>
      <w:r>
        <w:rPr>
          <w:rFonts w:hint="eastAsia" w:ascii="Times New Roman" w:hAnsi="Times New Roman" w:eastAsia="宋体" w:cs="宋体"/>
          <w:snapToGrid w:val="0"/>
          <w:kern w:val="0"/>
          <w:sz w:val="24"/>
          <w:szCs w:val="24"/>
          <w:lang w:val="en-US" w:eastAsia="zh-CN" w:bidi="zh-CN"/>
        </w:rPr>
        <w:t>6</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合同生效后，乙方要求终止或解除合同，乙方应双倍返还甲方已支付的服务费</w:t>
      </w:r>
      <w:bookmarkStart w:id="65" w:name="_Toc17006"/>
      <w:bookmarkStart w:id="66" w:name="_Toc444416881"/>
      <w:bookmarkStart w:id="67" w:name="_Toc10015"/>
      <w:bookmarkStart w:id="68" w:name="_Toc6710"/>
      <w:bookmarkStart w:id="69" w:name="_Toc404681499"/>
      <w:bookmarkStart w:id="70" w:name="_Toc406082379"/>
      <w:r>
        <w:rPr>
          <w:rFonts w:hint="eastAsia" w:ascii="Times New Roman" w:hAnsi="Times New Roman" w:eastAsia="宋体" w:cs="宋体"/>
          <w:snapToGrid w:val="0"/>
          <w:kern w:val="0"/>
          <w:sz w:val="24"/>
          <w:szCs w:val="24"/>
          <w:lang w:val="zh-CN" w:eastAsia="zh-CN" w:bidi="zh-CN"/>
        </w:rPr>
        <w:t>。</w:t>
      </w:r>
    </w:p>
    <w:p w14:paraId="12317601">
      <w:pPr>
        <w:spacing w:line="360" w:lineRule="auto"/>
        <w:ind w:firstLine="480" w:firstLineChars="200"/>
        <w:rPr>
          <w:rFonts w:ascii="Times New Roman" w:hAnsi="Times New Roman" w:eastAsia="宋体" w:cs="宋体"/>
          <w:snapToGrid w:val="0"/>
          <w:kern w:val="0"/>
          <w:sz w:val="24"/>
          <w:szCs w:val="24"/>
          <w:lang w:val="zh-CN" w:eastAsia="zh-CN" w:bidi="zh-CN"/>
        </w:rPr>
      </w:pPr>
      <w:r>
        <w:rPr>
          <w:rFonts w:hint="eastAsia" w:ascii="Times New Roman" w:hAnsi="Times New Roman" w:eastAsia="宋体" w:cs="宋体"/>
          <w:snapToGrid w:val="0"/>
          <w:kern w:val="0"/>
          <w:sz w:val="24"/>
          <w:szCs w:val="24"/>
          <w:lang w:val="zh-CN" w:eastAsia="zh-CN" w:bidi="zh-CN"/>
        </w:rPr>
        <w:t>9</w:t>
      </w:r>
      <w:r>
        <w:rPr>
          <w:rFonts w:ascii="Times New Roman" w:hAnsi="Times New Roman" w:eastAsia="宋体" w:cs="宋体"/>
          <w:snapToGrid w:val="0"/>
          <w:kern w:val="0"/>
          <w:sz w:val="24"/>
          <w:szCs w:val="24"/>
          <w:lang w:val="zh-CN" w:eastAsia="zh-CN" w:bidi="zh-CN"/>
        </w:rPr>
        <w:t>.</w:t>
      </w:r>
      <w:r>
        <w:rPr>
          <w:rFonts w:hint="eastAsia" w:ascii="Times New Roman" w:hAnsi="Times New Roman" w:eastAsia="宋体" w:cs="宋体"/>
          <w:snapToGrid w:val="0"/>
          <w:kern w:val="0"/>
          <w:sz w:val="24"/>
          <w:szCs w:val="24"/>
          <w:lang w:val="en-US" w:eastAsia="zh-CN" w:bidi="zh-CN"/>
        </w:rPr>
        <w:t>7</w:t>
      </w:r>
      <w:r>
        <w:rPr>
          <w:rFonts w:ascii="Times New Roman" w:hAnsi="Times New Roman" w:eastAsia="宋体" w:cs="宋体"/>
          <w:snapToGrid w:val="0"/>
          <w:kern w:val="0"/>
          <w:sz w:val="24"/>
          <w:szCs w:val="24"/>
          <w:lang w:val="zh-CN" w:eastAsia="zh-CN" w:bidi="zh-CN"/>
        </w:rPr>
        <w:t xml:space="preserve">  </w:t>
      </w:r>
      <w:r>
        <w:rPr>
          <w:rFonts w:hint="eastAsia" w:ascii="Times New Roman" w:hAnsi="Times New Roman" w:eastAsia="宋体" w:cs="宋体"/>
          <w:snapToGrid w:val="0"/>
          <w:kern w:val="0"/>
          <w:sz w:val="24"/>
          <w:szCs w:val="24"/>
          <w:lang w:val="zh-CN" w:eastAsia="zh-CN" w:bidi="zh-CN"/>
        </w:rPr>
        <w:t>乙方应对参与本次服务的具体工作人员的人身及财产安全负责。</w:t>
      </w:r>
    </w:p>
    <w:bookmarkEnd w:id="65"/>
    <w:bookmarkEnd w:id="66"/>
    <w:bookmarkEnd w:id="67"/>
    <w:bookmarkEnd w:id="68"/>
    <w:bookmarkEnd w:id="69"/>
    <w:bookmarkEnd w:id="70"/>
    <w:p w14:paraId="19E10A20">
      <w:pPr>
        <w:adjustRightInd w:val="0"/>
        <w:snapToGrid w:val="0"/>
        <w:spacing w:line="360" w:lineRule="auto"/>
        <w:ind w:firstLine="480" w:firstLineChars="200"/>
        <w:outlineLvl w:val="0"/>
        <w:rPr>
          <w:b/>
          <w:kern w:val="0"/>
          <w:sz w:val="24"/>
        </w:rPr>
      </w:pPr>
      <w:bookmarkStart w:id="71" w:name="_Toc404681500"/>
      <w:bookmarkStart w:id="72" w:name="_Toc7239"/>
      <w:bookmarkStart w:id="73" w:name="_Toc14053"/>
      <w:bookmarkStart w:id="74" w:name="_Toc444416882"/>
      <w:bookmarkStart w:id="75" w:name="_Toc406082380"/>
      <w:bookmarkStart w:id="76" w:name="_Toc13898"/>
      <w:r>
        <w:rPr>
          <w:b/>
          <w:kern w:val="0"/>
          <w:sz w:val="24"/>
        </w:rPr>
        <w:t>10.</w:t>
      </w:r>
      <w:r>
        <w:rPr>
          <w:rFonts w:hint="eastAsia"/>
          <w:b/>
          <w:kern w:val="0"/>
          <w:sz w:val="24"/>
          <w:lang w:val="en-US" w:eastAsia="zh-CN"/>
        </w:rPr>
        <w:t xml:space="preserve"> </w:t>
      </w:r>
      <w:r>
        <w:rPr>
          <w:rFonts w:hint="eastAsia"/>
          <w:b/>
          <w:kern w:val="0"/>
          <w:sz w:val="24"/>
        </w:rPr>
        <w:t>报告文件的交付</w:t>
      </w:r>
      <w:bookmarkEnd w:id="71"/>
      <w:bookmarkEnd w:id="72"/>
      <w:bookmarkEnd w:id="73"/>
      <w:bookmarkEnd w:id="74"/>
      <w:bookmarkEnd w:id="75"/>
      <w:bookmarkEnd w:id="76"/>
    </w:p>
    <w:p w14:paraId="2DC88E25">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10.1</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满足甲方的进度要求。</w:t>
      </w:r>
    </w:p>
    <w:p w14:paraId="3776B645">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10.2</w:t>
      </w:r>
      <w:r>
        <w:rPr>
          <w:rFonts w:hint="eastAsia" w:ascii="Times New Roman" w:hAnsi="Times New Roman"/>
          <w:snapToGrid w:val="0"/>
          <w:sz w:val="24"/>
          <w:szCs w:val="24"/>
          <w:lang w:val="en-US" w:eastAsia="zh-CN"/>
        </w:rPr>
        <w:t xml:space="preserve">  </w:t>
      </w:r>
      <w:r>
        <w:rPr>
          <w:rFonts w:hint="eastAsia" w:ascii="Times New Roman" w:hAnsi="Times New Roman"/>
          <w:snapToGrid w:val="0"/>
          <w:sz w:val="24"/>
          <w:szCs w:val="24"/>
        </w:rPr>
        <w:t>乙方在提供</w:t>
      </w:r>
      <w:r>
        <w:rPr>
          <w:rFonts w:hint="eastAsia" w:ascii="Times New Roman" w:hAnsi="Times New Roman"/>
          <w:snapToGrid w:val="0"/>
          <w:sz w:val="24"/>
          <w:szCs w:val="24"/>
          <w:lang w:val="en-US" w:eastAsia="zh-CN"/>
        </w:rPr>
        <w:t>2份盖章版</w:t>
      </w:r>
      <w:r>
        <w:rPr>
          <w:rFonts w:hint="eastAsia" w:ascii="Times New Roman" w:hAnsi="Times New Roman"/>
          <w:snapToGrid w:val="0"/>
          <w:sz w:val="24"/>
          <w:szCs w:val="24"/>
        </w:rPr>
        <w:t>纸质文件的同时应提供相应的电子文件（</w:t>
      </w:r>
      <w:r>
        <w:rPr>
          <w:rFonts w:ascii="Times New Roman" w:hAnsi="Times New Roman"/>
          <w:snapToGrid w:val="0"/>
          <w:sz w:val="24"/>
          <w:szCs w:val="24"/>
        </w:rPr>
        <w:t>U</w:t>
      </w:r>
      <w:r>
        <w:rPr>
          <w:rFonts w:hint="eastAsia" w:ascii="Times New Roman" w:hAnsi="Times New Roman"/>
          <w:snapToGrid w:val="0"/>
          <w:sz w:val="24"/>
          <w:szCs w:val="24"/>
        </w:rPr>
        <w:t>盘）。提供的电子文件应满足以下条件：</w:t>
      </w:r>
    </w:p>
    <w:p w14:paraId="7E115987">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w:t>
      </w:r>
      <w:r>
        <w:rPr>
          <w:rFonts w:ascii="Times New Roman" w:hAnsi="Times New Roman"/>
          <w:snapToGrid w:val="0"/>
          <w:sz w:val="24"/>
          <w:szCs w:val="24"/>
        </w:rPr>
        <w:t>1</w:t>
      </w:r>
      <w:r>
        <w:rPr>
          <w:rFonts w:hint="eastAsia" w:ascii="Times New Roman" w:hAnsi="Times New Roman"/>
          <w:snapToGrid w:val="0"/>
          <w:sz w:val="24"/>
          <w:szCs w:val="24"/>
        </w:rPr>
        <w:t>）电子文件应采用与图纸文件编号一一对应的文件命名格式，并具有易读性；</w:t>
      </w:r>
    </w:p>
    <w:p w14:paraId="7D6CD36F">
      <w:pPr>
        <w:pStyle w:val="6"/>
        <w:spacing w:line="360" w:lineRule="auto"/>
        <w:ind w:firstLine="480"/>
        <w:rPr>
          <w:rFonts w:hint="eastAsia" w:ascii="Times New Roman" w:hAnsi="Times New Roman" w:eastAsia="宋体"/>
          <w:snapToGrid w:val="0"/>
          <w:sz w:val="24"/>
          <w:szCs w:val="24"/>
          <w:lang w:eastAsia="zh-CN"/>
        </w:rPr>
      </w:pPr>
      <w:r>
        <w:rPr>
          <w:rFonts w:hint="eastAsia" w:ascii="Times New Roman" w:hAnsi="Times New Roman"/>
          <w:snapToGrid w:val="0"/>
          <w:sz w:val="24"/>
          <w:szCs w:val="24"/>
        </w:rPr>
        <w:t>（</w:t>
      </w:r>
      <w:r>
        <w:rPr>
          <w:rFonts w:ascii="Times New Roman" w:hAnsi="Times New Roman"/>
          <w:snapToGrid w:val="0"/>
          <w:sz w:val="24"/>
          <w:szCs w:val="24"/>
        </w:rPr>
        <w:t>2</w:t>
      </w:r>
      <w:r>
        <w:rPr>
          <w:rFonts w:hint="eastAsia" w:ascii="Times New Roman" w:hAnsi="Times New Roman"/>
          <w:snapToGrid w:val="0"/>
          <w:sz w:val="24"/>
          <w:szCs w:val="24"/>
        </w:rPr>
        <w:t>）每次提供的电子文件应附相应的目录，目录中应包含文件名称、编号、电子文件名称等信息</w:t>
      </w:r>
      <w:bookmarkStart w:id="77" w:name="_Toc444416883"/>
      <w:bookmarkStart w:id="78" w:name="_Toc404681503"/>
      <w:bookmarkStart w:id="79" w:name="_Toc406082382"/>
      <w:bookmarkStart w:id="80" w:name="_Toc13008"/>
      <w:bookmarkStart w:id="81" w:name="_Toc13315"/>
      <w:bookmarkStart w:id="82" w:name="_Toc9415"/>
      <w:r>
        <w:rPr>
          <w:rFonts w:hint="eastAsia" w:ascii="Times New Roman" w:hAnsi="Times New Roman"/>
          <w:snapToGrid w:val="0"/>
          <w:sz w:val="24"/>
          <w:szCs w:val="24"/>
          <w:lang w:eastAsia="zh-CN"/>
        </w:rPr>
        <w:t>。</w:t>
      </w:r>
    </w:p>
    <w:p w14:paraId="64A00713">
      <w:pPr>
        <w:pStyle w:val="6"/>
        <w:spacing w:line="360" w:lineRule="auto"/>
        <w:ind w:firstLine="480"/>
        <w:rPr>
          <w:rFonts w:hint="eastAsia" w:ascii="Times New Roman" w:hAnsi="Times New Roman"/>
          <w:snapToGrid w:val="0"/>
          <w:sz w:val="24"/>
          <w:szCs w:val="24"/>
          <w:highlight w:val="none"/>
        </w:rPr>
      </w:pPr>
      <w:r>
        <w:rPr>
          <w:rFonts w:ascii="Times New Roman" w:hAnsi="Times New Roman"/>
          <w:snapToGrid w:val="0"/>
          <w:sz w:val="24"/>
          <w:szCs w:val="24"/>
          <w:highlight w:val="none"/>
        </w:rPr>
        <w:t xml:space="preserve">10.3 </w:t>
      </w:r>
      <w:r>
        <w:rPr>
          <w:rFonts w:hint="eastAsia" w:ascii="Times New Roman" w:hAnsi="Times New Roman"/>
          <w:snapToGrid w:val="0"/>
          <w:sz w:val="24"/>
          <w:szCs w:val="24"/>
          <w:highlight w:val="none"/>
          <w:lang w:val="en-US" w:eastAsia="zh-CN"/>
        </w:rPr>
        <w:t xml:space="preserve"> 安全监测报告</w:t>
      </w:r>
      <w:r>
        <w:rPr>
          <w:rFonts w:hint="eastAsia" w:ascii="Times New Roman" w:hAnsi="Times New Roman"/>
          <w:snapToGrid w:val="0"/>
          <w:sz w:val="24"/>
          <w:szCs w:val="24"/>
          <w:highlight w:val="none"/>
        </w:rPr>
        <w:t>分月报和年报，月报在每月监测数据完成后</w:t>
      </w:r>
      <w:r>
        <w:rPr>
          <w:rFonts w:hint="eastAsia" w:ascii="Times New Roman" w:hAnsi="Times New Roman"/>
          <w:snapToGrid w:val="0"/>
          <w:sz w:val="24"/>
          <w:szCs w:val="24"/>
          <w:highlight w:val="none"/>
          <w:u w:val="single"/>
        </w:rPr>
        <w:t>下月</w:t>
      </w:r>
      <w:r>
        <w:rPr>
          <w:rFonts w:hint="eastAsia" w:ascii="Times New Roman" w:hAnsi="Times New Roman"/>
          <w:snapToGrid w:val="0"/>
          <w:sz w:val="24"/>
          <w:szCs w:val="24"/>
          <w:highlight w:val="none"/>
          <w:u w:val="single"/>
          <w:lang w:val="en-US" w:eastAsia="zh-CN"/>
        </w:rPr>
        <w:t>10</w:t>
      </w:r>
      <w:r>
        <w:rPr>
          <w:rFonts w:hint="eastAsia" w:ascii="Times New Roman" w:hAnsi="Times New Roman"/>
          <w:snapToGrid w:val="0"/>
          <w:sz w:val="24"/>
          <w:szCs w:val="24"/>
          <w:highlight w:val="none"/>
          <w:u w:val="single"/>
        </w:rPr>
        <w:t>日前</w:t>
      </w:r>
      <w:r>
        <w:rPr>
          <w:rFonts w:hint="eastAsia" w:ascii="Times New Roman" w:hAnsi="Times New Roman"/>
          <w:snapToGrid w:val="0"/>
          <w:sz w:val="24"/>
          <w:szCs w:val="24"/>
          <w:highlight w:val="none"/>
        </w:rPr>
        <w:t>编写完成报告并上报给甲方；年报在本年度监测结束后</w:t>
      </w:r>
      <w:r>
        <w:rPr>
          <w:rFonts w:hint="eastAsia" w:ascii="Times New Roman" w:hAnsi="Times New Roman"/>
          <w:snapToGrid w:val="0"/>
          <w:sz w:val="24"/>
          <w:szCs w:val="24"/>
          <w:highlight w:val="none"/>
          <w:u w:val="single"/>
        </w:rPr>
        <w:t>1个月内</w:t>
      </w:r>
      <w:r>
        <w:rPr>
          <w:rFonts w:hint="eastAsia" w:ascii="Times New Roman" w:hAnsi="Times New Roman"/>
          <w:snapToGrid w:val="0"/>
          <w:sz w:val="24"/>
          <w:szCs w:val="24"/>
          <w:highlight w:val="none"/>
        </w:rPr>
        <w:t>完成编写并上报给甲方。</w:t>
      </w:r>
    </w:p>
    <w:p w14:paraId="42D75E00">
      <w:pPr>
        <w:pStyle w:val="6"/>
        <w:spacing w:line="360" w:lineRule="auto"/>
        <w:ind w:firstLine="480"/>
        <w:rPr>
          <w:rFonts w:hint="eastAsia" w:ascii="Times New Roman" w:hAnsi="Times New Roman" w:eastAsia="宋体"/>
          <w:snapToGrid w:val="0"/>
          <w:sz w:val="24"/>
          <w:szCs w:val="24"/>
          <w:highlight w:val="none"/>
          <w:lang w:val="en-US" w:eastAsia="zh-CN"/>
        </w:rPr>
      </w:pPr>
      <w:r>
        <w:rPr>
          <w:rFonts w:hint="eastAsia" w:ascii="Times New Roman" w:hAnsi="Times New Roman"/>
          <w:snapToGrid w:val="0"/>
          <w:sz w:val="24"/>
          <w:szCs w:val="24"/>
          <w:highlight w:val="none"/>
          <w:lang w:val="en-US" w:eastAsia="zh-CN"/>
        </w:rPr>
        <w:t>10.4  沉降监测相关监测报告在每次完成陆上集控中心沉降监测、海缆登陆段电缆沟沉降观测监测及海上升压站不均匀沉降工作内容后</w:t>
      </w:r>
      <w:r>
        <w:rPr>
          <w:rFonts w:hint="eastAsia" w:ascii="Times New Roman" w:hAnsi="Times New Roman"/>
          <w:snapToGrid w:val="0"/>
          <w:sz w:val="24"/>
          <w:szCs w:val="24"/>
          <w:highlight w:val="none"/>
          <w:u w:val="single"/>
          <w:lang w:val="en-US" w:eastAsia="zh-CN"/>
        </w:rPr>
        <w:t>15日内</w:t>
      </w:r>
      <w:r>
        <w:rPr>
          <w:rFonts w:hint="eastAsia" w:ascii="Times New Roman" w:hAnsi="Times New Roman"/>
          <w:snapToGrid w:val="0"/>
          <w:sz w:val="24"/>
          <w:szCs w:val="24"/>
          <w:highlight w:val="none"/>
          <w:lang w:val="en-US" w:eastAsia="zh-CN"/>
        </w:rPr>
        <w:t>完成编制</w:t>
      </w:r>
      <w:r>
        <w:rPr>
          <w:rFonts w:hint="eastAsia" w:ascii="Times New Roman" w:hAnsi="Times New Roman"/>
          <w:snapToGrid w:val="0"/>
          <w:sz w:val="24"/>
          <w:szCs w:val="24"/>
          <w:highlight w:val="none"/>
        </w:rPr>
        <w:t>并上报给甲方</w:t>
      </w:r>
      <w:r>
        <w:rPr>
          <w:rFonts w:hint="eastAsia" w:ascii="Times New Roman" w:hAnsi="Times New Roman"/>
          <w:snapToGrid w:val="0"/>
          <w:sz w:val="24"/>
          <w:szCs w:val="24"/>
          <w:highlight w:val="none"/>
          <w:lang w:eastAsia="zh-CN"/>
        </w:rPr>
        <w:t>。</w:t>
      </w:r>
    </w:p>
    <w:p w14:paraId="2979F241">
      <w:pPr>
        <w:adjustRightInd w:val="0"/>
        <w:snapToGrid w:val="0"/>
        <w:spacing w:line="360" w:lineRule="auto"/>
        <w:ind w:firstLine="480" w:firstLineChars="200"/>
        <w:outlineLvl w:val="0"/>
        <w:rPr>
          <w:b/>
          <w:kern w:val="0"/>
          <w:sz w:val="24"/>
        </w:rPr>
      </w:pPr>
      <w:r>
        <w:rPr>
          <w:b/>
          <w:kern w:val="0"/>
          <w:sz w:val="24"/>
        </w:rPr>
        <w:t xml:space="preserve">11. </w:t>
      </w:r>
      <w:r>
        <w:rPr>
          <w:rFonts w:hint="eastAsia"/>
          <w:b/>
          <w:kern w:val="0"/>
          <w:sz w:val="24"/>
        </w:rPr>
        <w:t>分包与转让</w:t>
      </w:r>
      <w:bookmarkEnd w:id="77"/>
      <w:bookmarkEnd w:id="78"/>
      <w:bookmarkEnd w:id="79"/>
      <w:bookmarkEnd w:id="80"/>
      <w:bookmarkEnd w:id="81"/>
      <w:bookmarkEnd w:id="82"/>
    </w:p>
    <w:p w14:paraId="2CD94440">
      <w:pPr>
        <w:pStyle w:val="6"/>
        <w:spacing w:line="360" w:lineRule="auto"/>
        <w:ind w:firstLine="480"/>
        <w:rPr>
          <w:rFonts w:ascii="Times New Roman" w:hAnsi="Times New Roman"/>
          <w:snapToGrid w:val="0"/>
          <w:sz w:val="24"/>
          <w:szCs w:val="24"/>
        </w:rPr>
      </w:pPr>
      <w:r>
        <w:rPr>
          <w:rFonts w:hint="eastAsia" w:ascii="Times New Roman" w:hAnsi="Times New Roman"/>
          <w:snapToGrid w:val="0"/>
          <w:sz w:val="24"/>
          <w:szCs w:val="24"/>
        </w:rPr>
        <w:t>未经甲方许可，乙方不得分包和转让合同权利义务。</w:t>
      </w:r>
      <w:bookmarkStart w:id="83" w:name="_Toc404681504"/>
      <w:bookmarkStart w:id="84" w:name="_Toc444416884"/>
      <w:bookmarkStart w:id="85" w:name="_Toc7630"/>
      <w:bookmarkStart w:id="86" w:name="_Toc26564"/>
      <w:bookmarkStart w:id="87" w:name="_Toc406082383"/>
      <w:bookmarkStart w:id="88" w:name="_Toc24558"/>
    </w:p>
    <w:p w14:paraId="740C108C">
      <w:pPr>
        <w:adjustRightInd w:val="0"/>
        <w:snapToGrid w:val="0"/>
        <w:spacing w:line="360" w:lineRule="auto"/>
        <w:ind w:firstLine="480" w:firstLineChars="200"/>
        <w:outlineLvl w:val="0"/>
        <w:rPr>
          <w:b/>
          <w:kern w:val="0"/>
          <w:sz w:val="24"/>
        </w:rPr>
      </w:pPr>
      <w:r>
        <w:rPr>
          <w:b/>
          <w:kern w:val="0"/>
          <w:sz w:val="24"/>
        </w:rPr>
        <w:t xml:space="preserve">12. </w:t>
      </w:r>
      <w:r>
        <w:rPr>
          <w:rFonts w:hint="eastAsia"/>
          <w:b/>
          <w:kern w:val="0"/>
          <w:sz w:val="24"/>
        </w:rPr>
        <w:t>保密</w:t>
      </w:r>
      <w:bookmarkEnd w:id="83"/>
      <w:bookmarkEnd w:id="84"/>
      <w:bookmarkEnd w:id="85"/>
      <w:bookmarkEnd w:id="86"/>
      <w:bookmarkEnd w:id="87"/>
      <w:bookmarkEnd w:id="88"/>
    </w:p>
    <w:p w14:paraId="633DD70F">
      <w:pPr>
        <w:adjustRightInd w:val="0"/>
        <w:snapToGrid w:val="0"/>
        <w:spacing w:line="360" w:lineRule="auto"/>
        <w:ind w:firstLine="480" w:firstLineChars="200"/>
        <w:rPr>
          <w:snapToGrid w:val="0"/>
          <w:sz w:val="24"/>
          <w:szCs w:val="24"/>
        </w:rPr>
      </w:pPr>
      <w:r>
        <w:rPr>
          <w:rFonts w:hint="eastAsia"/>
          <w:snapToGrid w:val="0"/>
          <w:sz w:val="24"/>
          <w:szCs w:val="24"/>
        </w:rPr>
        <w:t>本合同项下所有工作成果均归属于甲方，乙方享有署名权。双方均应保护对方的知识产权，未经对方同意，任何一方均不得对对方的资料、文件及图纸擅自修改或向第三人转让或用于本合同项目外的项目。如发生以上情况，泄密方承担一切由此引起的后果并承担赔偿责任。</w:t>
      </w:r>
      <w:bookmarkStart w:id="89" w:name="_Toc32562"/>
      <w:bookmarkStart w:id="90" w:name="_Toc404681505"/>
      <w:bookmarkStart w:id="91" w:name="_Toc12186"/>
      <w:bookmarkStart w:id="92" w:name="_Toc406082384"/>
      <w:bookmarkStart w:id="93" w:name="_Toc444416885"/>
      <w:bookmarkStart w:id="94" w:name="_Toc31198"/>
    </w:p>
    <w:p w14:paraId="74DF7555">
      <w:pPr>
        <w:adjustRightInd w:val="0"/>
        <w:snapToGrid w:val="0"/>
        <w:spacing w:line="360" w:lineRule="auto"/>
        <w:ind w:firstLine="480" w:firstLineChars="200"/>
        <w:outlineLvl w:val="0"/>
        <w:rPr>
          <w:b/>
          <w:kern w:val="0"/>
          <w:sz w:val="24"/>
        </w:rPr>
      </w:pPr>
      <w:r>
        <w:rPr>
          <w:b/>
          <w:kern w:val="0"/>
          <w:sz w:val="24"/>
        </w:rPr>
        <w:t xml:space="preserve">13. </w:t>
      </w:r>
      <w:r>
        <w:rPr>
          <w:rFonts w:hint="eastAsia"/>
          <w:b/>
          <w:kern w:val="0"/>
          <w:sz w:val="24"/>
        </w:rPr>
        <w:t>不可抗力</w:t>
      </w:r>
      <w:bookmarkEnd w:id="89"/>
      <w:bookmarkEnd w:id="90"/>
      <w:bookmarkEnd w:id="91"/>
      <w:bookmarkEnd w:id="92"/>
      <w:bookmarkEnd w:id="93"/>
      <w:bookmarkEnd w:id="94"/>
    </w:p>
    <w:p w14:paraId="274F49D7">
      <w:pPr>
        <w:pStyle w:val="6"/>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13.1  </w:t>
      </w:r>
      <w:r>
        <w:rPr>
          <w:rFonts w:hint="eastAsia" w:ascii="Times New Roman" w:hAnsi="Times New Roman"/>
          <w:snapToGrid w:val="0"/>
          <w:sz w:val="24"/>
          <w:szCs w:val="24"/>
        </w:rPr>
        <w:t>不可抗力包括战争、动乱、空中飞行物坠落或其他非甲方、乙方责任造成的爆炸、火灾以及重大自然灾害。</w:t>
      </w:r>
      <w:r>
        <w:rPr>
          <w:rFonts w:ascii="Times New Roman" w:hAnsi="Times New Roman"/>
          <w:snapToGrid w:val="0"/>
          <w:sz w:val="24"/>
          <w:szCs w:val="24"/>
        </w:rPr>
        <w:cr/>
      </w:r>
      <w:r>
        <w:rPr>
          <w:rFonts w:ascii="Times New Roman" w:hAnsi="Times New Roman"/>
          <w:snapToGrid w:val="0"/>
          <w:sz w:val="24"/>
          <w:szCs w:val="24"/>
        </w:rPr>
        <w:t xml:space="preserve">    13.2  </w:t>
      </w:r>
      <w:r>
        <w:rPr>
          <w:rFonts w:hint="eastAsia" w:ascii="Times New Roman" w:hAnsi="Times New Roman"/>
          <w:snapToGrid w:val="0"/>
          <w:sz w:val="24"/>
          <w:szCs w:val="24"/>
        </w:rPr>
        <w:t>不可抗力事件发生后，乙方应立即通知甲方。不可抗力事件结束后</w:t>
      </w:r>
      <w:r>
        <w:rPr>
          <w:rFonts w:ascii="Times New Roman" w:hAnsi="Times New Roman"/>
          <w:snapToGrid w:val="0"/>
          <w:sz w:val="24"/>
          <w:szCs w:val="24"/>
        </w:rPr>
        <w:t>48</w:t>
      </w:r>
      <w:r>
        <w:rPr>
          <w:rFonts w:hint="eastAsia" w:ascii="Times New Roman" w:hAnsi="Times New Roman"/>
          <w:snapToGrid w:val="0"/>
          <w:sz w:val="24"/>
          <w:szCs w:val="24"/>
        </w:rPr>
        <w:t>小时内，乙方须向甲方通报受损情况，并提出可能顺延的工期。顺延工期双方另行签订补充协议。</w:t>
      </w:r>
      <w:r>
        <w:rPr>
          <w:rFonts w:ascii="Times New Roman" w:hAnsi="Times New Roman"/>
          <w:snapToGrid w:val="0"/>
          <w:sz w:val="24"/>
          <w:szCs w:val="24"/>
        </w:rPr>
        <w:cr/>
      </w:r>
      <w:r>
        <w:rPr>
          <w:rFonts w:ascii="Times New Roman" w:hAnsi="Times New Roman"/>
          <w:snapToGrid w:val="0"/>
          <w:sz w:val="24"/>
          <w:szCs w:val="24"/>
        </w:rPr>
        <w:t xml:space="preserve">    13.3  </w:t>
      </w:r>
      <w:r>
        <w:rPr>
          <w:rFonts w:hint="eastAsia" w:ascii="Times New Roman" w:hAnsi="Times New Roman"/>
          <w:snapToGrid w:val="0"/>
          <w:sz w:val="24"/>
          <w:szCs w:val="24"/>
        </w:rPr>
        <w:t>因不可抗力造成的人身伤害、财产损失，各自承担。</w:t>
      </w:r>
      <w:bookmarkStart w:id="95" w:name="_Toc28524"/>
      <w:bookmarkStart w:id="96" w:name="_Toc404681506"/>
      <w:bookmarkStart w:id="97" w:name="_Toc406082385"/>
      <w:bookmarkStart w:id="98" w:name="_Toc32753"/>
      <w:bookmarkStart w:id="99" w:name="_Toc26577"/>
      <w:bookmarkStart w:id="100" w:name="_Toc444416886"/>
    </w:p>
    <w:p w14:paraId="03726C2A">
      <w:pPr>
        <w:adjustRightInd w:val="0"/>
        <w:snapToGrid w:val="0"/>
        <w:spacing w:line="360" w:lineRule="auto"/>
        <w:ind w:firstLine="480" w:firstLineChars="200"/>
        <w:outlineLvl w:val="0"/>
        <w:rPr>
          <w:b/>
          <w:kern w:val="0"/>
          <w:sz w:val="24"/>
        </w:rPr>
      </w:pPr>
      <w:r>
        <w:rPr>
          <w:b/>
          <w:kern w:val="0"/>
          <w:sz w:val="24"/>
        </w:rPr>
        <w:t xml:space="preserve">14. </w:t>
      </w:r>
      <w:r>
        <w:rPr>
          <w:rFonts w:hint="eastAsia"/>
          <w:b/>
          <w:kern w:val="0"/>
          <w:sz w:val="24"/>
        </w:rPr>
        <w:t>合同的变更和解除</w:t>
      </w:r>
      <w:bookmarkEnd w:id="95"/>
      <w:bookmarkEnd w:id="96"/>
      <w:bookmarkEnd w:id="97"/>
      <w:bookmarkEnd w:id="98"/>
      <w:bookmarkEnd w:id="99"/>
      <w:bookmarkEnd w:id="100"/>
    </w:p>
    <w:p w14:paraId="40B2D075">
      <w:pPr>
        <w:pStyle w:val="6"/>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14.1  </w:t>
      </w:r>
      <w:r>
        <w:rPr>
          <w:rFonts w:hint="eastAsia" w:ascii="Times New Roman" w:hAnsi="Times New Roman"/>
          <w:snapToGrid w:val="0"/>
          <w:sz w:val="24"/>
          <w:szCs w:val="24"/>
        </w:rPr>
        <w:t>甲方和乙方协商一致，可以变更和解除合同；</w:t>
      </w:r>
    </w:p>
    <w:p w14:paraId="55BD1BC2">
      <w:pPr>
        <w:pStyle w:val="6"/>
        <w:snapToGrid/>
        <w:spacing w:line="360" w:lineRule="auto"/>
        <w:ind w:firstLine="480"/>
        <w:rPr>
          <w:rFonts w:ascii="Times New Roman" w:hAnsi="Times New Roman"/>
          <w:snapToGrid w:val="0"/>
          <w:sz w:val="24"/>
          <w:szCs w:val="24"/>
        </w:rPr>
      </w:pPr>
      <w:r>
        <w:rPr>
          <w:rFonts w:ascii="Times New Roman" w:hAnsi="Times New Roman"/>
          <w:snapToGrid w:val="0"/>
          <w:sz w:val="24"/>
          <w:szCs w:val="24"/>
        </w:rPr>
        <w:t xml:space="preserve">14.2  </w:t>
      </w:r>
      <w:r>
        <w:rPr>
          <w:rFonts w:hint="eastAsia" w:ascii="Times New Roman" w:hAnsi="Times New Roman"/>
          <w:snapToGrid w:val="0"/>
          <w:sz w:val="24"/>
          <w:szCs w:val="24"/>
        </w:rPr>
        <w:t>乙方要求变更或解除合同时，应在一个月前以书面形式通知甲方，在承担合同约定违约责任的同时，并赔偿由此给甲方造成的直接或间接损失，赔偿金额不超过合同金额。</w:t>
      </w:r>
    </w:p>
    <w:p w14:paraId="0FFE774C">
      <w:pPr>
        <w:pStyle w:val="6"/>
        <w:spacing w:line="360" w:lineRule="auto"/>
        <w:ind w:left="440" w:leftChars="200" w:firstLine="0" w:firstLineChars="0"/>
        <w:rPr>
          <w:rFonts w:ascii="Times New Roman" w:hAnsi="Times New Roman"/>
          <w:snapToGrid w:val="0"/>
          <w:sz w:val="24"/>
          <w:szCs w:val="24"/>
        </w:rPr>
      </w:pPr>
      <w:r>
        <w:rPr>
          <w:rFonts w:ascii="Times New Roman" w:hAnsi="Times New Roman"/>
          <w:snapToGrid w:val="0"/>
          <w:sz w:val="24"/>
          <w:szCs w:val="24"/>
        </w:rPr>
        <w:t xml:space="preserve">14.3  </w:t>
      </w:r>
      <w:r>
        <w:rPr>
          <w:rFonts w:hint="eastAsia" w:ascii="Times New Roman" w:hAnsi="Times New Roman"/>
          <w:snapToGrid w:val="0"/>
          <w:sz w:val="24"/>
          <w:szCs w:val="24"/>
        </w:rPr>
        <w:t>由于不可抗力因素致使合同无法履行时，双方应及时协商解决。</w:t>
      </w:r>
      <w:bookmarkStart w:id="101" w:name="_Toc12128"/>
      <w:bookmarkStart w:id="102" w:name="_Toc17284"/>
      <w:bookmarkStart w:id="103" w:name="_Toc404681507"/>
      <w:bookmarkStart w:id="104" w:name="_Toc444416887"/>
      <w:bookmarkStart w:id="105" w:name="_Toc28929"/>
      <w:bookmarkStart w:id="106" w:name="_Toc406082386"/>
    </w:p>
    <w:p w14:paraId="6E1848C0">
      <w:pPr>
        <w:adjustRightInd w:val="0"/>
        <w:snapToGrid w:val="0"/>
        <w:spacing w:line="360" w:lineRule="auto"/>
        <w:ind w:firstLine="480" w:firstLineChars="200"/>
        <w:outlineLvl w:val="0"/>
        <w:rPr>
          <w:b/>
          <w:kern w:val="0"/>
          <w:sz w:val="24"/>
        </w:rPr>
      </w:pPr>
      <w:r>
        <w:rPr>
          <w:b/>
          <w:kern w:val="0"/>
          <w:sz w:val="24"/>
        </w:rPr>
        <w:t xml:space="preserve">15. </w:t>
      </w:r>
      <w:r>
        <w:rPr>
          <w:rFonts w:hint="eastAsia"/>
          <w:b/>
          <w:kern w:val="0"/>
          <w:sz w:val="24"/>
        </w:rPr>
        <w:t>违约责任</w:t>
      </w:r>
      <w:bookmarkEnd w:id="101"/>
      <w:bookmarkEnd w:id="102"/>
      <w:bookmarkEnd w:id="103"/>
      <w:bookmarkEnd w:id="104"/>
      <w:bookmarkEnd w:id="105"/>
      <w:bookmarkEnd w:id="106"/>
    </w:p>
    <w:p w14:paraId="76A27BF4">
      <w:pPr>
        <w:pStyle w:val="6"/>
        <w:snapToGrid/>
        <w:spacing w:line="360" w:lineRule="auto"/>
        <w:ind w:firstLine="480"/>
        <w:rPr>
          <w:rFonts w:hint="eastAsia" w:ascii="Times New Roman" w:hAnsi="Times New Roman"/>
          <w:snapToGrid w:val="0"/>
          <w:sz w:val="24"/>
          <w:szCs w:val="24"/>
        </w:rPr>
      </w:pPr>
      <w:r>
        <w:rPr>
          <w:rFonts w:ascii="Times New Roman" w:hAnsi="Times New Roman"/>
          <w:snapToGrid w:val="0"/>
          <w:sz w:val="24"/>
          <w:szCs w:val="24"/>
        </w:rPr>
        <w:t xml:space="preserve">15.1  </w:t>
      </w:r>
      <w:r>
        <w:rPr>
          <w:rFonts w:hint="eastAsia" w:ascii="Times New Roman" w:hAnsi="Times New Roman"/>
          <w:snapToGrid w:val="0"/>
          <w:sz w:val="24"/>
          <w:szCs w:val="24"/>
        </w:rPr>
        <w:t>甲方或乙方违反合同规定造成损失的应承担违约责任。</w:t>
      </w:r>
    </w:p>
    <w:p w14:paraId="3BBEDFB2">
      <w:pPr>
        <w:pStyle w:val="6"/>
        <w:snapToGrid/>
        <w:spacing w:line="360" w:lineRule="auto"/>
        <w:ind w:firstLine="480"/>
        <w:rPr>
          <w:rFonts w:hint="default" w:ascii="Times New Roman" w:hAnsi="Times New Roman" w:eastAsia="宋体"/>
          <w:snapToGrid w:val="0"/>
          <w:sz w:val="24"/>
          <w:szCs w:val="24"/>
          <w:lang w:val="en-US" w:eastAsia="zh-CN"/>
        </w:rPr>
      </w:pPr>
      <w:r>
        <w:rPr>
          <w:rFonts w:hint="eastAsia" w:ascii="Times New Roman" w:hAnsi="Times New Roman"/>
          <w:snapToGrid w:val="0"/>
          <w:sz w:val="24"/>
          <w:szCs w:val="24"/>
          <w:lang w:val="en-US" w:eastAsia="zh-CN"/>
        </w:rPr>
        <w:t xml:space="preserve">15.2  </w:t>
      </w:r>
      <w:r>
        <w:rPr>
          <w:rFonts w:hint="eastAsia" w:ascii="Times New Roman" w:hAnsi="Times New Roman"/>
          <w:snapToGrid w:val="0"/>
          <w:sz w:val="24"/>
        </w:rPr>
        <w:t>因</w:t>
      </w:r>
      <w:r>
        <w:rPr>
          <w:rFonts w:hint="eastAsia" w:ascii="Times New Roman" w:hAnsi="Times New Roman"/>
          <w:snapToGrid w:val="0"/>
          <w:sz w:val="24"/>
          <w:lang w:val="en-US" w:eastAsia="zh-CN"/>
        </w:rPr>
        <w:t>乙方</w:t>
      </w:r>
      <w:r>
        <w:rPr>
          <w:rFonts w:hint="eastAsia" w:ascii="Times New Roman" w:hAnsi="Times New Roman"/>
          <w:snapToGrid w:val="0"/>
          <w:sz w:val="24"/>
        </w:rPr>
        <w:t>工作错误造成的损失，</w:t>
      </w:r>
      <w:r>
        <w:rPr>
          <w:rFonts w:hint="eastAsia" w:ascii="Times New Roman" w:hAnsi="Times New Roman"/>
          <w:snapToGrid w:val="0"/>
          <w:sz w:val="24"/>
          <w:lang w:val="en-US" w:eastAsia="zh-CN"/>
        </w:rPr>
        <w:t>乙方</w:t>
      </w:r>
      <w:r>
        <w:rPr>
          <w:rFonts w:hint="eastAsia" w:ascii="Times New Roman" w:hAnsi="Times New Roman"/>
          <w:snapToGrid w:val="0"/>
          <w:sz w:val="24"/>
        </w:rPr>
        <w:t>除负责采取补救措施外，</w:t>
      </w:r>
      <w:r>
        <w:rPr>
          <w:rFonts w:ascii="宋体" w:hAnsi="宋体" w:eastAsia="宋体" w:cs="宋体"/>
          <w:sz w:val="24"/>
          <w:szCs w:val="24"/>
        </w:rPr>
        <w:t>还应免收损失部分对应的服务费，并按照损失程度向甲方赔偿实际损失</w:t>
      </w:r>
      <w:r>
        <w:rPr>
          <w:rFonts w:hint="eastAsia" w:ascii="Times New Roman" w:hAnsi="Times New Roman"/>
          <w:snapToGrid w:val="0"/>
          <w:sz w:val="24"/>
        </w:rPr>
        <w:t>。</w:t>
      </w:r>
    </w:p>
    <w:p w14:paraId="09765835">
      <w:pPr>
        <w:pStyle w:val="6"/>
        <w:snapToGrid/>
        <w:spacing w:line="360" w:lineRule="auto"/>
        <w:ind w:firstLine="480"/>
        <w:rPr>
          <w:rFonts w:hint="eastAsia" w:ascii="Times New Roman" w:hAnsi="Times New Roman" w:eastAsia="宋体"/>
          <w:snapToGrid w:val="0"/>
          <w:sz w:val="24"/>
          <w:szCs w:val="24"/>
          <w:lang w:eastAsia="zh-CN"/>
        </w:rPr>
      </w:pPr>
      <w:r>
        <w:rPr>
          <w:rFonts w:ascii="Times New Roman" w:hAnsi="Times New Roman"/>
          <w:snapToGrid w:val="0"/>
          <w:sz w:val="24"/>
          <w:szCs w:val="24"/>
        </w:rPr>
        <w:t xml:space="preserve">15.2  </w:t>
      </w:r>
      <w:r>
        <w:rPr>
          <w:rFonts w:ascii="宋体" w:hAnsi="宋体" w:eastAsia="宋体" w:cs="宋体"/>
          <w:sz w:val="24"/>
          <w:szCs w:val="24"/>
        </w:rPr>
        <w:t>因乙方自身原因，未能按期交付每期规定的报告文件，每延误一期，乙方应</w:t>
      </w:r>
      <w:r>
        <w:rPr>
          <w:rFonts w:hint="eastAsia" w:hAnsi="宋体" w:cs="宋体"/>
          <w:sz w:val="24"/>
          <w:szCs w:val="24"/>
          <w:lang w:val="en-US" w:eastAsia="zh-CN"/>
        </w:rPr>
        <w:t>按</w:t>
      </w:r>
      <w:r>
        <w:rPr>
          <w:rFonts w:hint="eastAsia" w:ascii="Times New Roman" w:hAnsi="Times New Roman"/>
          <w:snapToGrid w:val="0"/>
          <w:sz w:val="24"/>
        </w:rPr>
        <w:t>1000元/期</w:t>
      </w:r>
      <w:r>
        <w:rPr>
          <w:rFonts w:ascii="宋体" w:hAnsi="宋体" w:eastAsia="宋体" w:cs="宋体"/>
          <w:sz w:val="24"/>
          <w:szCs w:val="24"/>
        </w:rPr>
        <w:t>支付违约金</w:t>
      </w:r>
      <w:r>
        <w:rPr>
          <w:rFonts w:hint="eastAsia" w:hAnsi="宋体" w:cs="宋体"/>
          <w:sz w:val="24"/>
          <w:szCs w:val="24"/>
          <w:lang w:eastAsia="zh-CN"/>
        </w:rPr>
        <w:t>。</w:t>
      </w:r>
    </w:p>
    <w:p w14:paraId="5BA24015">
      <w:pPr>
        <w:pStyle w:val="6"/>
        <w:spacing w:line="360" w:lineRule="auto"/>
        <w:ind w:firstLine="480"/>
        <w:rPr>
          <w:rFonts w:ascii="Times New Roman" w:hAnsi="Times New Roman"/>
          <w:snapToGrid w:val="0"/>
          <w:sz w:val="24"/>
        </w:rPr>
      </w:pPr>
      <w:r>
        <w:rPr>
          <w:rFonts w:ascii="Times New Roman" w:hAnsi="Times New Roman"/>
          <w:snapToGrid w:val="0"/>
          <w:sz w:val="24"/>
          <w:szCs w:val="24"/>
        </w:rPr>
        <w:t xml:space="preserve">15.3  </w:t>
      </w:r>
      <w:r>
        <w:rPr>
          <w:rFonts w:hint="eastAsia" w:ascii="Times New Roman" w:hAnsi="Times New Roman"/>
          <w:snapToGrid w:val="0"/>
          <w:sz w:val="24"/>
          <w:szCs w:val="24"/>
          <w:lang w:val="en-US" w:eastAsia="zh-CN"/>
        </w:rPr>
        <w:t>若</w:t>
      </w:r>
      <w:r>
        <w:rPr>
          <w:rFonts w:hint="eastAsia" w:ascii="Times New Roman" w:hAnsi="Times New Roman"/>
          <w:snapToGrid w:val="0"/>
          <w:sz w:val="24"/>
          <w:szCs w:val="24"/>
        </w:rPr>
        <w:t>甲方提交基础资料及文件超过规定期限</w:t>
      </w:r>
      <w:r>
        <w:rPr>
          <w:rFonts w:hint="eastAsia" w:ascii="Times New Roman" w:hAnsi="Times New Roman"/>
          <w:snapToGrid w:val="0"/>
          <w:sz w:val="24"/>
        </w:rPr>
        <w:t>，</w:t>
      </w:r>
      <w:r>
        <w:rPr>
          <w:rFonts w:ascii="宋体" w:hAnsi="宋体" w:eastAsia="宋体" w:cs="宋体"/>
          <w:sz w:val="24"/>
          <w:szCs w:val="24"/>
        </w:rPr>
        <w:t>则乙方交付相应技术资料及文件的期限相应顺延</w:t>
      </w:r>
      <w:r>
        <w:rPr>
          <w:rFonts w:hint="eastAsia" w:ascii="Times New Roman" w:hAnsi="Times New Roman"/>
          <w:snapToGrid w:val="0"/>
          <w:sz w:val="24"/>
        </w:rPr>
        <w:t>。</w:t>
      </w:r>
    </w:p>
    <w:p w14:paraId="2D500920">
      <w:pPr>
        <w:pStyle w:val="6"/>
        <w:spacing w:line="360" w:lineRule="auto"/>
        <w:ind w:firstLine="480"/>
        <w:rPr>
          <w:rFonts w:hint="eastAsia" w:ascii="Times New Roman" w:hAnsi="Times New Roman"/>
          <w:snapToGrid w:val="0"/>
          <w:sz w:val="24"/>
        </w:rPr>
      </w:pPr>
      <w:r>
        <w:rPr>
          <w:rFonts w:hint="eastAsia" w:ascii="Times New Roman" w:hAnsi="Times New Roman"/>
          <w:snapToGrid w:val="0"/>
          <w:sz w:val="24"/>
          <w:lang w:val="en-US" w:eastAsia="zh-CN"/>
        </w:rPr>
        <w:t xml:space="preserve">15.4  </w:t>
      </w:r>
      <w:r>
        <w:rPr>
          <w:rFonts w:hint="eastAsia" w:ascii="Times New Roman" w:hAnsi="Times New Roman"/>
          <w:snapToGrid w:val="0"/>
          <w:sz w:val="24"/>
        </w:rPr>
        <w:t>安全监测设备发生缺陷，</w:t>
      </w:r>
      <w:r>
        <w:rPr>
          <w:rFonts w:ascii="宋体" w:hAnsi="宋体" w:eastAsia="宋体" w:cs="宋体"/>
          <w:sz w:val="24"/>
          <w:szCs w:val="24"/>
        </w:rPr>
        <w:t>乙方未能在缺陷发后</w:t>
      </w:r>
      <w:r>
        <w:rPr>
          <w:rFonts w:hint="eastAsia" w:hAnsi="宋体" w:cs="宋体"/>
          <w:sz w:val="24"/>
          <w:szCs w:val="24"/>
          <w:lang w:val="en-US" w:eastAsia="zh-CN"/>
        </w:rPr>
        <w:t>的</w:t>
      </w:r>
      <w:r>
        <w:rPr>
          <w:rFonts w:ascii="宋体" w:hAnsi="宋体" w:eastAsia="宋体" w:cs="宋体"/>
          <w:sz w:val="24"/>
          <w:szCs w:val="24"/>
        </w:rPr>
        <w:t>15日内出海完成消缺工作的，乙方应</w:t>
      </w:r>
      <w:r>
        <w:rPr>
          <w:rFonts w:hint="eastAsia" w:hAnsi="宋体" w:cs="宋体"/>
          <w:sz w:val="24"/>
          <w:szCs w:val="24"/>
          <w:lang w:val="en-US" w:eastAsia="zh-CN"/>
        </w:rPr>
        <w:t>按</w:t>
      </w:r>
      <w:r>
        <w:rPr>
          <w:rFonts w:hint="eastAsia" w:ascii="Times New Roman" w:hAnsi="Times New Roman"/>
          <w:snapToGrid w:val="0"/>
          <w:sz w:val="24"/>
        </w:rPr>
        <w:t>500元/次</w:t>
      </w:r>
      <w:r>
        <w:rPr>
          <w:rFonts w:ascii="宋体" w:hAnsi="宋体" w:eastAsia="宋体" w:cs="宋体"/>
          <w:sz w:val="24"/>
          <w:szCs w:val="24"/>
        </w:rPr>
        <w:t>支付违约金</w:t>
      </w:r>
      <w:r>
        <w:rPr>
          <w:rFonts w:hint="eastAsia" w:ascii="Times New Roman" w:hAnsi="Times New Roman"/>
          <w:snapToGrid w:val="0"/>
          <w:sz w:val="24"/>
        </w:rPr>
        <w:t>。</w:t>
      </w:r>
    </w:p>
    <w:p w14:paraId="294345C7">
      <w:pPr>
        <w:pStyle w:val="6"/>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15.5  甲方</w:t>
      </w:r>
      <w:r>
        <w:rPr>
          <w:rFonts w:hint="eastAsia" w:ascii="Times New Roman" w:hAnsi="Times New Roman"/>
          <w:snapToGrid w:val="0"/>
          <w:sz w:val="24"/>
        </w:rPr>
        <w:t>对监测报告提出意见后，</w:t>
      </w:r>
      <w:r>
        <w:rPr>
          <w:rFonts w:ascii="宋体" w:hAnsi="宋体" w:eastAsia="宋体" w:cs="宋体"/>
          <w:sz w:val="24"/>
          <w:szCs w:val="24"/>
        </w:rPr>
        <w:t>乙方未能在当月内答复或完成整改的</w:t>
      </w:r>
      <w:r>
        <w:rPr>
          <w:rFonts w:hint="eastAsia" w:ascii="Times New Roman" w:hAnsi="Times New Roman"/>
          <w:snapToGrid w:val="0"/>
          <w:sz w:val="24"/>
        </w:rPr>
        <w:t>，</w:t>
      </w:r>
      <w:r>
        <w:rPr>
          <w:rFonts w:ascii="宋体" w:hAnsi="宋体" w:eastAsia="宋体" w:cs="宋体"/>
          <w:sz w:val="24"/>
          <w:szCs w:val="24"/>
        </w:rPr>
        <w:t>乙方应</w:t>
      </w:r>
      <w:r>
        <w:rPr>
          <w:rFonts w:hint="eastAsia" w:hAnsi="宋体" w:cs="宋体"/>
          <w:sz w:val="24"/>
          <w:szCs w:val="24"/>
          <w:lang w:val="en-US" w:eastAsia="zh-CN"/>
        </w:rPr>
        <w:t>按</w:t>
      </w:r>
      <w:r>
        <w:rPr>
          <w:rFonts w:hint="eastAsia" w:ascii="Times New Roman" w:hAnsi="Times New Roman"/>
          <w:snapToGrid w:val="0"/>
          <w:sz w:val="24"/>
        </w:rPr>
        <w:t>1000元/次</w:t>
      </w:r>
      <w:r>
        <w:rPr>
          <w:rFonts w:ascii="宋体" w:hAnsi="宋体" w:eastAsia="宋体" w:cs="宋体"/>
          <w:sz w:val="24"/>
          <w:szCs w:val="24"/>
        </w:rPr>
        <w:t>支付违约金</w:t>
      </w:r>
      <w:r>
        <w:rPr>
          <w:rFonts w:hint="eastAsia" w:ascii="Times New Roman" w:hAnsi="Times New Roman"/>
          <w:snapToGrid w:val="0"/>
          <w:sz w:val="24"/>
        </w:rPr>
        <w:t>。</w:t>
      </w:r>
    </w:p>
    <w:p w14:paraId="30F384B4">
      <w:pPr>
        <w:pStyle w:val="6"/>
        <w:spacing w:line="360" w:lineRule="auto"/>
        <w:ind w:firstLine="480"/>
        <w:rPr>
          <w:rFonts w:hint="eastAsia" w:ascii="Times New Roman" w:hAnsi="Times New Roman"/>
          <w:snapToGrid w:val="0"/>
          <w:sz w:val="24"/>
        </w:rPr>
      </w:pPr>
      <w:r>
        <w:rPr>
          <w:rFonts w:ascii="Times New Roman" w:hAnsi="Times New Roman"/>
          <w:snapToGrid w:val="0"/>
          <w:sz w:val="24"/>
        </w:rPr>
        <w:t>15.</w:t>
      </w:r>
      <w:r>
        <w:rPr>
          <w:rFonts w:hint="eastAsia" w:ascii="Times New Roman" w:hAnsi="Times New Roman"/>
          <w:snapToGrid w:val="0"/>
          <w:sz w:val="24"/>
          <w:lang w:val="en-US" w:eastAsia="zh-CN"/>
        </w:rPr>
        <w:t>6</w:t>
      </w:r>
      <w:r>
        <w:rPr>
          <w:rFonts w:ascii="Times New Roman" w:hAnsi="Times New Roman"/>
          <w:snapToGrid w:val="0"/>
          <w:sz w:val="24"/>
        </w:rPr>
        <w:t xml:space="preserve">  </w:t>
      </w:r>
      <w:r>
        <w:rPr>
          <w:rFonts w:hint="eastAsia" w:ascii="Times New Roman" w:hAnsi="Times New Roman"/>
          <w:snapToGrid w:val="0"/>
          <w:sz w:val="24"/>
        </w:rPr>
        <w:t>在合同履行期间，因非乙方原因，甲方要求终止或解除合同，乙方未开展服务工作的，退还甲方已付款项，甲方有权但无义务根据实际情况给予乙方适当的补偿；已开始工作的，甲方应根据乙方已进行的实际工作量支付。</w:t>
      </w:r>
      <w:bookmarkStart w:id="107" w:name="_Toc17136"/>
      <w:bookmarkStart w:id="108" w:name="_Toc444416888"/>
      <w:bookmarkStart w:id="109" w:name="_Toc404681508"/>
      <w:bookmarkStart w:id="110" w:name="_Toc4090"/>
      <w:bookmarkStart w:id="111" w:name="_Toc406082387"/>
      <w:bookmarkStart w:id="112" w:name="_Toc24857"/>
    </w:p>
    <w:bookmarkEnd w:id="107"/>
    <w:bookmarkEnd w:id="108"/>
    <w:bookmarkEnd w:id="109"/>
    <w:bookmarkEnd w:id="110"/>
    <w:bookmarkEnd w:id="111"/>
    <w:bookmarkEnd w:id="112"/>
    <w:p w14:paraId="776CDCF8">
      <w:pPr>
        <w:adjustRightInd w:val="0"/>
        <w:snapToGrid w:val="0"/>
        <w:spacing w:line="360" w:lineRule="auto"/>
        <w:ind w:firstLine="480" w:firstLineChars="200"/>
        <w:rPr>
          <w:b/>
          <w:kern w:val="0"/>
          <w:sz w:val="24"/>
        </w:rPr>
      </w:pPr>
      <w:bookmarkStart w:id="113" w:name="_Toc406082388"/>
      <w:bookmarkStart w:id="114" w:name="_Toc404681509"/>
      <w:bookmarkStart w:id="115" w:name="_Toc14436"/>
      <w:bookmarkStart w:id="116" w:name="_Toc444416889"/>
      <w:bookmarkStart w:id="117" w:name="_Toc15581"/>
      <w:bookmarkStart w:id="118" w:name="_Toc28271"/>
      <w:r>
        <w:rPr>
          <w:rFonts w:hint="eastAsia"/>
          <w:b/>
          <w:kern w:val="0"/>
          <w:sz w:val="24"/>
          <w:lang w:val="en-US" w:eastAsia="zh-CN"/>
        </w:rPr>
        <w:t>16</w:t>
      </w:r>
      <w:r>
        <w:rPr>
          <w:b/>
          <w:kern w:val="0"/>
          <w:sz w:val="24"/>
        </w:rPr>
        <w:t xml:space="preserve">. </w:t>
      </w:r>
      <w:r>
        <w:rPr>
          <w:rFonts w:hint="eastAsia"/>
          <w:b/>
          <w:kern w:val="0"/>
          <w:sz w:val="24"/>
        </w:rPr>
        <w:t>合同争议的解决</w:t>
      </w:r>
      <w:bookmarkEnd w:id="113"/>
      <w:bookmarkEnd w:id="114"/>
      <w:bookmarkEnd w:id="115"/>
      <w:bookmarkEnd w:id="116"/>
      <w:bookmarkEnd w:id="117"/>
      <w:bookmarkEnd w:id="118"/>
    </w:p>
    <w:p w14:paraId="1659DD16">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.1  </w:t>
      </w:r>
      <w:r>
        <w:rPr>
          <w:rFonts w:hint="eastAsia" w:ascii="Times New Roman" w:hAnsi="Times New Roman"/>
          <w:snapToGrid w:val="0"/>
          <w:sz w:val="24"/>
        </w:rPr>
        <w:t>甲乙双方因合同发生争议时，双方应通过友好协商解决，协商不成，提交甲方单位所在地法院诉讼解决。</w:t>
      </w:r>
    </w:p>
    <w:p w14:paraId="6AD7D34B">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.2  </w:t>
      </w:r>
      <w:r>
        <w:rPr>
          <w:rFonts w:hint="eastAsia" w:ascii="Times New Roman" w:hAnsi="Times New Roman"/>
          <w:snapToGrid w:val="0"/>
          <w:sz w:val="24"/>
        </w:rPr>
        <w:t>因诉讼而引发的包含诉讼费、律师费在内的实际发生的全部费用，均由败诉方承担。</w:t>
      </w:r>
    </w:p>
    <w:p w14:paraId="141B6CF9">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16</w:t>
      </w:r>
      <w:r>
        <w:rPr>
          <w:rFonts w:ascii="Times New Roman" w:hAnsi="Times New Roman"/>
          <w:snapToGrid w:val="0"/>
          <w:sz w:val="24"/>
        </w:rPr>
        <w:t xml:space="preserve">.3  </w:t>
      </w:r>
      <w:r>
        <w:rPr>
          <w:rFonts w:hint="eastAsia" w:ascii="Times New Roman" w:hAnsi="Times New Roman"/>
          <w:snapToGrid w:val="0"/>
          <w:sz w:val="24"/>
        </w:rPr>
        <w:t>诉讼期间除与诉讼有关的部分外，双方应继续履行合同规定的各自的义务。</w:t>
      </w:r>
      <w:bookmarkStart w:id="119" w:name="_Toc17845"/>
      <w:bookmarkStart w:id="120" w:name="_Toc404681510"/>
      <w:bookmarkStart w:id="121" w:name="_Toc406082389"/>
      <w:bookmarkStart w:id="122" w:name="_Toc20562"/>
      <w:bookmarkStart w:id="123" w:name="_Toc5657"/>
      <w:bookmarkStart w:id="124" w:name="_Toc444416890"/>
    </w:p>
    <w:p w14:paraId="682083F9">
      <w:pPr>
        <w:adjustRightInd w:val="0"/>
        <w:snapToGrid w:val="0"/>
        <w:spacing w:line="360" w:lineRule="auto"/>
        <w:ind w:firstLine="480" w:firstLineChars="200"/>
        <w:rPr>
          <w:b/>
          <w:kern w:val="0"/>
          <w:sz w:val="24"/>
        </w:rPr>
      </w:pPr>
      <w:r>
        <w:rPr>
          <w:rFonts w:hint="eastAsia"/>
          <w:b/>
          <w:kern w:val="0"/>
          <w:sz w:val="24"/>
          <w:lang w:val="en-US" w:eastAsia="zh-CN"/>
        </w:rPr>
        <w:t>17</w:t>
      </w:r>
      <w:r>
        <w:rPr>
          <w:b/>
          <w:kern w:val="0"/>
          <w:sz w:val="24"/>
        </w:rPr>
        <w:t xml:space="preserve">. </w:t>
      </w:r>
      <w:r>
        <w:rPr>
          <w:rFonts w:hint="eastAsia"/>
          <w:b/>
          <w:kern w:val="0"/>
          <w:sz w:val="24"/>
        </w:rPr>
        <w:t>合同生效及其他</w:t>
      </w:r>
      <w:bookmarkEnd w:id="119"/>
      <w:bookmarkEnd w:id="120"/>
      <w:bookmarkEnd w:id="121"/>
      <w:bookmarkEnd w:id="122"/>
      <w:bookmarkEnd w:id="123"/>
      <w:bookmarkEnd w:id="124"/>
    </w:p>
    <w:p w14:paraId="3C6918E8">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.1  </w:t>
      </w:r>
      <w:r>
        <w:rPr>
          <w:rFonts w:hint="eastAsia" w:ascii="Times New Roman" w:hAnsi="Times New Roman"/>
          <w:snapToGrid w:val="0"/>
          <w:sz w:val="24"/>
        </w:rPr>
        <w:t>未尽事宜，经双方协商一致，签订补充协议，补充协议与本合同具有同等效力。</w:t>
      </w:r>
    </w:p>
    <w:p w14:paraId="466C8B2E">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.2  </w:t>
      </w:r>
      <w:r>
        <w:rPr>
          <w:rFonts w:hint="eastAsia" w:ascii="Times New Roman" w:hAnsi="Times New Roman"/>
          <w:snapToGrid w:val="0"/>
          <w:sz w:val="24"/>
        </w:rPr>
        <w:t>合同执行过程中，如遇国家重大政策和技术管理规定变化，合同双方可另行商议相关费用并签署补充合同。</w:t>
      </w:r>
    </w:p>
    <w:p w14:paraId="2EECC8FE">
      <w:pPr>
        <w:pStyle w:val="6"/>
        <w:adjustRightInd/>
        <w:snapToGrid/>
        <w:spacing w:line="360" w:lineRule="auto"/>
        <w:ind w:firstLine="480"/>
        <w:rPr>
          <w:rFonts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.3  </w:t>
      </w:r>
      <w:r>
        <w:rPr>
          <w:rFonts w:hint="eastAsia" w:ascii="Times New Roman" w:hAnsi="Times New Roman"/>
          <w:snapToGrid w:val="0"/>
          <w:sz w:val="24"/>
        </w:rPr>
        <w:t>本合同经双方代表签字或盖章即生效，结清服务费后自行终止。</w:t>
      </w:r>
    </w:p>
    <w:p w14:paraId="22BB5DFF">
      <w:pPr>
        <w:pStyle w:val="6"/>
        <w:adjustRightInd/>
        <w:snapToGrid/>
        <w:spacing w:line="360" w:lineRule="auto"/>
        <w:ind w:left="0" w:leftChars="0" w:firstLine="480" w:firstLineChars="0"/>
        <w:rPr>
          <w:rFonts w:hint="eastAsia" w:ascii="Times New Roman" w:hAnsi="Times New Roman"/>
          <w:snapToGrid w:val="0"/>
          <w:sz w:val="24"/>
        </w:rPr>
      </w:pPr>
      <w:r>
        <w:rPr>
          <w:rFonts w:hint="eastAsia" w:ascii="Times New Roman" w:hAnsi="Times New Roman"/>
          <w:snapToGrid w:val="0"/>
          <w:sz w:val="24"/>
          <w:lang w:val="en-US" w:eastAsia="zh-CN"/>
        </w:rPr>
        <w:t>17</w:t>
      </w:r>
      <w:r>
        <w:rPr>
          <w:rFonts w:ascii="Times New Roman" w:hAnsi="Times New Roman"/>
          <w:snapToGrid w:val="0"/>
          <w:sz w:val="24"/>
        </w:rPr>
        <w:t xml:space="preserve">.4  </w:t>
      </w:r>
      <w:r>
        <w:rPr>
          <w:rFonts w:hint="eastAsia" w:ascii="Times New Roman" w:hAnsi="Times New Roman"/>
          <w:snapToGrid w:val="0"/>
          <w:sz w:val="24"/>
        </w:rPr>
        <w:t>本合同一式肆份，双方各执</w:t>
      </w:r>
      <w:r>
        <w:rPr>
          <w:rFonts w:hint="eastAsia" w:ascii="Times New Roman" w:hAnsi="Times New Roman"/>
          <w:snapToGrid w:val="0"/>
          <w:sz w:val="24"/>
          <w:lang w:val="en-US" w:eastAsia="zh-CN"/>
        </w:rPr>
        <w:t>贰</w:t>
      </w:r>
      <w:r>
        <w:rPr>
          <w:rFonts w:hint="eastAsia" w:ascii="Times New Roman" w:hAnsi="Times New Roman"/>
          <w:snapToGrid w:val="0"/>
          <w:sz w:val="24"/>
        </w:rPr>
        <w:t>份。</w:t>
      </w:r>
    </w:p>
    <w:p w14:paraId="49657986">
      <w:pPr>
        <w:pStyle w:val="6"/>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17.5  合同附件：</w:t>
      </w:r>
    </w:p>
    <w:p w14:paraId="563377FB">
      <w:pPr>
        <w:pStyle w:val="6"/>
        <w:adjustRightInd/>
        <w:snapToGrid/>
        <w:spacing w:line="360" w:lineRule="auto"/>
        <w:ind w:left="0" w:leftChars="0" w:firstLine="480" w:firstLineChars="0"/>
        <w:rPr>
          <w:rFonts w:hint="default" w:ascii="Times New Roman" w:hAnsi="Times New Roman"/>
          <w:snapToGrid w:val="0"/>
          <w:sz w:val="24"/>
          <w:lang w:val="en-US" w:eastAsia="zh-CN"/>
        </w:rPr>
      </w:pPr>
      <w:r>
        <w:rPr>
          <w:rFonts w:hint="eastAsia" w:ascii="Times New Roman" w:hAnsi="Times New Roman"/>
          <w:snapToGrid w:val="0"/>
          <w:sz w:val="24"/>
          <w:lang w:val="en-US" w:eastAsia="zh-CN"/>
        </w:rPr>
        <w:t xml:space="preserve">附件1 </w:t>
      </w:r>
      <w:r>
        <w:rPr>
          <w:rFonts w:hint="eastAsia" w:ascii="Times New Roman" w:hAnsi="Times New Roman"/>
          <w:snapToGrid w:val="0"/>
          <w:sz w:val="24"/>
          <w:szCs w:val="24"/>
          <w:lang w:val="en-US" w:eastAsia="zh-CN"/>
        </w:rPr>
        <w:t>安全绩效考核金执行条款</w:t>
      </w:r>
    </w:p>
    <w:p w14:paraId="7BACA779">
      <w:pPr>
        <w:pStyle w:val="6"/>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附件2 廉洁协议</w:t>
      </w:r>
    </w:p>
    <w:p w14:paraId="27143449">
      <w:pPr>
        <w:pStyle w:val="6"/>
        <w:adjustRightInd/>
        <w:snapToGrid/>
        <w:spacing w:line="360" w:lineRule="auto"/>
        <w:ind w:left="0" w:leftChars="0" w:firstLine="480" w:firstLineChars="0"/>
        <w:rPr>
          <w:rFonts w:hint="eastAsia" w:ascii="Times New Roman" w:hAnsi="Times New Roman"/>
          <w:snapToGrid w:val="0"/>
          <w:sz w:val="24"/>
          <w:lang w:val="en-US" w:eastAsia="zh-CN"/>
        </w:rPr>
      </w:pPr>
      <w:r>
        <w:rPr>
          <w:rFonts w:hint="eastAsia" w:ascii="Times New Roman" w:hAnsi="Times New Roman"/>
          <w:snapToGrid w:val="0"/>
          <w:sz w:val="24"/>
          <w:lang w:val="en-US" w:eastAsia="zh-CN"/>
        </w:rPr>
        <w:t>附件3 安全文明施工协议</w:t>
      </w:r>
    </w:p>
    <w:p w14:paraId="4169C938">
      <w:pPr>
        <w:pStyle w:val="6"/>
        <w:adjustRightInd/>
        <w:snapToGrid/>
        <w:spacing w:line="360" w:lineRule="auto"/>
        <w:ind w:left="0" w:leftChars="0" w:firstLine="480" w:firstLineChars="0"/>
        <w:rPr>
          <w:rFonts w:hint="eastAsia" w:ascii="Times New Roman" w:hAnsi="Times New Roman"/>
          <w:snapToGrid w:val="0"/>
          <w:sz w:val="24"/>
        </w:rPr>
        <w:sectPr>
          <w:pgSz w:w="11906" w:h="16838"/>
          <w:pgMar w:top="1440" w:right="1800" w:bottom="1440" w:left="1800" w:header="851" w:footer="992" w:gutter="0"/>
          <w:cols w:space="425" w:num="1"/>
          <w:docGrid w:type="lines" w:linePitch="312" w:charSpace="0"/>
        </w:sectPr>
      </w:pPr>
      <w:r>
        <w:rPr>
          <w:rFonts w:hint="eastAsia" w:ascii="Times New Roman" w:hAnsi="Times New Roman"/>
          <w:snapToGrid w:val="0"/>
          <w:sz w:val="24"/>
          <w:lang w:val="en-US" w:eastAsia="zh-CN"/>
        </w:rPr>
        <w:t>附件4 技术规范书</w:t>
      </w:r>
      <w:r>
        <w:rPr>
          <w:rFonts w:ascii="Times New Roman" w:hAnsi="Times New Roman"/>
          <w:snapToGrid w:val="0"/>
          <w:sz w:val="24"/>
        </w:rPr>
        <w:cr/>
      </w:r>
      <w:r>
        <w:rPr>
          <w:rFonts w:hint="eastAsia" w:ascii="Times New Roman" w:hAnsi="Times New Roman"/>
          <w:snapToGrid w:val="0"/>
          <w:sz w:val="24"/>
        </w:rPr>
        <w:t>（以下无正文）</w:t>
      </w:r>
    </w:p>
    <w:p w14:paraId="70D8E41C">
      <w:pPr>
        <w:pStyle w:val="6"/>
        <w:spacing w:line="360" w:lineRule="auto"/>
        <w:ind w:left="440" w:leftChars="200" w:firstLine="0" w:firstLineChars="0"/>
        <w:rPr>
          <w:rFonts w:hint="eastAsia" w:ascii="Times New Roman" w:hAnsi="Times New Roman"/>
          <w:snapToGrid w:val="0"/>
          <w:sz w:val="24"/>
        </w:rPr>
      </w:pPr>
    </w:p>
    <w:p w14:paraId="77693D74">
      <w:pPr>
        <w:pStyle w:val="6"/>
        <w:spacing w:line="360" w:lineRule="auto"/>
        <w:ind w:left="420" w:hanging="420" w:hangingChars="175"/>
        <w:jc w:val="center"/>
        <w:rPr>
          <w:rFonts w:ascii="Times New Roman" w:hAnsi="Times New Roman"/>
          <w:snapToGrid w:val="0"/>
          <w:sz w:val="24"/>
        </w:rPr>
      </w:pPr>
      <w:r>
        <w:rPr>
          <w:rFonts w:hint="eastAsia" w:ascii="Times New Roman" w:hAnsi="Times New Roman"/>
          <w:snapToGrid w:val="0"/>
          <w:sz w:val="24"/>
        </w:rPr>
        <w:t>（本页无正文，仅为签署页）</w:t>
      </w:r>
    </w:p>
    <w:tbl>
      <w:tblPr>
        <w:tblStyle w:val="14"/>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979"/>
        <w:gridCol w:w="4979"/>
      </w:tblGrid>
      <w:tr w14:paraId="414CF791">
        <w:trPr>
          <w:trHeight w:val="937" w:hRule="atLeast"/>
        </w:trPr>
        <w:tc>
          <w:tcPr>
            <w:tcW w:w="2500" w:type="pct"/>
            <w:tcBorders>
              <w:top w:val="single" w:color="auto" w:sz="4" w:space="0"/>
              <w:bottom w:val="nil"/>
              <w:right w:val="single" w:color="auto" w:sz="4" w:space="0"/>
            </w:tcBorders>
          </w:tcPr>
          <w:p w14:paraId="39E1564A">
            <w:pPr>
              <w:keepNext w:val="0"/>
              <w:keepLines w:val="0"/>
              <w:suppressLineNumbers w:val="0"/>
              <w:snapToGrid w:val="0"/>
              <w:spacing w:before="0" w:beforeAutospacing="0" w:after="0" w:afterAutospacing="0" w:line="360" w:lineRule="auto"/>
              <w:ind w:left="0" w:right="0"/>
              <w:jc w:val="both"/>
              <w:rPr>
                <w:rFonts w:hint="default" w:ascii="宋体" w:hAnsi="宋体" w:eastAsia="宋体"/>
                <w:kern w:val="0"/>
                <w:sz w:val="24"/>
                <w:szCs w:val="24"/>
                <w:lang w:val="en-US" w:eastAsia="zh-CN"/>
              </w:rPr>
            </w:pPr>
            <w:r>
              <w:rPr>
                <w:rFonts w:hint="eastAsia" w:ascii="宋体" w:hAnsi="宋体"/>
                <w:kern w:val="0"/>
                <w:sz w:val="24"/>
                <w:szCs w:val="24"/>
              </w:rPr>
              <w:t>甲方：</w:t>
            </w:r>
            <w:r>
              <w:rPr>
                <w:rFonts w:hint="eastAsia"/>
                <w:kern w:val="0"/>
                <w:sz w:val="24"/>
                <w:szCs w:val="24"/>
                <w:lang w:val="en-US" w:eastAsia="zh-CN"/>
              </w:rPr>
              <w:t>浙江浙能临海海上风力发电有限公司</w:t>
            </w:r>
          </w:p>
        </w:tc>
        <w:tc>
          <w:tcPr>
            <w:tcW w:w="2500" w:type="pct"/>
            <w:tcBorders>
              <w:left w:val="single" w:color="auto" w:sz="4" w:space="0"/>
            </w:tcBorders>
          </w:tcPr>
          <w:p w14:paraId="084F76EE">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乙方：</w:t>
            </w:r>
          </w:p>
        </w:tc>
      </w:tr>
      <w:tr w14:paraId="5B766458">
        <w:trPr>
          <w:trHeight w:val="478" w:hRule="atLeast"/>
        </w:trPr>
        <w:tc>
          <w:tcPr>
            <w:tcW w:w="2500" w:type="pct"/>
            <w:tcBorders>
              <w:top w:val="nil"/>
              <w:bottom w:val="nil"/>
              <w:right w:val="single" w:color="auto" w:sz="4" w:space="0"/>
            </w:tcBorders>
          </w:tcPr>
          <w:p w14:paraId="1644F814">
            <w:pPr>
              <w:keepNext w:val="0"/>
              <w:keepLines w:val="0"/>
              <w:suppressLineNumbers w:val="0"/>
              <w:snapToGrid w:val="0"/>
              <w:spacing w:before="0" w:beforeAutospacing="0" w:after="0" w:afterAutospacing="0" w:line="360" w:lineRule="auto"/>
              <w:ind w:left="0" w:right="0"/>
              <w:jc w:val="both"/>
              <w:rPr>
                <w:rFonts w:hint="default" w:ascii="Calibri" w:hAnsi="Calibri"/>
                <w:kern w:val="0"/>
                <w:sz w:val="24"/>
                <w:szCs w:val="24"/>
              </w:rPr>
            </w:pPr>
            <w:r>
              <w:rPr>
                <w:rFonts w:hint="eastAsia" w:ascii="宋体" w:hAnsi="宋体"/>
                <w:kern w:val="0"/>
                <w:sz w:val="24"/>
                <w:szCs w:val="24"/>
              </w:rPr>
              <w:t>法定代表人</w:t>
            </w:r>
          </w:p>
          <w:p w14:paraId="16FA25E0">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c>
          <w:tcPr>
            <w:tcW w:w="2500" w:type="pct"/>
            <w:tcBorders>
              <w:left w:val="single" w:color="auto" w:sz="4" w:space="0"/>
            </w:tcBorders>
          </w:tcPr>
          <w:p w14:paraId="485E3272">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法定代表人</w:t>
            </w:r>
          </w:p>
          <w:p w14:paraId="2281BEAF">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r>
      <w:tr w14:paraId="7C5E2613">
        <w:trPr>
          <w:trHeight w:val="956" w:hRule="atLeast"/>
        </w:trPr>
        <w:tc>
          <w:tcPr>
            <w:tcW w:w="2500" w:type="pct"/>
            <w:tcBorders>
              <w:top w:val="nil"/>
              <w:bottom w:val="nil"/>
              <w:right w:val="single" w:color="auto" w:sz="4" w:space="0"/>
            </w:tcBorders>
          </w:tcPr>
          <w:p w14:paraId="4D19BDC9">
            <w:pPr>
              <w:keepNext w:val="0"/>
              <w:keepLines w:val="0"/>
              <w:suppressLineNumbers w:val="0"/>
              <w:snapToGrid w:val="0"/>
              <w:spacing w:before="0" w:beforeAutospacing="0" w:after="0" w:afterAutospacing="0" w:line="360" w:lineRule="auto"/>
              <w:ind w:left="0" w:right="0"/>
              <w:jc w:val="both"/>
              <w:rPr>
                <w:rFonts w:hint="eastAsia" w:ascii="宋体" w:hAnsi="宋体" w:eastAsia="宋体"/>
                <w:kern w:val="0"/>
                <w:sz w:val="24"/>
                <w:szCs w:val="24"/>
                <w:lang w:eastAsia="zh-CN"/>
              </w:rPr>
            </w:pPr>
            <w:r>
              <w:rPr>
                <w:rFonts w:hint="eastAsia"/>
                <w:kern w:val="0"/>
                <w:sz w:val="24"/>
                <w:szCs w:val="24"/>
                <w:lang w:val="en-US" w:eastAsia="zh-CN"/>
              </w:rPr>
              <w:t>联系</w:t>
            </w:r>
            <w:r>
              <w:rPr>
                <w:rFonts w:hint="eastAsia" w:ascii="宋体" w:hAnsi="宋体"/>
                <w:kern w:val="0"/>
                <w:sz w:val="24"/>
                <w:szCs w:val="24"/>
              </w:rPr>
              <w:t>地址</w:t>
            </w:r>
            <w:r>
              <w:rPr>
                <w:rFonts w:hint="eastAsia"/>
                <w:kern w:val="0"/>
                <w:sz w:val="24"/>
                <w:szCs w:val="24"/>
                <w:lang w:eastAsia="zh-CN"/>
              </w:rPr>
              <w:t>：</w:t>
            </w:r>
          </w:p>
        </w:tc>
        <w:tc>
          <w:tcPr>
            <w:tcW w:w="2500" w:type="pct"/>
            <w:tcBorders>
              <w:left w:val="single" w:color="auto" w:sz="4" w:space="0"/>
            </w:tcBorders>
          </w:tcPr>
          <w:p w14:paraId="01C3710B">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kern w:val="0"/>
                <w:sz w:val="24"/>
                <w:szCs w:val="24"/>
                <w:lang w:val="en-US" w:eastAsia="zh-CN"/>
              </w:rPr>
              <w:t>联系</w:t>
            </w:r>
            <w:r>
              <w:rPr>
                <w:rFonts w:hint="eastAsia" w:ascii="宋体" w:hAnsi="宋体"/>
                <w:kern w:val="0"/>
                <w:sz w:val="24"/>
                <w:szCs w:val="24"/>
              </w:rPr>
              <w:t>地址</w:t>
            </w:r>
            <w:r>
              <w:rPr>
                <w:rFonts w:hint="eastAsia"/>
                <w:kern w:val="0"/>
                <w:sz w:val="24"/>
                <w:szCs w:val="24"/>
                <w:lang w:eastAsia="zh-CN"/>
              </w:rPr>
              <w:t>：</w:t>
            </w:r>
          </w:p>
        </w:tc>
      </w:tr>
      <w:tr w14:paraId="3E702D6C">
        <w:trPr>
          <w:trHeight w:val="526" w:hRule="atLeast"/>
        </w:trPr>
        <w:tc>
          <w:tcPr>
            <w:tcW w:w="2500" w:type="pct"/>
            <w:tcBorders>
              <w:top w:val="nil"/>
              <w:bottom w:val="nil"/>
              <w:right w:val="single" w:color="auto" w:sz="4" w:space="0"/>
            </w:tcBorders>
          </w:tcPr>
          <w:p w14:paraId="49C7D329">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开户银行：</w:t>
            </w:r>
          </w:p>
        </w:tc>
        <w:tc>
          <w:tcPr>
            <w:tcW w:w="2500" w:type="pct"/>
            <w:tcBorders>
              <w:left w:val="single" w:color="auto" w:sz="4" w:space="0"/>
            </w:tcBorders>
          </w:tcPr>
          <w:p w14:paraId="0CE019B5">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开户银行：</w:t>
            </w:r>
          </w:p>
        </w:tc>
      </w:tr>
      <w:tr w14:paraId="1ECB5DC6">
        <w:trPr>
          <w:trHeight w:val="478" w:hRule="atLeast"/>
        </w:trPr>
        <w:tc>
          <w:tcPr>
            <w:tcW w:w="2500" w:type="pct"/>
            <w:tcBorders>
              <w:top w:val="nil"/>
              <w:bottom w:val="nil"/>
              <w:right w:val="single" w:color="auto" w:sz="4" w:space="0"/>
            </w:tcBorders>
          </w:tcPr>
          <w:p w14:paraId="654C4F34">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账号：</w:t>
            </w:r>
          </w:p>
        </w:tc>
        <w:tc>
          <w:tcPr>
            <w:tcW w:w="2500" w:type="pct"/>
            <w:tcBorders>
              <w:left w:val="single" w:color="auto" w:sz="4" w:space="0"/>
            </w:tcBorders>
          </w:tcPr>
          <w:p w14:paraId="7323E382">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账号：</w:t>
            </w:r>
          </w:p>
        </w:tc>
      </w:tr>
      <w:tr w14:paraId="1010AA29">
        <w:trPr>
          <w:trHeight w:val="478" w:hRule="atLeast"/>
        </w:trPr>
        <w:tc>
          <w:tcPr>
            <w:tcW w:w="2500" w:type="pct"/>
            <w:tcBorders>
              <w:top w:val="nil"/>
              <w:bottom w:val="nil"/>
              <w:right w:val="single" w:color="auto" w:sz="4" w:space="0"/>
            </w:tcBorders>
          </w:tcPr>
          <w:p w14:paraId="5A228DEB">
            <w:pPr>
              <w:keepNext w:val="0"/>
              <w:keepLines w:val="0"/>
              <w:suppressLineNumbers w:val="0"/>
              <w:snapToGrid w:val="0"/>
              <w:spacing w:before="0" w:beforeAutospacing="0" w:after="0" w:afterAutospacing="0" w:line="360" w:lineRule="auto"/>
              <w:ind w:left="0" w:right="0"/>
              <w:jc w:val="both"/>
              <w:rPr>
                <w:rFonts w:hint="eastAsia" w:ascii="宋体" w:hAnsi="宋体" w:eastAsia="宋体"/>
                <w:sz w:val="24"/>
                <w:szCs w:val="24"/>
                <w:lang w:val="en-US" w:eastAsia="zh-CN"/>
              </w:rPr>
            </w:pPr>
            <w:r>
              <w:rPr>
                <w:rFonts w:hint="eastAsia" w:ascii="宋体" w:hAnsi="宋体"/>
                <w:kern w:val="0"/>
                <w:sz w:val="24"/>
                <w:szCs w:val="24"/>
              </w:rPr>
              <w:t>税号：</w:t>
            </w:r>
          </w:p>
        </w:tc>
        <w:tc>
          <w:tcPr>
            <w:tcW w:w="2500" w:type="pct"/>
            <w:tcBorders>
              <w:left w:val="single" w:color="auto" w:sz="4" w:space="0"/>
            </w:tcBorders>
          </w:tcPr>
          <w:p w14:paraId="047C1149">
            <w:pPr>
              <w:keepNext w:val="0"/>
              <w:keepLines w:val="0"/>
              <w:suppressLineNumbers w:val="0"/>
              <w:snapToGrid w:val="0"/>
              <w:spacing w:before="0" w:beforeAutospacing="0" w:after="0" w:afterAutospacing="0" w:line="360" w:lineRule="auto"/>
              <w:ind w:left="0" w:right="0"/>
              <w:jc w:val="both"/>
              <w:rPr>
                <w:rFonts w:hint="default" w:ascii="宋体" w:hAnsi="宋体"/>
                <w:sz w:val="24"/>
                <w:szCs w:val="24"/>
              </w:rPr>
            </w:pPr>
            <w:r>
              <w:rPr>
                <w:rFonts w:hint="eastAsia" w:ascii="宋体" w:hAnsi="宋体"/>
                <w:kern w:val="0"/>
                <w:sz w:val="24"/>
                <w:szCs w:val="24"/>
              </w:rPr>
              <w:t>税号：</w:t>
            </w:r>
          </w:p>
        </w:tc>
      </w:tr>
      <w:tr w14:paraId="3BA8D5A5">
        <w:trPr>
          <w:trHeight w:val="478" w:hRule="atLeast"/>
        </w:trPr>
        <w:tc>
          <w:tcPr>
            <w:tcW w:w="2500" w:type="pct"/>
            <w:tcBorders>
              <w:top w:val="nil"/>
              <w:bottom w:val="nil"/>
              <w:right w:val="single" w:color="auto" w:sz="4" w:space="0"/>
            </w:tcBorders>
          </w:tcPr>
          <w:p w14:paraId="4E616295">
            <w:pPr>
              <w:keepNext w:val="0"/>
              <w:keepLines w:val="0"/>
              <w:suppressLineNumbers w:val="0"/>
              <w:snapToGrid w:val="0"/>
              <w:spacing w:before="0" w:beforeAutospacing="0" w:after="0" w:afterAutospacing="0" w:line="360" w:lineRule="auto"/>
              <w:ind w:left="0" w:right="0"/>
              <w:jc w:val="both"/>
              <w:rPr>
                <w:rFonts w:hint="eastAsia" w:ascii="宋体" w:hAnsi="宋体"/>
                <w:kern w:val="0"/>
                <w:sz w:val="24"/>
                <w:szCs w:val="24"/>
              </w:rPr>
            </w:pPr>
            <w:r>
              <w:rPr>
                <w:rFonts w:hint="eastAsia" w:ascii="宋体" w:hAnsi="宋体"/>
                <w:kern w:val="0"/>
                <w:sz w:val="24"/>
                <w:szCs w:val="24"/>
              </w:rPr>
              <w:t>联系人：</w:t>
            </w:r>
          </w:p>
        </w:tc>
        <w:tc>
          <w:tcPr>
            <w:tcW w:w="2500" w:type="pct"/>
            <w:tcBorders>
              <w:left w:val="single" w:color="auto" w:sz="4" w:space="0"/>
            </w:tcBorders>
          </w:tcPr>
          <w:p w14:paraId="1EEDC72E">
            <w:pPr>
              <w:keepNext w:val="0"/>
              <w:keepLines w:val="0"/>
              <w:suppressLineNumbers w:val="0"/>
              <w:snapToGrid w:val="0"/>
              <w:spacing w:before="0" w:beforeAutospacing="0" w:after="0" w:afterAutospacing="0" w:line="360" w:lineRule="auto"/>
              <w:ind w:left="0" w:right="0"/>
              <w:jc w:val="both"/>
              <w:rPr>
                <w:rFonts w:hint="eastAsia" w:ascii="宋体" w:hAnsi="宋体"/>
                <w:kern w:val="0"/>
                <w:sz w:val="24"/>
                <w:szCs w:val="24"/>
              </w:rPr>
            </w:pPr>
            <w:r>
              <w:rPr>
                <w:rFonts w:hint="eastAsia" w:ascii="宋体" w:hAnsi="宋体"/>
                <w:kern w:val="0"/>
                <w:sz w:val="24"/>
                <w:szCs w:val="24"/>
              </w:rPr>
              <w:t>联系人：</w:t>
            </w:r>
          </w:p>
        </w:tc>
      </w:tr>
      <w:tr w14:paraId="14D18B44">
        <w:trPr>
          <w:trHeight w:val="478" w:hRule="atLeast"/>
        </w:trPr>
        <w:tc>
          <w:tcPr>
            <w:tcW w:w="2500" w:type="pct"/>
            <w:tcBorders>
              <w:top w:val="nil"/>
              <w:bottom w:val="nil"/>
              <w:right w:val="single" w:color="auto" w:sz="4" w:space="0"/>
            </w:tcBorders>
          </w:tcPr>
          <w:p w14:paraId="75E5BEE5">
            <w:pPr>
              <w:keepNext w:val="0"/>
              <w:keepLines w:val="0"/>
              <w:suppressLineNumbers w:val="0"/>
              <w:snapToGrid w:val="0"/>
              <w:spacing w:before="0" w:beforeAutospacing="0" w:after="0" w:afterAutospacing="0" w:line="360" w:lineRule="auto"/>
              <w:ind w:left="0" w:right="0"/>
              <w:jc w:val="both"/>
              <w:rPr>
                <w:rFonts w:hint="default" w:ascii="宋体" w:hAnsi="宋体" w:eastAsia="宋体"/>
                <w:kern w:val="0"/>
                <w:sz w:val="24"/>
                <w:szCs w:val="24"/>
                <w:lang w:val="en-US" w:eastAsia="zh-CN"/>
              </w:rPr>
            </w:pPr>
            <w:r>
              <w:rPr>
                <w:rFonts w:hint="eastAsia" w:ascii="宋体" w:hAnsi="宋体"/>
                <w:kern w:val="0"/>
                <w:sz w:val="24"/>
                <w:szCs w:val="24"/>
              </w:rPr>
              <w:t>电话：</w:t>
            </w:r>
          </w:p>
        </w:tc>
        <w:tc>
          <w:tcPr>
            <w:tcW w:w="2500" w:type="pct"/>
            <w:tcBorders>
              <w:left w:val="single" w:color="auto" w:sz="4" w:space="0"/>
            </w:tcBorders>
          </w:tcPr>
          <w:p w14:paraId="15A2FA80">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电话：</w:t>
            </w:r>
          </w:p>
        </w:tc>
      </w:tr>
      <w:tr w14:paraId="4E9EA9FB">
        <w:trPr>
          <w:trHeight w:val="478" w:hRule="atLeast"/>
        </w:trPr>
        <w:tc>
          <w:tcPr>
            <w:tcW w:w="2500" w:type="pct"/>
            <w:tcBorders>
              <w:top w:val="nil"/>
              <w:bottom w:val="nil"/>
              <w:right w:val="single" w:color="auto" w:sz="4" w:space="0"/>
            </w:tcBorders>
          </w:tcPr>
          <w:p w14:paraId="1951E458">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传真：</w:t>
            </w:r>
          </w:p>
        </w:tc>
        <w:tc>
          <w:tcPr>
            <w:tcW w:w="2500" w:type="pct"/>
            <w:tcBorders>
              <w:left w:val="single" w:color="auto" w:sz="4" w:space="0"/>
            </w:tcBorders>
          </w:tcPr>
          <w:p w14:paraId="5A7E603A">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传真：</w:t>
            </w:r>
          </w:p>
        </w:tc>
      </w:tr>
      <w:tr w14:paraId="164972D1">
        <w:trPr>
          <w:trHeight w:val="478" w:hRule="atLeast"/>
        </w:trPr>
        <w:tc>
          <w:tcPr>
            <w:tcW w:w="2500" w:type="pct"/>
            <w:tcBorders>
              <w:top w:val="nil"/>
              <w:bottom w:val="single" w:color="auto" w:sz="4" w:space="0"/>
              <w:right w:val="single" w:color="auto" w:sz="4" w:space="0"/>
            </w:tcBorders>
          </w:tcPr>
          <w:p w14:paraId="12D67B97">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eastAsia"/>
                <w:kern w:val="0"/>
                <w:sz w:val="24"/>
                <w:szCs w:val="24"/>
                <w:lang w:val="en-US" w:eastAsia="zh-CN"/>
              </w:rPr>
              <w:t xml:space="preserve">    </w:t>
            </w:r>
            <w:r>
              <w:rPr>
                <w:rFonts w:hint="eastAsia" w:ascii="宋体" w:hAnsi="宋体"/>
                <w:kern w:val="0"/>
                <w:sz w:val="24"/>
                <w:szCs w:val="24"/>
              </w:rPr>
              <w:t>年  月   日</w:t>
            </w:r>
          </w:p>
        </w:tc>
        <w:tc>
          <w:tcPr>
            <w:tcW w:w="2500" w:type="pct"/>
            <w:tcBorders>
              <w:left w:val="single" w:color="auto" w:sz="4" w:space="0"/>
            </w:tcBorders>
          </w:tcPr>
          <w:p w14:paraId="4A55AC7B">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default" w:ascii="宋体" w:hAnsi="宋体"/>
                <w:kern w:val="0"/>
                <w:sz w:val="24"/>
                <w:szCs w:val="24"/>
              </w:rPr>
              <w:t xml:space="preserve"> </w:t>
            </w:r>
            <w:r>
              <w:rPr>
                <w:rFonts w:hint="eastAsia"/>
                <w:kern w:val="0"/>
                <w:sz w:val="24"/>
                <w:szCs w:val="24"/>
                <w:lang w:val="en-US" w:eastAsia="zh-CN"/>
              </w:rPr>
              <w:t xml:space="preserve">     </w:t>
            </w:r>
            <w:r>
              <w:rPr>
                <w:rFonts w:hint="eastAsia" w:ascii="宋体" w:hAnsi="宋体"/>
                <w:kern w:val="0"/>
                <w:sz w:val="24"/>
                <w:szCs w:val="24"/>
              </w:rPr>
              <w:t>年    月    日</w:t>
            </w:r>
          </w:p>
        </w:tc>
      </w:tr>
    </w:tbl>
    <w:p w14:paraId="38A21B05">
      <w:pPr>
        <w:pStyle w:val="6"/>
        <w:spacing w:line="360" w:lineRule="auto"/>
        <w:ind w:left="0" w:leftChars="0" w:firstLine="0" w:firstLineChars="0"/>
        <w:rPr>
          <w:rFonts w:ascii="Times New Roman" w:hAnsi="Times New Roman"/>
          <w:snapToGrid w:val="0"/>
          <w:sz w:val="24"/>
        </w:rPr>
      </w:pPr>
    </w:p>
    <w:p w14:paraId="3155F284">
      <w:pPr>
        <w:pStyle w:val="5"/>
      </w:pPr>
    </w:p>
    <w:p w14:paraId="2AAEBBFD">
      <w:pPr>
        <w:pStyle w:val="5"/>
      </w:pPr>
    </w:p>
    <w:p w14:paraId="2B18F766">
      <w:pPr>
        <w:pStyle w:val="5"/>
      </w:pPr>
    </w:p>
    <w:p w14:paraId="42A6FE41">
      <w:pPr>
        <w:pStyle w:val="5"/>
      </w:pPr>
    </w:p>
    <w:p w14:paraId="44DA515A">
      <w:pPr>
        <w:pStyle w:val="5"/>
      </w:pPr>
    </w:p>
    <w:p w14:paraId="6B5B24BD">
      <w:pPr>
        <w:pStyle w:val="5"/>
      </w:pPr>
    </w:p>
    <w:p w14:paraId="6D84BBC5">
      <w:pPr>
        <w:pStyle w:val="5"/>
      </w:pPr>
    </w:p>
    <w:p w14:paraId="0785F85A">
      <w:pPr>
        <w:pStyle w:val="5"/>
      </w:pPr>
    </w:p>
    <w:p w14:paraId="3FDCCFBC">
      <w:pPr>
        <w:pStyle w:val="5"/>
      </w:pPr>
    </w:p>
    <w:p w14:paraId="3CB26480">
      <w:pPr>
        <w:pStyle w:val="5"/>
      </w:pPr>
    </w:p>
    <w:p w14:paraId="2DF26286">
      <w:pPr>
        <w:pStyle w:val="5"/>
      </w:pPr>
    </w:p>
    <w:p w14:paraId="29E95AE3">
      <w:pPr>
        <w:pStyle w:val="5"/>
        <w:sectPr>
          <w:pgSz w:w="11906" w:h="16838"/>
          <w:pgMar w:top="1440" w:right="1080" w:bottom="1440" w:left="1080" w:header="851" w:footer="992" w:gutter="0"/>
          <w:cols w:space="425" w:num="1"/>
          <w:docGrid w:type="lines" w:linePitch="312" w:charSpace="0"/>
        </w:sectPr>
      </w:pPr>
    </w:p>
    <w:p w14:paraId="65B34D0B">
      <w:pPr>
        <w:pStyle w:val="5"/>
        <w:ind w:left="0" w:leftChars="0" w:firstLine="0" w:firstLineChars="0"/>
        <w:outlineLvl w:val="0"/>
        <w:rPr>
          <w:rFonts w:hint="default" w:eastAsia="宋体"/>
          <w:b/>
          <w:bCs/>
          <w:lang w:val="en-US" w:eastAsia="zh-CN"/>
        </w:rPr>
      </w:pPr>
      <w:r>
        <w:rPr>
          <w:rFonts w:hint="eastAsia"/>
          <w:b/>
          <w:bCs/>
          <w:lang w:val="en-US" w:eastAsia="zh-CN"/>
        </w:rPr>
        <w:t>附件1 安全绩效考核金执行条款</w:t>
      </w:r>
    </w:p>
    <w:p w14:paraId="4BCEF683">
      <w:pPr>
        <w:pStyle w:val="5"/>
        <w:ind w:left="0" w:leftChars="0" w:firstLine="0" w:firstLineChars="0"/>
        <w:jc w:val="center"/>
        <w:outlineLvl w:val="9"/>
        <w:rPr>
          <w:rFonts w:hint="eastAsia"/>
          <w:b/>
          <w:bCs/>
          <w:sz w:val="32"/>
          <w:szCs w:val="32"/>
          <w:lang w:val="en-US" w:eastAsia="zh-CN"/>
        </w:rPr>
      </w:pPr>
    </w:p>
    <w:p w14:paraId="3EAA4186">
      <w:pPr>
        <w:pStyle w:val="5"/>
        <w:ind w:left="0" w:leftChars="0" w:firstLine="0" w:firstLineChars="0"/>
        <w:jc w:val="center"/>
        <w:outlineLvl w:val="9"/>
        <w:rPr>
          <w:rFonts w:hint="eastAsia"/>
          <w:b/>
          <w:bCs/>
          <w:lang w:val="en-US" w:eastAsia="zh-CN"/>
        </w:rPr>
      </w:pPr>
      <w:r>
        <w:rPr>
          <w:rFonts w:hint="eastAsia"/>
          <w:b/>
          <w:bCs/>
          <w:sz w:val="32"/>
          <w:szCs w:val="32"/>
          <w:lang w:val="en-US" w:eastAsia="zh-CN"/>
        </w:rPr>
        <w:t>安全绩效考核金执行条款</w:t>
      </w:r>
    </w:p>
    <w:tbl>
      <w:tblPr>
        <w:tblStyle w:val="9"/>
        <w:tblW w:w="79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5"/>
        <w:gridCol w:w="5309"/>
        <w:gridCol w:w="1594"/>
      </w:tblGrid>
      <w:tr w14:paraId="39A5E519">
        <w:trPr>
          <w:trHeight w:val="454"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740D98">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序号</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0C84BF2">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指标</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35C9EE39">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标准（元</w:t>
            </w:r>
            <w:r>
              <w:rPr>
                <w:rFonts w:hint="default" w:ascii="Times New Roman" w:hAnsi="Times New Roman" w:eastAsia="宋体" w:cs="Times New Roman"/>
                <w:kern w:val="2"/>
                <w:sz w:val="24"/>
                <w:szCs w:val="24"/>
              </w:rPr>
              <w:t>/</w:t>
            </w:r>
            <w:r>
              <w:rPr>
                <w:rFonts w:hint="eastAsia" w:ascii="宋体" w:hAnsi="宋体" w:eastAsia="宋体" w:cs="宋体"/>
                <w:kern w:val="2"/>
                <w:sz w:val="24"/>
                <w:szCs w:val="24"/>
              </w:rPr>
              <w:t>年）</w:t>
            </w:r>
          </w:p>
        </w:tc>
      </w:tr>
      <w:tr w14:paraId="29B6EF63">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C9B862">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1</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FF917FA">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全年未发生人身轻伤及以上事故</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1BBDBB1">
            <w:pPr>
              <w:pStyle w:val="18"/>
              <w:keepNext w:val="0"/>
              <w:keepLines w:val="0"/>
              <w:suppressLineNumbers w:val="0"/>
              <w:ind w:left="0" w:leftChars="0" w:right="0" w:rightChars="0" w:firstLine="0" w:firstLineChars="0"/>
              <w:jc w:val="center"/>
              <w:rPr>
                <w:rFonts w:hint="default" w:ascii="Times New Roman" w:hAnsi="Times New Roman" w:eastAsia="宋体" w:cs="Times New Roman"/>
                <w:kern w:val="2"/>
                <w:sz w:val="24"/>
                <w:szCs w:val="24"/>
              </w:rPr>
            </w:pPr>
            <w:r>
              <w:rPr>
                <w:rFonts w:hint="eastAsia"/>
                <w:lang w:val="en-US" w:eastAsia="zh-CN"/>
              </w:rPr>
              <w:t>15</w:t>
            </w:r>
            <w:r>
              <w:t>000</w:t>
            </w:r>
          </w:p>
        </w:tc>
      </w:tr>
      <w:tr w14:paraId="6E59BF8B">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2988F8">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2</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507BD63D">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全年未发生火险或火灾</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F2C4956">
            <w:pPr>
              <w:pStyle w:val="18"/>
              <w:keepNext w:val="0"/>
              <w:keepLines w:val="0"/>
              <w:suppressLineNumbers w:val="0"/>
              <w:ind w:left="0" w:leftChars="0" w:right="0" w:rightChars="0" w:firstLine="0" w:firstLineChars="0"/>
              <w:jc w:val="center"/>
              <w:rPr>
                <w:rFonts w:hint="default" w:ascii="Times New Roman" w:hAnsi="Times New Roman" w:eastAsia="宋体" w:cs="Times New Roman"/>
                <w:kern w:val="2"/>
                <w:sz w:val="24"/>
                <w:szCs w:val="24"/>
              </w:rPr>
            </w:pPr>
            <w:r>
              <w:rPr>
                <w:rFonts w:hint="eastAsia"/>
                <w:lang w:val="en-US" w:eastAsia="zh-CN"/>
              </w:rPr>
              <w:t>10</w:t>
            </w:r>
            <w:r>
              <w:t>0</w:t>
            </w:r>
            <w:r>
              <w:rPr>
                <w:rFonts w:hint="eastAsia"/>
                <w:lang w:val="en-US" w:eastAsia="zh-CN"/>
              </w:rPr>
              <w:t>0</w:t>
            </w:r>
            <w:r>
              <w:t>0</w:t>
            </w:r>
          </w:p>
        </w:tc>
      </w:tr>
      <w:tr w14:paraId="629E7EBC">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BE4A0B">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3</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7ACF1039">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全年未发生责任性异常事件</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209AB38">
            <w:pPr>
              <w:pStyle w:val="18"/>
              <w:keepNext w:val="0"/>
              <w:keepLines w:val="0"/>
              <w:suppressLineNumbers w:val="0"/>
              <w:ind w:left="0" w:leftChars="0" w:right="0" w:rightChars="0" w:firstLine="0" w:firstLineChars="0"/>
              <w:jc w:val="center"/>
              <w:rPr>
                <w:rFonts w:hint="default" w:ascii="Times New Roman" w:hAnsi="Times New Roman" w:eastAsia="宋体" w:cs="Times New Roman"/>
                <w:kern w:val="2"/>
                <w:sz w:val="24"/>
                <w:szCs w:val="24"/>
              </w:rPr>
            </w:pPr>
            <w:r>
              <w:rPr>
                <w:rFonts w:hint="eastAsia"/>
                <w:lang w:val="en-US" w:eastAsia="zh-CN"/>
              </w:rPr>
              <w:t>100</w:t>
            </w:r>
            <w:r>
              <w:t>00</w:t>
            </w:r>
          </w:p>
        </w:tc>
      </w:tr>
      <w:tr w14:paraId="68ECDA9B">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3DFE">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4</w:t>
            </w:r>
          </w:p>
        </w:tc>
        <w:tc>
          <w:tcPr>
            <w:tcW w:w="5309" w:type="dxa"/>
            <w:tcBorders>
              <w:top w:val="single" w:color="000000" w:sz="4" w:space="0"/>
              <w:left w:val="nil"/>
              <w:bottom w:val="single" w:color="000000" w:sz="4" w:space="0"/>
              <w:right w:val="single" w:color="000000" w:sz="4" w:space="0"/>
            </w:tcBorders>
            <w:shd w:val="clear" w:color="auto" w:fill="auto"/>
            <w:noWrap/>
            <w:vAlign w:val="center"/>
          </w:tcPr>
          <w:p w14:paraId="2BE1BED2">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全年未发生环保事件，或环保设备有维护责任事件</w:t>
            </w:r>
          </w:p>
        </w:tc>
        <w:tc>
          <w:tcPr>
            <w:tcW w:w="1594" w:type="dxa"/>
            <w:tcBorders>
              <w:top w:val="single" w:color="000000" w:sz="4" w:space="0"/>
              <w:left w:val="nil"/>
              <w:bottom w:val="single" w:color="000000" w:sz="4" w:space="0"/>
              <w:right w:val="single" w:color="000000" w:sz="4" w:space="0"/>
            </w:tcBorders>
            <w:shd w:val="clear" w:color="auto" w:fill="auto"/>
            <w:noWrap/>
            <w:vAlign w:val="center"/>
          </w:tcPr>
          <w:p w14:paraId="2BAE1634">
            <w:pPr>
              <w:pStyle w:val="18"/>
              <w:keepNext w:val="0"/>
              <w:keepLines w:val="0"/>
              <w:suppressLineNumbers w:val="0"/>
              <w:ind w:left="0" w:leftChars="0" w:right="0" w:rightChars="0" w:firstLine="0" w:firstLineChars="0"/>
              <w:jc w:val="center"/>
              <w:rPr>
                <w:rFonts w:hint="default" w:ascii="Times New Roman" w:hAnsi="Times New Roman" w:eastAsia="宋体" w:cs="Times New Roman"/>
                <w:kern w:val="2"/>
                <w:sz w:val="24"/>
                <w:szCs w:val="24"/>
              </w:rPr>
            </w:pPr>
            <w:r>
              <w:rPr>
                <w:rFonts w:hint="eastAsia"/>
                <w:lang w:val="en-US" w:eastAsia="zh-CN"/>
              </w:rPr>
              <w:t>6</w:t>
            </w:r>
            <w:r>
              <w:t>000</w:t>
            </w:r>
          </w:p>
        </w:tc>
      </w:tr>
      <w:tr w14:paraId="039E4E42">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B91E20">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5</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3F7731EE">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按规定开展安全教育，组织学习安全规程、安全通报和安全管理文件</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7E6BF1BE">
            <w:pPr>
              <w:pStyle w:val="18"/>
              <w:keepNext w:val="0"/>
              <w:keepLines w:val="0"/>
              <w:suppressLineNumbers w:val="0"/>
              <w:ind w:left="0" w:leftChars="0" w:right="0" w:rightChars="0" w:firstLine="0" w:firstLineChars="0"/>
              <w:jc w:val="center"/>
              <w:rPr>
                <w:rFonts w:hint="default" w:ascii="Times New Roman" w:hAnsi="Times New Roman" w:eastAsia="宋体" w:cs="Times New Roman"/>
                <w:kern w:val="2"/>
                <w:sz w:val="24"/>
                <w:szCs w:val="24"/>
              </w:rPr>
            </w:pPr>
            <w:r>
              <w:rPr>
                <w:rFonts w:hint="eastAsia"/>
                <w:lang w:val="en-US" w:eastAsia="zh-CN"/>
              </w:rPr>
              <w:t>30</w:t>
            </w:r>
            <w:r>
              <w:t>00</w:t>
            </w:r>
          </w:p>
        </w:tc>
      </w:tr>
      <w:tr w14:paraId="5432E8BF">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19EC1B">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6</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358E76E">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认真执行业主单安全管理相关规章制度，未发生违章行为</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8388691">
            <w:pPr>
              <w:pStyle w:val="18"/>
              <w:keepNext w:val="0"/>
              <w:keepLines w:val="0"/>
              <w:suppressLineNumbers w:val="0"/>
              <w:ind w:left="0" w:leftChars="0" w:right="0" w:rightChars="0" w:firstLine="0" w:firstLineChars="0"/>
              <w:jc w:val="center"/>
              <w:rPr>
                <w:rFonts w:hint="default" w:ascii="Times New Roman" w:hAnsi="Times New Roman" w:eastAsia="宋体" w:cs="Times New Roman"/>
                <w:kern w:val="2"/>
                <w:sz w:val="24"/>
                <w:szCs w:val="24"/>
              </w:rPr>
            </w:pPr>
            <w:r>
              <w:rPr>
                <w:rFonts w:hint="eastAsia"/>
                <w:lang w:val="en-US" w:eastAsia="zh-CN"/>
              </w:rPr>
              <w:t>6</w:t>
            </w:r>
            <w:r>
              <w:t>000</w:t>
            </w:r>
          </w:p>
        </w:tc>
      </w:tr>
      <w:tr w14:paraId="24D5610F">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022412">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7</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72947EBA">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认真执行业主单位应急管理制度、按要求开展应急演练</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FEB6BD2">
            <w:pPr>
              <w:pStyle w:val="18"/>
              <w:keepNext w:val="0"/>
              <w:keepLines w:val="0"/>
              <w:suppressLineNumbers w:val="0"/>
              <w:ind w:left="0" w:leftChars="0" w:right="0" w:rightChars="0" w:firstLine="0" w:firstLineChars="0"/>
              <w:jc w:val="center"/>
              <w:rPr>
                <w:rFonts w:hint="default" w:ascii="Times New Roman" w:hAnsi="Times New Roman" w:eastAsia="宋体" w:cs="Times New Roman"/>
                <w:kern w:val="2"/>
                <w:sz w:val="24"/>
                <w:szCs w:val="24"/>
              </w:rPr>
            </w:pPr>
            <w:r>
              <w:rPr>
                <w:rFonts w:hint="eastAsia"/>
                <w:lang w:val="en-US" w:eastAsia="zh-CN"/>
              </w:rPr>
              <w:t>30</w:t>
            </w:r>
            <w:r>
              <w:t>00</w:t>
            </w:r>
          </w:p>
        </w:tc>
      </w:tr>
      <w:tr w14:paraId="2882F9F3">
        <w:trPr>
          <w:trHeight w:val="329" w:hRule="atLeast"/>
          <w:jc w:val="center"/>
        </w:trPr>
        <w:tc>
          <w:tcPr>
            <w:tcW w:w="10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AC2F3C">
            <w:pPr>
              <w:pStyle w:val="18"/>
              <w:keepNext w:val="0"/>
              <w:keepLines w:val="0"/>
              <w:widowControl/>
              <w:suppressLineNumbers w:val="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8</w:t>
            </w:r>
          </w:p>
        </w:tc>
        <w:tc>
          <w:tcPr>
            <w:tcW w:w="53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33C2D048">
            <w:pPr>
              <w:pStyle w:val="18"/>
              <w:keepNext w:val="0"/>
              <w:keepLines w:val="0"/>
              <w:widowControl/>
              <w:suppressLineNumbers w:val="0"/>
              <w:rPr>
                <w:rFonts w:hint="default" w:ascii="Times New Roman" w:hAnsi="Times New Roman" w:eastAsia="宋体" w:cs="Times New Roman"/>
                <w:kern w:val="2"/>
                <w:sz w:val="24"/>
                <w:szCs w:val="24"/>
              </w:rPr>
            </w:pPr>
            <w:r>
              <w:rPr>
                <w:rFonts w:hint="eastAsia" w:ascii="宋体" w:hAnsi="宋体" w:eastAsia="宋体" w:cs="宋体"/>
                <w:kern w:val="2"/>
                <w:sz w:val="24"/>
                <w:szCs w:val="24"/>
              </w:rPr>
              <w:t>人员变动率小于</w:t>
            </w:r>
            <w:r>
              <w:rPr>
                <w:rFonts w:hint="default" w:ascii="Times New Roman" w:hAnsi="Times New Roman" w:eastAsia="宋体" w:cs="Times New Roman"/>
                <w:kern w:val="2"/>
                <w:sz w:val="24"/>
                <w:szCs w:val="24"/>
              </w:rPr>
              <w:t>15%</w:t>
            </w:r>
          </w:p>
        </w:tc>
        <w:tc>
          <w:tcPr>
            <w:tcW w:w="1594"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25319E25">
            <w:pPr>
              <w:pStyle w:val="18"/>
              <w:keepNext w:val="0"/>
              <w:keepLines w:val="0"/>
              <w:suppressLineNumbers w:val="0"/>
              <w:ind w:left="0" w:leftChars="0" w:right="0" w:rightChars="0" w:firstLine="0" w:firstLineChars="0"/>
              <w:jc w:val="center"/>
              <w:rPr>
                <w:rFonts w:hint="default" w:ascii="Times New Roman" w:hAnsi="Times New Roman" w:eastAsia="宋体" w:cs="Times New Roman"/>
                <w:kern w:val="2"/>
                <w:sz w:val="24"/>
                <w:szCs w:val="24"/>
              </w:rPr>
            </w:pPr>
            <w:r>
              <w:rPr>
                <w:rFonts w:hint="eastAsia"/>
                <w:lang w:val="en-US" w:eastAsia="zh-CN"/>
              </w:rPr>
              <w:t>6</w:t>
            </w:r>
            <w:r>
              <w:t>000</w:t>
            </w:r>
          </w:p>
        </w:tc>
      </w:tr>
    </w:tbl>
    <w:p w14:paraId="28B966FD">
      <w:pPr>
        <w:pStyle w:val="5"/>
        <w:ind w:left="0" w:leftChars="0" w:firstLine="0" w:firstLineChars="0"/>
        <w:jc w:val="both"/>
        <w:outlineLvl w:val="0"/>
        <w:rPr>
          <w:rFonts w:hint="eastAsia"/>
          <w:b/>
          <w:bCs/>
          <w:lang w:val="en-US" w:eastAsia="zh-CN"/>
        </w:rPr>
        <w:sectPr>
          <w:pgSz w:w="11906" w:h="16838"/>
          <w:pgMar w:top="1440" w:right="1800" w:bottom="1440" w:left="1800" w:header="851" w:footer="992" w:gutter="0"/>
          <w:cols w:space="425" w:num="1"/>
          <w:docGrid w:type="lines" w:linePitch="312" w:charSpace="0"/>
        </w:sectPr>
      </w:pPr>
      <w:r>
        <w:rPr>
          <w:rFonts w:hint="eastAsia"/>
          <w:b/>
          <w:bCs/>
          <w:lang w:val="en-US" w:eastAsia="zh-CN"/>
        </w:rPr>
        <w:t>注：注：以上条款，甲方有权根据实际进行调整、修改；上限为合同总价的5%。</w:t>
      </w:r>
      <w:r>
        <w:rPr>
          <w:rFonts w:hint="eastAsia"/>
          <w:b/>
          <w:bCs/>
          <w:lang w:val="en-US" w:eastAsia="zh-CN"/>
        </w:rPr>
        <w:br w:type="textWrapping"/>
      </w:r>
    </w:p>
    <w:p w14:paraId="2198DA29">
      <w:pPr>
        <w:pStyle w:val="5"/>
        <w:ind w:left="0" w:leftChars="0" w:firstLine="0" w:firstLineChars="0"/>
        <w:outlineLvl w:val="0"/>
        <w:rPr>
          <w:rFonts w:hint="default" w:eastAsia="宋体"/>
          <w:b/>
          <w:bCs/>
          <w:lang w:val="en-US" w:eastAsia="zh-CN"/>
        </w:rPr>
      </w:pPr>
      <w:r>
        <w:rPr>
          <w:rFonts w:hint="eastAsia"/>
          <w:b/>
          <w:bCs/>
          <w:lang w:val="en-US" w:eastAsia="zh-CN"/>
        </w:rPr>
        <w:t>附件2 廉洁协议</w:t>
      </w:r>
    </w:p>
    <w:p w14:paraId="2C38AEC3">
      <w:pPr>
        <w:pStyle w:val="4"/>
        <w:snapToGrid w:val="0"/>
        <w:spacing w:after="0" w:line="360" w:lineRule="auto"/>
        <w:jc w:val="center"/>
        <w:rPr>
          <w:b/>
          <w:bCs/>
          <w:sz w:val="32"/>
          <w:szCs w:val="32"/>
        </w:rPr>
      </w:pPr>
      <w:r>
        <w:rPr>
          <w:rFonts w:hint="eastAsia"/>
          <w:b/>
          <w:bCs/>
          <w:sz w:val="32"/>
          <w:szCs w:val="32"/>
        </w:rPr>
        <w:t>廉洁协议</w:t>
      </w:r>
    </w:p>
    <w:p w14:paraId="4D1FCFB7">
      <w:pPr>
        <w:pStyle w:val="4"/>
        <w:snapToGrid w:val="0"/>
        <w:spacing w:after="0" w:line="360" w:lineRule="auto"/>
        <w:jc w:val="left"/>
        <w:rPr>
          <w:sz w:val="24"/>
          <w:szCs w:val="24"/>
        </w:rPr>
      </w:pPr>
      <w:r>
        <w:rPr>
          <w:rFonts w:hint="eastAsia"/>
          <w:sz w:val="24"/>
          <w:szCs w:val="24"/>
        </w:rPr>
        <w:t>甲方：</w:t>
      </w:r>
      <w:r>
        <w:rPr>
          <w:rFonts w:hint="eastAsia"/>
          <w:kern w:val="0"/>
          <w:sz w:val="24"/>
          <w:szCs w:val="24"/>
          <w:lang w:val="en-US" w:eastAsia="zh-CN"/>
        </w:rPr>
        <w:t>浙江浙能临海海上风力发电有限公司</w:t>
      </w:r>
    </w:p>
    <w:p w14:paraId="47103E9F">
      <w:pPr>
        <w:snapToGrid w:val="0"/>
        <w:spacing w:line="360" w:lineRule="auto"/>
        <w:rPr>
          <w:rFonts w:hint="default" w:ascii="Times New Roman" w:hAnsi="Times New Roman" w:eastAsia="宋体" w:cs="Times New Roman"/>
          <w:color w:val="auto"/>
          <w:lang w:val="en-US" w:eastAsia="zh-CN"/>
        </w:rPr>
      </w:pPr>
      <w:r>
        <w:rPr>
          <w:rFonts w:hint="eastAsia"/>
          <w:sz w:val="24"/>
          <w:szCs w:val="24"/>
        </w:rPr>
        <w:t>乙方：</w:t>
      </w:r>
    </w:p>
    <w:p w14:paraId="11930AD4">
      <w:pPr>
        <w:pStyle w:val="4"/>
        <w:snapToGrid w:val="0"/>
        <w:spacing w:after="0" w:line="360" w:lineRule="auto"/>
        <w:ind w:firstLine="360" w:firstLineChars="150"/>
        <w:jc w:val="left"/>
        <w:rPr>
          <w:rFonts w:hint="eastAsia"/>
          <w:sz w:val="24"/>
          <w:szCs w:val="24"/>
        </w:rPr>
      </w:pPr>
    </w:p>
    <w:p w14:paraId="78C4FDBA">
      <w:pPr>
        <w:pStyle w:val="4"/>
        <w:snapToGrid w:val="0"/>
        <w:spacing w:after="0" w:line="360" w:lineRule="auto"/>
        <w:ind w:firstLine="480" w:firstLineChars="200"/>
        <w:jc w:val="left"/>
        <w:rPr>
          <w:rFonts w:hint="eastAsia"/>
          <w:sz w:val="24"/>
          <w:szCs w:val="24"/>
        </w:rPr>
      </w:pPr>
      <w:r>
        <w:rPr>
          <w:rFonts w:hint="eastAsia"/>
          <w:sz w:val="24"/>
          <w:szCs w:val="24"/>
        </w:rPr>
        <w:t>根据党和国家有关法律法规和党风廉政建设责任制的规定，为了加强各项经济活动的党风廉政建设，规范甲、乙双方在经济工作中的各项业务活动，防止发生各种不正当利益的违纪违法行为，保护双方合法权益，经甲、乙双方协商，自愿签订本协议：</w:t>
      </w:r>
    </w:p>
    <w:p w14:paraId="519D72A3">
      <w:pPr>
        <w:pStyle w:val="4"/>
        <w:snapToGrid w:val="0"/>
        <w:spacing w:after="0" w:line="360" w:lineRule="auto"/>
        <w:ind w:firstLine="480" w:firstLineChars="200"/>
        <w:jc w:val="left"/>
        <w:rPr>
          <w:sz w:val="24"/>
          <w:szCs w:val="24"/>
        </w:rPr>
      </w:pPr>
      <w:r>
        <w:rPr>
          <w:rFonts w:hint="eastAsia"/>
          <w:sz w:val="24"/>
          <w:szCs w:val="24"/>
        </w:rPr>
        <w:t>一、甲乙双方应当自觉遵守国家和地方相关的法律法规以及有关廉政建设的各项规定。</w:t>
      </w:r>
    </w:p>
    <w:p w14:paraId="2153E671">
      <w:pPr>
        <w:pStyle w:val="4"/>
        <w:snapToGrid w:val="0"/>
        <w:spacing w:after="0" w:line="360" w:lineRule="auto"/>
        <w:ind w:firstLine="480" w:firstLineChars="200"/>
        <w:jc w:val="left"/>
        <w:rPr>
          <w:sz w:val="24"/>
          <w:szCs w:val="24"/>
        </w:rPr>
      </w:pPr>
      <w:r>
        <w:rPr>
          <w:rFonts w:hint="eastAsia"/>
          <w:sz w:val="24"/>
          <w:szCs w:val="24"/>
        </w:rPr>
        <w:t>二、甲方及其工作人员不得以任何形式向乙方索要和收受回扣等好处费。</w:t>
      </w:r>
    </w:p>
    <w:p w14:paraId="11B351CD">
      <w:pPr>
        <w:pStyle w:val="4"/>
        <w:snapToGrid w:val="0"/>
        <w:spacing w:after="0" w:line="360" w:lineRule="auto"/>
        <w:ind w:firstLine="480" w:firstLineChars="200"/>
        <w:jc w:val="left"/>
        <w:rPr>
          <w:sz w:val="24"/>
          <w:szCs w:val="24"/>
        </w:rPr>
      </w:pPr>
      <w:r>
        <w:rPr>
          <w:rFonts w:hint="eastAsia"/>
          <w:sz w:val="24"/>
          <w:szCs w:val="24"/>
        </w:rPr>
        <w:t>三、甲方工作人员应当保持与乙方的正常业务交往，不得接受乙方的礼金、有价证券和贵重物品，不得在乙方报销任何应由个人支付的费用。</w:t>
      </w:r>
    </w:p>
    <w:p w14:paraId="00536BA6">
      <w:pPr>
        <w:pStyle w:val="4"/>
        <w:snapToGrid w:val="0"/>
        <w:spacing w:after="0" w:line="360" w:lineRule="auto"/>
        <w:ind w:firstLine="480" w:firstLineChars="200"/>
        <w:jc w:val="left"/>
        <w:rPr>
          <w:sz w:val="24"/>
          <w:szCs w:val="24"/>
        </w:rPr>
      </w:pPr>
      <w:r>
        <w:rPr>
          <w:rFonts w:hint="eastAsia"/>
          <w:sz w:val="24"/>
          <w:szCs w:val="24"/>
        </w:rPr>
        <w:t>四、甲方工作人员不得参加可能对公正执行公务有影响的宴请和娱乐活动。</w:t>
      </w:r>
    </w:p>
    <w:p w14:paraId="7C1F0281">
      <w:pPr>
        <w:pStyle w:val="4"/>
        <w:snapToGrid w:val="0"/>
        <w:spacing w:after="0" w:line="360" w:lineRule="auto"/>
        <w:ind w:firstLine="480" w:firstLineChars="200"/>
        <w:jc w:val="left"/>
        <w:rPr>
          <w:sz w:val="24"/>
          <w:szCs w:val="24"/>
        </w:rPr>
      </w:pPr>
      <w:r>
        <w:rPr>
          <w:rFonts w:hint="eastAsia"/>
          <w:sz w:val="24"/>
          <w:szCs w:val="24"/>
        </w:rPr>
        <w:t>五、甲方工作人员不得要求或者接受乙方为其住房装修、婚丧嫁娶、家属和子女的工作安排以及出国提供方便。</w:t>
      </w:r>
    </w:p>
    <w:p w14:paraId="0EC6022A">
      <w:pPr>
        <w:pStyle w:val="4"/>
        <w:snapToGrid w:val="0"/>
        <w:spacing w:after="0" w:line="360" w:lineRule="auto"/>
        <w:ind w:firstLine="480" w:firstLineChars="200"/>
        <w:jc w:val="left"/>
        <w:rPr>
          <w:sz w:val="24"/>
          <w:szCs w:val="24"/>
        </w:rPr>
      </w:pPr>
      <w:r>
        <w:rPr>
          <w:rFonts w:hint="eastAsia"/>
          <w:sz w:val="24"/>
          <w:szCs w:val="24"/>
        </w:rPr>
        <w:t>六、甲方工作人员不得向乙方介绍家属或者亲友从事与甲方工程有关的材料设备供应、工程分包等经济活动。</w:t>
      </w:r>
    </w:p>
    <w:p w14:paraId="66003AB4">
      <w:pPr>
        <w:pStyle w:val="4"/>
        <w:snapToGrid w:val="0"/>
        <w:spacing w:after="0" w:line="360" w:lineRule="auto"/>
        <w:ind w:firstLine="480" w:firstLineChars="200"/>
        <w:jc w:val="left"/>
        <w:rPr>
          <w:sz w:val="24"/>
          <w:szCs w:val="24"/>
        </w:rPr>
      </w:pPr>
      <w:r>
        <w:rPr>
          <w:rFonts w:hint="eastAsia"/>
          <w:sz w:val="24"/>
          <w:szCs w:val="24"/>
        </w:rPr>
        <w:t>七、乙方应当通过正当途径开展相对的业务工作，不得为谋取不正当利益而向甲方工作人员赠送礼金、有价证券和贵重物品等。</w:t>
      </w:r>
    </w:p>
    <w:p w14:paraId="62594B2B">
      <w:pPr>
        <w:pStyle w:val="4"/>
        <w:snapToGrid w:val="0"/>
        <w:spacing w:after="0" w:line="360" w:lineRule="auto"/>
        <w:ind w:firstLine="480" w:firstLineChars="200"/>
        <w:jc w:val="left"/>
        <w:rPr>
          <w:sz w:val="24"/>
          <w:szCs w:val="24"/>
        </w:rPr>
      </w:pPr>
      <w:r>
        <w:rPr>
          <w:rFonts w:hint="eastAsia"/>
          <w:sz w:val="24"/>
          <w:szCs w:val="24"/>
        </w:rPr>
        <w:t>八、乙方不得为谋取私利擅自与甲方工作人员进行私下商谈或者达成默契。</w:t>
      </w:r>
    </w:p>
    <w:p w14:paraId="52CBA218">
      <w:pPr>
        <w:pStyle w:val="4"/>
        <w:snapToGrid w:val="0"/>
        <w:spacing w:after="0" w:line="360" w:lineRule="auto"/>
        <w:ind w:firstLine="480" w:firstLineChars="200"/>
        <w:jc w:val="left"/>
        <w:rPr>
          <w:sz w:val="24"/>
          <w:szCs w:val="24"/>
        </w:rPr>
      </w:pPr>
      <w:r>
        <w:rPr>
          <w:rFonts w:hint="eastAsia"/>
          <w:sz w:val="24"/>
          <w:szCs w:val="24"/>
        </w:rPr>
        <w:t>九、乙方不得以洽谈业务、签订经济合同为借口，邀请甲方工作人员外出旅游和进入营业性高档娱乐场所。</w:t>
      </w:r>
    </w:p>
    <w:p w14:paraId="1164DD29">
      <w:pPr>
        <w:pStyle w:val="4"/>
        <w:snapToGrid w:val="0"/>
        <w:spacing w:after="0" w:line="360" w:lineRule="auto"/>
        <w:ind w:firstLine="480" w:firstLineChars="200"/>
        <w:jc w:val="left"/>
        <w:rPr>
          <w:sz w:val="24"/>
          <w:szCs w:val="24"/>
        </w:rPr>
      </w:pPr>
      <w:r>
        <w:rPr>
          <w:rFonts w:hint="eastAsia"/>
          <w:sz w:val="24"/>
          <w:szCs w:val="24"/>
        </w:rPr>
        <w:t>十、乙方不得为甲方单位和个人购置或者提供通讯工具、交通工具、家电、高档办公用品等物品。</w:t>
      </w:r>
    </w:p>
    <w:p w14:paraId="628F56F3">
      <w:pPr>
        <w:pStyle w:val="4"/>
        <w:snapToGrid w:val="0"/>
        <w:spacing w:after="0" w:line="360" w:lineRule="auto"/>
        <w:ind w:firstLine="480" w:firstLineChars="200"/>
        <w:jc w:val="left"/>
        <w:rPr>
          <w:sz w:val="24"/>
          <w:szCs w:val="24"/>
        </w:rPr>
      </w:pPr>
      <w:r>
        <w:rPr>
          <w:rFonts w:hint="eastAsia"/>
          <w:sz w:val="24"/>
          <w:szCs w:val="24"/>
        </w:rPr>
        <w:t>十一、乙方如发现甲方工作人员有违反上述协议者，应向甲方领导或者甲方上级单位举报。甲方不得找任何借口对乙方报复，甲方对举报属实和严格遵守廉洁协议的乙方，在同等条件下给予后续工程的优先邀请投标权。</w:t>
      </w:r>
    </w:p>
    <w:p w14:paraId="39EF791F">
      <w:pPr>
        <w:pStyle w:val="4"/>
        <w:snapToGrid w:val="0"/>
        <w:spacing w:after="0" w:line="360" w:lineRule="auto"/>
        <w:ind w:firstLine="480" w:firstLineChars="200"/>
        <w:jc w:val="left"/>
        <w:rPr>
          <w:sz w:val="24"/>
          <w:szCs w:val="24"/>
        </w:rPr>
      </w:pPr>
      <w:r>
        <w:rPr>
          <w:rFonts w:hint="eastAsia"/>
          <w:sz w:val="24"/>
          <w:szCs w:val="24"/>
        </w:rPr>
        <w:t>十二、甲方发现乙方有违反本协议或者采用不正当的手段行贿甲方工作人员，甲方根据具体情节和造成的后果，对乙方采取警告、中止执行合同、宣告中标无效、取消三年在公司投标资格等处理，并追究乙方合同价</w:t>
      </w:r>
      <w:r>
        <w:rPr>
          <w:sz w:val="24"/>
          <w:szCs w:val="24"/>
        </w:rPr>
        <w:t>1-5%</w:t>
      </w:r>
      <w:r>
        <w:rPr>
          <w:rFonts w:hint="eastAsia"/>
          <w:sz w:val="24"/>
          <w:szCs w:val="24"/>
        </w:rPr>
        <w:t>的违约金。由此给甲方单位造成的损失均由乙方承担，乙方用不正当手段获取的非法所得由甲方单位予以追缴。</w:t>
      </w:r>
    </w:p>
    <w:p w14:paraId="5F4099E0">
      <w:pPr>
        <w:pStyle w:val="4"/>
        <w:snapToGrid w:val="0"/>
        <w:spacing w:after="0" w:line="360" w:lineRule="auto"/>
        <w:ind w:firstLine="480" w:firstLineChars="200"/>
        <w:jc w:val="left"/>
        <w:rPr>
          <w:sz w:val="24"/>
          <w:szCs w:val="24"/>
        </w:rPr>
      </w:pPr>
      <w:r>
        <w:rPr>
          <w:rFonts w:hint="eastAsia"/>
          <w:sz w:val="24"/>
          <w:szCs w:val="24"/>
        </w:rPr>
        <w:t>十三、本廉洁协议作为的附件，与合同具有同等法律效力。经协议双方签署后立即生效。</w:t>
      </w:r>
    </w:p>
    <w:p w14:paraId="45044BBE">
      <w:pPr>
        <w:pStyle w:val="4"/>
        <w:snapToGrid w:val="0"/>
        <w:spacing w:after="0" w:line="360" w:lineRule="auto"/>
        <w:ind w:firstLine="480" w:firstLineChars="200"/>
        <w:jc w:val="left"/>
        <w:rPr>
          <w:sz w:val="24"/>
          <w:szCs w:val="24"/>
        </w:rPr>
      </w:pPr>
      <w:r>
        <w:rPr>
          <w:rFonts w:hint="eastAsia"/>
          <w:sz w:val="24"/>
          <w:szCs w:val="24"/>
        </w:rPr>
        <w:t>十四、本协议一式</w:t>
      </w:r>
      <w:r>
        <w:rPr>
          <w:rFonts w:hint="eastAsia"/>
          <w:sz w:val="24"/>
          <w:szCs w:val="24"/>
          <w:lang w:val="en-US" w:eastAsia="zh-CN"/>
        </w:rPr>
        <w:t>肆</w:t>
      </w:r>
      <w:r>
        <w:rPr>
          <w:rFonts w:hint="eastAsia"/>
          <w:sz w:val="24"/>
          <w:szCs w:val="24"/>
        </w:rPr>
        <w:t>份，甲、乙双方各执</w:t>
      </w:r>
      <w:r>
        <w:rPr>
          <w:rFonts w:hint="eastAsia"/>
          <w:sz w:val="24"/>
          <w:szCs w:val="24"/>
          <w:lang w:val="en-US" w:eastAsia="zh-CN"/>
        </w:rPr>
        <w:t>贰</w:t>
      </w:r>
      <w:r>
        <w:rPr>
          <w:rFonts w:hint="eastAsia"/>
          <w:sz w:val="24"/>
          <w:szCs w:val="24"/>
        </w:rPr>
        <w:t>份。</w:t>
      </w:r>
    </w:p>
    <w:p w14:paraId="757B224B">
      <w:pPr>
        <w:pStyle w:val="4"/>
        <w:snapToGrid w:val="0"/>
        <w:spacing w:after="0" w:line="360" w:lineRule="auto"/>
        <w:rPr>
          <w:sz w:val="24"/>
          <w:szCs w:val="24"/>
        </w:r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766C34EA">
        <w:tc>
          <w:tcPr>
            <w:tcW w:w="2500" w:type="pct"/>
            <w:vAlign w:val="top"/>
          </w:tcPr>
          <w:p w14:paraId="2D932E10">
            <w:pPr>
              <w:pStyle w:val="4"/>
              <w:keepNext w:val="0"/>
              <w:keepLines w:val="0"/>
              <w:suppressLineNumbers w:val="0"/>
              <w:snapToGrid w:val="0"/>
              <w:spacing w:before="0" w:beforeAutospacing="0" w:after="0" w:afterAutospacing="0" w:line="360" w:lineRule="auto"/>
              <w:ind w:left="0" w:right="0"/>
              <w:jc w:val="both"/>
              <w:rPr>
                <w:rFonts w:hint="eastAsia"/>
                <w:sz w:val="24"/>
                <w:szCs w:val="24"/>
                <w:vertAlign w:val="baseline"/>
              </w:rPr>
            </w:pPr>
            <w:r>
              <w:rPr>
                <w:rFonts w:hint="eastAsia"/>
                <w:sz w:val="24"/>
                <w:szCs w:val="24"/>
              </w:rPr>
              <w:t>甲方：</w:t>
            </w:r>
            <w:r>
              <w:rPr>
                <w:rFonts w:hint="eastAsia"/>
                <w:kern w:val="0"/>
                <w:sz w:val="24"/>
                <w:szCs w:val="24"/>
                <w:lang w:val="en-US" w:eastAsia="zh-CN"/>
              </w:rPr>
              <w:t>浙江浙能临海海上风力发电有限公司</w:t>
            </w:r>
            <w:r>
              <w:rPr>
                <w:rFonts w:hint="eastAsia"/>
                <w:sz w:val="24"/>
                <w:szCs w:val="24"/>
              </w:rPr>
              <w:t>（盖章）</w:t>
            </w:r>
          </w:p>
        </w:tc>
        <w:tc>
          <w:tcPr>
            <w:tcW w:w="2500" w:type="pct"/>
            <w:vAlign w:val="top"/>
          </w:tcPr>
          <w:p w14:paraId="3606BBF9">
            <w:pPr>
              <w:pStyle w:val="4"/>
              <w:keepNext w:val="0"/>
              <w:keepLines w:val="0"/>
              <w:suppressLineNumbers w:val="0"/>
              <w:snapToGrid w:val="0"/>
              <w:spacing w:before="0" w:beforeAutospacing="0" w:after="0" w:afterAutospacing="0" w:line="360" w:lineRule="auto"/>
              <w:ind w:left="0" w:right="0"/>
              <w:jc w:val="both"/>
              <w:rPr>
                <w:rFonts w:hint="eastAsia"/>
                <w:sz w:val="24"/>
                <w:szCs w:val="24"/>
                <w:vertAlign w:val="baseline"/>
              </w:rPr>
            </w:pPr>
            <w:r>
              <w:rPr>
                <w:rFonts w:hint="eastAsia"/>
                <w:sz w:val="24"/>
                <w:szCs w:val="24"/>
              </w:rPr>
              <w:t>乙方：（盖章）</w:t>
            </w:r>
          </w:p>
        </w:tc>
      </w:tr>
      <w:tr w14:paraId="347BBA33">
        <w:tc>
          <w:tcPr>
            <w:tcW w:w="2500" w:type="pct"/>
            <w:vAlign w:val="center"/>
          </w:tcPr>
          <w:p w14:paraId="05217077">
            <w:pPr>
              <w:pStyle w:val="4"/>
              <w:keepNext w:val="0"/>
              <w:keepLines w:val="0"/>
              <w:suppressLineNumbers w:val="0"/>
              <w:snapToGrid w:val="0"/>
              <w:spacing w:before="0" w:beforeAutospacing="0" w:after="0" w:afterAutospacing="0" w:line="360" w:lineRule="auto"/>
              <w:ind w:left="0" w:right="0"/>
              <w:jc w:val="both"/>
              <w:rPr>
                <w:rFonts w:hint="default" w:eastAsia="宋体"/>
                <w:sz w:val="24"/>
                <w:szCs w:val="24"/>
                <w:lang w:val="en-US" w:eastAsia="zh-CN"/>
              </w:rPr>
            </w:pPr>
            <w:r>
              <w:rPr>
                <w:rFonts w:hint="eastAsia"/>
                <w:sz w:val="24"/>
                <w:szCs w:val="24"/>
                <w:lang w:val="en-US" w:eastAsia="zh-CN"/>
              </w:rPr>
              <w:t>日期：     年  月  日</w:t>
            </w:r>
          </w:p>
        </w:tc>
        <w:tc>
          <w:tcPr>
            <w:tcW w:w="2500" w:type="pct"/>
            <w:vAlign w:val="center"/>
          </w:tcPr>
          <w:p w14:paraId="23BD5E82">
            <w:pPr>
              <w:pStyle w:val="4"/>
              <w:keepNext w:val="0"/>
              <w:keepLines w:val="0"/>
              <w:suppressLineNumbers w:val="0"/>
              <w:snapToGrid w:val="0"/>
              <w:spacing w:before="0" w:beforeAutospacing="0" w:after="0" w:afterAutospacing="0" w:line="360" w:lineRule="auto"/>
              <w:ind w:left="0" w:right="0"/>
              <w:jc w:val="both"/>
              <w:rPr>
                <w:rFonts w:hint="eastAsia"/>
                <w:sz w:val="24"/>
                <w:szCs w:val="24"/>
              </w:rPr>
            </w:pPr>
            <w:r>
              <w:rPr>
                <w:rFonts w:hint="eastAsia"/>
                <w:sz w:val="24"/>
                <w:szCs w:val="24"/>
                <w:lang w:val="en-US" w:eastAsia="zh-CN"/>
              </w:rPr>
              <w:t>日期：     年  月  日</w:t>
            </w:r>
          </w:p>
        </w:tc>
      </w:tr>
    </w:tbl>
    <w:p w14:paraId="65867CE9">
      <w:pPr>
        <w:pStyle w:val="6"/>
        <w:spacing w:line="360" w:lineRule="auto"/>
        <w:ind w:firstLine="480"/>
        <w:rPr>
          <w:rFonts w:ascii="Times New Roman" w:hAnsi="Times New Roman"/>
          <w:kern w:val="0"/>
          <w:sz w:val="24"/>
          <w:szCs w:val="24"/>
        </w:rPr>
      </w:pPr>
    </w:p>
    <w:p w14:paraId="4C389F3C">
      <w:pPr>
        <w:pStyle w:val="6"/>
        <w:spacing w:line="360" w:lineRule="auto"/>
        <w:ind w:firstLine="480"/>
        <w:rPr>
          <w:rFonts w:ascii="Times New Roman" w:hAnsi="Times New Roman"/>
          <w:kern w:val="0"/>
          <w:sz w:val="24"/>
          <w:szCs w:val="24"/>
        </w:rPr>
      </w:pPr>
    </w:p>
    <w:p w14:paraId="46B78986">
      <w:pPr>
        <w:pStyle w:val="6"/>
        <w:spacing w:line="360" w:lineRule="auto"/>
        <w:ind w:firstLine="480"/>
        <w:rPr>
          <w:rFonts w:ascii="Times New Roman" w:hAnsi="Times New Roman"/>
          <w:sz w:val="24"/>
          <w:szCs w:val="24"/>
        </w:rPr>
      </w:pPr>
      <w:r>
        <w:rPr>
          <w:rFonts w:ascii="Times New Roman" w:hAnsi="Times New Roman"/>
          <w:kern w:val="0"/>
          <w:sz w:val="24"/>
          <w:szCs w:val="24"/>
        </w:rPr>
        <w:br w:type="page"/>
      </w:r>
    </w:p>
    <w:p w14:paraId="0CC9CE5E">
      <w:pPr>
        <w:pStyle w:val="5"/>
        <w:ind w:left="0" w:leftChars="0" w:firstLine="0" w:firstLineChars="0"/>
        <w:outlineLvl w:val="0"/>
        <w:rPr>
          <w:rFonts w:hint="eastAsia"/>
          <w:b/>
          <w:bCs/>
          <w:sz w:val="28"/>
          <w:szCs w:val="28"/>
        </w:rPr>
      </w:pPr>
      <w:r>
        <w:rPr>
          <w:rFonts w:hint="eastAsia"/>
          <w:b/>
          <w:bCs/>
          <w:lang w:val="en-US" w:eastAsia="zh-CN"/>
        </w:rPr>
        <w:t>附件3 安全生产管理协议</w:t>
      </w:r>
    </w:p>
    <w:p w14:paraId="7184BD6A">
      <w:pPr>
        <w:pStyle w:val="4"/>
        <w:snapToGrid w:val="0"/>
        <w:spacing w:after="0" w:line="360" w:lineRule="auto"/>
        <w:jc w:val="center"/>
        <w:rPr>
          <w:rFonts w:hint="eastAsia"/>
          <w:b/>
          <w:bCs/>
          <w:sz w:val="32"/>
          <w:szCs w:val="32"/>
        </w:rPr>
      </w:pPr>
      <w:r>
        <w:rPr>
          <w:rFonts w:hint="eastAsia"/>
          <w:b/>
          <w:bCs/>
          <w:sz w:val="32"/>
          <w:szCs w:val="32"/>
        </w:rPr>
        <w:t>安全文明施工协议</w:t>
      </w:r>
    </w:p>
    <w:p w14:paraId="38CFEF4C">
      <w:pPr>
        <w:adjustRightInd w:val="0"/>
        <w:snapToGrid w:val="0"/>
        <w:spacing w:line="360" w:lineRule="auto"/>
        <w:contextualSpacing/>
        <w:jc w:val="both"/>
        <w:rPr>
          <w:rFonts w:ascii="Times New Roman" w:hAnsi="Times New Roman"/>
          <w:sz w:val="24"/>
          <w:szCs w:val="24"/>
        </w:rPr>
      </w:pPr>
      <w:r>
        <w:rPr>
          <w:rFonts w:hint="eastAsia" w:ascii="Times New Roman" w:hAnsi="Times New Roman"/>
          <w:sz w:val="24"/>
          <w:szCs w:val="24"/>
        </w:rPr>
        <w:t>发包单位</w:t>
      </w:r>
      <w:r>
        <w:rPr>
          <w:rFonts w:ascii="Times New Roman" w:hAnsi="Times New Roman"/>
          <w:sz w:val="24"/>
          <w:szCs w:val="24"/>
        </w:rPr>
        <w:t>(</w:t>
      </w:r>
      <w:r>
        <w:rPr>
          <w:rFonts w:hint="eastAsia" w:ascii="Times New Roman" w:hAnsi="Times New Roman"/>
          <w:sz w:val="24"/>
          <w:szCs w:val="24"/>
        </w:rPr>
        <w:t>甲方</w:t>
      </w:r>
      <w:r>
        <w:rPr>
          <w:rFonts w:ascii="Times New Roman" w:hAnsi="Times New Roman"/>
          <w:sz w:val="24"/>
          <w:szCs w:val="24"/>
        </w:rPr>
        <w:t>):</w:t>
      </w:r>
      <w:r>
        <w:rPr>
          <w:rFonts w:hint="eastAsia"/>
          <w:kern w:val="0"/>
          <w:sz w:val="24"/>
          <w:szCs w:val="24"/>
          <w:lang w:val="en-US" w:eastAsia="zh-CN"/>
        </w:rPr>
        <w:t>浙江临海嘉兴海上风力发电有限公司</w:t>
      </w:r>
      <w:r>
        <w:rPr>
          <w:rFonts w:ascii="Times New Roman" w:hAnsi="Times New Roman"/>
          <w:sz w:val="24"/>
          <w:szCs w:val="24"/>
        </w:rPr>
        <w:t>(</w:t>
      </w:r>
      <w:r>
        <w:rPr>
          <w:rFonts w:hint="eastAsia" w:ascii="Times New Roman" w:hAnsi="Times New Roman"/>
          <w:sz w:val="24"/>
          <w:szCs w:val="24"/>
        </w:rPr>
        <w:t>以下简称</w:t>
      </w:r>
      <w:r>
        <w:rPr>
          <w:rFonts w:ascii="Times New Roman" w:hAnsi="Times New Roman"/>
          <w:sz w:val="24"/>
          <w:szCs w:val="24"/>
        </w:rPr>
        <w:t>“</w:t>
      </w:r>
      <w:r>
        <w:rPr>
          <w:rFonts w:hint="eastAsia" w:ascii="Times New Roman" w:hAnsi="Times New Roman"/>
          <w:sz w:val="24"/>
          <w:szCs w:val="24"/>
        </w:rPr>
        <w:t>甲方</w:t>
      </w:r>
      <w:r>
        <w:rPr>
          <w:rFonts w:ascii="Times New Roman" w:hAnsi="Times New Roman"/>
          <w:sz w:val="24"/>
          <w:szCs w:val="24"/>
        </w:rPr>
        <w:t>”)</w:t>
      </w:r>
    </w:p>
    <w:p w14:paraId="0AF62F2F">
      <w:pPr>
        <w:snapToGrid w:val="0"/>
        <w:spacing w:line="360" w:lineRule="auto"/>
        <w:contextualSpacing/>
        <w:jc w:val="both"/>
        <w:rPr>
          <w:rFonts w:ascii="Times New Roman" w:hAnsi="Times New Roman"/>
          <w:sz w:val="24"/>
          <w:szCs w:val="24"/>
        </w:rPr>
      </w:pPr>
      <w:r>
        <w:rPr>
          <w:rFonts w:hint="eastAsia" w:ascii="Times New Roman" w:hAnsi="Times New Roman"/>
          <w:sz w:val="24"/>
          <w:szCs w:val="24"/>
        </w:rPr>
        <w:t>承包单位</w:t>
      </w:r>
      <w:r>
        <w:rPr>
          <w:rFonts w:ascii="Times New Roman" w:hAnsi="Times New Roman"/>
          <w:sz w:val="24"/>
          <w:szCs w:val="24"/>
        </w:rPr>
        <w:t>(</w:t>
      </w:r>
      <w:r>
        <w:rPr>
          <w:rFonts w:hint="eastAsia" w:ascii="Times New Roman" w:hAnsi="Times New Roman"/>
          <w:sz w:val="24"/>
          <w:szCs w:val="24"/>
        </w:rPr>
        <w:t>乙方</w:t>
      </w:r>
      <w:r>
        <w:rPr>
          <w:rFonts w:ascii="Times New Roman" w:hAnsi="Times New Roman"/>
          <w:sz w:val="24"/>
          <w:szCs w:val="24"/>
        </w:rPr>
        <w:t>):</w:t>
      </w:r>
      <w:r>
        <w:rPr>
          <w:rFonts w:hint="eastAsia" w:ascii="Times New Roman" w:hAnsi="Times New Roman"/>
          <w:sz w:val="24"/>
          <w:szCs w:val="24"/>
          <w:lang w:val="en-US"/>
        </w:rPr>
        <w:t>XXXXXXXXXX</w:t>
      </w:r>
      <w:r>
        <w:rPr>
          <w:rFonts w:ascii="Times New Roman" w:hAnsi="Times New Roman"/>
          <w:sz w:val="24"/>
          <w:szCs w:val="24"/>
        </w:rPr>
        <w:t>(</w:t>
      </w:r>
      <w:r>
        <w:rPr>
          <w:rFonts w:hint="eastAsia" w:ascii="Times New Roman" w:hAnsi="Times New Roman"/>
          <w:sz w:val="24"/>
          <w:szCs w:val="24"/>
        </w:rPr>
        <w:t>以下简称</w:t>
      </w:r>
      <w:r>
        <w:rPr>
          <w:rFonts w:ascii="Times New Roman" w:hAnsi="Times New Roman"/>
          <w:sz w:val="24"/>
          <w:szCs w:val="24"/>
        </w:rPr>
        <w:t>“</w:t>
      </w:r>
      <w:r>
        <w:rPr>
          <w:rFonts w:hint="eastAsia" w:ascii="Times New Roman" w:hAnsi="Times New Roman"/>
          <w:sz w:val="24"/>
          <w:szCs w:val="24"/>
        </w:rPr>
        <w:t>乙方</w:t>
      </w:r>
      <w:r>
        <w:rPr>
          <w:rFonts w:ascii="Times New Roman" w:hAnsi="Times New Roman"/>
          <w:sz w:val="24"/>
          <w:szCs w:val="24"/>
        </w:rPr>
        <w:t>”)</w:t>
      </w:r>
    </w:p>
    <w:p w14:paraId="196D0228">
      <w:pPr>
        <w:adjustRightInd w:val="0"/>
        <w:snapToGrid w:val="0"/>
        <w:spacing w:line="360" w:lineRule="auto"/>
        <w:ind w:firstLine="480" w:firstLineChars="200"/>
        <w:contextualSpacing/>
        <w:jc w:val="both"/>
        <w:rPr>
          <w:rFonts w:hint="eastAsia" w:ascii="Times New Roman" w:hAnsi="Times New Roman"/>
          <w:sz w:val="24"/>
          <w:szCs w:val="24"/>
        </w:rPr>
      </w:pPr>
    </w:p>
    <w:p w14:paraId="3C4B004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为贯彻“安全第一、预防为主、综合治理”的方针，根据国家和地方政府有关法律法规，以及行业有关安全管理规定，明确双方的安全监察部责任，确保施工安全环保，签订本协议。</w:t>
      </w:r>
    </w:p>
    <w:p w14:paraId="53C49A5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一、工程项目(以合同为准)：</w:t>
      </w:r>
    </w:p>
    <w:p w14:paraId="2F16863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本协议作为《</w:t>
      </w:r>
      <w:r>
        <w:rPr>
          <w:rFonts w:hint="eastAsia" w:ascii="Times New Roman" w:hAnsi="Times New Roman"/>
          <w:sz w:val="24"/>
          <w:szCs w:val="24"/>
          <w:u w:val="single"/>
          <w:lang w:val="en-US" w:eastAsia="zh-CN"/>
        </w:rPr>
        <w:t xml:space="preserve">             </w:t>
      </w:r>
      <w:r>
        <w:rPr>
          <w:rFonts w:hint="eastAsia" w:ascii="Times New Roman" w:hAnsi="Times New Roman"/>
          <w:sz w:val="24"/>
          <w:szCs w:val="24"/>
        </w:rPr>
        <w:t>》的附件，与该合同同时生效、同时终止，双方应恪守执行。如有违约，按本协议规定的职责各自承担行政责任、经济责任，直至承担法律责任。</w:t>
      </w:r>
    </w:p>
    <w:p w14:paraId="69EEDC3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二、协议内容</w:t>
      </w:r>
      <w:r>
        <w:rPr>
          <w:rFonts w:ascii="Times New Roman" w:hAnsi="Times New Roman"/>
          <w:sz w:val="24"/>
          <w:szCs w:val="24"/>
        </w:rPr>
        <w:t>:</w:t>
      </w:r>
    </w:p>
    <w:p w14:paraId="4CBE47BE">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双方应认真贯彻国家和安全生产主管部门及地方颁发的有关安全生产的方针、政策，严格执行有关安全生产、劳动保护、职业卫生、环境保护、消防、建设工程等法律法规和电力生产安全工作规程、电力设备典型消防规程等标准、规范及集团公司安全生产工作规定、安全生产禁令等安全生产规章制度。</w:t>
      </w:r>
    </w:p>
    <w:p w14:paraId="50A475C9">
      <w:pPr>
        <w:pStyle w:val="15"/>
        <w:numPr>
          <w:ilvl w:val="0"/>
          <w:numId w:val="1"/>
        </w:numPr>
        <w:spacing w:line="360" w:lineRule="auto"/>
        <w:ind w:firstLineChars="0"/>
        <w:contextualSpacing/>
        <w:rPr>
          <w:rFonts w:ascii="Times New Roman" w:hAnsi="Times New Roman"/>
          <w:sz w:val="24"/>
          <w:szCs w:val="24"/>
        </w:rPr>
      </w:pPr>
      <w:r>
        <w:rPr>
          <w:rFonts w:hint="eastAsia" w:ascii="Times New Roman" w:hAnsi="Times New Roman"/>
          <w:sz w:val="24"/>
          <w:szCs w:val="24"/>
        </w:rPr>
        <w:t>乙方不得转包、违法分包、托管或者代管承包项目，不得将承包项目的主要工作再次分包。</w:t>
      </w:r>
    </w:p>
    <w:p w14:paraId="3D18F006">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两个及以上承包商（无相互合同关系）在同一作业区域内存在交叉作业的，甲方组织相关方签订安全生产管理互保协议，明确各自的安全管理职责和应当采取的安全措施，甲方及各承包商均应指定专职安全生产管理人员进行安全检查与协调。</w:t>
      </w:r>
    </w:p>
    <w:p w14:paraId="39273DE2">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乙方应遵守国家、行业和集团公司相关标准，并严格执行甲方的《外包管理制度》。</w:t>
      </w:r>
    </w:p>
    <w:p w14:paraId="73801127">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应提供单位资质和安全生产条件（含国家强制规定的安全生产许可证等），并提供最近3年内未发生安全生产事故的证明材料（未发生重伤及以上人身事故、设备事故、火灾事故证明材料），若承包单位为新成立单位，承接业务未满三年的，可以根据实际情况提供证明材料。如乙方存在隐瞒、欺骗或拒不履行合同和协议内容导致无法满足国家相关法规标准要求的，甲方有权无偿中止合同，所有责任由乙方承担。</w:t>
      </w:r>
    </w:p>
    <w:p w14:paraId="0235220D">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乙方为长协单位的，应在项目开工前提前</w:t>
      </w:r>
      <w:r>
        <w:rPr>
          <w:rFonts w:ascii="Times New Roman" w:hAnsi="Times New Roman"/>
          <w:sz w:val="24"/>
          <w:szCs w:val="24"/>
        </w:rPr>
        <w:t>7</w:t>
      </w:r>
      <w:r>
        <w:rPr>
          <w:rFonts w:hint="eastAsia" w:ascii="Times New Roman" w:hAnsi="Times New Roman"/>
          <w:sz w:val="24"/>
          <w:szCs w:val="24"/>
        </w:rPr>
        <w:t>天以上入场办理资质审查、安全协议、安全培训、安全技术交底、开工申请等工作。</w:t>
      </w:r>
    </w:p>
    <w:p w14:paraId="73D4C40D">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乙方应制定并提交与项目要求相应的全员安全生产责任制等安全生产规章制度、操作规程清单、应急预案或应急处置方案。</w:t>
      </w:r>
    </w:p>
    <w:p w14:paraId="7A2F2E00">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乙方入场人员要求：</w:t>
      </w:r>
    </w:p>
    <w:p w14:paraId="27075CB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8.1 乙方指派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为项目负责人，负责本合同履行，按要求组织施工，保质保量，按期完成施工任务，处理解决由乙方负责的各项事宜，乙方中途更换项目经理需征得甲方书面同意；指派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为技术负责人；指派</w:t>
      </w:r>
      <w:r>
        <w:rPr>
          <w:rFonts w:hint="eastAsia" w:ascii="Times New Roman" w:hAnsi="Times New Roman"/>
          <w:sz w:val="24"/>
          <w:szCs w:val="24"/>
          <w:u w:val="single"/>
        </w:rPr>
        <w:t xml:space="preserve"> </w:t>
      </w:r>
      <w:r>
        <w:rPr>
          <w:rFonts w:hint="default"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同志为安全员，乙方中途更换技术负责人、安全员需征得甲方书面同意。</w:t>
      </w:r>
    </w:p>
    <w:p w14:paraId="07B2AB2D">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8.2 入场人员应身体健康，满足项目要求。严禁使用有职业禁忌症者、童工等法规禁止的人员。</w:t>
      </w:r>
    </w:p>
    <w:p w14:paraId="45875A9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8.3 乙方应选派合适的项目负责人（项目经理）、技术负责人、安全负责人（专职安全员），项目负责人应具有高级工程师及以上职称，安全负责人（专职安全员）应有相应资格证书，人员任命应有任命文件，人员更换应提前书面通知甲方，经甲方同意后方可对人员更换。</w:t>
      </w:r>
    </w:p>
    <w:p w14:paraId="2620215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8.4 乙方项目管理人员（项目负责人、技术人员、安全管理人员）素质要求符合国家法律法规要求且必须是外包单位正式职工。所有人员信息必须交由甲方项目主管部门审核，确认其工作技能、安全知识满足工作需要。乙方安全管理机构及专职安全员的配备应符合甲方《外包管理制度》。项目部员工人数≥300人的，配备不少于2人的专职安监人员；50人≤员工人数＜300人的，应配备不少于1人的专职安监人员；员工人数＜50人的，可配备1名专职安监人员或1名兼职安全员。涉及建筑施工，道路运输单位，危险物品的生产、经营、储存等高危行业，承包单位项目部必须配备专职安全生产管理人员在现场管理。</w:t>
      </w:r>
    </w:p>
    <w:p w14:paraId="23BE560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8.5 入场人员学历要求（以提供的有效学历证明文件或户口本学历为准）：管理人员（项目负责人、技术和安全负责人等）应具备高中及以上学历；作业人员应具备初中及以上学历。</w:t>
      </w:r>
    </w:p>
    <w:p w14:paraId="2241372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8.6 乙方特种作业人员及特种设备的操作人员，须具备相关资质的管理机构所颁发的相应特种作业证及特种设备操作证；作业人员应具备初级工及以上技术等级或</w:t>
      </w:r>
      <w:r>
        <w:rPr>
          <w:rFonts w:ascii="Times New Roman" w:hAnsi="Times New Roman"/>
          <w:sz w:val="24"/>
          <w:szCs w:val="24"/>
        </w:rPr>
        <w:t>2</w:t>
      </w:r>
      <w:r>
        <w:rPr>
          <w:rFonts w:hint="eastAsia" w:ascii="Times New Roman" w:hAnsi="Times New Roman"/>
          <w:sz w:val="24"/>
          <w:szCs w:val="24"/>
        </w:rPr>
        <w:t>年以上本专业工作经历。技能人员和专业技术人员职业资格须具备国家职业资格相关要求。</w:t>
      </w:r>
    </w:p>
    <w:p w14:paraId="6F0C279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8.7 乙方应与其入场人员签订符合劳动合同法规定的劳动用工协议或合同，缴纳社会保险（工伤保险或法规标准规定的其他保险），为劳务雇佣关系的用工人员缴纳团体意外伤害保险费，团体意外伤害保险合同备查。根据项目存在的风险，对入场人员进行健康体检、职业健康体验。不得安排有职业禁忌症的人员从事禁忌类工作。资质审查阶段，乙方应提供有效的劳动用工协议或合同、保险缴纳证明、健康体检证明或报告。特种作业及接触职业病危害因素的岗位人员应按《电力行业职业健康监护技术规范</w:t>
      </w:r>
      <w:r>
        <w:rPr>
          <w:rFonts w:ascii="Times New Roman" w:hAnsi="Times New Roman"/>
          <w:sz w:val="24"/>
          <w:szCs w:val="24"/>
        </w:rPr>
        <w:t>DL/T325-2010</w:t>
      </w:r>
      <w:r>
        <w:rPr>
          <w:rFonts w:hint="eastAsia" w:ascii="Times New Roman" w:hAnsi="Times New Roman"/>
          <w:sz w:val="24"/>
          <w:szCs w:val="24"/>
        </w:rPr>
        <w:t>》或《职业健康监护技术规范</w:t>
      </w:r>
      <w:r>
        <w:rPr>
          <w:rFonts w:ascii="Times New Roman" w:hAnsi="Times New Roman"/>
          <w:sz w:val="24"/>
          <w:szCs w:val="24"/>
        </w:rPr>
        <w:t>GBZ188-2014</w:t>
      </w:r>
      <w:r>
        <w:rPr>
          <w:rFonts w:hint="eastAsia" w:ascii="Times New Roman" w:hAnsi="Times New Roman"/>
          <w:sz w:val="24"/>
          <w:szCs w:val="24"/>
        </w:rPr>
        <w:t>》要求，进行上岗前职业健康体检合格，并提供一年内职业健康监测机构出具的职业健康体检证明或报告；一般作业人员应提供一年内县级及以上医疗机构（二级乙等及以上）健康体检证明或报告。工作结束后乙方应对入场人员进行离岗后体检，并提供健康体检证明或报告；乙方未提供离岗体检报告的，视为体检合格，相关责任全部由乙方承担。</w:t>
      </w:r>
    </w:p>
    <w:p w14:paraId="418728C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8.8 乙方应保证队伍稳定，未经甲方同意，不得随意变动项目的管理人员、班组长和工作负责人，不得随意减少和更换其他作业人员，项目周期内人员流动率不得大于小于15%。人员变动时，必须办理人员退场和入场手续。违反上述约定的，甲方有权按照安全生产考核规定进行考核，严重影响本项目安全、质量和进度情况的，甲方有权无偿中止合同，所有责任由乙方承担。</w:t>
      </w:r>
    </w:p>
    <w:p w14:paraId="4744688D">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乙方人员入场安全培训：</w:t>
      </w:r>
    </w:p>
    <w:p w14:paraId="1E372CF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9.1 入场安全培训应满足下表要求：</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3555"/>
        <w:gridCol w:w="1123"/>
        <w:gridCol w:w="3191"/>
      </w:tblGrid>
      <w:tr w14:paraId="49D11517">
        <w:trPr>
          <w:jc w:val="center"/>
        </w:trPr>
        <w:tc>
          <w:tcPr>
            <w:tcW w:w="383" w:type="pct"/>
            <w:vAlign w:val="center"/>
          </w:tcPr>
          <w:p w14:paraId="3F5BC135">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序号</w:t>
            </w:r>
          </w:p>
        </w:tc>
        <w:tc>
          <w:tcPr>
            <w:tcW w:w="2086" w:type="pct"/>
            <w:vAlign w:val="center"/>
          </w:tcPr>
          <w:p w14:paraId="54FB3C72">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承包商类型</w:t>
            </w:r>
          </w:p>
        </w:tc>
        <w:tc>
          <w:tcPr>
            <w:tcW w:w="659" w:type="pct"/>
            <w:vAlign w:val="center"/>
          </w:tcPr>
          <w:p w14:paraId="16B8DE31">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培训时间</w:t>
            </w:r>
          </w:p>
        </w:tc>
        <w:tc>
          <w:tcPr>
            <w:tcW w:w="1873" w:type="pct"/>
            <w:vAlign w:val="center"/>
          </w:tcPr>
          <w:p w14:paraId="3D487105">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培训重点</w:t>
            </w:r>
          </w:p>
        </w:tc>
      </w:tr>
      <w:tr w14:paraId="02D31685">
        <w:trPr>
          <w:jc w:val="center"/>
        </w:trPr>
        <w:tc>
          <w:tcPr>
            <w:tcW w:w="383" w:type="pct"/>
            <w:vAlign w:val="center"/>
          </w:tcPr>
          <w:p w14:paraId="33E6A39E">
            <w:pPr>
              <w:pStyle w:val="15"/>
              <w:keepNext w:val="0"/>
              <w:keepLines w:val="0"/>
              <w:suppressLineNumbers w:val="0"/>
              <w:spacing w:before="0" w:beforeAutospacing="0" w:after="0" w:afterAutospacing="0" w:line="360" w:lineRule="auto"/>
              <w:ind w:left="0" w:right="0" w:firstLine="0" w:firstLineChars="0"/>
              <w:contextualSpacing/>
              <w:jc w:val="both"/>
              <w:rPr>
                <w:rFonts w:hint="default" w:ascii="Times New Roman" w:hAnsi="Times New Roman"/>
              </w:rPr>
            </w:pPr>
            <w:r>
              <w:rPr>
                <w:rFonts w:hint="eastAsia" w:ascii="Times New Roman" w:hAnsi="Times New Roman"/>
              </w:rPr>
              <w:t>1</w:t>
            </w:r>
          </w:p>
        </w:tc>
        <w:tc>
          <w:tcPr>
            <w:tcW w:w="2086" w:type="pct"/>
            <w:vAlign w:val="center"/>
          </w:tcPr>
          <w:p w14:paraId="4E7F06C9">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临时项目外包单位</w:t>
            </w:r>
          </w:p>
        </w:tc>
        <w:tc>
          <w:tcPr>
            <w:tcW w:w="659" w:type="pct"/>
            <w:vAlign w:val="center"/>
          </w:tcPr>
          <w:p w14:paraId="23C03B32">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≥8学时</w:t>
            </w:r>
          </w:p>
        </w:tc>
        <w:tc>
          <w:tcPr>
            <w:tcW w:w="1873" w:type="pct"/>
            <w:vAlign w:val="center"/>
          </w:tcPr>
          <w:p w14:paraId="56B1667D">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入场安全警示教育</w:t>
            </w:r>
          </w:p>
        </w:tc>
      </w:tr>
      <w:tr w14:paraId="08D2D5EE">
        <w:trPr>
          <w:jc w:val="center"/>
        </w:trPr>
        <w:tc>
          <w:tcPr>
            <w:tcW w:w="383" w:type="pct"/>
            <w:vAlign w:val="center"/>
          </w:tcPr>
          <w:p w14:paraId="0863DB28">
            <w:pPr>
              <w:pStyle w:val="15"/>
              <w:keepNext w:val="0"/>
              <w:keepLines w:val="0"/>
              <w:suppressLineNumbers w:val="0"/>
              <w:spacing w:before="0" w:beforeAutospacing="0" w:after="0" w:afterAutospacing="0" w:line="360" w:lineRule="auto"/>
              <w:ind w:left="0" w:right="0" w:firstLine="0" w:firstLineChars="0"/>
              <w:contextualSpacing/>
              <w:jc w:val="both"/>
              <w:rPr>
                <w:rFonts w:hint="default" w:ascii="Times New Roman" w:hAnsi="Times New Roman"/>
              </w:rPr>
            </w:pPr>
            <w:r>
              <w:rPr>
                <w:rFonts w:hint="eastAsia" w:ascii="Times New Roman" w:hAnsi="Times New Roman"/>
              </w:rPr>
              <w:t>2</w:t>
            </w:r>
          </w:p>
        </w:tc>
        <w:tc>
          <w:tcPr>
            <w:tcW w:w="2086" w:type="pct"/>
            <w:vAlign w:val="center"/>
          </w:tcPr>
          <w:p w14:paraId="5280CBBD">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长期承包商（在场时间＞</w:t>
            </w:r>
            <w:r>
              <w:rPr>
                <w:rFonts w:hint="default" w:ascii="Times New Roman" w:hAnsi="Times New Roman"/>
              </w:rPr>
              <w:t>6</w:t>
            </w:r>
            <w:r>
              <w:rPr>
                <w:rFonts w:hint="eastAsia" w:ascii="Times New Roman" w:hAnsi="Times New Roman"/>
              </w:rPr>
              <w:t>个月）</w:t>
            </w:r>
          </w:p>
        </w:tc>
        <w:tc>
          <w:tcPr>
            <w:tcW w:w="659" w:type="pct"/>
            <w:vAlign w:val="center"/>
          </w:tcPr>
          <w:p w14:paraId="74825B91">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≥24学时</w:t>
            </w:r>
          </w:p>
        </w:tc>
        <w:tc>
          <w:tcPr>
            <w:tcW w:w="1873" w:type="pct"/>
            <w:vAlign w:val="center"/>
          </w:tcPr>
          <w:p w14:paraId="55CA9E3A">
            <w:pPr>
              <w:keepNext w:val="0"/>
              <w:keepLines w:val="0"/>
              <w:suppressLineNumbers w:val="0"/>
              <w:spacing w:before="0" w:beforeAutospacing="0" w:after="0" w:afterAutospacing="0" w:line="360" w:lineRule="auto"/>
              <w:ind w:left="0" w:right="0"/>
              <w:contextualSpacing/>
              <w:jc w:val="both"/>
              <w:rPr>
                <w:rFonts w:hint="default" w:ascii="Times New Roman" w:hAnsi="Times New Roman"/>
              </w:rPr>
            </w:pPr>
            <w:r>
              <w:rPr>
                <w:rFonts w:hint="eastAsia" w:ascii="Times New Roman" w:hAnsi="Times New Roman"/>
              </w:rPr>
              <w:t>纳入甲方安全生产管理体系，同质化管理</w:t>
            </w:r>
          </w:p>
        </w:tc>
      </w:tr>
    </w:tbl>
    <w:p w14:paraId="58AD65B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9.2 乙方所有入场人员应在甲方的安全教育培训平台接受甲方的三级安全教育，达成</w:t>
      </w:r>
      <w:r>
        <w:rPr>
          <w:rFonts w:ascii="Times New Roman" w:hAnsi="Times New Roman"/>
          <w:sz w:val="24"/>
          <w:szCs w:val="24"/>
        </w:rPr>
        <w:t>100%</w:t>
      </w:r>
      <w:r>
        <w:rPr>
          <w:rFonts w:hint="eastAsia" w:ascii="Times New Roman" w:hAnsi="Times New Roman"/>
          <w:sz w:val="24"/>
          <w:szCs w:val="24"/>
        </w:rPr>
        <w:t>培训课时要求、</w:t>
      </w:r>
      <w:r>
        <w:rPr>
          <w:rFonts w:ascii="Times New Roman" w:hAnsi="Times New Roman"/>
          <w:sz w:val="24"/>
          <w:szCs w:val="24"/>
        </w:rPr>
        <w:t>100%</w:t>
      </w:r>
      <w:r>
        <w:rPr>
          <w:rFonts w:hint="eastAsia" w:ascii="Times New Roman" w:hAnsi="Times New Roman"/>
          <w:sz w:val="24"/>
          <w:szCs w:val="24"/>
        </w:rPr>
        <w:t>考试合格后方可允许进场作业。</w:t>
      </w:r>
    </w:p>
    <w:p w14:paraId="6C1465F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乙方应提交经资格审查并培训考试合格的工作票负责人名单报甲方资格审查、培训和考核合格后方可担任工作负责人。乙方应保证充足、合格的工作负责人，不能影响项目的安全、质量和进度，由此产生的后果由乙方承担。</w:t>
      </w:r>
    </w:p>
    <w:p w14:paraId="31C3C746">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乙方按照国家有关规定和嘉兴海风应急管理要求，编制专项的应急预案和现场处置方案，建立应急救援组织或指定应急救援人员，配备救援设备设施和器材，并定期组织演练。</w:t>
      </w:r>
    </w:p>
    <w:p w14:paraId="427BD46C">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安全文明施工管理目标</w:t>
      </w:r>
    </w:p>
    <w:p w14:paraId="64F8885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（1）不发生轻伤及以上事故；</w:t>
      </w:r>
    </w:p>
    <w:p w14:paraId="1708092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（2）不发生火险及以上事件；</w:t>
      </w:r>
    </w:p>
    <w:p w14:paraId="54C87C4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（3）不发生海洋环境污染事件；</w:t>
      </w:r>
    </w:p>
    <w:p w14:paraId="3F09BA7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（4）不发生负主责的海上交通安全事故；</w:t>
      </w:r>
    </w:p>
    <w:p w14:paraId="417D27F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（5）不发生人员落水事件；</w:t>
      </w:r>
    </w:p>
    <w:p w14:paraId="4D6D421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（6）不发生船机、生产主设备损坏及工程质量责任事故；</w:t>
      </w:r>
    </w:p>
    <w:p w14:paraId="0857144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（7）不发生受到行政执法机关处罚的事件/事故。</w:t>
      </w:r>
    </w:p>
    <w:p w14:paraId="6B7CF13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（8）不发生直接经济损失1万元以上的在用及在建设备、设施损坏事故。</w:t>
      </w:r>
    </w:p>
    <w:p w14:paraId="1F47ABC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乙方应明确本项目安健环目标指标不低于上述安全文明施工管理目标，并落实各项安全生产措施，确保项目目标的实现。如由于乙方负有责任导致未达到项目安健环目标指标的，按甲方安全生产考核规定执行。由于乙方负有主要责任而发生一般及以上事故时，甲方有权无偿中止合同，所有责任由乙方承担。</w:t>
      </w:r>
    </w:p>
    <w:p w14:paraId="493B7B20">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对达到一定规模的危险性较大的分部分项工程，乙方在项目实施前应编制专项施工方案（安全技术措施和施工监护计划，必要时附安全验算结果），超过一定规模的危险性较大的分部分项工程专项施工方案应组织、通过外部专家论证。</w:t>
      </w:r>
    </w:p>
    <w:p w14:paraId="5817D028">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乙方如涉及有限空间、动火作业等特殊作业需开工作票，经甲方主管部门审批后开工。</w:t>
      </w:r>
    </w:p>
    <w:p w14:paraId="522FF64F">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所有作业人员须持有海上交通安全技能培训合格证明，并接受专项安全培训，包括但不限于海上救生、应急撤离、恶劣天气应对等内容。作业人员作业过程中须全程穿戴救生衣、安全帽、防滑鞋等个人防护装备。</w:t>
      </w:r>
    </w:p>
    <w:p w14:paraId="6114A041">
      <w:pPr>
        <w:pStyle w:val="5"/>
        <w:numPr>
          <w:ilvl w:val="0"/>
          <w:numId w:val="1"/>
        </w:numPr>
        <w:spacing w:line="360" w:lineRule="auto"/>
        <w:ind w:firstLineChars="0"/>
        <w:contextualSpacing/>
        <w:rPr>
          <w:rFonts w:ascii="Times New Roman" w:hAnsi="Times New Roman"/>
        </w:rPr>
      </w:pPr>
      <w:r>
        <w:rPr>
          <w:rFonts w:hint="eastAsia" w:ascii="Times New Roman" w:hAnsi="Times New Roman"/>
        </w:rPr>
        <w:t>乙方在风机工作时，施工人员只有得到工作负责人许可工作的命令后，在监护下方可登塔基工作。施工中应与带电设备保持足够的安全距离或采取可靠的安全措施。在看不到接地线的施工地点工作，应联系甲方人员验电、放电、加挂接地线。在复杂区域施工，应增设足够的专职监护人。</w:t>
      </w:r>
    </w:p>
    <w:p w14:paraId="60F4607F">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乙方入场设备、材料、器具和个人防护用品</w:t>
      </w:r>
    </w:p>
    <w:p w14:paraId="6E03C396">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.1 </w:t>
      </w:r>
      <w:r>
        <w:rPr>
          <w:rFonts w:hint="eastAsia" w:ascii="Times New Roman" w:hAnsi="Times New Roman"/>
          <w:sz w:val="24"/>
          <w:szCs w:val="24"/>
        </w:rPr>
        <w:t>乙方应按照</w:t>
      </w:r>
      <w:r>
        <w:rPr>
          <w:rFonts w:ascii="Times New Roman" w:hAnsi="Times New Roman"/>
          <w:sz w:val="24"/>
          <w:szCs w:val="24"/>
        </w:rPr>
        <w:t>“</w:t>
      </w:r>
      <w:r>
        <w:rPr>
          <w:rFonts w:hint="eastAsia" w:ascii="Times New Roman" w:hAnsi="Times New Roman"/>
          <w:sz w:val="24"/>
          <w:szCs w:val="24"/>
        </w:rPr>
        <w:t>施工设备报验</w:t>
      </w:r>
      <w:r>
        <w:rPr>
          <w:rFonts w:ascii="Times New Roman" w:hAnsi="Times New Roman"/>
          <w:sz w:val="24"/>
          <w:szCs w:val="24"/>
        </w:rPr>
        <w:t>”</w:t>
      </w:r>
      <w:r>
        <w:rPr>
          <w:rFonts w:hint="eastAsia" w:ascii="Times New Roman" w:hAnsi="Times New Roman"/>
          <w:sz w:val="24"/>
          <w:szCs w:val="24"/>
        </w:rPr>
        <w:t>工具要求，提交施工机具报验登记表，施工机械设备、特种设备及工器具，台账</w:t>
      </w:r>
      <w:r>
        <w:rPr>
          <w:rFonts w:ascii="Times New Roman" w:hAnsi="Times New Roman"/>
          <w:sz w:val="24"/>
          <w:szCs w:val="24"/>
        </w:rPr>
        <w:t>/</w:t>
      </w:r>
      <w:r>
        <w:rPr>
          <w:rFonts w:hint="eastAsia" w:ascii="Times New Roman" w:hAnsi="Times New Roman"/>
          <w:sz w:val="24"/>
          <w:szCs w:val="24"/>
        </w:rPr>
        <w:t>清册应完整、规范，检验报告、检定记录、合格证等齐全、有效，配置性能和数量满足项目安全需求。</w:t>
      </w:r>
    </w:p>
    <w:p w14:paraId="5DBFE2E8">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.2 </w:t>
      </w:r>
      <w:r>
        <w:rPr>
          <w:rFonts w:hint="eastAsia" w:ascii="Times New Roman" w:hAnsi="Times New Roman"/>
          <w:sz w:val="24"/>
          <w:szCs w:val="24"/>
        </w:rPr>
        <w:t>乙方入场车辆、特种设备、起重机械、电焊机、电动工器具、安全工器具、脚手板材等设备、器具、材料应提供清单及有效的检验合格证明等文件资料，并按外部设备报验流程及相关要求完成入场报验后，方可使用。</w:t>
      </w:r>
    </w:p>
    <w:p w14:paraId="2AEAE4E4">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.3 </w:t>
      </w:r>
      <w:r>
        <w:rPr>
          <w:rFonts w:hint="eastAsia" w:ascii="Times New Roman" w:hAnsi="Times New Roman"/>
          <w:sz w:val="24"/>
          <w:szCs w:val="24"/>
        </w:rPr>
        <w:t>乙方应配备符合现场需要、充足、合格的安全检测、监控以及应急救援设备、设施、工具、器材，并定期检查维护。加强现场易发事故的危害因素、部位、环节的检测、监控。配备的设备、设施、工具、器材应纳入施工机具报验登记表中。</w:t>
      </w:r>
    </w:p>
    <w:p w14:paraId="06A04882">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.4 </w:t>
      </w:r>
      <w:r>
        <w:rPr>
          <w:rFonts w:hint="eastAsia" w:ascii="Times New Roman" w:hAnsi="Times New Roman"/>
          <w:sz w:val="24"/>
          <w:szCs w:val="24"/>
        </w:rPr>
        <w:t>乙方在项目期间所使用的设备设施及工器具等均应自备。如必须借用或租赁甲方或第三方的设备设施，应办理手续，征得相关方同意。使用方应检查合格，妥善保管、使用，严格执行安全规程、标准制度。在使用过程中，由于设备、工用具因素或使用操作不当而造成事故或损失，由使用方负责。</w:t>
      </w:r>
    </w:p>
    <w:p w14:paraId="460DF9F7">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.5 </w:t>
      </w:r>
      <w:r>
        <w:rPr>
          <w:rFonts w:hint="eastAsia" w:ascii="Times New Roman" w:hAnsi="Times New Roman"/>
          <w:sz w:val="24"/>
          <w:szCs w:val="24"/>
        </w:rPr>
        <w:t>乙方应配备符合现场需要、充足、合格的个人防护用品：特种作业及接触职业病危害因素的岗位人员应按国家法规要求配置相关合格有效的特种防护用品；一般作业人员进入生产现场应配备安全帽、穿全棉工作服、工作鞋（根据工作性质符合绝缘</w:t>
      </w:r>
      <w:r>
        <w:rPr>
          <w:rFonts w:ascii="Times New Roman" w:hAnsi="Times New Roman"/>
          <w:sz w:val="24"/>
          <w:szCs w:val="24"/>
        </w:rPr>
        <w:t>/</w:t>
      </w:r>
      <w:r>
        <w:rPr>
          <w:rFonts w:hint="eastAsia" w:ascii="Times New Roman" w:hAnsi="Times New Roman"/>
          <w:sz w:val="24"/>
          <w:szCs w:val="24"/>
        </w:rPr>
        <w:t>防砸</w:t>
      </w:r>
      <w:r>
        <w:rPr>
          <w:rFonts w:ascii="Times New Roman" w:hAnsi="Times New Roman"/>
          <w:sz w:val="24"/>
          <w:szCs w:val="24"/>
        </w:rPr>
        <w:t>/</w:t>
      </w:r>
      <w:r>
        <w:rPr>
          <w:rFonts w:hint="eastAsia" w:ascii="Times New Roman" w:hAnsi="Times New Roman"/>
          <w:sz w:val="24"/>
          <w:szCs w:val="24"/>
        </w:rPr>
        <w:t>防穿刺</w:t>
      </w:r>
      <w:r>
        <w:rPr>
          <w:rFonts w:ascii="Times New Roman" w:hAnsi="Times New Roman"/>
          <w:sz w:val="24"/>
          <w:szCs w:val="24"/>
        </w:rPr>
        <w:t>/</w:t>
      </w:r>
      <w:r>
        <w:rPr>
          <w:rFonts w:hint="eastAsia" w:ascii="Times New Roman" w:hAnsi="Times New Roman"/>
          <w:sz w:val="24"/>
          <w:szCs w:val="24"/>
        </w:rPr>
        <w:t>耐油</w:t>
      </w:r>
      <w:r>
        <w:rPr>
          <w:rFonts w:ascii="Times New Roman" w:hAnsi="Times New Roman"/>
          <w:sz w:val="24"/>
          <w:szCs w:val="24"/>
        </w:rPr>
        <w:t>/</w:t>
      </w:r>
      <w:r>
        <w:rPr>
          <w:rFonts w:hint="eastAsia" w:ascii="Times New Roman" w:hAnsi="Times New Roman"/>
          <w:sz w:val="24"/>
          <w:szCs w:val="24"/>
        </w:rPr>
        <w:t>耐高温等性能要求的）及反光背心。</w:t>
      </w:r>
    </w:p>
    <w:p w14:paraId="4BA5E084">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安全费用投入</w:t>
      </w:r>
    </w:p>
    <w:p w14:paraId="338D346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乙方应按照</w:t>
      </w:r>
      <w:r>
        <w:rPr>
          <w:rFonts w:ascii="Times New Roman" w:hAnsi="Times New Roman"/>
          <w:sz w:val="24"/>
          <w:szCs w:val="24"/>
        </w:rPr>
        <w:t>“</w:t>
      </w:r>
      <w:r>
        <w:rPr>
          <w:rFonts w:hint="eastAsia" w:ascii="Times New Roman" w:hAnsi="Times New Roman"/>
          <w:sz w:val="24"/>
          <w:szCs w:val="24"/>
        </w:rPr>
        <w:t>专款专用</w:t>
      </w:r>
      <w:r>
        <w:rPr>
          <w:rFonts w:ascii="Times New Roman" w:hAnsi="Times New Roman"/>
          <w:sz w:val="24"/>
          <w:szCs w:val="24"/>
        </w:rPr>
        <w:t>”</w:t>
      </w:r>
      <w:r>
        <w:rPr>
          <w:rFonts w:hint="eastAsia" w:ascii="Times New Roman" w:hAnsi="Times New Roman"/>
          <w:sz w:val="24"/>
          <w:szCs w:val="24"/>
        </w:rPr>
        <w:t>原则，根据国家、行业和集团公司相关规定，单独列支、使用项目安全费用，并满足项目现场安全需求。乙方应及时申报安全费用使用情况、所购安全设施、劳动防护用品的数量、规格和品牌等信息，由甲方审查合格后支付本项目的安全费用。甲方有权随时对乙方采购、配置、使用的安全设施（装备）和劳动防护用品进行检查和验证。乙方未按申请和承诺的数量、规格、品牌购置、配置，或将安全费用挪作他用等情形的，甲方有权督促乙方限期整改或按甲方安全生产考核规定进行考核；对不满足现场安全要求的，甲方有权要求乙方补充、完善并整改，如拒不整改或严重影响本项目安全、质量和进度情况的，甲方有权无偿中止合同，所有责任由乙方承担。</w:t>
      </w:r>
    </w:p>
    <w:p w14:paraId="2DDAE629">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安全技术交底</w:t>
      </w:r>
    </w:p>
    <w:p w14:paraId="3A0EE722">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8</w:t>
      </w:r>
      <w:r>
        <w:rPr>
          <w:rFonts w:ascii="Times New Roman" w:hAnsi="Times New Roman"/>
          <w:sz w:val="24"/>
          <w:szCs w:val="24"/>
        </w:rPr>
        <w:t xml:space="preserve">.1 </w:t>
      </w:r>
      <w:r>
        <w:rPr>
          <w:rFonts w:hint="eastAsia" w:ascii="Times New Roman" w:hAnsi="Times New Roman"/>
          <w:sz w:val="24"/>
          <w:szCs w:val="24"/>
        </w:rPr>
        <w:t>项目开工前，甲方应组织乙方认真勘察作业现场，进行危害辨识与风险评估，完善施工方案和安全控制措施并进行安全技术交底。交底人和被交底人应签字并保存记录。</w:t>
      </w:r>
    </w:p>
    <w:p w14:paraId="170B3A8B">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8</w:t>
      </w:r>
      <w:r>
        <w:rPr>
          <w:rFonts w:ascii="Times New Roman" w:hAnsi="Times New Roman"/>
          <w:sz w:val="24"/>
          <w:szCs w:val="24"/>
        </w:rPr>
        <w:t xml:space="preserve">.2 </w:t>
      </w:r>
      <w:r>
        <w:rPr>
          <w:rFonts w:hint="eastAsia" w:ascii="Times New Roman" w:hAnsi="Times New Roman"/>
          <w:sz w:val="24"/>
          <w:szCs w:val="24"/>
        </w:rPr>
        <w:t>安全技术交底内容主要包括但不限于：</w:t>
      </w:r>
    </w:p>
    <w:p w14:paraId="6D683E6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 工程（项目）作业区域基本情况，包括现场及毗邻区域内生产工艺系统及地下管线资料，气象和水文观测资料，相邻建筑物和构筑物、地下工程的有关资料。</w:t>
      </w:r>
    </w:p>
    <w:p w14:paraId="71D1DA9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 工程（项目）实施中可能存在的风险及预防措施。</w:t>
      </w:r>
    </w:p>
    <w:p w14:paraId="65B07C2D">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 嘉兴海风相关安全技术规程内容及安全管理要求。</w:t>
      </w:r>
    </w:p>
    <w:p w14:paraId="7AA6A95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 嘉兴海风项目公司应急管理机构情况，应急资源配置。</w:t>
      </w:r>
    </w:p>
    <w:p w14:paraId="231C61A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 嘉兴海风对工程（项目）发生突发事件的信息报告要求。</w:t>
      </w:r>
    </w:p>
    <w:p w14:paraId="79C3A094">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开工许可</w:t>
      </w:r>
    </w:p>
    <w:p w14:paraId="5DF26D4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19.1 甲乙双方对作业区域、人员、施工机械、工器具、消防设施、劳动防护用品、周边环境及各项安全、技术和文明生产措施落实情况进行检查、确认合格后，办理《外包项目开工许可单》。</w:t>
      </w:r>
    </w:p>
    <w:p w14:paraId="02DA850B">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9</w:t>
      </w:r>
      <w:r>
        <w:rPr>
          <w:rFonts w:ascii="Times New Roman" w:hAnsi="Times New Roman"/>
          <w:sz w:val="24"/>
          <w:szCs w:val="24"/>
        </w:rPr>
        <w:t xml:space="preserve">.2 </w:t>
      </w:r>
      <w:r>
        <w:rPr>
          <w:rFonts w:hint="eastAsia" w:ascii="Times New Roman" w:hAnsi="Times New Roman"/>
          <w:sz w:val="24"/>
          <w:szCs w:val="24"/>
        </w:rPr>
        <w:t>乙方必须在取得甲方许可开工的书面通知之后方可开工，否则由此造成的安全责任完全由乙方承担。</w:t>
      </w:r>
    </w:p>
    <w:p w14:paraId="39197295">
      <w:pPr>
        <w:adjustRightInd w:val="0"/>
        <w:snapToGrid w:val="0"/>
        <w:spacing w:line="360" w:lineRule="auto"/>
        <w:ind w:firstLine="480" w:firstLineChars="200"/>
        <w:contextualSpacing/>
        <w:jc w:val="both"/>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一经开工，表示乙方已确认施工场所、作业环境、设施设备、工器具等均符合安全要求和处于安全状态，施工单位对施工过程中由于上述因素而导致的事故全面负责。</w:t>
      </w:r>
    </w:p>
    <w:p w14:paraId="5AF24832">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现场作业安全管理</w:t>
      </w:r>
    </w:p>
    <w:p w14:paraId="00076AA6">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20.1 项目实施过程中，甲方应定期对外包单位开展安全生产监督检查和隐患排查治理工作、实现闭环管理，监督检查包括但不限于以下内容：</w:t>
      </w:r>
    </w:p>
    <w:p w14:paraId="236B921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 外包单位主要人员到岗率，安全管理人员、特种作业人员、特种设备作业人员持证等情况；</w:t>
      </w:r>
    </w:p>
    <w:p w14:paraId="453FB84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 现场安全管理、劳动保护用品配置及使用、安全防护措施落实和隐患整改等情况；</w:t>
      </w:r>
    </w:p>
    <w:p w14:paraId="079A73F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 使用的工器具是否符合安全要求，工器具管理是否满足同质化管理要求；</w:t>
      </w:r>
    </w:p>
    <w:p w14:paraId="7D1CAAB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 是否存在违章指挥、违章作业、违反劳动纪律行为；</w:t>
      </w:r>
    </w:p>
    <w:p w14:paraId="50196C1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 施工作业方案及安全技术措施落实情况；</w:t>
      </w:r>
    </w:p>
    <w:p w14:paraId="528EC7C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 较大以上风险作业专职安全人员现场监督情况；</w:t>
      </w:r>
    </w:p>
    <w:p w14:paraId="4822A9D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 安全生产费用使用情况；</w:t>
      </w:r>
    </w:p>
    <w:p w14:paraId="454CACE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(8) 用工变化情况；</w:t>
      </w:r>
    </w:p>
    <w:p w14:paraId="78D7AE4D">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(9) 安全责任制落实情况、安全生产制度执行情况、安全活动和班前会开展情况、安全教育培训等；</w:t>
      </w:r>
    </w:p>
    <w:p w14:paraId="482DB318">
      <w:pPr>
        <w:adjustRightInd w:val="0"/>
        <w:snapToGrid w:val="0"/>
        <w:spacing w:line="360" w:lineRule="auto"/>
        <w:ind w:firstLine="480" w:firstLineChars="200"/>
        <w:contextualSpacing/>
        <w:jc w:val="both"/>
        <w:rPr>
          <w:rFonts w:hint="eastAsia" w:ascii="Times New Roman" w:hAnsi="Times New Roman"/>
          <w:sz w:val="24"/>
          <w:szCs w:val="24"/>
        </w:rPr>
      </w:pPr>
      <w:r>
        <w:rPr>
          <w:rFonts w:hint="eastAsia" w:ascii="Times New Roman" w:hAnsi="Times New Roman"/>
          <w:sz w:val="24"/>
          <w:szCs w:val="24"/>
        </w:rPr>
        <w:t>(10) 应急管理情况。</w:t>
      </w:r>
    </w:p>
    <w:p w14:paraId="2D2A5BBA">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.2</w:t>
      </w:r>
      <w:r>
        <w:rPr>
          <w:rFonts w:hint="eastAsia" w:ascii="Times New Roman" w:hAnsi="Times New Roman"/>
          <w:sz w:val="24"/>
          <w:szCs w:val="24"/>
        </w:rPr>
        <w:t xml:space="preserve"> 常规作业</w:t>
      </w:r>
    </w:p>
    <w:p w14:paraId="70E1941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（1）乙方应严格执行甲方的工作票制度，对甲方所做的安全措施要逐项检查无误后方可开工。工作结束后及时办理终结手续。乙方应对自己批准的工作负责人是否符合《电业（力）安全工作规程》要求负责。</w:t>
      </w:r>
    </w:p>
    <w:p w14:paraId="16508C7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（2）作业人员应严格执行甲方《外包管理制度》、甲方工作票制度有关规定，施工前办理工作票和其他许可文件，落实作业安全防护措施，确认作业条件安全。</w:t>
      </w:r>
    </w:p>
    <w:p w14:paraId="16F720B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（3）乙方作业过程中如需用电需提前与甲方现场工作负责人沟通，经许可并具开工作票后方可进入风机接电。用电设备需可靠，电缆无破损，并在线路上悬挂绝缘钩。</w:t>
      </w:r>
    </w:p>
    <w:p w14:paraId="009B1D4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 机械设备与工器具管理</w:t>
      </w:r>
    </w:p>
    <w:p w14:paraId="6D4A943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20.3.1 机械设备应随机悬挂操作规程，由具有相应资质、熟悉操作技能的人员操作。</w:t>
      </w:r>
    </w:p>
    <w:p w14:paraId="6EE9A9A4">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20.3.2 各类机械设备与工器具应由专人进行检查、维护、保养，依据有关规定进行检验、试验。</w:t>
      </w:r>
    </w:p>
    <w:p w14:paraId="28AF05CE">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20.3.3 各类机械设备与工器具应悬挂或张贴检验、检定、检查合格标志标识，实施可视化管理。</w:t>
      </w:r>
    </w:p>
    <w:p w14:paraId="3E6DF70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20.3.4 严禁擅自改变机械设备或工器具用途，严禁擅自改装、违章操作。</w:t>
      </w:r>
    </w:p>
    <w:p w14:paraId="08008ECD">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20.3.5 甲方应对现场机械设备与工器具的安全状况、检验状态、标志标识等进行监督检查或抽查。</w:t>
      </w:r>
    </w:p>
    <w:p w14:paraId="645FFBB3">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20.3.6 乙方使用负责人对施工现场所用的脚手架每天开工前必须检查，发现隐患应及时报告并整改，检查合格签名后方可登架作业。严禁使用未经验收、检查不合格和超过使用有效期的脚手架，否则由此发生的后果由使用方负责。</w:t>
      </w:r>
    </w:p>
    <w:p w14:paraId="32B52B28">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20.3.7 现场各类安全防护设施、遮栏、安全标志牌、警告牌和接地线等不得擅自拆除、更动。如确实需要拆除、更动的，必须经施工负责人和甲乙双方指派的安全管理人员的同意，办妥必要的手续，并采取必要、可靠的安全措施后方能拆除、更动现场安全防护设施。任何一方人员，擅自拆除、更动安全措施所造成的后果，均由该方负责。</w:t>
      </w:r>
    </w:p>
    <w:p w14:paraId="704CF90D">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20.3.8 特种作业必须执行国家《特种作业人员安全技术培训考核管理规定》，特种作业人员须经省、市、地区的特种作业培训考核机构考核合格后持证上岗，并按规定定期审证；中、小型机械的作业人员必须按规定做到“定机定人”和持证操作；起重吊装作业人员必须遵守“十不吊”规定，严禁违章、无证操作；严禁擅自操作使用电气、机械设备。特种设备应经过相关政府部门检验取得合格使用证，并在有效期内。</w:t>
      </w:r>
    </w:p>
    <w:p w14:paraId="1838190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4 高风险作业</w:t>
      </w:r>
    </w:p>
    <w:p w14:paraId="493D09E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20.4.1 乙方应按要求开展高风险作业前准备。完毕后向甲方申请先决条件检查，甲方组织专业技术和安全监督人员逐项检查确认。</w:t>
      </w:r>
    </w:p>
    <w:p w14:paraId="2E310C1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20.4.2 高风险作业项目的安全监督。甲方应按照公司规定进行安全旁站，指定专人负责现场监督指导，对重点部位、关键环节进行巡视检查，或采用网络信息手段远程连续摄像监督，及时制止违章行为。</w:t>
      </w:r>
    </w:p>
    <w:p w14:paraId="7F1125EC">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5</w:t>
      </w:r>
      <w:r>
        <w:rPr>
          <w:rFonts w:ascii="Times New Roman" w:hAnsi="Times New Roman"/>
          <w:sz w:val="24"/>
          <w:szCs w:val="24"/>
        </w:rPr>
        <w:t xml:space="preserve"> </w:t>
      </w:r>
      <w:r>
        <w:rPr>
          <w:rFonts w:hint="eastAsia" w:ascii="Times New Roman" w:hAnsi="Times New Roman"/>
          <w:sz w:val="24"/>
          <w:szCs w:val="24"/>
        </w:rPr>
        <w:t>作业条件变更管理</w:t>
      </w:r>
    </w:p>
    <w:p w14:paraId="1519E3F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5</w:t>
      </w:r>
      <w:r>
        <w:rPr>
          <w:rFonts w:ascii="Times New Roman" w:hAnsi="Times New Roman"/>
          <w:sz w:val="24"/>
          <w:szCs w:val="24"/>
        </w:rPr>
        <w:t xml:space="preserve">.1 </w:t>
      </w:r>
      <w:r>
        <w:rPr>
          <w:rFonts w:hint="eastAsia" w:ascii="Times New Roman" w:hAnsi="Times New Roman"/>
          <w:sz w:val="24"/>
          <w:szCs w:val="24"/>
        </w:rPr>
        <w:t>当作业工序、工艺、特种设备、作业环境（包括天气状况）发生变化时，立即停止作业，并报告甲方。</w:t>
      </w:r>
    </w:p>
    <w:p w14:paraId="1801BC7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20.5</w:t>
      </w:r>
      <w:r>
        <w:rPr>
          <w:rFonts w:ascii="Times New Roman" w:hAnsi="Times New Roman"/>
          <w:sz w:val="24"/>
          <w:szCs w:val="24"/>
        </w:rPr>
        <w:t xml:space="preserve">.2 </w:t>
      </w:r>
      <w:r>
        <w:rPr>
          <w:rFonts w:hint="eastAsia" w:ascii="Times New Roman" w:hAnsi="Times New Roman"/>
          <w:sz w:val="24"/>
          <w:szCs w:val="24"/>
        </w:rPr>
        <w:t>甲方应督促和组织乙方进行安全风险分析、评估论证；乙方应完善或重新编制作业方案，履行审批手续并组织安全技术交底。</w:t>
      </w:r>
    </w:p>
    <w:p w14:paraId="7F3DD895">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监督检查与日常考核</w:t>
      </w:r>
    </w:p>
    <w:p w14:paraId="230FEAC0">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.1 </w:t>
      </w:r>
      <w:r>
        <w:rPr>
          <w:rFonts w:hint="eastAsia" w:ascii="Times New Roman" w:hAnsi="Times New Roman"/>
          <w:sz w:val="24"/>
          <w:szCs w:val="24"/>
        </w:rPr>
        <w:t>乙方应定期召开安全生产例会、参加甲方组织召开的各类安全会议、落实本单位及甲方安全教育培训制度、认真开展</w:t>
      </w:r>
      <w:r>
        <w:rPr>
          <w:rFonts w:ascii="Times New Roman" w:hAnsi="Times New Roman"/>
          <w:sz w:val="24"/>
          <w:szCs w:val="24"/>
        </w:rPr>
        <w:t>“</w:t>
      </w:r>
      <w:r>
        <w:rPr>
          <w:rFonts w:hint="eastAsia" w:ascii="Times New Roman" w:hAnsi="Times New Roman"/>
          <w:sz w:val="24"/>
          <w:szCs w:val="24"/>
        </w:rPr>
        <w:t>三会一活动</w:t>
      </w:r>
      <w:r>
        <w:rPr>
          <w:rFonts w:ascii="Times New Roman" w:hAnsi="Times New Roman"/>
          <w:sz w:val="24"/>
          <w:szCs w:val="24"/>
        </w:rPr>
        <w:t>”</w:t>
      </w:r>
      <w:r>
        <w:rPr>
          <w:rFonts w:hint="eastAsia" w:ascii="Times New Roman" w:hAnsi="Times New Roman"/>
          <w:sz w:val="24"/>
          <w:szCs w:val="24"/>
        </w:rPr>
        <w:t>（即班前会、工前会、班后会、班组安全日活动）、定期组织开展危害辨识和风险评估、定期组织安全检查与隐患排查治理。</w:t>
      </w:r>
    </w:p>
    <w:p w14:paraId="43A2F16B">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.2 </w:t>
      </w:r>
      <w:r>
        <w:rPr>
          <w:rFonts w:hint="eastAsia" w:ascii="Times New Roman" w:hAnsi="Times New Roman"/>
          <w:sz w:val="24"/>
          <w:szCs w:val="24"/>
        </w:rPr>
        <w:t>日常考核</w:t>
      </w:r>
    </w:p>
    <w:p w14:paraId="239D429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w:t>
      </w:r>
      <w:r>
        <w:rPr>
          <w:rFonts w:ascii="Times New Roman" w:hAnsi="Times New Roman"/>
          <w:sz w:val="24"/>
          <w:szCs w:val="24"/>
        </w:rPr>
        <w:t xml:space="preserve">.2.1 </w:t>
      </w:r>
      <w:r>
        <w:rPr>
          <w:rFonts w:hint="eastAsia" w:ascii="Times New Roman" w:hAnsi="Times New Roman"/>
          <w:sz w:val="24"/>
          <w:szCs w:val="24"/>
        </w:rPr>
        <w:t>依据合同或安全生产管理要求约定，遵循</w:t>
      </w:r>
      <w:r>
        <w:rPr>
          <w:rFonts w:ascii="Times New Roman" w:hAnsi="Times New Roman"/>
          <w:sz w:val="24"/>
          <w:szCs w:val="24"/>
        </w:rPr>
        <w:t>“</w:t>
      </w:r>
      <w:r>
        <w:rPr>
          <w:rFonts w:hint="eastAsia" w:ascii="Times New Roman" w:hAnsi="Times New Roman"/>
          <w:sz w:val="24"/>
          <w:szCs w:val="24"/>
        </w:rPr>
        <w:t>奖罚并施、对事不对人</w:t>
      </w:r>
      <w:r>
        <w:rPr>
          <w:rFonts w:ascii="Times New Roman" w:hAnsi="Times New Roman"/>
          <w:sz w:val="24"/>
          <w:szCs w:val="24"/>
        </w:rPr>
        <w:t>”</w:t>
      </w:r>
      <w:r>
        <w:rPr>
          <w:rFonts w:hint="eastAsia" w:ascii="Times New Roman" w:hAnsi="Times New Roman"/>
          <w:sz w:val="24"/>
          <w:szCs w:val="24"/>
        </w:rPr>
        <w:t>的原则，甲方制定承包商安全管理奖惩办法或相关规定。</w:t>
      </w:r>
    </w:p>
    <w:p w14:paraId="36078AE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21.2.2 对管理混乱、技术素质差、事故隐患不断的承包单位，除开具整改通知单、考核单等考核手段外，甲方项目主管部门或安全监察职能部门还可以提出《停工整改通知书》。承包单位整改完毕，应填写《复工申请报告》，向《停工整改通知书》发出部门提出复工申请，经验收合格后方可复工。下列情况，应立即停工整顿：</w:t>
      </w:r>
    </w:p>
    <w:p w14:paraId="2118FD69">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(1)</w:t>
      </w:r>
      <w:r>
        <w:rPr>
          <w:rFonts w:hint="eastAsia" w:ascii="Times New Roman" w:hAnsi="Times New Roman"/>
          <w:sz w:val="24"/>
          <w:szCs w:val="24"/>
        </w:rPr>
        <w:tab/>
      </w:r>
      <w:r>
        <w:rPr>
          <w:rFonts w:hint="eastAsia" w:ascii="Times New Roman" w:hAnsi="Times New Roman"/>
          <w:sz w:val="24"/>
          <w:szCs w:val="24"/>
        </w:rPr>
        <w:t>发生轻伤及以上人身事故。</w:t>
      </w:r>
    </w:p>
    <w:p w14:paraId="3528C19D">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w:t>
      </w:r>
      <w:r>
        <w:rPr>
          <w:rFonts w:hint="eastAsia" w:ascii="Times New Roman" w:hAnsi="Times New Roman"/>
          <w:sz w:val="24"/>
          <w:szCs w:val="24"/>
        </w:rPr>
        <w:tab/>
      </w:r>
      <w:r>
        <w:rPr>
          <w:rFonts w:hint="eastAsia" w:ascii="Times New Roman" w:hAnsi="Times New Roman"/>
          <w:sz w:val="24"/>
          <w:szCs w:val="24"/>
        </w:rPr>
        <w:t>发生直接经济5万及以上设备损坏事故。</w:t>
      </w:r>
    </w:p>
    <w:p w14:paraId="148C9A2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(3)</w:t>
      </w:r>
      <w:r>
        <w:rPr>
          <w:rFonts w:hint="eastAsia" w:ascii="Times New Roman" w:hAnsi="Times New Roman"/>
          <w:sz w:val="24"/>
          <w:szCs w:val="24"/>
        </w:rPr>
        <w:tab/>
      </w:r>
      <w:r>
        <w:rPr>
          <w:rFonts w:hint="eastAsia" w:ascii="Times New Roman" w:hAnsi="Times New Roman"/>
          <w:sz w:val="24"/>
          <w:szCs w:val="24"/>
        </w:rPr>
        <w:t>发生直接经济1万及以上一般火灾事故。</w:t>
      </w:r>
    </w:p>
    <w:p w14:paraId="5A6FDA4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(4)</w:t>
      </w:r>
      <w:r>
        <w:rPr>
          <w:rFonts w:hint="eastAsia" w:ascii="Times New Roman" w:hAnsi="Times New Roman"/>
          <w:sz w:val="24"/>
          <w:szCs w:val="24"/>
        </w:rPr>
        <w:tab/>
      </w:r>
      <w:r>
        <w:rPr>
          <w:rFonts w:hint="eastAsia" w:ascii="Times New Roman" w:hAnsi="Times New Roman"/>
          <w:sz w:val="24"/>
          <w:szCs w:val="24"/>
        </w:rPr>
        <w:t>恶性未遂事件。</w:t>
      </w:r>
    </w:p>
    <w:p w14:paraId="57636562">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(5)</w:t>
      </w:r>
      <w:r>
        <w:rPr>
          <w:rFonts w:hint="eastAsia" w:ascii="Times New Roman" w:hAnsi="Times New Roman"/>
          <w:sz w:val="24"/>
          <w:szCs w:val="24"/>
        </w:rPr>
        <w:tab/>
      </w:r>
      <w:r>
        <w:rPr>
          <w:rFonts w:hint="eastAsia" w:ascii="Times New Roman" w:hAnsi="Times New Roman"/>
          <w:sz w:val="24"/>
          <w:szCs w:val="24"/>
        </w:rPr>
        <w:t>屡发严重违反安全规程的违章行为。</w:t>
      </w:r>
    </w:p>
    <w:p w14:paraId="2C46172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(6)</w:t>
      </w:r>
      <w:r>
        <w:rPr>
          <w:rFonts w:hint="eastAsia" w:ascii="Times New Roman" w:hAnsi="Times New Roman"/>
          <w:sz w:val="24"/>
          <w:szCs w:val="24"/>
        </w:rPr>
        <w:tab/>
      </w:r>
      <w:r>
        <w:rPr>
          <w:rFonts w:hint="eastAsia" w:ascii="Times New Roman" w:hAnsi="Times New Roman"/>
          <w:sz w:val="24"/>
          <w:szCs w:val="24"/>
        </w:rPr>
        <w:t>一个月内违章计分达到10分及以上。</w:t>
      </w:r>
    </w:p>
    <w:p w14:paraId="6D4FF27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(7)</w:t>
      </w:r>
      <w:r>
        <w:rPr>
          <w:rFonts w:hint="eastAsia" w:ascii="Times New Roman" w:hAnsi="Times New Roman"/>
          <w:sz w:val="24"/>
          <w:szCs w:val="24"/>
        </w:rPr>
        <w:tab/>
      </w:r>
      <w:r>
        <w:rPr>
          <w:rFonts w:hint="eastAsia" w:ascii="Times New Roman" w:hAnsi="Times New Roman"/>
          <w:sz w:val="24"/>
          <w:szCs w:val="24"/>
        </w:rPr>
        <w:t>上级单位或行业主管部门检查（督查）发现问题，认为有必要停工整顿的。</w:t>
      </w:r>
    </w:p>
    <w:p w14:paraId="6CD0FC1D">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应急与事故事件管理</w:t>
      </w:r>
    </w:p>
    <w:p w14:paraId="39D1327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.1 </w:t>
      </w:r>
      <w:r>
        <w:rPr>
          <w:rFonts w:hint="eastAsia" w:ascii="Times New Roman" w:hAnsi="Times New Roman"/>
          <w:sz w:val="24"/>
          <w:szCs w:val="24"/>
        </w:rPr>
        <w:t>乙方应根据本项目作业特点、范围，制定专项应急预案、现场处置方案，成立应急组织机构并定期组织培训、演练。</w:t>
      </w:r>
    </w:p>
    <w:p w14:paraId="5F672C61">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.2 </w:t>
      </w:r>
      <w:r>
        <w:rPr>
          <w:rFonts w:hint="eastAsia" w:ascii="Times New Roman" w:hAnsi="Times New Roman"/>
          <w:sz w:val="24"/>
          <w:szCs w:val="24"/>
        </w:rPr>
        <w:t>乙方应配备合格的应急救援设备、设施、工具、器材，并定期检查维护；对现场易发生事故的部位、环节进行监控。</w:t>
      </w:r>
    </w:p>
    <w:p w14:paraId="1946C3C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.3 </w:t>
      </w:r>
      <w:r>
        <w:rPr>
          <w:rFonts w:hint="eastAsia" w:ascii="Times New Roman" w:hAnsi="Times New Roman"/>
          <w:sz w:val="24"/>
          <w:szCs w:val="24"/>
        </w:rPr>
        <w:t>乙方人员有权拒绝违章指挥，当遇到险情或事故征兆、有可能对现场人员人身安全构成重大威胁时，各级人员有权立即下达停产撤人命令，组织现场人员及时、有序撤离至安全地点或应急疏散点。</w:t>
      </w:r>
    </w:p>
    <w:p w14:paraId="459247BD">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.4 </w:t>
      </w:r>
      <w:r>
        <w:rPr>
          <w:rFonts w:hint="eastAsia" w:ascii="Times New Roman" w:hAnsi="Times New Roman"/>
          <w:sz w:val="24"/>
          <w:szCs w:val="24"/>
        </w:rPr>
        <w:t>乙方应及时报告各类事故事件和异常情况，组织或配合做好应急救援、现场保护、善后处理和调查处理等工作。</w:t>
      </w:r>
    </w:p>
    <w:p w14:paraId="4AD392DF">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.5 </w:t>
      </w:r>
      <w:r>
        <w:rPr>
          <w:rFonts w:hint="eastAsia" w:ascii="Times New Roman" w:hAnsi="Times New Roman"/>
          <w:sz w:val="24"/>
          <w:szCs w:val="24"/>
        </w:rPr>
        <w:t>贯彻谁作业谁负责安全的原则，甲、乙方人员在作业期间造成事故的（包括造成对方及第三方人员伤亡的），双方应紧急抢救伤员和保护现场，按国家、地方及上级安全生产有关事故调查规定，在事故发生后及时报告上级主管部门及市、区（县）有关政府部门。事故的损失和善后处理费用，应按责任协商解决。乙方人员作业中发生的安全事件应及时向甲方通报，按照</w:t>
      </w:r>
      <w:r>
        <w:rPr>
          <w:rFonts w:ascii="Times New Roman" w:hAnsi="Times New Roman"/>
          <w:sz w:val="24"/>
          <w:szCs w:val="24"/>
        </w:rPr>
        <w:t>“</w:t>
      </w:r>
      <w:r>
        <w:rPr>
          <w:rFonts w:hint="eastAsia" w:ascii="Times New Roman" w:hAnsi="Times New Roman"/>
          <w:sz w:val="24"/>
          <w:szCs w:val="24"/>
        </w:rPr>
        <w:t>四不放过</w:t>
      </w:r>
      <w:r>
        <w:rPr>
          <w:rFonts w:ascii="Times New Roman" w:hAnsi="Times New Roman"/>
          <w:sz w:val="24"/>
          <w:szCs w:val="24"/>
        </w:rPr>
        <w:t>”</w:t>
      </w:r>
      <w:r>
        <w:rPr>
          <w:rFonts w:hint="eastAsia" w:ascii="Times New Roman" w:hAnsi="Times New Roman"/>
          <w:sz w:val="24"/>
          <w:szCs w:val="24"/>
        </w:rPr>
        <w:t>的原则调查处理。严禁弄虚作假，隐瞒不报，如迟报瞒报导致后果，由乙方负责，事件发生后</w:t>
      </w:r>
      <w:r>
        <w:rPr>
          <w:rFonts w:ascii="Times New Roman" w:hAnsi="Times New Roman"/>
          <w:sz w:val="24"/>
          <w:szCs w:val="24"/>
        </w:rPr>
        <w:t>1</w:t>
      </w:r>
      <w:r>
        <w:rPr>
          <w:rFonts w:hint="eastAsia" w:ascii="Times New Roman" w:hAnsi="Times New Roman"/>
          <w:sz w:val="24"/>
          <w:szCs w:val="24"/>
        </w:rPr>
        <w:t>小时未通报，甲方视乙方为隐瞒事故或虚报事故。</w:t>
      </w:r>
    </w:p>
    <w:p w14:paraId="0D2E18C7">
      <w:pPr>
        <w:adjustRightInd w:val="0"/>
        <w:snapToGrid w:val="0"/>
        <w:spacing w:line="360" w:lineRule="auto"/>
        <w:ind w:firstLine="480" w:firstLineChars="200"/>
        <w:contextualSpacing/>
        <w:jc w:val="both"/>
        <w:rPr>
          <w:rFonts w:ascii="Times New Roman" w:hAnsi="Times New Roman"/>
          <w:sz w:val="24"/>
          <w:szCs w:val="24"/>
        </w:rPr>
      </w:pPr>
      <w:r>
        <w:rPr>
          <w:rFonts w:hint="eastAsia" w:ascii="Times New Roman" w:hAnsi="Times New Roman"/>
          <w:sz w:val="24"/>
          <w:szCs w:val="24"/>
        </w:rPr>
        <w:t>22</w:t>
      </w:r>
      <w:r>
        <w:rPr>
          <w:rFonts w:ascii="Times New Roman" w:hAnsi="Times New Roman"/>
          <w:sz w:val="24"/>
          <w:szCs w:val="24"/>
        </w:rPr>
        <w:t xml:space="preserve">.6 </w:t>
      </w:r>
      <w:r>
        <w:rPr>
          <w:rFonts w:hint="eastAsia" w:ascii="Times New Roman" w:hAnsi="Times New Roman"/>
          <w:sz w:val="24"/>
          <w:szCs w:val="24"/>
        </w:rPr>
        <w:t>因事故</w:t>
      </w:r>
      <w:r>
        <w:rPr>
          <w:rFonts w:ascii="Times New Roman" w:hAnsi="Times New Roman"/>
          <w:sz w:val="24"/>
          <w:szCs w:val="24"/>
        </w:rPr>
        <w:t>/</w:t>
      </w:r>
      <w:r>
        <w:rPr>
          <w:rFonts w:hint="eastAsia" w:ascii="Times New Roman" w:hAnsi="Times New Roman"/>
          <w:sz w:val="24"/>
          <w:szCs w:val="24"/>
        </w:rPr>
        <w:t>事件停工整顿的，甲方应组织或督促乙方制定并落实防范措施。复工前，甲方应组织开展复工条件审查，确认合格后方可办理复工手续。对未经申请、同意，而擅自复工的，应列入承包商</w:t>
      </w:r>
      <w:r>
        <w:rPr>
          <w:rFonts w:ascii="Times New Roman" w:hAnsi="Times New Roman"/>
          <w:sz w:val="24"/>
          <w:szCs w:val="24"/>
        </w:rPr>
        <w:t>“</w:t>
      </w:r>
      <w:r>
        <w:rPr>
          <w:rFonts w:hint="eastAsia" w:ascii="Times New Roman" w:hAnsi="Times New Roman"/>
          <w:sz w:val="24"/>
          <w:szCs w:val="24"/>
        </w:rPr>
        <w:t>黑名单</w:t>
      </w:r>
      <w:r>
        <w:rPr>
          <w:rFonts w:ascii="Times New Roman" w:hAnsi="Times New Roman"/>
          <w:sz w:val="24"/>
          <w:szCs w:val="24"/>
        </w:rPr>
        <w:t>”</w:t>
      </w:r>
      <w:r>
        <w:rPr>
          <w:rFonts w:hint="eastAsia" w:ascii="Times New Roman" w:hAnsi="Times New Roman"/>
          <w:sz w:val="24"/>
          <w:szCs w:val="24"/>
        </w:rPr>
        <w:t>管理，并再次停工整顿。</w:t>
      </w:r>
    </w:p>
    <w:p w14:paraId="02F2CBFA">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乙方法人是乙方的安全第一责任者，对本单位安全施工负全责，乙方现场项目负责人（或项目经理）是本项目现场安全的直接管理责任者。乙方应建立安全管理网络，负责本项目的安全管理、监督检查工作，并定期向甲方汇报安全管理状况。专职安全员在现场应佩戴明显标志。现场项目负责人和专职安全员的任命须报甲方备案，如有变更，应书面通知甲方。施工期间，</w:t>
      </w:r>
    </w:p>
    <w:p w14:paraId="0C9D6E5A">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施工期间，甲方指派</w:t>
      </w:r>
      <w:r>
        <w:rPr>
          <w:rFonts w:hint="default" w:ascii="Times New Roman" w:hAnsi="Times New Roman"/>
          <w:sz w:val="24"/>
          <w:szCs w:val="24"/>
          <w:u w:val="single"/>
        </w:rPr>
        <w:t xml:space="preserve">       </w:t>
      </w:r>
      <w:r>
        <w:rPr>
          <w:rFonts w:hint="eastAsia" w:ascii="Times New Roman" w:hAnsi="Times New Roman"/>
          <w:sz w:val="24"/>
          <w:szCs w:val="24"/>
        </w:rPr>
        <w:t>同志为项目负责人，负责现场总体协调管理，联系、检查、督促乙方执行有关安全、职业健康、环境保护、文明施工有关规定。甲方应经常联系乙方，对工程施工问题进行帮助协调。对施工中出现的不安全行为，有权纠正或立即停止其工作；对不服从安全管理或严重违章作业、管理混乱的施工单位，有权终止合同，并限期退出。</w:t>
      </w:r>
    </w:p>
    <w:p w14:paraId="27954541">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甲方不得指派乙方人员从事合同外的施工任务，乙方应拒绝执行合同外的施工任务。当工程在项目期限内未按时完成时，乙方应停止工作，办妥合同和安全管理协议的延期手续后继续施工，否则在此期限内（超过项目期限但未办理合同和安全协议延期手续的阶段）发生的后果由乙方负责并接受甲方考核。对甲方违反安全生产制度规定的指令或可能导致事故的违章指挥，乙方有权拒绝执行。</w:t>
      </w:r>
    </w:p>
    <w:p w14:paraId="25FC220E">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对乙方在安全生产方面表现良好并有突出贡献的，甲方可给予表扬和奖励。对违反国家法律法规、政府部门规章、行业标准和甲方规章制度的，甲方有权制止、限期整改、停工、清退或并按甲方安全生产考核规定考核标准对乙方进行考核，对乙方责任造成甲方设备事故、异常或损坏时，甲方有权按照经济损失对乙方进行索赔、考核等处理。</w:t>
      </w:r>
    </w:p>
    <w:p w14:paraId="30006D49">
      <w:pPr>
        <w:pStyle w:val="15"/>
        <w:numPr>
          <w:ilvl w:val="0"/>
          <w:numId w:val="1"/>
        </w:numPr>
        <w:adjustRightInd w:val="0"/>
        <w:snapToGrid w:val="0"/>
        <w:spacing w:line="360" w:lineRule="auto"/>
        <w:ind w:firstLineChars="0"/>
        <w:contextualSpacing/>
        <w:jc w:val="both"/>
        <w:rPr>
          <w:rFonts w:ascii="Times New Roman" w:hAnsi="Times New Roman"/>
          <w:sz w:val="24"/>
          <w:szCs w:val="24"/>
        </w:rPr>
      </w:pPr>
      <w:r>
        <w:rPr>
          <w:rFonts w:hint="eastAsia" w:ascii="Times New Roman" w:hAnsi="Times New Roman"/>
          <w:sz w:val="24"/>
          <w:szCs w:val="24"/>
        </w:rPr>
        <w:t>甲、乙双方必须严格执行本要求。由于违反本要求而造成事故，由违约方承担相应的经济损失。发生人身死亡事故和较大设备事故的承包单位，三年内不得承包系统内项目。</w:t>
      </w:r>
    </w:p>
    <w:p w14:paraId="7676B15B">
      <w:pPr>
        <w:pStyle w:val="16"/>
        <w:numPr>
          <w:ilvl w:val="0"/>
          <w:numId w:val="1"/>
        </w:numPr>
        <w:rPr>
          <w:rFonts w:hint="eastAsia" w:ascii="宋体" w:hAnsi="宋体"/>
          <w:sz w:val="24"/>
          <w:szCs w:val="24"/>
        </w:rPr>
      </w:pPr>
      <w:r>
        <w:rPr>
          <w:rFonts w:hint="eastAsia" w:ascii="宋体" w:hAnsi="宋体"/>
          <w:sz w:val="24"/>
          <w:szCs w:val="24"/>
        </w:rPr>
        <w:t>本协议作为主合同附件，一式肆份，双方各执贰份，经双方签字盖章后生效。</w:t>
      </w:r>
    </w:p>
    <w:p w14:paraId="05E1579B">
      <w:pPr>
        <w:pStyle w:val="16"/>
        <w:numPr>
          <w:ilvl w:val="0"/>
          <w:numId w:val="1"/>
        </w:numPr>
        <w:rPr>
          <w:rFonts w:hint="eastAsia" w:ascii="宋体" w:hAnsi="宋体"/>
          <w:sz w:val="24"/>
          <w:szCs w:val="24"/>
        </w:rPr>
      </w:pPr>
      <w:r>
        <w:rPr>
          <w:rFonts w:hint="eastAsia" w:ascii="宋体" w:hAnsi="宋体"/>
          <w:sz w:val="24"/>
          <w:szCs w:val="24"/>
        </w:rPr>
        <w:t>本协议有效期限随主合同。</w:t>
      </w:r>
    </w:p>
    <w:p w14:paraId="26332A11">
      <w:pPr>
        <w:pStyle w:val="16"/>
        <w:numPr>
          <w:ilvl w:val="0"/>
          <w:numId w:val="1"/>
        </w:numPr>
        <w:rPr>
          <w:rFonts w:hint="eastAsia" w:ascii="宋体" w:hAnsi="宋体"/>
          <w:sz w:val="24"/>
          <w:szCs w:val="24"/>
        </w:rPr>
      </w:pPr>
      <w:r>
        <w:rPr>
          <w:rFonts w:hint="eastAsia" w:ascii="宋体" w:hAnsi="宋体"/>
          <w:sz w:val="24"/>
          <w:szCs w:val="24"/>
        </w:rPr>
        <w:t>其他</w:t>
      </w:r>
    </w:p>
    <w:p w14:paraId="1667AB4D">
      <w:pPr>
        <w:pStyle w:val="16"/>
        <w:ind w:firstLine="480" w:firstLineChars="200"/>
        <w:rPr>
          <w:rFonts w:hint="eastAsia" w:ascii="宋体" w:hAnsi="宋体"/>
          <w:sz w:val="24"/>
          <w:szCs w:val="24"/>
        </w:rPr>
      </w:pPr>
      <w:r>
        <w:rPr>
          <w:rFonts w:hint="eastAsia" w:ascii="宋体" w:hAnsi="宋体"/>
          <w:sz w:val="24"/>
          <w:szCs w:val="24"/>
        </w:rPr>
        <w:t>（1）甲乙双方可根据实际业务的变动，协商修订本协议并重新签订。</w:t>
      </w:r>
    </w:p>
    <w:p w14:paraId="2B27655C">
      <w:pPr>
        <w:pStyle w:val="16"/>
        <w:ind w:firstLine="480" w:firstLineChars="200"/>
        <w:rPr>
          <w:rFonts w:hint="eastAsia" w:ascii="宋体" w:hAnsi="宋体"/>
          <w:sz w:val="24"/>
          <w:szCs w:val="24"/>
        </w:rPr>
      </w:pPr>
      <w:r>
        <w:rPr>
          <w:rFonts w:hint="eastAsia" w:ascii="宋体" w:hAnsi="宋体"/>
          <w:sz w:val="24"/>
          <w:szCs w:val="24"/>
        </w:rPr>
        <w:t>（2）其他未尽事宜，按照国家法律法规、应急管理部门、海事部门和浙能集团的有关要求执行。</w:t>
      </w:r>
    </w:p>
    <w:p w14:paraId="7AB22C30"/>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8"/>
        <w:gridCol w:w="4261"/>
      </w:tblGrid>
      <w:tr w14:paraId="00D1C966">
        <w:trPr>
          <w:trHeight w:val="937" w:hRule="atLeast"/>
        </w:trPr>
        <w:tc>
          <w:tcPr>
            <w:tcW w:w="2499" w:type="pct"/>
          </w:tcPr>
          <w:p w14:paraId="473551A8">
            <w:pPr>
              <w:keepNext w:val="0"/>
              <w:keepLines w:val="0"/>
              <w:suppressLineNumbers w:val="0"/>
              <w:snapToGrid w:val="0"/>
              <w:spacing w:before="0" w:beforeAutospacing="0" w:after="0" w:afterAutospacing="0" w:line="360" w:lineRule="auto"/>
              <w:ind w:left="0" w:right="0"/>
              <w:jc w:val="both"/>
              <w:rPr>
                <w:rFonts w:hint="default" w:ascii="宋体" w:hAnsi="宋体" w:eastAsia="宋体"/>
                <w:kern w:val="0"/>
                <w:sz w:val="24"/>
                <w:szCs w:val="24"/>
                <w:lang w:val="en-US" w:eastAsia="zh-CN"/>
              </w:rPr>
            </w:pPr>
            <w:r>
              <w:rPr>
                <w:rFonts w:hint="eastAsia" w:ascii="宋体" w:hAnsi="宋体"/>
                <w:kern w:val="0"/>
                <w:sz w:val="24"/>
                <w:szCs w:val="24"/>
              </w:rPr>
              <w:t>甲方：</w:t>
            </w:r>
            <w:r>
              <w:rPr>
                <w:rFonts w:hint="eastAsia"/>
                <w:kern w:val="0"/>
                <w:sz w:val="24"/>
                <w:szCs w:val="24"/>
                <w:lang w:val="en-US" w:eastAsia="zh-CN"/>
              </w:rPr>
              <w:t>浙江浙能临海海上风力发电有限公司</w:t>
            </w:r>
          </w:p>
        </w:tc>
        <w:tc>
          <w:tcPr>
            <w:tcW w:w="2500" w:type="pct"/>
          </w:tcPr>
          <w:p w14:paraId="5E8C224A">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乙方：</w:t>
            </w:r>
          </w:p>
        </w:tc>
      </w:tr>
      <w:tr w14:paraId="391397DD">
        <w:trPr>
          <w:trHeight w:val="478" w:hRule="atLeast"/>
        </w:trPr>
        <w:tc>
          <w:tcPr>
            <w:tcW w:w="2499" w:type="pct"/>
          </w:tcPr>
          <w:p w14:paraId="245AF694">
            <w:pPr>
              <w:keepNext w:val="0"/>
              <w:keepLines w:val="0"/>
              <w:suppressLineNumbers w:val="0"/>
              <w:snapToGrid w:val="0"/>
              <w:spacing w:before="0" w:beforeAutospacing="0" w:after="0" w:afterAutospacing="0" w:line="360" w:lineRule="auto"/>
              <w:ind w:left="0" w:right="0"/>
              <w:jc w:val="both"/>
              <w:rPr>
                <w:rFonts w:hint="default" w:ascii="Calibri" w:hAnsi="Calibri"/>
                <w:kern w:val="0"/>
                <w:sz w:val="24"/>
                <w:szCs w:val="24"/>
              </w:rPr>
            </w:pPr>
            <w:r>
              <w:rPr>
                <w:rFonts w:hint="eastAsia" w:ascii="宋体" w:hAnsi="宋体"/>
                <w:kern w:val="0"/>
                <w:sz w:val="24"/>
                <w:szCs w:val="24"/>
              </w:rPr>
              <w:t>法定代表人</w:t>
            </w:r>
          </w:p>
          <w:p w14:paraId="3C69298B">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c>
          <w:tcPr>
            <w:tcW w:w="2500" w:type="pct"/>
          </w:tcPr>
          <w:p w14:paraId="6C5CE752">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法定代表人</w:t>
            </w:r>
          </w:p>
          <w:p w14:paraId="5357D8CB">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或授权代表（签字）：</w:t>
            </w:r>
          </w:p>
        </w:tc>
      </w:tr>
      <w:tr w14:paraId="4D6BFD64">
        <w:trPr>
          <w:trHeight w:val="478" w:hRule="atLeast"/>
        </w:trPr>
        <w:tc>
          <w:tcPr>
            <w:tcW w:w="2499" w:type="pct"/>
          </w:tcPr>
          <w:p w14:paraId="25CED2C5">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eastAsia"/>
                <w:kern w:val="0"/>
                <w:sz w:val="24"/>
                <w:szCs w:val="24"/>
                <w:lang w:val="en-US" w:eastAsia="zh-CN"/>
              </w:rPr>
              <w:t xml:space="preserve">    </w:t>
            </w:r>
            <w:r>
              <w:rPr>
                <w:rFonts w:hint="eastAsia" w:ascii="宋体" w:hAnsi="宋体"/>
                <w:kern w:val="0"/>
                <w:sz w:val="24"/>
                <w:szCs w:val="24"/>
              </w:rPr>
              <w:t>年  月   日</w:t>
            </w:r>
          </w:p>
        </w:tc>
        <w:tc>
          <w:tcPr>
            <w:tcW w:w="2500" w:type="pct"/>
          </w:tcPr>
          <w:p w14:paraId="4F676438">
            <w:pPr>
              <w:keepNext w:val="0"/>
              <w:keepLines w:val="0"/>
              <w:suppressLineNumbers w:val="0"/>
              <w:snapToGrid w:val="0"/>
              <w:spacing w:before="0" w:beforeAutospacing="0" w:after="0" w:afterAutospacing="0" w:line="360" w:lineRule="auto"/>
              <w:ind w:left="0" w:right="0"/>
              <w:jc w:val="both"/>
              <w:rPr>
                <w:rFonts w:hint="default" w:ascii="宋体" w:hAnsi="宋体"/>
                <w:kern w:val="0"/>
                <w:sz w:val="24"/>
                <w:szCs w:val="24"/>
              </w:rPr>
            </w:pPr>
            <w:r>
              <w:rPr>
                <w:rFonts w:hint="eastAsia" w:ascii="宋体" w:hAnsi="宋体"/>
                <w:kern w:val="0"/>
                <w:sz w:val="24"/>
                <w:szCs w:val="24"/>
              </w:rPr>
              <w:t>日期：</w:t>
            </w:r>
            <w:r>
              <w:rPr>
                <w:rFonts w:hint="default" w:ascii="宋体" w:hAnsi="宋体"/>
                <w:kern w:val="0"/>
                <w:sz w:val="24"/>
                <w:szCs w:val="24"/>
              </w:rPr>
              <w:t xml:space="preserve"> </w:t>
            </w:r>
            <w:r>
              <w:rPr>
                <w:rFonts w:hint="eastAsia"/>
                <w:kern w:val="0"/>
                <w:sz w:val="24"/>
                <w:szCs w:val="24"/>
                <w:lang w:val="en-US" w:eastAsia="zh-CN"/>
              </w:rPr>
              <w:t xml:space="preserve">     </w:t>
            </w:r>
            <w:r>
              <w:rPr>
                <w:rFonts w:hint="eastAsia" w:ascii="宋体" w:hAnsi="宋体"/>
                <w:kern w:val="0"/>
                <w:sz w:val="24"/>
                <w:szCs w:val="24"/>
              </w:rPr>
              <w:t>年    月    日</w:t>
            </w:r>
          </w:p>
        </w:tc>
      </w:tr>
    </w:tbl>
    <w:p w14:paraId="1814E452">
      <w:pPr>
        <w:sectPr>
          <w:pgSz w:w="11906" w:h="16838"/>
          <w:pgMar w:top="1440" w:right="1800" w:bottom="1440" w:left="1800" w:header="851" w:footer="992" w:gutter="0"/>
          <w:cols w:space="425" w:num="1"/>
          <w:docGrid w:type="lines" w:linePitch="312" w:charSpace="0"/>
        </w:sectPr>
      </w:pPr>
    </w:p>
    <w:p w14:paraId="7E3488D0">
      <w:pPr>
        <w:pStyle w:val="5"/>
        <w:ind w:left="0" w:firstLine="0" w:firstLineChars="0"/>
        <w:outlineLvl w:val="0"/>
        <w:rPr>
          <w:b/>
          <w:bCs/>
          <w:sz w:val="28"/>
          <w:szCs w:val="28"/>
        </w:rPr>
      </w:pPr>
      <w:r>
        <w:rPr>
          <w:rFonts w:hint="eastAsia"/>
          <w:b/>
          <w:bCs/>
          <w:lang w:val="en-US"/>
        </w:rPr>
        <w:t>附件</w:t>
      </w:r>
      <w:r>
        <w:rPr>
          <w:rFonts w:hint="eastAsia"/>
          <w:b/>
          <w:bCs/>
          <w:lang w:val="en-US" w:eastAsia="zh-CN"/>
        </w:rPr>
        <w:t>5</w:t>
      </w:r>
      <w:r>
        <w:rPr>
          <w:rFonts w:hint="eastAsia"/>
          <w:b/>
          <w:bCs/>
          <w:lang w:val="en-US"/>
        </w:rPr>
        <w:t xml:space="preserve"> </w:t>
      </w:r>
      <w:r>
        <w:rPr>
          <w:rFonts w:hint="eastAsia"/>
          <w:b/>
          <w:bCs/>
          <w:lang w:val="en-US" w:eastAsia="zh-CN"/>
        </w:rPr>
        <w:t>保密</w:t>
      </w:r>
      <w:r>
        <w:rPr>
          <w:rFonts w:hint="eastAsia"/>
          <w:b/>
          <w:bCs/>
          <w:lang w:val="en-US"/>
        </w:rPr>
        <w:t>协议</w:t>
      </w:r>
    </w:p>
    <w:p w14:paraId="353832E6">
      <w:pPr>
        <w:pStyle w:val="4"/>
        <w:snapToGrid w:val="0"/>
        <w:spacing w:line="360" w:lineRule="auto"/>
        <w:jc w:val="center"/>
        <w:rPr>
          <w:b/>
          <w:bCs/>
          <w:sz w:val="32"/>
          <w:szCs w:val="32"/>
        </w:rPr>
      </w:pPr>
      <w:r>
        <w:rPr>
          <w:rFonts w:hint="eastAsia"/>
          <w:b/>
          <w:bCs/>
          <w:sz w:val="32"/>
          <w:szCs w:val="32"/>
          <w:lang w:val="en-US" w:eastAsia="zh-CN"/>
        </w:rPr>
        <w:t>保密</w:t>
      </w:r>
      <w:r>
        <w:rPr>
          <w:rFonts w:hint="eastAsia"/>
          <w:b/>
          <w:bCs/>
          <w:sz w:val="32"/>
          <w:szCs w:val="32"/>
        </w:rPr>
        <w:t>协议</w:t>
      </w:r>
    </w:p>
    <w:p w14:paraId="26884296">
      <w:pPr>
        <w:adjustRightInd w:val="0"/>
        <w:snapToGrid w:val="0"/>
        <w:spacing w:line="360" w:lineRule="auto"/>
        <w:contextualSpacing/>
        <w:jc w:val="both"/>
        <w:rPr>
          <w:rFonts w:ascii="Times New Roman" w:hAnsi="Times New Roman"/>
          <w:sz w:val="24"/>
          <w:szCs w:val="24"/>
        </w:rPr>
      </w:pPr>
      <w:r>
        <w:rPr>
          <w:rFonts w:hint="eastAsia" w:ascii="Times New Roman" w:hAnsi="Times New Roman"/>
          <w:sz w:val="24"/>
          <w:szCs w:val="24"/>
        </w:rPr>
        <w:t>甲方</w:t>
      </w:r>
      <w:r>
        <w:rPr>
          <w:rFonts w:hint="eastAsia" w:ascii="Times New Roman" w:hAnsi="Times New Roman"/>
          <w:sz w:val="24"/>
          <w:szCs w:val="24"/>
          <w:lang w:eastAsia="zh-CN"/>
        </w:rPr>
        <w:t>：</w:t>
      </w:r>
      <w:r>
        <w:rPr>
          <w:rFonts w:hint="eastAsia"/>
          <w:kern w:val="0"/>
          <w:sz w:val="24"/>
          <w:szCs w:val="24"/>
          <w:lang w:val="en-US" w:eastAsia="zh-CN"/>
        </w:rPr>
        <w:t>浙江浙能临海海上风力发电有限公司</w:t>
      </w:r>
    </w:p>
    <w:p w14:paraId="694CD042">
      <w:pPr>
        <w:snapToGrid w:val="0"/>
        <w:spacing w:line="360" w:lineRule="auto"/>
        <w:contextualSpacing/>
        <w:jc w:val="both"/>
        <w:rPr>
          <w:rFonts w:ascii="Times New Roman" w:hAnsi="Times New Roman"/>
          <w:sz w:val="24"/>
          <w:szCs w:val="24"/>
        </w:rPr>
      </w:pPr>
      <w:r>
        <w:rPr>
          <w:rFonts w:hint="eastAsia" w:ascii="Times New Roman" w:hAnsi="Times New Roman"/>
          <w:sz w:val="24"/>
          <w:szCs w:val="24"/>
        </w:rPr>
        <w:t>乙方</w:t>
      </w:r>
      <w:r>
        <w:rPr>
          <w:rFonts w:hint="eastAsia" w:ascii="Times New Roman" w:hAnsi="Times New Roman"/>
          <w:sz w:val="24"/>
          <w:szCs w:val="24"/>
          <w:lang w:eastAsia="zh-CN"/>
        </w:rPr>
        <w:t>：</w:t>
      </w:r>
      <w:r>
        <w:rPr>
          <w:rFonts w:hint="eastAsia" w:ascii="Times New Roman" w:hAnsi="Times New Roman"/>
          <w:sz w:val="24"/>
          <w:szCs w:val="24"/>
          <w:lang w:val="en-US"/>
        </w:rPr>
        <w:t>XXXXXXXXXX</w:t>
      </w:r>
    </w:p>
    <w:p w14:paraId="325BEA4B">
      <w:pPr>
        <w:pStyle w:val="4"/>
        <w:snapToGrid w:val="0"/>
        <w:spacing w:line="360" w:lineRule="auto"/>
        <w:ind w:firstLine="480" w:firstLineChars="200"/>
        <w:rPr>
          <w:rFonts w:hint="eastAsia" w:ascii="宋体" w:hAnsi="宋体" w:eastAsia="宋体"/>
          <w:sz w:val="24"/>
          <w:szCs w:val="24"/>
        </w:rPr>
      </w:pPr>
      <w:bookmarkStart w:id="125" w:name="_Toc376976715"/>
      <w:bookmarkStart w:id="126" w:name="_Toc376975987"/>
      <w:bookmarkStart w:id="127" w:name="_Toc377056564"/>
    </w:p>
    <w:p w14:paraId="04A9D685">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本保密协议（“本协议”）由甲乙双方于___年___月___日签署。</w:t>
      </w:r>
    </w:p>
    <w:p w14:paraId="3DB0AA5C">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鉴于：</w:t>
      </w:r>
    </w:p>
    <w:p w14:paraId="58486C26">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1、甲乙双方同意就浙能台州1号海上风电场2025-2027年安全监测服务</w:t>
      </w:r>
      <w:r>
        <w:rPr>
          <w:rFonts w:hint="eastAsia" w:ascii="宋体" w:hAnsi="宋体" w:eastAsia="宋体"/>
          <w:sz w:val="24"/>
          <w:szCs w:val="24"/>
          <w:lang w:val="en-US" w:eastAsia="zh-CN"/>
        </w:rPr>
        <w:t>项目</w:t>
      </w:r>
      <w:r>
        <w:rPr>
          <w:rFonts w:hint="eastAsia" w:ascii="宋体" w:hAnsi="宋体" w:eastAsia="宋体"/>
          <w:sz w:val="24"/>
          <w:szCs w:val="24"/>
        </w:rPr>
        <w:t>进行合作（下称“本项目”）。</w:t>
      </w:r>
    </w:p>
    <w:p w14:paraId="5427DD3D">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2、在合作期间，甲乙双方可能披露关于各自商业和关于本项目的保密信息（下称“保密信息”），无论该种信息是口头的还是书面的或是以电子文件形式存在的。</w:t>
      </w:r>
    </w:p>
    <w:p w14:paraId="2EECEC60">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3、本协议中，披露保密信息的一方为“披露方”，获悉保密信息的一方为“接受方”。</w:t>
      </w:r>
    </w:p>
    <w:p w14:paraId="274653A8">
      <w:pPr>
        <w:pStyle w:val="4"/>
        <w:snapToGrid w:val="0"/>
        <w:spacing w:line="360" w:lineRule="auto"/>
        <w:ind w:firstLine="480" w:firstLineChars="200"/>
        <w:rPr>
          <w:rFonts w:hint="eastAsia" w:ascii="宋体" w:hAnsi="宋体" w:eastAsia="宋体"/>
          <w:sz w:val="24"/>
          <w:szCs w:val="24"/>
        </w:rPr>
      </w:pPr>
    </w:p>
    <w:p w14:paraId="23E915B0">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有鉴于此，双方就如下事项达成一致：</w:t>
      </w:r>
    </w:p>
    <w:p w14:paraId="2CA5995D">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1．如未获得披露方的事先书面同意，接受方不得披露任何保密信息给第三方。</w:t>
      </w:r>
    </w:p>
    <w:p w14:paraId="00EB1378">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2．除在本项目中使用外，接受方不得以任何形式、方式使用披露方的保密信息。</w:t>
      </w:r>
    </w:p>
    <w:p w14:paraId="588E161E">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双方同意以与保护其自身所拥有的保密信息同样的保护方法，来为对方的保密信息保守秘密，但无论如何任何一方应以审慎的程度保护该等保密信息。对保密信息的接触限于从事本协议所允许的工作的双方的人员。</w:t>
      </w:r>
    </w:p>
    <w:p w14:paraId="0B705202">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4．各方间根据本协议披露之保密信息应始终为披露方财产。本协议或依本协议披露的任何信息均不代表向另一方授予任何商业机密、版权或其它权利性质的许可。</w:t>
      </w:r>
    </w:p>
    <w:p w14:paraId="3477140B">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5．没有披露方事先书面同意，接受方不得复印或再制作披露方的保密信息。</w:t>
      </w:r>
    </w:p>
    <w:p w14:paraId="1DAFF0C5">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6．任何本协议下保密信息，包括该等保密信息的副本应在下述最先发生后返还给披露方：(a)本项目已经完成；(b)披露方要求后；或(c) 双方就本项目的协商或商议停止。</w:t>
      </w:r>
    </w:p>
    <w:p w14:paraId="1C76DE15">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7．本协议的内容并不禁止或限制任何一方使用下列信息（包括但不限于：构思、概念、技术诀窍、技术和方法）：(i) 在没有保密义务的情况下已为该方知悉的信息；(ii)独立地由该方或为该方开发的信息；(iii)该方从第三方取得的信息，并且就该方所知，该第三方不负有对该项信息保密的义务；或(iv)在不违反本协议的情形下，已为公众所知晓的信息。</w:t>
      </w:r>
    </w:p>
    <w:p w14:paraId="43462F7E">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8．如一方收到司法程序或行政机构签发的有效传票或其它文书，命令其提供另一方的保密信息，接收方应立即通知披露方并提供该等要求的抗辩。接收方应有权在法律允许的范围内遵守该等命令，除非该等命令有时限、被撤销或延期。但在此情形下，接收方应立即通知披露方，并协助披露方尽量减少由此可能造成的损失。</w:t>
      </w:r>
    </w:p>
    <w:p w14:paraId="36C19FC7">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9．未经一方同意，另一方不得在广告或除本项目外的任何公开材料或活动中使用一方的名称、商标或商号。</w:t>
      </w:r>
    </w:p>
    <w:p w14:paraId="53E3EF3A">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10．本协议不构成双方达成任何交易的承诺。</w:t>
      </w:r>
    </w:p>
    <w:p w14:paraId="2B4237B3">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11．任一方根据本协议将保密信息披露给另一方之日，本协议即开始生效。本协议有效期为长期。任何一方违反保密义务的，应赔偿由此给守约方造成的损失。</w:t>
      </w:r>
    </w:p>
    <w:p w14:paraId="607DA53A">
      <w:pPr>
        <w:pStyle w:val="4"/>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12．双方同意，在发生争议或违约事件时，双方应首先依照诚信原则在内部解决该等争议。任何源于、有关或涉及本协议的纠纷、争议或索赔,包括任何关于本争议解决条款的效力、解释、范围、履约或强制执行力等事宜，均应按照主合同约定的管辖方式解决。</w:t>
      </w:r>
    </w:p>
    <w:p w14:paraId="523212FB">
      <w:pPr>
        <w:pStyle w:val="4"/>
        <w:snapToGrid w:val="0"/>
        <w:spacing w:line="360" w:lineRule="auto"/>
        <w:ind w:firstLine="480" w:firstLineChars="200"/>
        <w:rPr>
          <w:rFonts w:hint="eastAsia" w:ascii="宋体" w:hAnsi="宋体" w:eastAsia="宋体"/>
          <w:sz w:val="24"/>
          <w:szCs w:val="24"/>
        </w:rPr>
      </w:pPr>
    </w:p>
    <w:bookmarkEnd w:id="125"/>
    <w:bookmarkEnd w:id="126"/>
    <w:bookmarkEnd w:id="127"/>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3F0CF5F">
        <w:tc>
          <w:tcPr>
            <w:tcW w:w="2500" w:type="pct"/>
          </w:tcPr>
          <w:p w14:paraId="56B1FF9A">
            <w:pPr>
              <w:pStyle w:val="4"/>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rPr>
              <w:t>甲方：</w:t>
            </w:r>
            <w:r>
              <w:rPr>
                <w:rFonts w:hint="eastAsia"/>
                <w:kern w:val="0"/>
                <w:sz w:val="24"/>
                <w:szCs w:val="24"/>
                <w:lang w:val="en-US" w:eastAsia="zh-CN"/>
              </w:rPr>
              <w:t>浙江浙能临海海上风力发电有限公司</w:t>
            </w:r>
            <w:r>
              <w:rPr>
                <w:rFonts w:hint="eastAsia"/>
                <w:sz w:val="24"/>
                <w:szCs w:val="24"/>
              </w:rPr>
              <w:t>（盖章）</w:t>
            </w:r>
          </w:p>
        </w:tc>
        <w:tc>
          <w:tcPr>
            <w:tcW w:w="2500" w:type="pct"/>
          </w:tcPr>
          <w:p w14:paraId="72CE3B0B">
            <w:pPr>
              <w:pStyle w:val="4"/>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rPr>
              <w:t>乙方：（盖章）</w:t>
            </w:r>
          </w:p>
        </w:tc>
      </w:tr>
      <w:tr w14:paraId="1C445236">
        <w:tc>
          <w:tcPr>
            <w:tcW w:w="2500" w:type="pct"/>
            <w:vAlign w:val="center"/>
          </w:tcPr>
          <w:p w14:paraId="24E46FF6">
            <w:pPr>
              <w:pStyle w:val="4"/>
              <w:keepNext w:val="0"/>
              <w:keepLines w:val="0"/>
              <w:suppressLineNumbers w:val="0"/>
              <w:snapToGrid w:val="0"/>
              <w:spacing w:before="0" w:beforeAutospacing="0" w:after="0" w:afterAutospacing="0" w:line="360" w:lineRule="auto"/>
              <w:ind w:left="0" w:right="0"/>
              <w:jc w:val="both"/>
              <w:rPr>
                <w:rFonts w:hint="default"/>
                <w:sz w:val="24"/>
                <w:szCs w:val="24"/>
                <w:lang w:val="en-US"/>
              </w:rPr>
            </w:pPr>
            <w:r>
              <w:rPr>
                <w:rFonts w:hint="eastAsia"/>
                <w:sz w:val="24"/>
                <w:szCs w:val="24"/>
                <w:lang w:val="en-US"/>
              </w:rPr>
              <w:t>日期：     年  月  日</w:t>
            </w:r>
          </w:p>
        </w:tc>
        <w:tc>
          <w:tcPr>
            <w:tcW w:w="2500" w:type="pct"/>
            <w:vAlign w:val="center"/>
          </w:tcPr>
          <w:p w14:paraId="5315ED25">
            <w:pPr>
              <w:pStyle w:val="4"/>
              <w:keepNext w:val="0"/>
              <w:keepLines w:val="0"/>
              <w:suppressLineNumbers w:val="0"/>
              <w:snapToGrid w:val="0"/>
              <w:spacing w:before="0" w:beforeAutospacing="0" w:after="0" w:afterAutospacing="0" w:line="360" w:lineRule="auto"/>
              <w:ind w:left="0" w:right="0"/>
              <w:jc w:val="both"/>
              <w:rPr>
                <w:rFonts w:hint="default"/>
                <w:sz w:val="24"/>
                <w:szCs w:val="24"/>
              </w:rPr>
            </w:pPr>
            <w:r>
              <w:rPr>
                <w:rFonts w:hint="eastAsia"/>
                <w:sz w:val="24"/>
                <w:szCs w:val="24"/>
                <w:lang w:val="en-US"/>
              </w:rPr>
              <w:t>日期：     年  月  日</w:t>
            </w:r>
          </w:p>
        </w:tc>
      </w:tr>
    </w:tbl>
    <w:p w14:paraId="0C221502">
      <w:pPr>
        <w:pStyle w:val="5"/>
        <w:ind w:left="0" w:firstLine="0" w:firstLineChars="0"/>
      </w:pPr>
    </w:p>
    <w:p w14:paraId="083AD204">
      <w:pPr>
        <w:pStyle w:val="5"/>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iti SC Medium">
    <w:panose1 w:val="02000000000000000000"/>
    <w:charset w:val="86"/>
    <w:family w:val="auto"/>
    <w:pitch w:val="default"/>
    <w:sig w:usb0="8000002F" w:usb1="0800004A" w:usb2="00000000" w:usb3="00000000" w:csb0="203E0000" w:csb1="00000000"/>
  </w:font>
  <w:font w:name="仿宋_GB2312">
    <w:altName w:val="方正仿宋_GBK"/>
    <w:panose1 w:val="02010609030101010101"/>
    <w:charset w:val="86"/>
    <w:family w:val="modern"/>
    <w:pitch w:val="default"/>
    <w:sig w:usb0="00000000" w:usb1="00000000" w:usb2="00000000" w:usb3="00000000" w:csb0="00040000" w:csb1="00000000"/>
  </w:font>
  <w:font w:name="Plotter">
    <w:altName w:val="苹方-简"/>
    <w:panose1 w:val="00000000000000000000"/>
    <w:charset w:val="00"/>
    <w:family w:val="modern"/>
    <w:pitch w:val="default"/>
    <w:sig w:usb0="00000000" w:usb1="00000000" w:usb2="00000000" w:usb3="00000000" w:csb0="00000001" w:csb1="00000000"/>
  </w:font>
  <w:font w:name="TimesNewRomanPSMT">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83EE8">
    <w:pPr>
      <w:pStyle w:val="7"/>
      <w:ind w:right="360"/>
      <w:jc w:val="center"/>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21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2135" cy="147955"/>
                      </a:xfrm>
                      <a:prstGeom prst="rect">
                        <a:avLst/>
                      </a:prstGeom>
                      <a:noFill/>
                      <a:ln>
                        <a:noFill/>
                      </a:ln>
                      <a:effectLst/>
                    </wps:spPr>
                    <wps:txbx>
                      <w:txbxContent>
                        <w:p w14:paraId="3419BE69">
                          <w:pPr>
                            <w:pStyle w:val="7"/>
                            <w:ind w:right="360"/>
                            <w:jc w:val="center"/>
                          </w:pPr>
                          <w:r>
                            <w:rPr>
                              <w:rStyle w:val="12"/>
                              <w:rFonts w:hint="eastAsia" w:ascii="宋体" w:hAnsi="宋体"/>
                            </w:rPr>
                            <w:t>－</w:t>
                          </w:r>
                          <w:r>
                            <w:rPr>
                              <w:rFonts w:ascii="宋体" w:hAnsi="宋体"/>
                            </w:rPr>
                            <w:fldChar w:fldCharType="begin"/>
                          </w:r>
                          <w:r>
                            <w:rPr>
                              <w:rStyle w:val="12"/>
                              <w:rFonts w:ascii="宋体" w:hAnsi="宋体"/>
                            </w:rPr>
                            <w:instrText xml:space="preserve"> PAGE </w:instrText>
                          </w:r>
                          <w:r>
                            <w:rPr>
                              <w:rFonts w:ascii="宋体" w:hAnsi="宋体"/>
                            </w:rPr>
                            <w:fldChar w:fldCharType="separate"/>
                          </w:r>
                          <w:r>
                            <w:rPr>
                              <w:rStyle w:val="12"/>
                              <w:rFonts w:ascii="宋体" w:hAnsi="宋体"/>
                            </w:rPr>
                            <w:t>- 6 -</w:t>
                          </w:r>
                          <w:r>
                            <w:rPr>
                              <w:rFonts w:ascii="宋体" w:hAnsi="宋体"/>
                            </w:rPr>
                            <w:fldChar w:fldCharType="end"/>
                          </w:r>
                          <w:r>
                            <w:rPr>
                              <w:rStyle w:val="12"/>
                              <w:rFonts w:hint="eastAsia" w:ascii="宋体" w:hAnsi="宋体"/>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1.65pt;width:45.05pt;mso-position-horizontal:center;mso-position-horizontal-relative:margin;mso-wrap-style:none;z-index:251659264;mso-width-relative:page;mso-height-relative:page;" filled="f" stroked="f" coordsize="21600,21600" o:gfxdata="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hiMys0QAAAAMBAAAPAAAAAAAAAAEAIAAAACIAAABkcnMvZG93bnJl&#10;di54bWxQSwECFAAUAAAACACHTuJAI19gdssBAACZAwAADgAAAAAAAAABACAAAAAgAQAAZHJzL2Uy&#10;b0RvYy54bWxQSwUGAAAAAAYABgBZAQAAXQUAAAAA&#10;">
              <v:fill on="f" focussize="0,0"/>
              <v:stroke on="f"/>
              <v:imagedata o:title=""/>
              <o:lock v:ext="edit" aspectratio="f"/>
              <v:textbox inset="0mm,0mm,0mm,0mm" style="mso-fit-shape-to-text:t;">
                <w:txbxContent>
                  <w:p w14:paraId="3419BE69">
                    <w:pPr>
                      <w:pStyle w:val="7"/>
                      <w:ind w:right="360"/>
                      <w:jc w:val="center"/>
                    </w:pPr>
                    <w:r>
                      <w:rPr>
                        <w:rStyle w:val="12"/>
                        <w:rFonts w:hint="eastAsia" w:ascii="宋体" w:hAnsi="宋体"/>
                      </w:rPr>
                      <w:t>－</w:t>
                    </w:r>
                    <w:r>
                      <w:rPr>
                        <w:rFonts w:ascii="宋体" w:hAnsi="宋体"/>
                      </w:rPr>
                      <w:fldChar w:fldCharType="begin"/>
                    </w:r>
                    <w:r>
                      <w:rPr>
                        <w:rStyle w:val="12"/>
                        <w:rFonts w:ascii="宋体" w:hAnsi="宋体"/>
                      </w:rPr>
                      <w:instrText xml:space="preserve"> PAGE </w:instrText>
                    </w:r>
                    <w:r>
                      <w:rPr>
                        <w:rFonts w:ascii="宋体" w:hAnsi="宋体"/>
                      </w:rPr>
                      <w:fldChar w:fldCharType="separate"/>
                    </w:r>
                    <w:r>
                      <w:rPr>
                        <w:rStyle w:val="12"/>
                        <w:rFonts w:ascii="宋体" w:hAnsi="宋体"/>
                      </w:rPr>
                      <w:t>- 6 -</w:t>
                    </w:r>
                    <w:r>
                      <w:rPr>
                        <w:rFonts w:ascii="宋体" w:hAnsi="宋体"/>
                      </w:rPr>
                      <w:fldChar w:fldCharType="end"/>
                    </w:r>
                    <w:r>
                      <w:rPr>
                        <w:rStyle w:val="12"/>
                        <w:rFonts w:hint="eastAsia" w:ascii="宋体" w:hAnsi="宋体"/>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A042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2E35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4885A">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FD5DE">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63D9C">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1140D4"/>
    <w:multiLevelType w:val="multilevel"/>
    <w:tmpl w:val="631140D4"/>
    <w:lvl w:ilvl="0" w:tentative="0">
      <w:start w:val="1"/>
      <w:numFmt w:val="decimal"/>
      <w:suff w:val="nothing"/>
      <w:lvlText w:val="%1、"/>
      <w:lvlJc w:val="left"/>
      <w:pPr>
        <w:ind w:left="0" w:firstLine="480"/>
      </w:pPr>
      <w:rPr>
        <w:rFonts w:hint="default"/>
      </w:rPr>
    </w:lvl>
    <w:lvl w:ilvl="1" w:tentative="0">
      <w:start w:val="1"/>
      <w:numFmt w:val="lowerLetter"/>
      <w:lvlText w:val="%2)"/>
      <w:lvlJc w:val="left"/>
      <w:pPr>
        <w:ind w:left="1360" w:hanging="440"/>
      </w:pPr>
      <w:rPr>
        <w:rFonts w:hint="eastAsia"/>
      </w:rPr>
    </w:lvl>
    <w:lvl w:ilvl="2" w:tentative="0">
      <w:start w:val="1"/>
      <w:numFmt w:val="lowerRoman"/>
      <w:lvlText w:val="%3."/>
      <w:lvlJc w:val="right"/>
      <w:pPr>
        <w:ind w:left="1800" w:hanging="440"/>
      </w:pPr>
      <w:rPr>
        <w:rFonts w:hint="eastAsia"/>
      </w:rPr>
    </w:lvl>
    <w:lvl w:ilvl="3" w:tentative="0">
      <w:start w:val="1"/>
      <w:numFmt w:val="decimal"/>
      <w:lvlText w:val="%4."/>
      <w:lvlJc w:val="left"/>
      <w:pPr>
        <w:ind w:left="2240" w:hanging="440"/>
      </w:pPr>
      <w:rPr>
        <w:rFonts w:hint="eastAsia"/>
      </w:rPr>
    </w:lvl>
    <w:lvl w:ilvl="4" w:tentative="0">
      <w:start w:val="1"/>
      <w:numFmt w:val="lowerLetter"/>
      <w:lvlText w:val="%5)"/>
      <w:lvlJc w:val="left"/>
      <w:pPr>
        <w:ind w:left="2680" w:hanging="440"/>
      </w:pPr>
      <w:rPr>
        <w:rFonts w:hint="eastAsia"/>
      </w:rPr>
    </w:lvl>
    <w:lvl w:ilvl="5" w:tentative="0">
      <w:start w:val="1"/>
      <w:numFmt w:val="lowerRoman"/>
      <w:lvlText w:val="%6."/>
      <w:lvlJc w:val="right"/>
      <w:pPr>
        <w:ind w:left="3120" w:hanging="440"/>
      </w:pPr>
      <w:rPr>
        <w:rFonts w:hint="eastAsia"/>
      </w:rPr>
    </w:lvl>
    <w:lvl w:ilvl="6" w:tentative="0">
      <w:start w:val="1"/>
      <w:numFmt w:val="decimal"/>
      <w:lvlText w:val="%7."/>
      <w:lvlJc w:val="left"/>
      <w:pPr>
        <w:ind w:left="3560" w:hanging="440"/>
      </w:pPr>
      <w:rPr>
        <w:rFonts w:hint="eastAsia"/>
      </w:rPr>
    </w:lvl>
    <w:lvl w:ilvl="7" w:tentative="0">
      <w:start w:val="1"/>
      <w:numFmt w:val="lowerLetter"/>
      <w:lvlText w:val="%8)"/>
      <w:lvlJc w:val="left"/>
      <w:pPr>
        <w:ind w:left="4000" w:hanging="440"/>
      </w:pPr>
      <w:rPr>
        <w:rFonts w:hint="eastAsia"/>
      </w:rPr>
    </w:lvl>
    <w:lvl w:ilvl="8" w:tentative="0">
      <w:start w:val="1"/>
      <w:numFmt w:val="lowerRoman"/>
      <w:lvlText w:val="%9."/>
      <w:lvlJc w:val="right"/>
      <w:pPr>
        <w:ind w:left="4440" w:hanging="4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5C3E9E"/>
    <w:rsid w:val="00F663A1"/>
    <w:rsid w:val="01713AEC"/>
    <w:rsid w:val="025B5660"/>
    <w:rsid w:val="02B07ACA"/>
    <w:rsid w:val="03926FEA"/>
    <w:rsid w:val="03FD0897"/>
    <w:rsid w:val="0411533A"/>
    <w:rsid w:val="04F62134"/>
    <w:rsid w:val="07330921"/>
    <w:rsid w:val="077B78D4"/>
    <w:rsid w:val="09670379"/>
    <w:rsid w:val="09FA536A"/>
    <w:rsid w:val="0CE515B5"/>
    <w:rsid w:val="0D575F3E"/>
    <w:rsid w:val="0E570E10"/>
    <w:rsid w:val="109777C7"/>
    <w:rsid w:val="127D6363"/>
    <w:rsid w:val="144043EF"/>
    <w:rsid w:val="14596B6E"/>
    <w:rsid w:val="15D106F0"/>
    <w:rsid w:val="162B22EC"/>
    <w:rsid w:val="16725070"/>
    <w:rsid w:val="16CF2DFA"/>
    <w:rsid w:val="17252504"/>
    <w:rsid w:val="175F4C67"/>
    <w:rsid w:val="1897654D"/>
    <w:rsid w:val="18BB389F"/>
    <w:rsid w:val="18E749EE"/>
    <w:rsid w:val="190D676E"/>
    <w:rsid w:val="191974BC"/>
    <w:rsid w:val="1B447360"/>
    <w:rsid w:val="1D1D05D0"/>
    <w:rsid w:val="1DF11C2D"/>
    <w:rsid w:val="1E06726B"/>
    <w:rsid w:val="1E532BCB"/>
    <w:rsid w:val="1E9C739C"/>
    <w:rsid w:val="1E9C7B48"/>
    <w:rsid w:val="1EA97C8F"/>
    <w:rsid w:val="1EB24BCB"/>
    <w:rsid w:val="205E568C"/>
    <w:rsid w:val="21372D0F"/>
    <w:rsid w:val="213D6E16"/>
    <w:rsid w:val="218800C2"/>
    <w:rsid w:val="21DE69A0"/>
    <w:rsid w:val="225A7023"/>
    <w:rsid w:val="24A03B47"/>
    <w:rsid w:val="277754D8"/>
    <w:rsid w:val="28FB3D1E"/>
    <w:rsid w:val="296424C1"/>
    <w:rsid w:val="296D0E09"/>
    <w:rsid w:val="297C7B44"/>
    <w:rsid w:val="29A34FDC"/>
    <w:rsid w:val="29FE3397"/>
    <w:rsid w:val="2DB6008F"/>
    <w:rsid w:val="2ED523E6"/>
    <w:rsid w:val="2FD31004"/>
    <w:rsid w:val="301C48FC"/>
    <w:rsid w:val="301E5C00"/>
    <w:rsid w:val="3081193B"/>
    <w:rsid w:val="3083092C"/>
    <w:rsid w:val="308D5EB4"/>
    <w:rsid w:val="30904234"/>
    <w:rsid w:val="316C3324"/>
    <w:rsid w:val="32452F3B"/>
    <w:rsid w:val="33196863"/>
    <w:rsid w:val="358E17EA"/>
    <w:rsid w:val="3BBA6E0C"/>
    <w:rsid w:val="3C8342D6"/>
    <w:rsid w:val="402F6CDA"/>
    <w:rsid w:val="40C142CB"/>
    <w:rsid w:val="40F97CA8"/>
    <w:rsid w:val="41D40046"/>
    <w:rsid w:val="433C157C"/>
    <w:rsid w:val="44863114"/>
    <w:rsid w:val="44E43A96"/>
    <w:rsid w:val="44FD333B"/>
    <w:rsid w:val="451E70F3"/>
    <w:rsid w:val="49462D46"/>
    <w:rsid w:val="49AC5F6D"/>
    <w:rsid w:val="4C6D35D9"/>
    <w:rsid w:val="4E1061A1"/>
    <w:rsid w:val="4EC45403"/>
    <w:rsid w:val="4F080938"/>
    <w:rsid w:val="4F637D4D"/>
    <w:rsid w:val="4F9E2F1E"/>
    <w:rsid w:val="4FB92CDA"/>
    <w:rsid w:val="4FC944F3"/>
    <w:rsid w:val="4FD41305"/>
    <w:rsid w:val="50BA3B81"/>
    <w:rsid w:val="5167171C"/>
    <w:rsid w:val="526712BE"/>
    <w:rsid w:val="5272764F"/>
    <w:rsid w:val="586D0C1F"/>
    <w:rsid w:val="58811E58"/>
    <w:rsid w:val="58E52E67"/>
    <w:rsid w:val="59417CFE"/>
    <w:rsid w:val="595C3E9E"/>
    <w:rsid w:val="5A6310DA"/>
    <w:rsid w:val="5CD146D7"/>
    <w:rsid w:val="5D9E05A7"/>
    <w:rsid w:val="5E440D35"/>
    <w:rsid w:val="5E7378CD"/>
    <w:rsid w:val="5F0C077E"/>
    <w:rsid w:val="60A73DA2"/>
    <w:rsid w:val="60E96A0A"/>
    <w:rsid w:val="6277079A"/>
    <w:rsid w:val="63181398"/>
    <w:rsid w:val="63341D4F"/>
    <w:rsid w:val="63DD1366"/>
    <w:rsid w:val="63ED5D7D"/>
    <w:rsid w:val="65AB6FD8"/>
    <w:rsid w:val="66872145"/>
    <w:rsid w:val="67BC5ABE"/>
    <w:rsid w:val="686065CC"/>
    <w:rsid w:val="6B62243D"/>
    <w:rsid w:val="6C9B563C"/>
    <w:rsid w:val="6DDE2639"/>
    <w:rsid w:val="6F941BA0"/>
    <w:rsid w:val="70B7547C"/>
    <w:rsid w:val="7171089F"/>
    <w:rsid w:val="71C336D9"/>
    <w:rsid w:val="71C346B5"/>
    <w:rsid w:val="72E47F8E"/>
    <w:rsid w:val="75F00F0C"/>
    <w:rsid w:val="76442B95"/>
    <w:rsid w:val="772E04E2"/>
    <w:rsid w:val="78424BD9"/>
    <w:rsid w:val="7AAB1AA8"/>
    <w:rsid w:val="7B405A3E"/>
    <w:rsid w:val="7BEE0CDF"/>
    <w:rsid w:val="7E09778B"/>
    <w:rsid w:val="7E76A66D"/>
    <w:rsid w:val="7E7C6F92"/>
    <w:rsid w:val="7F36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zh-CN" w:eastAsia="zh-CN" w:bidi="zh-CN"/>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rPr>
      <w:szCs w:val="24"/>
    </w:rPr>
  </w:style>
  <w:style w:type="paragraph" w:styleId="3">
    <w:name w:val="Body Text Indent"/>
    <w:basedOn w:val="1"/>
    <w:qFormat/>
    <w:uiPriority w:val="99"/>
    <w:pPr>
      <w:adjustRightInd/>
      <w:spacing w:after="120" w:line="240" w:lineRule="auto"/>
      <w:ind w:left="420" w:leftChars="200"/>
      <w:jc w:val="both"/>
      <w:textAlignment w:val="auto"/>
    </w:pPr>
    <w:rPr>
      <w:rFonts w:cs="Times New Roman"/>
    </w:rPr>
  </w:style>
  <w:style w:type="paragraph" w:styleId="4">
    <w:name w:val="Body Text"/>
    <w:basedOn w:val="1"/>
    <w:qFormat/>
    <w:uiPriority w:val="1"/>
    <w:rPr>
      <w:sz w:val="21"/>
      <w:szCs w:val="21"/>
    </w:rPr>
  </w:style>
  <w:style w:type="paragraph" w:styleId="5">
    <w:name w:val="Block Text"/>
    <w:basedOn w:val="1"/>
    <w:unhideWhenUsed/>
    <w:qFormat/>
    <w:uiPriority w:val="0"/>
    <w:pPr>
      <w:spacing w:line="480" w:lineRule="atLeast"/>
      <w:ind w:left="57" w:right="57" w:firstLine="480" w:firstLineChars="200"/>
    </w:pPr>
    <w:rPr>
      <w:rFonts w:ascii="Arial" w:hAnsi="Arial" w:cs="Arial"/>
      <w:color w:val="000000"/>
      <w:sz w:val="24"/>
      <w:szCs w:val="24"/>
    </w:rPr>
  </w:style>
  <w:style w:type="paragraph" w:styleId="6">
    <w:name w:val="Plain Text"/>
    <w:basedOn w:val="1"/>
    <w:qFormat/>
    <w:uiPriority w:val="0"/>
    <w:pPr>
      <w:tabs>
        <w:tab w:val="left" w:leader="middleDot" w:pos="8400"/>
      </w:tabs>
      <w:adjustRightInd w:val="0"/>
      <w:snapToGrid w:val="0"/>
      <w:spacing w:line="480" w:lineRule="atLeast"/>
      <w:ind w:firstLine="200" w:firstLineChars="200"/>
    </w:pPr>
    <w:rPr>
      <w:rFonts w:ascii="宋体" w:hAnsi="Courier New"/>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4" w:space="1"/>
      </w:pBdr>
      <w:tabs>
        <w:tab w:val="center" w:pos="4153"/>
        <w:tab w:val="right" w:pos="8306"/>
      </w:tabs>
      <w:snapToGrid w:val="0"/>
      <w:jc w:val="center"/>
    </w:pPr>
    <w:rPr>
      <w:rFonts w:ascii="宋体" w:hAnsi="宋体"/>
      <w:color w:val="FF0000"/>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章节标题 Char Char"/>
    <w:qFormat/>
    <w:uiPriority w:val="0"/>
    <w:rPr>
      <w:rFonts w:ascii="Arial" w:hAnsi="Arial" w:eastAsia="仿宋_GB2312" w:cs="Times New Roman"/>
      <w:b/>
      <w:kern w:val="44"/>
      <w:sz w:val="32"/>
    </w:rPr>
  </w:style>
  <w:style w:type="table" w:customStyle="1" w:styleId="14">
    <w:name w:val="网格型1"/>
    <w:basedOn w:val="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List Paragraph"/>
    <w:basedOn w:val="1"/>
    <w:qFormat/>
    <w:uiPriority w:val="34"/>
    <w:pPr>
      <w:ind w:firstLine="420" w:firstLineChars="200"/>
    </w:pPr>
    <w:rPr>
      <w:rFonts w:eastAsiaTheme="minorEastAsia"/>
      <w:kern w:val="2"/>
    </w:rPr>
  </w:style>
  <w:style w:type="paragraph" w:customStyle="1" w:styleId="16">
    <w:name w:val="Normal_0"/>
    <w:next w:val="1"/>
    <w:qFormat/>
    <w:uiPriority w:val="0"/>
    <w:pPr>
      <w:widowControl w:val="0"/>
      <w:spacing w:line="360" w:lineRule="auto"/>
    </w:pPr>
    <w:rPr>
      <w:rFonts w:ascii="Calibri" w:hAnsi="Calibri" w:eastAsia="宋体" w:cs="Times New Roman"/>
      <w:kern w:val="2"/>
      <w:sz w:val="21"/>
      <w:szCs w:val="22"/>
      <w:lang w:val="en-US" w:eastAsia="zh-CN" w:bidi="ar-SA"/>
    </w:rPr>
  </w:style>
  <w:style w:type="paragraph" w:customStyle="1" w:styleId="17">
    <w:name w:val="正文缩进1"/>
    <w:basedOn w:val="16"/>
    <w:qFormat/>
    <w:uiPriority w:val="99"/>
    <w:pPr>
      <w:autoSpaceDE w:val="0"/>
      <w:autoSpaceDN w:val="0"/>
      <w:adjustRightInd w:val="0"/>
      <w:ind w:firstLine="420"/>
      <w:textAlignment w:val="baseline"/>
    </w:pPr>
    <w:rPr>
      <w:rFonts w:ascii="宋体" w:hAnsi="Plotter"/>
      <w:kern w:val="0"/>
      <w:sz w:val="34"/>
      <w:szCs w:val="20"/>
    </w:rPr>
  </w:style>
  <w:style w:type="paragraph" w:customStyle="1" w:styleId="18">
    <w:name w:val="表格"/>
    <w:basedOn w:val="1"/>
    <w:qFormat/>
    <w:uiPriority w:val="0"/>
    <w:pPr>
      <w:widowControl/>
      <w:spacing w:before="0" w:beforeAutospacing="0" w:after="0" w:afterAutospacing="0" w:line="240" w:lineRule="auto"/>
      <w:ind w:left="0" w:right="0" w:firstLine="0" w:firstLineChars="0"/>
      <w:jc w:val="center"/>
    </w:pPr>
    <w:rPr>
      <w:rFonts w:hint="default" w:ascii="Times New Roman" w:hAnsi="Times New Roman" w:eastAsia="宋体" w:cs="Times New Roman"/>
      <w:kern w:val="2"/>
      <w:sz w:val="24"/>
      <w:szCs w:val="24"/>
      <w:lang w:val="en-US" w:eastAsia="zh-CN" w:bidi="ar"/>
    </w:rPr>
  </w:style>
  <w:style w:type="character" w:customStyle="1" w:styleId="19">
    <w:name w:val="fontstyle01"/>
    <w:basedOn w:val="11"/>
    <w:qFormat/>
    <w:uiPriority w:val="0"/>
    <w:rPr>
      <w:rFonts w:ascii="宋体" w:hAnsi="宋体" w:eastAsia="宋体" w:cs="宋体"/>
      <w:color w:val="000000"/>
      <w:sz w:val="28"/>
      <w:szCs w:val="28"/>
    </w:rPr>
  </w:style>
  <w:style w:type="character" w:customStyle="1" w:styleId="20">
    <w:name w:val="fontstyle11"/>
    <w:basedOn w:val="11"/>
    <w:qFormat/>
    <w:uiPriority w:val="0"/>
    <w:rPr>
      <w:rFonts w:ascii="TimesNewRomanPSMT" w:hAnsi="TimesNewRomanPSMT" w:eastAsia="TimesNewRomanPSMT" w:cs="TimesNewRomanPSMT"/>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1</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2025-07-07T15:25:00Z</dcterms:created>
  <dc:creator>JXFD-LYJ</dc:creator>
  <cp:lastModifiedBy>Yogi</cp:lastModifiedBy>
  <dcterms:modified xsi:type="dcterms:W3CDTF">2025-08-21T10:04:51Z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8407A2C5E5674B12B4A8CD8EFB0AE5A8</vt:lpwstr>
  </property>
</Properties>
</file>