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ind w:left="-480" w:firstLine="643"/>
        <w:jc w:val="center"/>
        <w:rPr>
          <w:rFonts w:hint="eastAsia" w:ascii="黑体" w:hAnsi="黑体" w:eastAsia="黑体" w:cs="宋体"/>
          <w:b/>
          <w:bCs/>
          <w:kern w:val="0"/>
          <w:sz w:val="32"/>
          <w:szCs w:val="32"/>
        </w:rPr>
      </w:pPr>
    </w:p>
    <w:p>
      <w:pPr>
        <w:widowControl/>
        <w:ind w:left="-480" w:firstLine="643"/>
        <w:jc w:val="center"/>
        <w:rPr>
          <w:rFonts w:hint="eastAsia" w:ascii="黑体" w:hAnsi="黑体" w:eastAsia="黑体" w:cs="宋体"/>
          <w:b/>
          <w:bCs/>
          <w:kern w:val="0"/>
          <w:sz w:val="32"/>
          <w:szCs w:val="32"/>
        </w:rPr>
      </w:pPr>
    </w:p>
    <w:p>
      <w:pPr>
        <w:ind w:firstLine="0" w:firstLineChars="0"/>
        <w:jc w:val="center"/>
        <w:rPr>
          <w:rFonts w:hAnsi="Calibri" w:cs="Times New Roman"/>
          <w:b/>
          <w:sz w:val="52"/>
          <w:szCs w:val="52"/>
        </w:rPr>
      </w:pPr>
      <w:bookmarkStart w:id="0" w:name="_Hlk4418024"/>
      <w:r>
        <w:rPr>
          <w:rFonts w:hint="eastAsia" w:hAnsi="Calibri" w:cs="Times New Roman"/>
          <w:b/>
          <w:sz w:val="52"/>
          <w:szCs w:val="52"/>
        </w:rPr>
        <w:t>浙能嘉兴1号海上风电场</w:t>
      </w:r>
    </w:p>
    <w:p>
      <w:pPr>
        <w:ind w:firstLine="0" w:firstLineChars="0"/>
        <w:rPr>
          <w:rFonts w:hAnsi="Calibri" w:cs="Times New Roman"/>
          <w:b/>
          <w:sz w:val="52"/>
          <w:szCs w:val="52"/>
        </w:rPr>
      </w:pPr>
    </w:p>
    <w:bookmarkEnd w:id="0"/>
    <w:p>
      <w:pPr>
        <w:widowControl/>
        <w:ind w:firstLine="0" w:firstLineChars="0"/>
        <w:jc w:val="center"/>
        <w:rPr>
          <w:rFonts w:ascii="宋体"/>
          <w:b/>
          <w:sz w:val="44"/>
          <w:szCs w:val="44"/>
        </w:rPr>
      </w:pPr>
      <w:r>
        <w:rPr>
          <w:rFonts w:hint="eastAsia" w:ascii="宋体"/>
          <w:b/>
          <w:sz w:val="44"/>
          <w:szCs w:val="44"/>
        </w:rPr>
        <w:t>安全监测服务</w:t>
      </w:r>
    </w:p>
    <w:p>
      <w:pPr>
        <w:widowControl/>
        <w:ind w:firstLine="0" w:firstLineChars="0"/>
        <w:jc w:val="center"/>
        <w:rPr>
          <w:b/>
          <w:sz w:val="44"/>
          <w:szCs w:val="44"/>
        </w:rPr>
      </w:pPr>
      <w:r>
        <w:rPr>
          <w:rFonts w:hint="eastAsia"/>
          <w:b/>
          <w:sz w:val="44"/>
          <w:szCs w:val="44"/>
        </w:rPr>
        <w:t>技术规范书</w:t>
      </w:r>
    </w:p>
    <w:p>
      <w:pPr>
        <w:ind w:firstLine="964"/>
        <w:jc w:val="center"/>
        <w:rPr>
          <w:rFonts w:hint="eastAsia" w:ascii="宋体" w:hAnsi="宋体" w:cs="Times New Roman"/>
          <w:b/>
          <w:sz w:val="48"/>
          <w:szCs w:val="48"/>
        </w:rPr>
      </w:pP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编制：</w:t>
      </w: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审核：</w:t>
      </w:r>
    </w:p>
    <w:p>
      <w:pPr>
        <w:widowControl/>
        <w:ind w:firstLine="1419" w:firstLineChars="471"/>
        <w:jc w:val="left"/>
        <w:rPr>
          <w:b/>
          <w:sz w:val="30"/>
          <w:szCs w:val="30"/>
        </w:rPr>
      </w:pPr>
    </w:p>
    <w:p>
      <w:pPr>
        <w:widowControl/>
        <w:ind w:firstLine="1419" w:firstLineChars="471"/>
        <w:jc w:val="left"/>
        <w:rPr>
          <w:b/>
          <w:sz w:val="30"/>
          <w:szCs w:val="30"/>
        </w:rPr>
      </w:pPr>
      <w:r>
        <w:rPr>
          <w:rFonts w:hint="eastAsia"/>
          <w:b/>
          <w:sz w:val="30"/>
          <w:szCs w:val="30"/>
        </w:rPr>
        <w:t>审定：</w:t>
      </w:r>
    </w:p>
    <w:p>
      <w:pPr>
        <w:widowControl/>
        <w:ind w:firstLine="602"/>
        <w:jc w:val="left"/>
        <w:rPr>
          <w:b/>
          <w:sz w:val="30"/>
          <w:szCs w:val="30"/>
        </w:rPr>
      </w:pPr>
    </w:p>
    <w:p>
      <w:pPr>
        <w:widowControl/>
        <w:ind w:firstLine="1419" w:firstLineChars="471"/>
        <w:jc w:val="left"/>
        <w:rPr>
          <w:b/>
          <w:sz w:val="30"/>
          <w:szCs w:val="30"/>
        </w:rPr>
      </w:pPr>
      <w:r>
        <w:rPr>
          <w:rFonts w:hint="eastAsia"/>
          <w:b/>
          <w:sz w:val="30"/>
          <w:szCs w:val="30"/>
        </w:rPr>
        <w:t>批准：</w:t>
      </w:r>
    </w:p>
    <w:p>
      <w:pPr>
        <w:widowControl/>
        <w:ind w:firstLine="702" w:firstLineChars="233"/>
        <w:jc w:val="left"/>
        <w:rPr>
          <w:b/>
          <w:sz w:val="30"/>
          <w:szCs w:val="30"/>
        </w:rPr>
      </w:pPr>
    </w:p>
    <w:p>
      <w:pPr>
        <w:widowControl/>
        <w:ind w:firstLine="600"/>
        <w:jc w:val="center"/>
        <w:rPr>
          <w:rStyle w:val="50"/>
          <w:rFonts w:hint="eastAsia" w:ascii="黑体" w:hAnsi="黑体" w:cs="Times New Roman"/>
          <w:b w:val="0"/>
        </w:rPr>
      </w:pPr>
    </w:p>
    <w:p>
      <w:pPr>
        <w:widowControl/>
        <w:ind w:firstLine="600"/>
        <w:jc w:val="center"/>
        <w:rPr>
          <w:rStyle w:val="50"/>
          <w:rFonts w:hint="eastAsia" w:ascii="黑体" w:hAnsi="黑体" w:cs="Times New Roman"/>
          <w:b w:val="0"/>
        </w:rPr>
      </w:pPr>
    </w:p>
    <w:p>
      <w:pPr>
        <w:widowControl/>
        <w:ind w:firstLine="0" w:firstLineChars="0"/>
        <w:jc w:val="center"/>
        <w:rPr>
          <w:rStyle w:val="50"/>
          <w:rFonts w:hint="eastAsia" w:ascii="黑体" w:hAnsi="黑体" w:cs="Times New Roman"/>
          <w:b w:val="0"/>
        </w:rPr>
      </w:pPr>
      <w:r>
        <w:rPr>
          <w:rStyle w:val="50"/>
          <w:rFonts w:hint="eastAsia" w:ascii="黑体" w:hAnsi="黑体" w:cs="Times New Roman"/>
        </w:rPr>
        <w:t>浙江浙能嘉兴海上风力发电有限公司</w:t>
      </w:r>
    </w:p>
    <w:p>
      <w:pPr>
        <w:widowControl/>
        <w:ind w:firstLine="0" w:firstLineChars="0"/>
        <w:jc w:val="center"/>
        <w:rPr>
          <w:b/>
          <w:sz w:val="30"/>
          <w:szCs w:val="30"/>
        </w:rPr>
      </w:pPr>
      <w:r>
        <w:rPr>
          <w:rStyle w:val="50"/>
          <w:rFonts w:hint="eastAsia" w:ascii="黑体" w:hAnsi="黑体" w:cs="Times New Roman"/>
        </w:rPr>
        <w:t>二〇二五年六月</w:t>
      </w:r>
    </w:p>
    <w:p>
      <w:pPr>
        <w:widowControl/>
        <w:ind w:firstLine="702" w:firstLineChars="233"/>
        <w:jc w:val="left"/>
        <w:rPr>
          <w:b/>
          <w:sz w:val="30"/>
          <w:szCs w:val="30"/>
        </w:rPr>
      </w:pPr>
    </w:p>
    <w:p>
      <w:pPr>
        <w:widowControl/>
        <w:ind w:firstLine="602"/>
        <w:jc w:val="left"/>
        <w:rPr>
          <w:b/>
          <w:sz w:val="30"/>
          <w:szCs w:val="30"/>
        </w:rPr>
      </w:pPr>
      <w:r>
        <w:rPr>
          <w:b/>
          <w:sz w:val="30"/>
          <w:szCs w:val="30"/>
        </w:rPr>
        <w:br w:type="page"/>
      </w:r>
    </w:p>
    <w:p>
      <w:pPr>
        <w:widowControl/>
        <w:ind w:firstLine="602"/>
        <w:jc w:val="left"/>
        <w:rPr>
          <w:b/>
          <w:sz w:val="30"/>
          <w:szCs w:val="30"/>
        </w:rPr>
      </w:pPr>
    </w:p>
    <w:p>
      <w:pPr>
        <w:widowControl/>
        <w:ind w:firstLine="602"/>
        <w:jc w:val="left"/>
        <w:rPr>
          <w:b/>
          <w:sz w:val="30"/>
          <w:szCs w:val="30"/>
        </w:rPr>
      </w:pPr>
    </w:p>
    <w:p>
      <w:pPr>
        <w:widowControl/>
        <w:ind w:firstLine="602"/>
        <w:jc w:val="left"/>
        <w:rPr>
          <w:b/>
          <w:sz w:val="30"/>
          <w:szCs w:val="30"/>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191" w:left="1797" w:header="851" w:footer="992" w:gutter="0"/>
          <w:cols w:space="425" w:num="1"/>
          <w:docGrid w:type="lines" w:linePitch="312" w:charSpace="0"/>
        </w:sectPr>
      </w:pPr>
    </w:p>
    <w:p>
      <w:pPr>
        <w:ind w:firstLine="0" w:firstLineChars="0"/>
        <w:jc w:val="center"/>
        <w:rPr>
          <w:b/>
          <w:bCs/>
          <w:sz w:val="32"/>
          <w:szCs w:val="32"/>
        </w:rPr>
      </w:pPr>
      <w:r>
        <w:rPr>
          <w:rFonts w:hint="eastAsia"/>
          <w:b/>
          <w:bCs/>
          <w:sz w:val="32"/>
          <w:szCs w:val="32"/>
        </w:rPr>
        <w:t>浙能嘉兴1号海上风电场</w:t>
      </w:r>
    </w:p>
    <w:p>
      <w:pPr>
        <w:ind w:firstLine="0" w:firstLineChars="0"/>
        <w:jc w:val="center"/>
        <w:rPr>
          <w:b/>
          <w:bCs/>
          <w:sz w:val="32"/>
          <w:szCs w:val="32"/>
        </w:rPr>
      </w:pPr>
      <w:r>
        <w:rPr>
          <w:rFonts w:hint="eastAsia"/>
          <w:b/>
          <w:bCs/>
          <w:sz w:val="32"/>
          <w:szCs w:val="32"/>
        </w:rPr>
        <w:t>安全监测服务技术规范书</w:t>
      </w:r>
    </w:p>
    <w:p>
      <w:pPr>
        <w:pStyle w:val="2"/>
        <w:ind w:firstLine="562"/>
      </w:pPr>
      <w:bookmarkStart w:id="1" w:name="_Hlk199945921"/>
      <w:r>
        <w:rPr>
          <w:rFonts w:hint="eastAsia"/>
        </w:rPr>
        <w:t>总则</w:t>
      </w:r>
    </w:p>
    <w:p>
      <w:pPr>
        <w:ind w:firstLine="560"/>
        <w:rPr>
          <w:rFonts w:hint="eastAsia" w:ascii="仿宋" w:hAnsi="仿宋" w:cs="Times New Roman"/>
          <w:szCs w:val="28"/>
        </w:rPr>
      </w:pPr>
      <w:r>
        <w:rPr>
          <w:rFonts w:hint="eastAsia" w:ascii="仿宋" w:hAnsi="仿宋" w:cs="Times New Roman"/>
          <w:szCs w:val="28"/>
        </w:rPr>
        <w:t>1.1本技术规范书适用于浙能嘉兴1号海上风电场安全监测服务。安全监测服务包括安全监测系统维护与数据分析服务、风机和海上升压站不均匀沉降测量、风机牺牲阳极电位人工检测、计量站建筑物基础沉降监测以及各监测项目数据分析及报告书编制等工作。</w:t>
      </w:r>
    </w:p>
    <w:p>
      <w:pPr>
        <w:ind w:firstLine="560"/>
        <w:rPr>
          <w:rFonts w:hint="eastAsia" w:ascii="仿宋" w:hAnsi="仿宋" w:cs="Times New Roman"/>
          <w:szCs w:val="28"/>
        </w:rPr>
      </w:pPr>
      <w:r>
        <w:rPr>
          <w:rFonts w:hint="eastAsia" w:ascii="仿宋" w:hAnsi="仿宋" w:cs="Times New Roman"/>
          <w:szCs w:val="28"/>
        </w:rPr>
        <w:t>1.2本技术规范书提出的是最低限度的技术要求，并未对一切技术细节做出规定，也未充分引述有关标准和规范的条文，投标人应保证提供符合本技术规范书相关的监测规范与标准以及工艺质量优良的优质服务。同时必须满足国家有关安全、环保等强制性标准和规范的要求。</w:t>
      </w:r>
    </w:p>
    <w:p>
      <w:pPr>
        <w:ind w:firstLine="560"/>
        <w:rPr>
          <w:rFonts w:hint="eastAsia" w:ascii="仿宋" w:hAnsi="仿宋" w:cs="Times New Roman"/>
          <w:szCs w:val="28"/>
        </w:rPr>
      </w:pPr>
      <w:r>
        <w:rPr>
          <w:rFonts w:hint="eastAsia" w:ascii="仿宋" w:hAnsi="仿宋" w:cs="Times New Roman"/>
          <w:szCs w:val="28"/>
        </w:rPr>
        <w:t>1.3本技术规范书经双方确认后，作为合同的附件，与合同正文具有同等的法律效力。</w:t>
      </w:r>
    </w:p>
    <w:p>
      <w:pPr>
        <w:ind w:firstLine="560"/>
        <w:rPr>
          <w:rFonts w:hint="eastAsia" w:ascii="仿宋" w:hAnsi="仿宋" w:cs="Times New Roman"/>
          <w:szCs w:val="28"/>
        </w:rPr>
      </w:pPr>
      <w:r>
        <w:rPr>
          <w:rFonts w:hint="eastAsia" w:ascii="仿宋" w:hAnsi="仿宋" w:cs="Times New Roman"/>
          <w:szCs w:val="28"/>
        </w:rPr>
        <w:t>1.4本规范书未尽事宜，由招标人和投标人在合同技术谈判时双方协商确定。</w:t>
      </w:r>
    </w:p>
    <w:bookmarkEnd w:id="1"/>
    <w:p>
      <w:pPr>
        <w:pStyle w:val="2"/>
        <w:ind w:firstLine="562"/>
      </w:pPr>
      <w:r>
        <w:rPr>
          <w:rFonts w:hint="eastAsia"/>
        </w:rPr>
        <w:t>项目概况</w:t>
      </w:r>
    </w:p>
    <w:p>
      <w:pPr>
        <w:widowControl/>
        <w:ind w:firstLine="490" w:firstLineChars="175"/>
        <w:jc w:val="left"/>
        <w:rPr>
          <w:rFonts w:hint="eastAsia" w:ascii="仿宋" w:hAnsi="仿宋"/>
          <w:szCs w:val="28"/>
        </w:rPr>
      </w:pPr>
      <w:r>
        <w:rPr>
          <w:rFonts w:hint="eastAsia" w:ascii="仿宋" w:hAnsi="仿宋"/>
          <w:szCs w:val="28"/>
        </w:rPr>
        <w:t>浙能嘉兴</w:t>
      </w:r>
      <w:r>
        <w:rPr>
          <w:rFonts w:ascii="仿宋" w:hAnsi="仿宋"/>
          <w:szCs w:val="28"/>
        </w:rPr>
        <w:t>1</w:t>
      </w:r>
      <w:r>
        <w:rPr>
          <w:rFonts w:hint="eastAsia" w:ascii="仿宋" w:hAnsi="仿宋"/>
          <w:szCs w:val="28"/>
        </w:rPr>
        <w:t>号海上风电场位于杭州湾平湖海域，东西平均长约</w:t>
      </w:r>
      <w:r>
        <w:rPr>
          <w:rFonts w:ascii="仿宋" w:hAnsi="仿宋"/>
          <w:szCs w:val="28"/>
        </w:rPr>
        <w:t>9km</w:t>
      </w:r>
      <w:r>
        <w:rPr>
          <w:rFonts w:hint="eastAsia" w:ascii="仿宋" w:hAnsi="仿宋"/>
          <w:szCs w:val="28"/>
        </w:rPr>
        <w:t>，南北宽</w:t>
      </w:r>
      <w:r>
        <w:rPr>
          <w:rFonts w:ascii="仿宋" w:hAnsi="仿宋"/>
          <w:szCs w:val="28"/>
        </w:rPr>
        <w:t>2</w:t>
      </w:r>
      <w:r>
        <w:rPr>
          <w:rFonts w:hint="eastAsia" w:ascii="仿宋" w:hAnsi="仿宋"/>
          <w:szCs w:val="28"/>
        </w:rPr>
        <w:t>～</w:t>
      </w:r>
      <w:r>
        <w:rPr>
          <w:rFonts w:ascii="仿宋" w:hAnsi="仿宋"/>
          <w:szCs w:val="28"/>
        </w:rPr>
        <w:t>17km</w:t>
      </w:r>
      <w:r>
        <w:rPr>
          <w:rFonts w:hint="eastAsia" w:ascii="仿宋" w:hAnsi="仿宋"/>
          <w:szCs w:val="28"/>
        </w:rPr>
        <w:t>，海域面积约48</w:t>
      </w:r>
      <w:r>
        <w:rPr>
          <w:rFonts w:ascii="仿宋" w:hAnsi="仿宋"/>
          <w:szCs w:val="28"/>
        </w:rPr>
        <w:t>km</w:t>
      </w:r>
      <w:r>
        <w:rPr>
          <w:rFonts w:ascii="仿宋" w:hAnsi="仿宋"/>
          <w:szCs w:val="28"/>
          <w:vertAlign w:val="superscript"/>
        </w:rPr>
        <w:t>2</w:t>
      </w:r>
      <w:r>
        <w:rPr>
          <w:rFonts w:hint="eastAsia" w:ascii="仿宋" w:hAnsi="仿宋"/>
          <w:szCs w:val="28"/>
        </w:rPr>
        <w:t>，风场中心点离岸约</w:t>
      </w:r>
      <w:r>
        <w:rPr>
          <w:rFonts w:ascii="仿宋" w:hAnsi="仿宋"/>
          <w:szCs w:val="28"/>
        </w:rPr>
        <w:t>20km</w:t>
      </w:r>
      <w:r>
        <w:rPr>
          <w:rFonts w:hint="eastAsia" w:ascii="仿宋" w:hAnsi="仿宋"/>
          <w:szCs w:val="28"/>
        </w:rPr>
        <w:t>，场区内海底地形变化较小，水深在</w:t>
      </w:r>
      <w:r>
        <w:rPr>
          <w:rFonts w:ascii="仿宋" w:hAnsi="仿宋"/>
          <w:szCs w:val="28"/>
        </w:rPr>
        <w:t>8</w:t>
      </w:r>
      <w:r>
        <w:rPr>
          <w:rFonts w:hint="eastAsia" w:ascii="仿宋" w:hAnsi="仿宋"/>
          <w:szCs w:val="28"/>
        </w:rPr>
        <w:t>～</w:t>
      </w:r>
      <w:r>
        <w:rPr>
          <w:rFonts w:ascii="仿宋" w:hAnsi="仿宋"/>
          <w:szCs w:val="28"/>
        </w:rPr>
        <w:t>12m</w:t>
      </w:r>
      <w:r>
        <w:rPr>
          <w:rFonts w:hint="eastAsia" w:ascii="仿宋" w:hAnsi="仿宋"/>
          <w:szCs w:val="28"/>
        </w:rPr>
        <w:t>之间。本工程安装74台风机，其中72台4.0MW风机，1台6.2MW风机，1台7.0MW风机，装机容量301.2MW。风电机组采用三列平行排列的布置方式，风机基础采用高桩高承台和单桩结构形式。电气系统分两部分布置，海上布置220kV升压站，陆上布置计量站。220kV海上升压站将35kV电压升压至220kV，经220kV海底电缆将电能输送至陆上登陆点后，就近接入电网。</w:t>
      </w:r>
    </w:p>
    <w:p>
      <w:pPr>
        <w:widowControl/>
        <w:ind w:firstLine="420" w:firstLineChars="175"/>
        <w:jc w:val="left"/>
        <w:rPr>
          <w:rFonts w:hint="eastAsia" w:ascii="仿宋" w:hAnsi="仿宋"/>
          <w:sz w:val="24"/>
        </w:rPr>
      </w:pPr>
      <w:bookmarkStart w:id="2" w:name="_Toc387591043"/>
      <w:bookmarkStart w:id="3" w:name="_Toc405392683"/>
    </w:p>
    <w:p>
      <w:pPr>
        <w:pStyle w:val="40"/>
      </w:pPr>
      <w:r>
        <w:drawing>
          <wp:inline distT="0" distB="0" distL="0" distR="0">
            <wp:extent cx="5267325" cy="3648075"/>
            <wp:effectExtent l="11112" t="11113" r="11128" b="11151"/>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5267325" cy="3648075"/>
                    </a:xfrm>
                    <a:prstGeom prst="rect">
                      <a:avLst/>
                    </a:prstGeom>
                    <a:noFill/>
                    <a:ln w="6350" cap="flat" cmpd="sng">
                      <a:solidFill>
                        <a:srgbClr val="000000"/>
                      </a:solidFill>
                      <a:prstDash val="solid"/>
                      <a:miter/>
                    </a:ln>
                  </pic:spPr>
                </pic:pic>
              </a:graphicData>
            </a:graphic>
          </wp:inline>
        </w:drawing>
      </w:r>
    </w:p>
    <w:p>
      <w:pPr>
        <w:pStyle w:val="40"/>
      </w:pPr>
      <w:r>
        <w:t>图</w:t>
      </w:r>
      <w:r>
        <w:rPr>
          <w:rFonts w:hint="eastAsia"/>
        </w:rPr>
        <w:t>1浙能嘉兴1号海上风电场工程</w:t>
      </w:r>
      <w:r>
        <w:t>位置</w:t>
      </w:r>
    </w:p>
    <w:bookmarkEnd w:id="2"/>
    <w:bookmarkEnd w:id="3"/>
    <w:p>
      <w:pPr>
        <w:widowControl/>
        <w:ind w:firstLine="565" w:firstLineChars="202"/>
        <w:jc w:val="left"/>
        <w:rPr>
          <w:rFonts w:hint="eastAsia" w:ascii="仿宋" w:hAnsi="仿宋"/>
          <w:szCs w:val="28"/>
        </w:rPr>
      </w:pPr>
      <w:r>
        <w:rPr>
          <w:rFonts w:hint="eastAsia" w:ascii="仿宋" w:hAnsi="仿宋"/>
          <w:szCs w:val="28"/>
        </w:rPr>
        <w:t>陆上计量站位于平湖市独山港通港路99号，在拟建8#码头的海堤内侧区域内，距离海堤约100m。陆上计量站内布置GIS楼、无功补偿楼、综合楼、生产辅助楼、附属楼、门卫等建（构）筑物，总建筑面积4012.94m</w:t>
      </w:r>
      <w:r>
        <w:rPr>
          <w:rFonts w:hint="eastAsia" w:ascii="仿宋" w:hAnsi="仿宋"/>
          <w:szCs w:val="28"/>
          <w:vertAlign w:val="superscript"/>
        </w:rPr>
        <w:t>2</w:t>
      </w:r>
      <w:r>
        <w:rPr>
          <w:rFonts w:hint="eastAsia" w:ascii="仿宋" w:hAnsi="仿宋"/>
          <w:szCs w:val="28"/>
        </w:rPr>
        <w:t>。</w:t>
      </w:r>
    </w:p>
    <w:p>
      <w:pPr>
        <w:pStyle w:val="2"/>
        <w:ind w:firstLine="562"/>
      </w:pPr>
      <w:r>
        <w:rPr>
          <w:rFonts w:hint="eastAsia"/>
        </w:rPr>
        <w:t>风场安全监测项目情况介绍</w:t>
      </w:r>
    </w:p>
    <w:p>
      <w:pPr>
        <w:pStyle w:val="3"/>
        <w:ind w:firstLine="562"/>
      </w:pPr>
      <w:r>
        <w:rPr>
          <w:rFonts w:hint="eastAsia"/>
        </w:rPr>
        <w:t>风机安全监测仪器布置情况</w:t>
      </w:r>
    </w:p>
    <w:p>
      <w:pPr>
        <w:ind w:firstLine="560"/>
        <w:rPr>
          <w:rFonts w:hint="eastAsia" w:ascii="仿宋" w:hAnsi="仿宋" w:cs="Times New Roman"/>
          <w:szCs w:val="28"/>
        </w:rPr>
      </w:pPr>
      <w:r>
        <w:rPr>
          <w:rFonts w:hint="eastAsia" w:ascii="仿宋" w:hAnsi="仿宋" w:cs="Times New Roman"/>
          <w:szCs w:val="28"/>
        </w:rPr>
        <w:t>浙能嘉兴1号海上风电场共设置74台风机，其中</w:t>
      </w:r>
      <w:r>
        <w:rPr>
          <w:rFonts w:ascii="仿宋" w:hAnsi="仿宋" w:cs="Times New Roman"/>
          <w:szCs w:val="28"/>
        </w:rPr>
        <w:t>37</w:t>
      </w:r>
      <w:r>
        <w:rPr>
          <w:rFonts w:hint="eastAsia" w:ascii="仿宋" w:hAnsi="仿宋" w:cs="Times New Roman"/>
          <w:szCs w:val="28"/>
        </w:rPr>
        <w:t>台为高桩基础风机，37台为单桩基础风机。高桩基础风机编号为：</w:t>
      </w:r>
      <w:r>
        <w:rPr>
          <w:rFonts w:ascii="仿宋" w:hAnsi="仿宋" w:cs="Times New Roman"/>
          <w:szCs w:val="28"/>
        </w:rPr>
        <w:t>1#</w:t>
      </w:r>
      <w:r>
        <w:rPr>
          <w:rFonts w:hint="eastAsia" w:ascii="仿宋" w:hAnsi="仿宋" w:cs="Times New Roman"/>
          <w:szCs w:val="28"/>
        </w:rPr>
        <w:t>、</w:t>
      </w:r>
      <w:r>
        <w:rPr>
          <w:rFonts w:ascii="仿宋" w:hAnsi="仿宋" w:cs="Times New Roman"/>
          <w:szCs w:val="28"/>
        </w:rPr>
        <w:t>14#~20#</w:t>
      </w:r>
      <w:r>
        <w:rPr>
          <w:rFonts w:hint="eastAsia" w:ascii="仿宋" w:hAnsi="仿宋" w:cs="Times New Roman"/>
          <w:szCs w:val="28"/>
        </w:rPr>
        <w:t>、</w:t>
      </w:r>
      <w:r>
        <w:rPr>
          <w:rFonts w:ascii="仿宋" w:hAnsi="仿宋" w:cs="Times New Roman"/>
          <w:szCs w:val="28"/>
        </w:rPr>
        <w:t>28#~33#</w:t>
      </w:r>
      <w:r>
        <w:rPr>
          <w:rFonts w:hint="eastAsia" w:ascii="仿宋" w:hAnsi="仿宋" w:cs="Times New Roman"/>
          <w:szCs w:val="28"/>
        </w:rPr>
        <w:t>、</w:t>
      </w:r>
      <w:r>
        <w:rPr>
          <w:rFonts w:ascii="仿宋" w:hAnsi="仿宋" w:cs="Times New Roman"/>
          <w:szCs w:val="28"/>
        </w:rPr>
        <w:t>37#~41#</w:t>
      </w:r>
      <w:r>
        <w:rPr>
          <w:rFonts w:hint="eastAsia" w:ascii="仿宋" w:hAnsi="仿宋" w:cs="Times New Roman"/>
          <w:szCs w:val="28"/>
        </w:rPr>
        <w:t>、</w:t>
      </w:r>
      <w:r>
        <w:rPr>
          <w:rFonts w:ascii="仿宋" w:hAnsi="仿宋" w:cs="Times New Roman"/>
          <w:szCs w:val="28"/>
        </w:rPr>
        <w:t>44#</w:t>
      </w:r>
      <w:r>
        <w:rPr>
          <w:rFonts w:hint="eastAsia" w:ascii="仿宋" w:hAnsi="仿宋" w:cs="Times New Roman"/>
          <w:szCs w:val="28"/>
        </w:rPr>
        <w:t>、</w:t>
      </w:r>
      <w:r>
        <w:rPr>
          <w:rFonts w:ascii="仿宋" w:hAnsi="仿宋" w:cs="Times New Roman"/>
          <w:szCs w:val="28"/>
        </w:rPr>
        <w:t>4</w:t>
      </w:r>
      <w:r>
        <w:rPr>
          <w:rFonts w:hint="eastAsia" w:ascii="仿宋" w:hAnsi="仿宋" w:cs="Times New Roman"/>
          <w:szCs w:val="28"/>
        </w:rPr>
        <w:t>7</w:t>
      </w:r>
      <w:r>
        <w:rPr>
          <w:rFonts w:ascii="仿宋" w:hAnsi="仿宋" w:cs="Times New Roman"/>
          <w:szCs w:val="28"/>
        </w:rPr>
        <w:t>#~59#</w:t>
      </w:r>
      <w:r>
        <w:rPr>
          <w:rFonts w:hint="eastAsia" w:ascii="仿宋" w:hAnsi="仿宋" w:cs="Times New Roman"/>
          <w:szCs w:val="28"/>
        </w:rPr>
        <w:t>、</w:t>
      </w:r>
      <w:r>
        <w:rPr>
          <w:rFonts w:ascii="仿宋" w:hAnsi="仿宋" w:cs="Times New Roman"/>
          <w:szCs w:val="28"/>
        </w:rPr>
        <w:t>70#</w:t>
      </w:r>
      <w:r>
        <w:rPr>
          <w:rFonts w:hint="eastAsia" w:ascii="仿宋" w:hAnsi="仿宋" w:cs="Times New Roman"/>
          <w:szCs w:val="28"/>
        </w:rPr>
        <w:t>和</w:t>
      </w:r>
      <w:r>
        <w:rPr>
          <w:rFonts w:ascii="仿宋" w:hAnsi="仿宋" w:cs="Times New Roman"/>
          <w:szCs w:val="28"/>
        </w:rPr>
        <w:t>72#~74#，其余为单桩风机编号</w:t>
      </w:r>
      <w:r>
        <w:rPr>
          <w:rFonts w:hint="eastAsia" w:ascii="仿宋" w:hAnsi="仿宋" w:cs="Times New Roman"/>
          <w:szCs w:val="28"/>
        </w:rPr>
        <w:t>。在</w:t>
      </w:r>
      <w:r>
        <w:rPr>
          <w:rFonts w:ascii="仿宋" w:hAnsi="仿宋" w:cs="Times New Roman"/>
          <w:szCs w:val="28"/>
        </w:rPr>
        <w:t>37</w:t>
      </w:r>
      <w:r>
        <w:rPr>
          <w:rFonts w:hint="eastAsia" w:ascii="仿宋" w:hAnsi="仿宋" w:cs="Times New Roman"/>
          <w:szCs w:val="28"/>
        </w:rPr>
        <w:t>台高桩基础风机中选取</w:t>
      </w:r>
      <w:r>
        <w:rPr>
          <w:rFonts w:ascii="仿宋" w:hAnsi="仿宋" w:cs="Times New Roman"/>
          <w:szCs w:val="28"/>
        </w:rPr>
        <w:t>31#</w:t>
      </w:r>
      <w:r>
        <w:rPr>
          <w:rFonts w:hint="eastAsia" w:ascii="仿宋" w:hAnsi="仿宋" w:cs="Times New Roman"/>
          <w:szCs w:val="28"/>
        </w:rPr>
        <w:t>、</w:t>
      </w:r>
      <w:r>
        <w:rPr>
          <w:rFonts w:ascii="仿宋" w:hAnsi="仿宋" w:cs="Times New Roman"/>
          <w:szCs w:val="28"/>
        </w:rPr>
        <w:t>32#</w:t>
      </w:r>
      <w:r>
        <w:rPr>
          <w:rFonts w:hint="eastAsia" w:ascii="仿宋" w:hAnsi="仿宋" w:cs="Times New Roman"/>
          <w:szCs w:val="28"/>
        </w:rPr>
        <w:t>、</w:t>
      </w:r>
      <w:r>
        <w:rPr>
          <w:rFonts w:ascii="仿宋" w:hAnsi="仿宋" w:cs="Times New Roman"/>
          <w:szCs w:val="28"/>
        </w:rPr>
        <w:t>33#</w:t>
      </w:r>
      <w:r>
        <w:rPr>
          <w:rFonts w:hint="eastAsia" w:ascii="仿宋" w:hAnsi="仿宋" w:cs="Times New Roman"/>
          <w:szCs w:val="28"/>
        </w:rPr>
        <w:t>、</w:t>
      </w:r>
      <w:r>
        <w:rPr>
          <w:rFonts w:ascii="仿宋" w:hAnsi="仿宋" w:cs="Times New Roman"/>
          <w:szCs w:val="28"/>
        </w:rPr>
        <w:t>37#</w:t>
      </w:r>
      <w:r>
        <w:rPr>
          <w:rFonts w:hint="eastAsia" w:ascii="仿宋" w:hAnsi="仿宋" w:cs="Times New Roman"/>
          <w:szCs w:val="28"/>
        </w:rPr>
        <w:t>和</w:t>
      </w:r>
      <w:r>
        <w:rPr>
          <w:rFonts w:ascii="仿宋" w:hAnsi="仿宋" w:cs="Times New Roman"/>
          <w:szCs w:val="28"/>
        </w:rPr>
        <w:t>70#</w:t>
      </w:r>
      <w:r>
        <w:rPr>
          <w:rFonts w:hint="eastAsia" w:ascii="仿宋" w:hAnsi="仿宋" w:cs="Times New Roman"/>
          <w:szCs w:val="28"/>
        </w:rPr>
        <w:t>风机作为高桩基础典型监测风机以布置完整监测项目，其余</w:t>
      </w:r>
      <w:r>
        <w:rPr>
          <w:rFonts w:ascii="仿宋" w:hAnsi="仿宋" w:cs="Times New Roman"/>
          <w:szCs w:val="28"/>
        </w:rPr>
        <w:t>32</w:t>
      </w:r>
      <w:r>
        <w:rPr>
          <w:rFonts w:hint="eastAsia" w:ascii="仿宋" w:hAnsi="仿宋" w:cs="Times New Roman"/>
          <w:szCs w:val="28"/>
        </w:rPr>
        <w:t>台为高桩基础非典型监测风机。</w:t>
      </w:r>
      <w:r>
        <w:rPr>
          <w:rFonts w:ascii="仿宋" w:hAnsi="仿宋" w:cs="Times New Roman"/>
          <w:szCs w:val="28"/>
        </w:rPr>
        <w:t>在37台单桩基础风机中选取3#、13#和66#</w:t>
      </w:r>
      <w:r>
        <w:rPr>
          <w:rFonts w:hint="eastAsia" w:ascii="仿宋" w:hAnsi="仿宋" w:cs="Times New Roman"/>
          <w:szCs w:val="28"/>
        </w:rPr>
        <w:t>风机</w:t>
      </w:r>
      <w:r>
        <w:rPr>
          <w:rFonts w:ascii="仿宋" w:hAnsi="仿宋" w:cs="Times New Roman"/>
          <w:szCs w:val="28"/>
        </w:rPr>
        <w:t>作为单桩基础典型监测风机以布置完整监测项目，其余34台为单桩基础非典型监测风机。</w:t>
      </w:r>
    </w:p>
    <w:p>
      <w:pPr>
        <w:ind w:firstLine="560"/>
        <w:rPr>
          <w:rFonts w:hint="eastAsia" w:ascii="仿宋" w:hAnsi="仿宋" w:cs="Times New Roman"/>
          <w:szCs w:val="28"/>
        </w:rPr>
      </w:pPr>
      <w:r>
        <w:rPr>
          <w:rFonts w:hint="eastAsia" w:ascii="仿宋" w:hAnsi="仿宋" w:cs="Times New Roman"/>
          <w:szCs w:val="28"/>
        </w:rPr>
        <w:t>非典型监测风机安全监测仪器布置情况：对于66台非典型监测风机，在每台风机各布置</w:t>
      </w:r>
      <w:r>
        <w:rPr>
          <w:rFonts w:ascii="仿宋" w:hAnsi="仿宋" w:cs="Times New Roman"/>
          <w:szCs w:val="28"/>
        </w:rPr>
        <w:t>1</w:t>
      </w:r>
      <w:r>
        <w:rPr>
          <w:rFonts w:hint="eastAsia" w:ascii="仿宋" w:hAnsi="仿宋" w:cs="Times New Roman"/>
          <w:szCs w:val="28"/>
        </w:rPr>
        <w:t>台加速度计和</w:t>
      </w:r>
      <w:r>
        <w:rPr>
          <w:rFonts w:ascii="仿宋" w:hAnsi="仿宋" w:cs="Times New Roman"/>
          <w:szCs w:val="28"/>
        </w:rPr>
        <w:t>2</w:t>
      </w:r>
      <w:r>
        <w:rPr>
          <w:rFonts w:hint="eastAsia" w:ascii="仿宋" w:hAnsi="仿宋" w:cs="Times New Roman"/>
          <w:szCs w:val="28"/>
        </w:rPr>
        <w:t>台倾角仪，共计66台加速度计、132台倾角仪。</w:t>
      </w:r>
    </w:p>
    <w:p>
      <w:pPr>
        <w:ind w:firstLine="560"/>
        <w:rPr>
          <w:rFonts w:hint="eastAsia" w:ascii="仿宋" w:hAnsi="仿宋" w:cs="Times New Roman"/>
          <w:szCs w:val="28"/>
        </w:rPr>
      </w:pPr>
      <w:r>
        <w:rPr>
          <w:rFonts w:hint="eastAsia" w:ascii="仿宋" w:hAnsi="仿宋" w:cs="Times New Roman"/>
          <w:szCs w:val="28"/>
        </w:rPr>
        <w:t>对于典型监测风机，其主要监测项目有：倾斜、振动、</w:t>
      </w:r>
      <w:bookmarkStart w:id="4" w:name="_Hlk128598675"/>
      <w:r>
        <w:rPr>
          <w:rFonts w:hint="eastAsia" w:ascii="仿宋" w:hAnsi="仿宋" w:cs="Times New Roman"/>
          <w:szCs w:val="28"/>
        </w:rPr>
        <w:t>混凝土应力应变（高桩基础）、</w:t>
      </w:r>
      <w:bookmarkEnd w:id="4"/>
      <w:r>
        <w:rPr>
          <w:rFonts w:hint="eastAsia" w:ascii="仿宋" w:hAnsi="仿宋" w:cs="Times New Roman"/>
          <w:szCs w:val="28"/>
        </w:rPr>
        <w:t>钢板应力、钢筋应力（高桩基础）及腐蚀监测，其安全监测仪器布置情况如下：</w:t>
      </w:r>
    </w:p>
    <w:p>
      <w:pPr>
        <w:ind w:firstLine="560"/>
        <w:rPr>
          <w:rFonts w:hint="eastAsia" w:ascii="仿宋" w:hAnsi="仿宋" w:cs="Times New Roman"/>
          <w:szCs w:val="28"/>
        </w:rPr>
      </w:pPr>
      <w:r>
        <w:rPr>
          <w:rFonts w:hint="eastAsia" w:ascii="仿宋" w:hAnsi="仿宋" w:cs="Times New Roman"/>
          <w:szCs w:val="28"/>
        </w:rPr>
        <w:t>（1）倾斜监测</w:t>
      </w:r>
    </w:p>
    <w:p>
      <w:pPr>
        <w:ind w:firstLine="560"/>
        <w:rPr>
          <w:rFonts w:hint="eastAsia" w:ascii="仿宋" w:hAnsi="仿宋" w:cs="Times New Roman"/>
          <w:szCs w:val="28"/>
        </w:rPr>
      </w:pPr>
      <w:r>
        <w:rPr>
          <w:rFonts w:hint="eastAsia" w:ascii="仿宋" w:hAnsi="仿宋" w:cs="Times New Roman"/>
          <w:szCs w:val="28"/>
        </w:rPr>
        <w:t>在每台典型监测风机塔顶、塔底各布置</w:t>
      </w:r>
      <w:r>
        <w:rPr>
          <w:rFonts w:ascii="仿宋" w:hAnsi="仿宋" w:cs="Times New Roman"/>
          <w:szCs w:val="28"/>
        </w:rPr>
        <w:t>1</w:t>
      </w:r>
      <w:r>
        <w:rPr>
          <w:rFonts w:hint="eastAsia" w:ascii="仿宋" w:hAnsi="仿宋" w:cs="Times New Roman"/>
          <w:szCs w:val="28"/>
        </w:rPr>
        <w:t>台倾角仪（水平</w:t>
      </w:r>
      <w:r>
        <w:rPr>
          <w:rFonts w:ascii="仿宋" w:hAnsi="仿宋" w:cs="Times New Roman"/>
          <w:szCs w:val="28"/>
        </w:rPr>
        <w:t>X</w:t>
      </w:r>
      <w:r>
        <w:rPr>
          <w:rFonts w:hint="eastAsia" w:ascii="仿宋" w:hAnsi="仿宋" w:cs="Times New Roman"/>
          <w:szCs w:val="28"/>
        </w:rPr>
        <w:t>、</w:t>
      </w:r>
      <w:r>
        <w:rPr>
          <w:rFonts w:ascii="仿宋" w:hAnsi="仿宋" w:cs="Times New Roman"/>
          <w:szCs w:val="28"/>
        </w:rPr>
        <w:t>Y</w:t>
      </w:r>
      <w:r>
        <w:rPr>
          <w:rFonts w:hint="eastAsia" w:ascii="仿宋" w:hAnsi="仿宋" w:cs="Times New Roman"/>
          <w:szCs w:val="28"/>
        </w:rPr>
        <w:t>向）。在8台典型监测风机塔底、塔顶共计布置</w:t>
      </w:r>
      <w:r>
        <w:rPr>
          <w:rFonts w:ascii="仿宋" w:hAnsi="仿宋" w:cs="Times New Roman"/>
          <w:szCs w:val="28"/>
        </w:rPr>
        <w:t>1</w:t>
      </w:r>
      <w:r>
        <w:rPr>
          <w:rFonts w:hint="eastAsia" w:ascii="仿宋" w:hAnsi="仿宋" w:cs="Times New Roman"/>
          <w:szCs w:val="28"/>
        </w:rPr>
        <w:t>6台倾角仪。</w:t>
      </w:r>
    </w:p>
    <w:p>
      <w:pPr>
        <w:ind w:firstLine="560"/>
        <w:rPr>
          <w:rFonts w:hint="eastAsia" w:ascii="仿宋" w:hAnsi="仿宋" w:cs="Times New Roman"/>
          <w:szCs w:val="28"/>
        </w:rPr>
      </w:pPr>
      <w:r>
        <w:rPr>
          <w:rFonts w:hint="eastAsia" w:ascii="仿宋" w:hAnsi="仿宋" w:cs="Times New Roman"/>
          <w:szCs w:val="28"/>
        </w:rPr>
        <w:t>（2）振动监测</w:t>
      </w:r>
    </w:p>
    <w:p>
      <w:pPr>
        <w:ind w:firstLine="560"/>
        <w:rPr>
          <w:rFonts w:hint="eastAsia" w:ascii="仿宋" w:hAnsi="仿宋" w:cs="Times New Roman"/>
          <w:szCs w:val="28"/>
        </w:rPr>
      </w:pPr>
      <w:r>
        <w:rPr>
          <w:rFonts w:hint="eastAsia" w:ascii="仿宋" w:hAnsi="仿宋" w:cs="Times New Roman"/>
          <w:szCs w:val="28"/>
        </w:rPr>
        <w:t>在每台典型监测风机塔筒布置四个监测断面，每个断面各布置</w:t>
      </w:r>
      <w:r>
        <w:rPr>
          <w:rFonts w:ascii="仿宋" w:hAnsi="仿宋" w:cs="Times New Roman"/>
          <w:szCs w:val="28"/>
        </w:rPr>
        <w:t>1</w:t>
      </w:r>
      <w:r>
        <w:rPr>
          <w:rFonts w:hint="eastAsia" w:ascii="仿宋" w:hAnsi="仿宋" w:cs="Times New Roman"/>
          <w:szCs w:val="28"/>
        </w:rPr>
        <w:t>台加速度计（水平</w:t>
      </w:r>
      <w:r>
        <w:rPr>
          <w:rFonts w:ascii="仿宋" w:hAnsi="仿宋" w:cs="Times New Roman"/>
          <w:szCs w:val="28"/>
        </w:rPr>
        <w:t>X</w:t>
      </w:r>
      <w:r>
        <w:rPr>
          <w:rFonts w:hint="eastAsia" w:ascii="仿宋" w:hAnsi="仿宋" w:cs="Times New Roman"/>
          <w:szCs w:val="28"/>
        </w:rPr>
        <w:t>、</w:t>
      </w:r>
      <w:r>
        <w:rPr>
          <w:rFonts w:ascii="仿宋" w:hAnsi="仿宋" w:cs="Times New Roman"/>
          <w:szCs w:val="28"/>
        </w:rPr>
        <w:t>Y</w:t>
      </w:r>
      <w:r>
        <w:rPr>
          <w:rFonts w:hint="eastAsia" w:ascii="仿宋" w:hAnsi="仿宋" w:cs="Times New Roman"/>
          <w:szCs w:val="28"/>
        </w:rPr>
        <w:t>向），在典型监测风机共计布置32台加速度计。</w:t>
      </w:r>
    </w:p>
    <w:p>
      <w:pPr>
        <w:ind w:firstLine="560"/>
        <w:rPr>
          <w:rFonts w:hint="eastAsia" w:ascii="仿宋" w:hAnsi="仿宋" w:cs="Times New Roman"/>
          <w:szCs w:val="28"/>
        </w:rPr>
      </w:pPr>
      <w:r>
        <w:rPr>
          <w:rFonts w:hint="eastAsia" w:ascii="仿宋" w:hAnsi="仿宋" w:cs="Times New Roman"/>
          <w:szCs w:val="28"/>
        </w:rPr>
        <w:t>（3）钢筋应力监测</w:t>
      </w:r>
    </w:p>
    <w:p>
      <w:pPr>
        <w:ind w:firstLine="560"/>
        <w:rPr>
          <w:rFonts w:hint="eastAsia" w:ascii="仿宋" w:hAnsi="仿宋" w:cs="Times New Roman"/>
          <w:szCs w:val="28"/>
        </w:rPr>
      </w:pPr>
      <w:r>
        <w:rPr>
          <w:rFonts w:hint="eastAsia" w:ascii="仿宋" w:hAnsi="仿宋" w:cs="Times New Roman"/>
          <w:szCs w:val="28"/>
        </w:rPr>
        <w:t>在每台高桩基础典型监测风机基础内部钢筋上布置</w:t>
      </w:r>
      <w:r>
        <w:rPr>
          <w:rFonts w:ascii="仿宋" w:hAnsi="仿宋" w:cs="Times New Roman"/>
          <w:szCs w:val="28"/>
        </w:rPr>
        <w:t>8</w:t>
      </w:r>
      <w:r>
        <w:rPr>
          <w:rFonts w:hint="eastAsia" w:ascii="仿宋" w:hAnsi="仿宋" w:cs="Times New Roman"/>
          <w:szCs w:val="28"/>
        </w:rPr>
        <w:t>支钢筋应力计，共计</w:t>
      </w:r>
      <w:r>
        <w:rPr>
          <w:rFonts w:ascii="仿宋" w:hAnsi="仿宋" w:cs="Times New Roman"/>
          <w:szCs w:val="28"/>
        </w:rPr>
        <w:t>40</w:t>
      </w:r>
      <w:r>
        <w:rPr>
          <w:rFonts w:hint="eastAsia" w:ascii="仿宋" w:hAnsi="仿宋" w:cs="Times New Roman"/>
          <w:szCs w:val="28"/>
        </w:rPr>
        <w:t>支钢筋应力计。</w:t>
      </w:r>
    </w:p>
    <w:p>
      <w:pPr>
        <w:ind w:firstLine="560"/>
        <w:rPr>
          <w:rFonts w:hint="eastAsia" w:ascii="仿宋" w:hAnsi="仿宋" w:cs="Times New Roman"/>
          <w:szCs w:val="28"/>
        </w:rPr>
      </w:pPr>
      <w:r>
        <w:rPr>
          <w:rFonts w:hint="eastAsia" w:ascii="仿宋" w:hAnsi="仿宋" w:cs="Times New Roman"/>
          <w:szCs w:val="28"/>
        </w:rPr>
        <w:t>（4）钢板应力监测</w:t>
      </w:r>
    </w:p>
    <w:p>
      <w:pPr>
        <w:ind w:firstLine="560"/>
        <w:rPr>
          <w:rFonts w:hint="eastAsia" w:ascii="仿宋" w:hAnsi="仿宋" w:cs="Times New Roman"/>
          <w:szCs w:val="28"/>
        </w:rPr>
      </w:pPr>
      <w:r>
        <w:rPr>
          <w:rFonts w:hint="eastAsia" w:ascii="仿宋" w:hAnsi="仿宋" w:cs="Times New Roman"/>
          <w:szCs w:val="28"/>
        </w:rPr>
        <w:t>在每台高桩基础典型监测风机基础内部和基础环部位各布置</w:t>
      </w:r>
      <w:r>
        <w:rPr>
          <w:rFonts w:ascii="仿宋" w:hAnsi="仿宋" w:cs="Times New Roman"/>
          <w:szCs w:val="28"/>
        </w:rPr>
        <w:t>4</w:t>
      </w:r>
      <w:r>
        <w:rPr>
          <w:rFonts w:hint="eastAsia" w:ascii="仿宋" w:hAnsi="仿宋" w:cs="Times New Roman"/>
          <w:szCs w:val="28"/>
        </w:rPr>
        <w:t>支钢板应力计，每台高桩基础典型监测风机共</w:t>
      </w:r>
      <w:r>
        <w:rPr>
          <w:rFonts w:ascii="仿宋" w:hAnsi="仿宋" w:cs="Times New Roman"/>
          <w:szCs w:val="28"/>
        </w:rPr>
        <w:t>8</w:t>
      </w:r>
      <w:r>
        <w:rPr>
          <w:rFonts w:hint="eastAsia" w:ascii="仿宋" w:hAnsi="仿宋" w:cs="Times New Roman"/>
          <w:szCs w:val="28"/>
        </w:rPr>
        <w:t>支钢板应力计；</w:t>
      </w:r>
      <w:r>
        <w:rPr>
          <w:rFonts w:ascii="仿宋" w:hAnsi="仿宋" w:cs="Times New Roman"/>
          <w:szCs w:val="28"/>
        </w:rPr>
        <w:t>在每台单桩基础典型监测风机基础顶部布置4支钢板应力计，</w:t>
      </w:r>
      <w:r>
        <w:rPr>
          <w:rFonts w:hint="eastAsia" w:ascii="仿宋" w:hAnsi="仿宋" w:cs="Times New Roman"/>
          <w:szCs w:val="28"/>
        </w:rPr>
        <w:t>8台典型监测风机共计52支钢板应力计。</w:t>
      </w:r>
    </w:p>
    <w:p>
      <w:pPr>
        <w:ind w:firstLine="560"/>
        <w:rPr>
          <w:rFonts w:hint="eastAsia" w:ascii="仿宋" w:hAnsi="仿宋" w:cs="Times New Roman"/>
          <w:szCs w:val="28"/>
        </w:rPr>
      </w:pPr>
      <w:r>
        <w:rPr>
          <w:rFonts w:hint="eastAsia" w:ascii="仿宋" w:hAnsi="仿宋" w:cs="Times New Roman"/>
          <w:szCs w:val="28"/>
        </w:rPr>
        <w:t>（5）混凝土应力应变监测</w:t>
      </w:r>
    </w:p>
    <w:p>
      <w:pPr>
        <w:ind w:firstLine="560"/>
        <w:rPr>
          <w:rFonts w:hint="eastAsia" w:ascii="仿宋" w:hAnsi="仿宋" w:cs="Times New Roman"/>
          <w:szCs w:val="28"/>
        </w:rPr>
      </w:pPr>
      <w:r>
        <w:rPr>
          <w:rFonts w:hint="eastAsia" w:ascii="仿宋" w:hAnsi="仿宋" w:cs="Times New Roman"/>
          <w:szCs w:val="28"/>
        </w:rPr>
        <w:t>在每台高桩基础典型监测风机基础布置</w:t>
      </w:r>
      <w:r>
        <w:rPr>
          <w:rFonts w:ascii="仿宋" w:hAnsi="仿宋" w:cs="Times New Roman"/>
          <w:szCs w:val="28"/>
        </w:rPr>
        <w:t>4</w:t>
      </w:r>
      <w:r>
        <w:rPr>
          <w:rFonts w:hint="eastAsia" w:ascii="仿宋" w:hAnsi="仿宋" w:cs="Times New Roman"/>
          <w:szCs w:val="28"/>
        </w:rPr>
        <w:t>支混凝土应变计和</w:t>
      </w:r>
      <w:r>
        <w:rPr>
          <w:rFonts w:ascii="仿宋" w:hAnsi="仿宋" w:cs="Times New Roman"/>
          <w:szCs w:val="28"/>
        </w:rPr>
        <w:t>1</w:t>
      </w:r>
      <w:r>
        <w:rPr>
          <w:rFonts w:hint="eastAsia" w:ascii="仿宋" w:hAnsi="仿宋" w:cs="Times New Roman"/>
          <w:szCs w:val="28"/>
        </w:rPr>
        <w:t>支无应力计，共计</w:t>
      </w:r>
      <w:r>
        <w:rPr>
          <w:rFonts w:ascii="仿宋" w:hAnsi="仿宋" w:cs="Times New Roman"/>
          <w:szCs w:val="28"/>
        </w:rPr>
        <w:t>20</w:t>
      </w:r>
      <w:r>
        <w:rPr>
          <w:rFonts w:hint="eastAsia" w:ascii="仿宋" w:hAnsi="仿宋" w:cs="Times New Roman"/>
          <w:szCs w:val="28"/>
        </w:rPr>
        <w:t>支混凝土应变计和</w:t>
      </w:r>
      <w:r>
        <w:rPr>
          <w:rFonts w:ascii="仿宋" w:hAnsi="仿宋" w:cs="Times New Roman"/>
          <w:szCs w:val="28"/>
        </w:rPr>
        <w:t>5</w:t>
      </w:r>
      <w:r>
        <w:rPr>
          <w:rFonts w:hint="eastAsia" w:ascii="仿宋" w:hAnsi="仿宋" w:cs="Times New Roman"/>
          <w:szCs w:val="28"/>
        </w:rPr>
        <w:t>支无应力计。</w:t>
      </w:r>
    </w:p>
    <w:p>
      <w:pPr>
        <w:ind w:firstLine="560"/>
        <w:rPr>
          <w:rFonts w:hint="eastAsia" w:ascii="仿宋" w:hAnsi="仿宋" w:cs="Times New Roman"/>
          <w:szCs w:val="28"/>
        </w:rPr>
      </w:pPr>
      <w:r>
        <w:rPr>
          <w:rFonts w:hint="eastAsia" w:ascii="仿宋" w:hAnsi="仿宋" w:cs="Times New Roman"/>
          <w:szCs w:val="28"/>
        </w:rPr>
        <w:t>（6）腐蚀监测</w:t>
      </w:r>
    </w:p>
    <w:p>
      <w:pPr>
        <w:widowControl/>
        <w:ind w:firstLine="490" w:firstLineChars="175"/>
        <w:jc w:val="left"/>
        <w:rPr>
          <w:rFonts w:hint="eastAsia" w:ascii="仿宋" w:hAnsi="仿宋" w:cs="Times New Roman"/>
          <w:szCs w:val="28"/>
        </w:rPr>
      </w:pPr>
      <w:r>
        <w:rPr>
          <w:rFonts w:hint="eastAsia" w:ascii="仿宋" w:hAnsi="仿宋" w:cs="Times New Roman"/>
          <w:szCs w:val="28"/>
        </w:rPr>
        <w:t>在</w:t>
      </w:r>
      <w:r>
        <w:rPr>
          <w:rFonts w:ascii="仿宋" w:hAnsi="仿宋" w:cs="Times New Roman"/>
          <w:szCs w:val="28"/>
        </w:rPr>
        <w:t>1#</w:t>
      </w:r>
      <w:r>
        <w:rPr>
          <w:rFonts w:hint="eastAsia" w:ascii="仿宋" w:hAnsi="仿宋" w:cs="Times New Roman"/>
          <w:szCs w:val="28"/>
        </w:rPr>
        <w:t>、</w:t>
      </w:r>
      <w:r>
        <w:rPr>
          <w:rFonts w:ascii="仿宋" w:hAnsi="仿宋" w:cs="Times New Roman"/>
          <w:szCs w:val="28"/>
        </w:rPr>
        <w:t>2#、29#</w:t>
      </w:r>
      <w:r>
        <w:rPr>
          <w:rFonts w:hint="eastAsia" w:ascii="仿宋" w:hAnsi="仿宋" w:cs="Times New Roman"/>
          <w:szCs w:val="28"/>
        </w:rPr>
        <w:t>、</w:t>
      </w:r>
      <w:r>
        <w:rPr>
          <w:rFonts w:ascii="仿宋" w:hAnsi="仿宋" w:cs="Times New Roman"/>
          <w:szCs w:val="28"/>
        </w:rPr>
        <w:t>33#</w:t>
      </w:r>
      <w:r>
        <w:rPr>
          <w:rFonts w:hint="eastAsia" w:ascii="仿宋" w:hAnsi="仿宋" w:cs="Times New Roman"/>
          <w:szCs w:val="28"/>
        </w:rPr>
        <w:t>、</w:t>
      </w:r>
      <w:r>
        <w:rPr>
          <w:rFonts w:ascii="仿宋" w:hAnsi="仿宋" w:cs="Times New Roman"/>
          <w:szCs w:val="28"/>
        </w:rPr>
        <w:t>34#、37#</w:t>
      </w:r>
      <w:r>
        <w:rPr>
          <w:rFonts w:hint="eastAsia" w:ascii="仿宋" w:hAnsi="仿宋" w:cs="Times New Roman"/>
          <w:szCs w:val="28"/>
        </w:rPr>
        <w:t>、</w:t>
      </w:r>
      <w:r>
        <w:rPr>
          <w:rFonts w:ascii="仿宋" w:hAnsi="仿宋" w:cs="Times New Roman"/>
          <w:szCs w:val="28"/>
        </w:rPr>
        <w:t>50#和69#</w:t>
      </w:r>
      <w:r>
        <w:rPr>
          <w:rFonts w:hint="eastAsia" w:ascii="仿宋" w:hAnsi="仿宋" w:cs="Times New Roman"/>
          <w:szCs w:val="28"/>
        </w:rPr>
        <w:t>风机基础的钢管桩各布置</w:t>
      </w:r>
      <w:r>
        <w:rPr>
          <w:rFonts w:ascii="仿宋" w:hAnsi="仿宋" w:cs="Times New Roman"/>
          <w:szCs w:val="28"/>
        </w:rPr>
        <w:t>1</w:t>
      </w:r>
      <w:r>
        <w:rPr>
          <w:rFonts w:hint="eastAsia" w:ascii="仿宋" w:hAnsi="仿宋" w:cs="Times New Roman"/>
          <w:szCs w:val="28"/>
        </w:rPr>
        <w:t>个参比电极，共计8个。</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典型监测风机监测项目及频次要求</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276"/>
        <w:gridCol w:w="1559"/>
        <w:gridCol w:w="1494"/>
        <w:gridCol w:w="1625"/>
        <w:gridCol w:w="1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28" w:type="pct"/>
            <w:vAlign w:val="center"/>
          </w:tcPr>
          <w:p>
            <w:pPr>
              <w:pStyle w:val="31"/>
            </w:pPr>
            <w:r>
              <w:t>监测项目</w:t>
            </w:r>
          </w:p>
        </w:tc>
        <w:tc>
          <w:tcPr>
            <w:tcW w:w="748" w:type="pct"/>
            <w:vAlign w:val="center"/>
          </w:tcPr>
          <w:p>
            <w:pPr>
              <w:pStyle w:val="31"/>
            </w:pPr>
            <w:r>
              <w:t>监测仪器</w:t>
            </w:r>
          </w:p>
        </w:tc>
        <w:tc>
          <w:tcPr>
            <w:tcW w:w="914" w:type="pct"/>
            <w:vAlign w:val="center"/>
          </w:tcPr>
          <w:p>
            <w:pPr>
              <w:pStyle w:val="31"/>
            </w:pPr>
            <w:r>
              <w:t>测点编号</w:t>
            </w:r>
          </w:p>
        </w:tc>
        <w:tc>
          <w:tcPr>
            <w:tcW w:w="876" w:type="pct"/>
            <w:vAlign w:val="center"/>
          </w:tcPr>
          <w:p>
            <w:pPr>
              <w:pStyle w:val="31"/>
            </w:pPr>
            <w:r>
              <w:t>测点数量</w:t>
            </w:r>
          </w:p>
        </w:tc>
        <w:tc>
          <w:tcPr>
            <w:tcW w:w="953" w:type="pct"/>
            <w:vAlign w:val="center"/>
          </w:tcPr>
          <w:p>
            <w:pPr>
              <w:pStyle w:val="31"/>
            </w:pPr>
            <w:r>
              <w:t>厂家型号</w:t>
            </w:r>
          </w:p>
        </w:tc>
        <w:tc>
          <w:tcPr>
            <w:tcW w:w="781" w:type="pct"/>
            <w:vAlign w:val="center"/>
          </w:tcPr>
          <w:p>
            <w:pPr>
              <w:pStyle w:val="31"/>
            </w:pPr>
            <w:r>
              <w:t>监测</w:t>
            </w:r>
          </w:p>
          <w:p>
            <w:pPr>
              <w:pStyle w:val="31"/>
            </w:pPr>
            <w: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1"/>
            </w:pPr>
            <w:r>
              <w:t>倾斜</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倾角仪</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CLx-1~CLx-2</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2×</w:t>
            </w:r>
            <w:r>
              <w:rPr>
                <w:rFonts w:hint="eastAsia"/>
              </w:rPr>
              <w:t>8</w:t>
            </w:r>
            <w:r>
              <w:t>=1</w:t>
            </w:r>
            <w:r>
              <w:rPr>
                <w:rFonts w:hint="eastAsia"/>
              </w:rPr>
              <w:t>6</w:t>
            </w:r>
            <w:r>
              <w:t>台</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中国地震局QYG01-I</w:t>
            </w:r>
          </w:p>
        </w:tc>
        <w:tc>
          <w:tcPr>
            <w:tcW w:w="781" w:type="pct"/>
            <w:vAlign w:val="center"/>
          </w:tcPr>
          <w:p>
            <w:pPr>
              <w:pStyle w:val="31"/>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tcBorders>
              <w:bottom w:val="single" w:color="auto" w:sz="4" w:space="0"/>
            </w:tcBorders>
            <w:vAlign w:val="center"/>
          </w:tcPr>
          <w:p>
            <w:pPr>
              <w:pStyle w:val="31"/>
            </w:pPr>
            <w:r>
              <w:t>振动</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加速度计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ATx-1~ATx-4</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4×</w:t>
            </w:r>
            <w:r>
              <w:rPr>
                <w:rFonts w:hint="eastAsia"/>
              </w:rPr>
              <w:t>8</w:t>
            </w:r>
            <w:r>
              <w:t>=</w:t>
            </w:r>
            <w:r>
              <w:rPr>
                <w:rFonts w:hint="eastAsia"/>
              </w:rPr>
              <w:t>32</w:t>
            </w:r>
            <w:r>
              <w:t>台</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中国地震局QZ2013</w:t>
            </w:r>
          </w:p>
        </w:tc>
        <w:tc>
          <w:tcPr>
            <w:tcW w:w="781" w:type="pct"/>
            <w:vAlign w:val="center"/>
          </w:tcPr>
          <w:p>
            <w:pPr>
              <w:pStyle w:val="31"/>
            </w:pPr>
            <w: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Merge w:val="restart"/>
            <w:vAlign w:val="center"/>
          </w:tcPr>
          <w:p>
            <w:pPr>
              <w:pStyle w:val="31"/>
            </w:pPr>
            <w:r>
              <w:t>应力应变</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混凝土应变计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Sx-1~Sx-4</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4×5=20支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南京水文所SXY-15</w:t>
            </w:r>
          </w:p>
        </w:tc>
        <w:tc>
          <w:tcPr>
            <w:tcW w:w="781" w:type="pct"/>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Merge w:val="continue"/>
            <w:tcBorders>
              <w:bottom w:val="single" w:color="auto" w:sz="4" w:space="0"/>
            </w:tcBorders>
            <w:vAlign w:val="center"/>
          </w:tcPr>
          <w:p>
            <w:pPr>
              <w:pStyle w:val="31"/>
            </w:pP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无应力计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Nx-1</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1×5=5支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南京水文所SXY-15W</w:t>
            </w:r>
          </w:p>
        </w:tc>
        <w:tc>
          <w:tcPr>
            <w:tcW w:w="781" w:type="pct"/>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1"/>
            </w:pPr>
            <w:r>
              <w:t>钢板应力</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钢板应力计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Cx-1~ Cx-8</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8×5</w:t>
            </w:r>
            <w:r>
              <w:rPr>
                <w:rFonts w:hint="eastAsia"/>
              </w:rPr>
              <w:t>+4</w:t>
            </w:r>
            <w:r>
              <w:t>×</w:t>
            </w:r>
            <w:r>
              <w:rPr>
                <w:rFonts w:hint="eastAsia"/>
              </w:rPr>
              <w:t>3</w:t>
            </w:r>
            <w:r>
              <w:t>=</w:t>
            </w:r>
            <w:r>
              <w:rPr>
                <w:rFonts w:hint="eastAsia"/>
              </w:rPr>
              <w:t>52</w:t>
            </w:r>
            <w:r>
              <w:t>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南京水文所SXB-15</w:t>
            </w:r>
          </w:p>
        </w:tc>
        <w:tc>
          <w:tcPr>
            <w:tcW w:w="781" w:type="pct"/>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1"/>
            </w:pPr>
            <w:r>
              <w:t>钢筋应力</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钢筋应力计</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Rx-1~Rx-8</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8×5=40支</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南京水文所SXG-T2</w:t>
            </w:r>
          </w:p>
        </w:tc>
        <w:tc>
          <w:tcPr>
            <w:tcW w:w="781" w:type="pct"/>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28" w:type="pct"/>
            <w:vAlign w:val="center"/>
          </w:tcPr>
          <w:p>
            <w:pPr>
              <w:pStyle w:val="31"/>
            </w:pPr>
            <w:r>
              <w:t>腐蚀电位</w:t>
            </w:r>
          </w:p>
        </w:tc>
        <w:tc>
          <w:tcPr>
            <w:tcW w:w="748" w:type="pct"/>
            <w:tcBorders>
              <w:top w:val="single" w:color="auto" w:sz="4" w:space="0"/>
              <w:left w:val="single" w:color="auto" w:sz="4" w:space="0"/>
              <w:bottom w:val="single" w:color="auto" w:sz="4" w:space="0"/>
              <w:right w:val="single" w:color="auto" w:sz="4" w:space="0"/>
            </w:tcBorders>
            <w:vAlign w:val="center"/>
          </w:tcPr>
          <w:p>
            <w:pPr>
              <w:pStyle w:val="31"/>
            </w:pPr>
            <w:r>
              <w:t>参比电极</w:t>
            </w:r>
          </w:p>
        </w:tc>
        <w:tc>
          <w:tcPr>
            <w:tcW w:w="914" w:type="pct"/>
            <w:tcBorders>
              <w:top w:val="single" w:color="auto" w:sz="4" w:space="0"/>
              <w:left w:val="single" w:color="auto" w:sz="4" w:space="0"/>
              <w:bottom w:val="single" w:color="auto" w:sz="4" w:space="0"/>
              <w:right w:val="single" w:color="auto" w:sz="4" w:space="0"/>
            </w:tcBorders>
            <w:vAlign w:val="center"/>
          </w:tcPr>
          <w:p>
            <w:pPr>
              <w:pStyle w:val="31"/>
            </w:pPr>
            <w:r>
              <w:t>FSx-1</w:t>
            </w:r>
          </w:p>
        </w:tc>
        <w:tc>
          <w:tcPr>
            <w:tcW w:w="876" w:type="pct"/>
            <w:tcBorders>
              <w:top w:val="single" w:color="auto" w:sz="4" w:space="0"/>
              <w:left w:val="single" w:color="auto" w:sz="4" w:space="0"/>
              <w:bottom w:val="single" w:color="auto" w:sz="4" w:space="0"/>
              <w:right w:val="single" w:color="auto" w:sz="4" w:space="0"/>
            </w:tcBorders>
            <w:vAlign w:val="center"/>
          </w:tcPr>
          <w:p>
            <w:pPr>
              <w:pStyle w:val="31"/>
            </w:pPr>
            <w:r>
              <w:t>1×2=2个</w:t>
            </w:r>
          </w:p>
        </w:tc>
        <w:tc>
          <w:tcPr>
            <w:tcW w:w="953" w:type="pct"/>
            <w:tcBorders>
              <w:top w:val="single" w:color="auto" w:sz="4" w:space="0"/>
              <w:left w:val="single" w:color="auto" w:sz="4" w:space="0"/>
              <w:bottom w:val="single" w:color="auto" w:sz="4" w:space="0"/>
              <w:right w:val="single" w:color="auto" w:sz="4" w:space="0"/>
            </w:tcBorders>
            <w:vAlign w:val="center"/>
          </w:tcPr>
          <w:p>
            <w:pPr>
              <w:pStyle w:val="31"/>
            </w:pPr>
            <w:r>
              <w:t>青岛双瑞</w:t>
            </w:r>
          </w:p>
        </w:tc>
        <w:tc>
          <w:tcPr>
            <w:tcW w:w="781" w:type="pct"/>
            <w:vAlign w:val="center"/>
          </w:tcPr>
          <w:p>
            <w:pPr>
              <w:pStyle w:val="31"/>
            </w:pPr>
            <w:r>
              <w:t>1次/小时</w:t>
            </w:r>
          </w:p>
        </w:tc>
      </w:tr>
    </w:tbl>
    <w:p>
      <w:pPr>
        <w:pStyle w:val="31"/>
        <w:spacing w:before="72" w:after="72"/>
        <w:ind w:left="480" w:hanging="480" w:hangingChars="200"/>
        <w:jc w:val="left"/>
        <w:rPr>
          <w:rStyle w:val="22"/>
          <w:rFonts w:hint="eastAsia" w:ascii="仿宋" w:hAnsi="仿宋" w:eastAsia="仿宋"/>
          <w:sz w:val="24"/>
          <w:szCs w:val="24"/>
        </w:rPr>
      </w:pPr>
      <w:r>
        <w:rPr>
          <w:rFonts w:ascii="仿宋" w:hAnsi="仿宋" w:eastAsia="仿宋"/>
        </w:rPr>
        <w:t>注：测点编号中“x”为风机号。</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t>非典型监测风机监测项目及频次要求</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7"/>
        <w:gridCol w:w="1270"/>
        <w:gridCol w:w="1600"/>
        <w:gridCol w:w="1230"/>
        <w:gridCol w:w="1873"/>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733" w:type="pct"/>
            <w:vAlign w:val="center"/>
          </w:tcPr>
          <w:p>
            <w:pPr>
              <w:pStyle w:val="31"/>
            </w:pPr>
            <w:r>
              <w:t>监测项目</w:t>
            </w:r>
          </w:p>
        </w:tc>
        <w:tc>
          <w:tcPr>
            <w:tcW w:w="752" w:type="pct"/>
            <w:vAlign w:val="center"/>
          </w:tcPr>
          <w:p>
            <w:pPr>
              <w:pStyle w:val="31"/>
            </w:pPr>
            <w:r>
              <w:t>监测仪器</w:t>
            </w:r>
          </w:p>
        </w:tc>
        <w:tc>
          <w:tcPr>
            <w:tcW w:w="901" w:type="pct"/>
            <w:vAlign w:val="center"/>
          </w:tcPr>
          <w:p>
            <w:pPr>
              <w:pStyle w:val="31"/>
            </w:pPr>
            <w:r>
              <w:t>测点编号</w:t>
            </w:r>
          </w:p>
        </w:tc>
        <w:tc>
          <w:tcPr>
            <w:tcW w:w="729" w:type="pct"/>
            <w:vAlign w:val="center"/>
          </w:tcPr>
          <w:p>
            <w:pPr>
              <w:pStyle w:val="31"/>
            </w:pPr>
            <w:r>
              <w:t>测点数量</w:t>
            </w:r>
          </w:p>
        </w:tc>
        <w:tc>
          <w:tcPr>
            <w:tcW w:w="1105" w:type="pct"/>
            <w:vAlign w:val="center"/>
          </w:tcPr>
          <w:p>
            <w:pPr>
              <w:pStyle w:val="31"/>
            </w:pPr>
            <w:r>
              <w:t>厂家型号</w:t>
            </w:r>
          </w:p>
        </w:tc>
        <w:tc>
          <w:tcPr>
            <w:tcW w:w="781" w:type="pct"/>
            <w:vAlign w:val="center"/>
          </w:tcPr>
          <w:p>
            <w:pPr>
              <w:pStyle w:val="31"/>
            </w:pPr>
            <w: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3" w:type="pct"/>
            <w:vAlign w:val="center"/>
          </w:tcPr>
          <w:p>
            <w:pPr>
              <w:pStyle w:val="31"/>
            </w:pPr>
            <w:r>
              <w:t>倾斜</w:t>
            </w:r>
          </w:p>
        </w:tc>
        <w:tc>
          <w:tcPr>
            <w:tcW w:w="752" w:type="pct"/>
            <w:tcBorders>
              <w:top w:val="single" w:color="auto" w:sz="4" w:space="0"/>
              <w:left w:val="single" w:color="auto" w:sz="4" w:space="0"/>
              <w:bottom w:val="single" w:color="auto" w:sz="4" w:space="0"/>
              <w:right w:val="single" w:color="auto" w:sz="4" w:space="0"/>
            </w:tcBorders>
            <w:vAlign w:val="center"/>
          </w:tcPr>
          <w:p>
            <w:pPr>
              <w:pStyle w:val="31"/>
            </w:pPr>
            <w:r>
              <w:t>倾角仪</w:t>
            </w:r>
          </w:p>
        </w:tc>
        <w:tc>
          <w:tcPr>
            <w:tcW w:w="901" w:type="pct"/>
            <w:tcBorders>
              <w:top w:val="single" w:color="auto" w:sz="4" w:space="0"/>
              <w:left w:val="single" w:color="auto" w:sz="4" w:space="0"/>
              <w:bottom w:val="single" w:color="auto" w:sz="4" w:space="0"/>
              <w:right w:val="single" w:color="auto" w:sz="4" w:space="0"/>
            </w:tcBorders>
            <w:vAlign w:val="center"/>
          </w:tcPr>
          <w:p>
            <w:pPr>
              <w:pStyle w:val="31"/>
            </w:pPr>
            <w:r>
              <w:t>CLx-1~CLx-2</w:t>
            </w:r>
          </w:p>
        </w:tc>
        <w:tc>
          <w:tcPr>
            <w:tcW w:w="729" w:type="pct"/>
            <w:tcBorders>
              <w:top w:val="single" w:color="auto" w:sz="4" w:space="0"/>
              <w:left w:val="single" w:color="auto" w:sz="4" w:space="0"/>
              <w:bottom w:val="single" w:color="auto" w:sz="4" w:space="0"/>
              <w:right w:val="single" w:color="auto" w:sz="4" w:space="0"/>
            </w:tcBorders>
            <w:vAlign w:val="center"/>
          </w:tcPr>
          <w:p>
            <w:pPr>
              <w:pStyle w:val="31"/>
            </w:pPr>
            <w:r>
              <w:t>2×</w:t>
            </w:r>
            <w:r>
              <w:rPr>
                <w:rFonts w:hint="eastAsia"/>
              </w:rPr>
              <w:t>66</w:t>
            </w:r>
            <w:r>
              <w:t>=</w:t>
            </w:r>
            <w:r>
              <w:rPr>
                <w:rFonts w:hint="eastAsia"/>
              </w:rPr>
              <w:t>132</w:t>
            </w:r>
            <w:r>
              <w:t>台</w:t>
            </w:r>
          </w:p>
        </w:tc>
        <w:tc>
          <w:tcPr>
            <w:tcW w:w="1105" w:type="pct"/>
            <w:tcBorders>
              <w:top w:val="single" w:color="auto" w:sz="4" w:space="0"/>
              <w:left w:val="single" w:color="auto" w:sz="4" w:space="0"/>
              <w:bottom w:val="single" w:color="auto" w:sz="4" w:space="0"/>
              <w:right w:val="single" w:color="auto" w:sz="4" w:space="0"/>
            </w:tcBorders>
            <w:vAlign w:val="center"/>
          </w:tcPr>
          <w:p>
            <w:pPr>
              <w:pStyle w:val="31"/>
            </w:pPr>
            <w:r>
              <w:t>中国地震局QYG01-I</w:t>
            </w:r>
          </w:p>
        </w:tc>
        <w:tc>
          <w:tcPr>
            <w:tcW w:w="781" w:type="pct"/>
            <w:vAlign w:val="center"/>
          </w:tcPr>
          <w:p>
            <w:pPr>
              <w:pStyle w:val="31"/>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3" w:type="pct"/>
            <w:vAlign w:val="center"/>
          </w:tcPr>
          <w:p>
            <w:pPr>
              <w:pStyle w:val="31"/>
            </w:pPr>
            <w:r>
              <w:t>振动</w:t>
            </w:r>
          </w:p>
        </w:tc>
        <w:tc>
          <w:tcPr>
            <w:tcW w:w="752" w:type="pct"/>
            <w:tcBorders>
              <w:top w:val="single" w:color="auto" w:sz="4" w:space="0"/>
              <w:left w:val="single" w:color="auto" w:sz="4" w:space="0"/>
              <w:bottom w:val="single" w:color="auto" w:sz="4" w:space="0"/>
              <w:right w:val="single" w:color="auto" w:sz="4" w:space="0"/>
            </w:tcBorders>
            <w:vAlign w:val="center"/>
          </w:tcPr>
          <w:p>
            <w:pPr>
              <w:pStyle w:val="31"/>
            </w:pPr>
            <w:r>
              <w:t>加速度计</w:t>
            </w:r>
          </w:p>
        </w:tc>
        <w:tc>
          <w:tcPr>
            <w:tcW w:w="901" w:type="pct"/>
            <w:tcBorders>
              <w:top w:val="single" w:color="auto" w:sz="4" w:space="0"/>
              <w:left w:val="single" w:color="auto" w:sz="4" w:space="0"/>
              <w:bottom w:val="single" w:color="auto" w:sz="4" w:space="0"/>
              <w:right w:val="single" w:color="auto" w:sz="4" w:space="0"/>
            </w:tcBorders>
            <w:vAlign w:val="center"/>
          </w:tcPr>
          <w:p>
            <w:pPr>
              <w:pStyle w:val="31"/>
            </w:pPr>
            <w:r>
              <w:t>ATx-1</w:t>
            </w:r>
          </w:p>
        </w:tc>
        <w:tc>
          <w:tcPr>
            <w:tcW w:w="729" w:type="pct"/>
            <w:tcBorders>
              <w:top w:val="single" w:color="auto" w:sz="4" w:space="0"/>
              <w:left w:val="single" w:color="auto" w:sz="4" w:space="0"/>
              <w:bottom w:val="single" w:color="auto" w:sz="4" w:space="0"/>
              <w:right w:val="single" w:color="auto" w:sz="4" w:space="0"/>
            </w:tcBorders>
            <w:vAlign w:val="center"/>
          </w:tcPr>
          <w:p>
            <w:pPr>
              <w:pStyle w:val="31"/>
            </w:pPr>
            <w:r>
              <w:t>1×</w:t>
            </w:r>
            <w:r>
              <w:rPr>
                <w:rFonts w:hint="eastAsia"/>
              </w:rPr>
              <w:t>66</w:t>
            </w:r>
            <w:r>
              <w:t>=</w:t>
            </w:r>
            <w:r>
              <w:rPr>
                <w:rFonts w:hint="eastAsia"/>
              </w:rPr>
              <w:t>66</w:t>
            </w:r>
            <w:r>
              <w:t>台</w:t>
            </w:r>
          </w:p>
        </w:tc>
        <w:tc>
          <w:tcPr>
            <w:tcW w:w="1105" w:type="pct"/>
            <w:tcBorders>
              <w:top w:val="single" w:color="auto" w:sz="4" w:space="0"/>
              <w:left w:val="single" w:color="auto" w:sz="4" w:space="0"/>
              <w:bottom w:val="single" w:color="auto" w:sz="4" w:space="0"/>
              <w:right w:val="single" w:color="auto" w:sz="4" w:space="0"/>
            </w:tcBorders>
            <w:vAlign w:val="center"/>
          </w:tcPr>
          <w:p>
            <w:pPr>
              <w:pStyle w:val="31"/>
            </w:pPr>
            <w:r>
              <w:t>中国地震局QZ2013</w:t>
            </w:r>
          </w:p>
        </w:tc>
        <w:tc>
          <w:tcPr>
            <w:tcW w:w="781" w:type="pct"/>
            <w:vAlign w:val="center"/>
          </w:tcPr>
          <w:p>
            <w:pPr>
              <w:pStyle w:val="31"/>
            </w:pPr>
            <w: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33" w:type="pct"/>
            <w:vAlign w:val="center"/>
          </w:tcPr>
          <w:p>
            <w:pPr>
              <w:pStyle w:val="31"/>
            </w:pPr>
            <w:r>
              <w:t>腐蚀电位</w:t>
            </w:r>
          </w:p>
        </w:tc>
        <w:tc>
          <w:tcPr>
            <w:tcW w:w="752" w:type="pct"/>
            <w:tcBorders>
              <w:top w:val="single" w:color="auto" w:sz="4" w:space="0"/>
              <w:left w:val="single" w:color="auto" w:sz="4" w:space="0"/>
              <w:bottom w:val="single" w:color="auto" w:sz="4" w:space="0"/>
              <w:right w:val="single" w:color="auto" w:sz="4" w:space="0"/>
            </w:tcBorders>
            <w:vAlign w:val="center"/>
          </w:tcPr>
          <w:p>
            <w:pPr>
              <w:pStyle w:val="31"/>
            </w:pPr>
            <w:r>
              <w:t>参比电极</w:t>
            </w:r>
          </w:p>
        </w:tc>
        <w:tc>
          <w:tcPr>
            <w:tcW w:w="901" w:type="pct"/>
            <w:tcBorders>
              <w:top w:val="single" w:color="auto" w:sz="4" w:space="0"/>
              <w:left w:val="single" w:color="auto" w:sz="4" w:space="0"/>
              <w:bottom w:val="single" w:color="auto" w:sz="4" w:space="0"/>
              <w:right w:val="single" w:color="auto" w:sz="4" w:space="0"/>
            </w:tcBorders>
            <w:vAlign w:val="center"/>
          </w:tcPr>
          <w:p>
            <w:pPr>
              <w:pStyle w:val="31"/>
            </w:pPr>
            <w:r>
              <w:t>FSx-1</w:t>
            </w:r>
          </w:p>
        </w:tc>
        <w:tc>
          <w:tcPr>
            <w:tcW w:w="729" w:type="pct"/>
            <w:tcBorders>
              <w:top w:val="single" w:color="auto" w:sz="4" w:space="0"/>
              <w:left w:val="single" w:color="auto" w:sz="4" w:space="0"/>
              <w:bottom w:val="single" w:color="auto" w:sz="4" w:space="0"/>
              <w:right w:val="single" w:color="auto" w:sz="4" w:space="0"/>
            </w:tcBorders>
            <w:vAlign w:val="center"/>
          </w:tcPr>
          <w:p>
            <w:pPr>
              <w:pStyle w:val="31"/>
            </w:pPr>
            <w:r>
              <w:t>1×</w:t>
            </w:r>
            <w:r>
              <w:rPr>
                <w:rFonts w:hint="eastAsia"/>
              </w:rPr>
              <w:t>6</w:t>
            </w:r>
            <w:r>
              <w:t>=</w:t>
            </w:r>
            <w:r>
              <w:rPr>
                <w:rFonts w:hint="eastAsia"/>
              </w:rPr>
              <w:t>6</w:t>
            </w:r>
            <w:r>
              <w:t>个</w:t>
            </w:r>
          </w:p>
        </w:tc>
        <w:tc>
          <w:tcPr>
            <w:tcW w:w="1105" w:type="pct"/>
            <w:tcBorders>
              <w:top w:val="single" w:color="auto" w:sz="4" w:space="0"/>
              <w:left w:val="single" w:color="auto" w:sz="4" w:space="0"/>
              <w:bottom w:val="single" w:color="auto" w:sz="4" w:space="0"/>
              <w:right w:val="single" w:color="auto" w:sz="4" w:space="0"/>
            </w:tcBorders>
            <w:vAlign w:val="center"/>
          </w:tcPr>
          <w:p>
            <w:pPr>
              <w:pStyle w:val="31"/>
            </w:pPr>
            <w:r>
              <w:t>青岛双瑞</w:t>
            </w:r>
          </w:p>
        </w:tc>
        <w:tc>
          <w:tcPr>
            <w:tcW w:w="781" w:type="pct"/>
            <w:vAlign w:val="center"/>
          </w:tcPr>
          <w:p>
            <w:pPr>
              <w:pStyle w:val="31"/>
            </w:pPr>
            <w:r>
              <w:t>1次/小时</w:t>
            </w:r>
          </w:p>
        </w:tc>
      </w:tr>
    </w:tbl>
    <w:p>
      <w:pPr>
        <w:pStyle w:val="31"/>
        <w:spacing w:before="72" w:after="72"/>
        <w:ind w:left="480" w:hanging="480" w:hangingChars="200"/>
        <w:jc w:val="left"/>
        <w:rPr>
          <w:rFonts w:hint="eastAsia" w:ascii="仿宋" w:hAnsi="仿宋" w:eastAsia="仿宋"/>
        </w:rPr>
      </w:pPr>
      <w:r>
        <w:rPr>
          <w:rFonts w:ascii="仿宋" w:hAnsi="仿宋" w:eastAsia="仿宋"/>
        </w:rPr>
        <w:t>注：测点编号中“x”为风机号。</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3.1</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r>
        <w:rPr>
          <w:rFonts w:hint="eastAsia"/>
        </w:rPr>
        <w:t>各</w:t>
      </w:r>
      <w:r>
        <w:t>风机监测仪器</w:t>
      </w:r>
      <w:r>
        <w:rPr>
          <w:rFonts w:hint="eastAsia"/>
        </w:rPr>
        <w:t>情况</w:t>
      </w:r>
      <w:r>
        <w:t>表</w:t>
      </w:r>
    </w:p>
    <w:tbl>
      <w:tblPr>
        <w:tblStyle w:val="18"/>
        <w:tblW w:w="483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1749"/>
        <w:gridCol w:w="1276"/>
        <w:gridCol w:w="1702"/>
        <w:gridCol w:w="1656"/>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shd w:val="clear" w:color="auto" w:fill="FFFFFF"/>
            <w:noWrap/>
            <w:vAlign w:val="center"/>
          </w:tcPr>
          <w:p>
            <w:pPr>
              <w:pStyle w:val="31"/>
            </w:pPr>
            <w:r>
              <w:rPr>
                <w:rFonts w:hint="eastAsia"/>
              </w:rPr>
              <w:t>风机</w:t>
            </w:r>
          </w:p>
          <w:p>
            <w:pPr>
              <w:pStyle w:val="31"/>
            </w:pPr>
            <w:r>
              <w:rPr>
                <w:rFonts w:hint="eastAsia"/>
              </w:rPr>
              <w:t>编号</w:t>
            </w:r>
          </w:p>
        </w:tc>
        <w:tc>
          <w:tcPr>
            <w:tcW w:w="1060" w:type="pct"/>
            <w:shd w:val="clear" w:color="auto" w:fill="FFFFFF"/>
            <w:noWrap/>
            <w:vAlign w:val="center"/>
          </w:tcPr>
          <w:p>
            <w:pPr>
              <w:pStyle w:val="31"/>
            </w:pPr>
            <w:r>
              <w:rPr>
                <w:rFonts w:hint="eastAsia"/>
              </w:rPr>
              <w:t>仪器名称</w:t>
            </w:r>
          </w:p>
        </w:tc>
        <w:tc>
          <w:tcPr>
            <w:tcW w:w="773" w:type="pct"/>
            <w:shd w:val="clear" w:color="auto" w:fill="FFFFFF"/>
            <w:noWrap/>
            <w:vAlign w:val="center"/>
          </w:tcPr>
          <w:p>
            <w:pPr>
              <w:pStyle w:val="31"/>
            </w:pPr>
            <w:r>
              <w:rPr>
                <w:rFonts w:hint="eastAsia"/>
              </w:rPr>
              <w:t>测点</w:t>
            </w:r>
          </w:p>
          <w:p>
            <w:pPr>
              <w:pStyle w:val="31"/>
            </w:pPr>
            <w:r>
              <w:rPr>
                <w:rFonts w:hint="eastAsia"/>
              </w:rPr>
              <w:t>编号</w:t>
            </w:r>
          </w:p>
        </w:tc>
        <w:tc>
          <w:tcPr>
            <w:tcW w:w="1031" w:type="pct"/>
            <w:shd w:val="clear" w:color="auto" w:fill="FFFFFF"/>
            <w:noWrap/>
            <w:vAlign w:val="center"/>
          </w:tcPr>
          <w:p>
            <w:pPr>
              <w:pStyle w:val="31"/>
            </w:pPr>
            <w:r>
              <w:rPr>
                <w:rFonts w:hint="eastAsia"/>
              </w:rPr>
              <w:t>安装高程</w:t>
            </w:r>
          </w:p>
        </w:tc>
        <w:tc>
          <w:tcPr>
            <w:tcW w:w="1003" w:type="pct"/>
            <w:shd w:val="clear" w:color="auto" w:fill="FFFFFF"/>
            <w:noWrap/>
            <w:vAlign w:val="center"/>
          </w:tcPr>
          <w:p>
            <w:pPr>
              <w:pStyle w:val="31"/>
            </w:pPr>
            <w:r>
              <w:rPr>
                <w:rFonts w:hint="eastAsia"/>
              </w:rPr>
              <w:t>安装</w:t>
            </w:r>
          </w:p>
          <w:p>
            <w:pPr>
              <w:pStyle w:val="31"/>
            </w:pPr>
            <w:r>
              <w:rPr>
                <w:rFonts w:hint="eastAsia"/>
              </w:rPr>
              <w:t>方位</w:t>
            </w:r>
          </w:p>
        </w:tc>
        <w:tc>
          <w:tcPr>
            <w:tcW w:w="493" w:type="pct"/>
            <w:shd w:val="clear" w:color="auto" w:fill="FFFFFF"/>
            <w:noWrap/>
            <w:vAlign w:val="center"/>
          </w:tcPr>
          <w:p>
            <w:pPr>
              <w:pStyle w:val="31"/>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w:t>
            </w:r>
          </w:p>
        </w:tc>
        <w:tc>
          <w:tcPr>
            <w:tcW w:w="493"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w:t>
            </w:r>
            <w:r>
              <w:rPr>
                <w:rFonts w:hint="eastAsia"/>
                <w:color w:val="000000"/>
                <w:kern w:val="0"/>
              </w:rPr>
              <w:t>2</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EL.25.15m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EL.55.67m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S157.5°E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S247.5°E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S337.5°E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EL.25.15m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EL.55.67m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C13-1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C13-2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S157.5°E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C13-3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S247.5°E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C13-4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S337.5°E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19#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CL19-2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AT19-1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640" w:type="pct"/>
            <w:vMerge w:val="restart"/>
            <w:shd w:val="clear" w:color="auto" w:fill="FFFFFF"/>
            <w:noWrap/>
            <w:vAlign w:val="center"/>
          </w:tcPr>
          <w:p>
            <w:pPr>
              <w:pStyle w:val="31"/>
            </w:pPr>
            <w:r>
              <w:t>28#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29#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CL29-2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AT29-1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w:t>
            </w:r>
            <w:r>
              <w:rPr>
                <w:rFonts w:hint="eastAsia"/>
                <w:color w:val="000000"/>
                <w:kern w:val="0"/>
              </w:rPr>
              <w:t>2</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EL.111.3m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EL.51.9m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AT31-3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EL.81.6m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AT31-4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EL.111.3m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钢筋应力计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R31-8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无应力计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N31-1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混凝土应变计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S31-3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S31-4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EL.14.835m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C31-8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EL.101.64m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EL.34.25m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AT32-3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EL66.69m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AT32-4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EL.101.64m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S72.5°E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钢筋应力计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R32-8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无应力计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N32-1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混凝土应变计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S32-3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S32-4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C32-8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EL.26.78m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EL.57.30m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钢筋应力计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EL.10.9m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EL.10.9m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EL.9.8m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R33-8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EL.9.8m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无应力计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N33-1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混凝土应变计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S33-4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EL.10.1m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EL.14.23m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C33-8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FS33-1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w:t>
            </w:r>
            <w:r>
              <w:rPr>
                <w:rFonts w:hint="eastAsia"/>
                <w:color w:val="000000"/>
                <w:kern w:val="0"/>
              </w:rPr>
              <w:t>2</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EL.89.97m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EL.46.00m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AT37-3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EL.68.4m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AT37-4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C37-8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钢筋应力计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EL.8.75m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EL.8.75m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R37-8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无应力计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N37-1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混凝土应变计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S37-3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S37-4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FS37-1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39#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CL39-2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AT39-1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jc w:val="center"/>
        </w:trPr>
        <w:tc>
          <w:tcPr>
            <w:tcW w:w="640" w:type="pct"/>
            <w:vMerge w:val="restart"/>
            <w:shd w:val="clear" w:color="auto" w:fill="FFFFFF"/>
            <w:noWrap/>
            <w:vAlign w:val="center"/>
          </w:tcPr>
          <w:p>
            <w:pPr>
              <w:pStyle w:val="31"/>
            </w:pPr>
            <w:r>
              <w:t>41#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640" w:type="pct"/>
            <w:vMerge w:val="restart"/>
            <w:shd w:val="clear" w:color="auto" w:fill="FFFFFF"/>
            <w:noWrap/>
            <w:vAlign w:val="center"/>
          </w:tcPr>
          <w:p>
            <w:pPr>
              <w:pStyle w:val="31"/>
            </w:pPr>
            <w:r>
              <w:t>42#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jc w:val="center"/>
        </w:trPr>
        <w:tc>
          <w:tcPr>
            <w:tcW w:w="640" w:type="pct"/>
            <w:vMerge w:val="restart"/>
            <w:shd w:val="clear" w:color="auto" w:fill="FFFFFF"/>
            <w:noWrap/>
            <w:vAlign w:val="center"/>
          </w:tcPr>
          <w:p>
            <w:pPr>
              <w:pStyle w:val="31"/>
            </w:pPr>
            <w:r>
              <w:t>43#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40" w:type="pct"/>
            <w:vMerge w:val="restart"/>
            <w:shd w:val="clear" w:color="auto" w:fill="FFFFFF"/>
            <w:noWrap/>
            <w:vAlign w:val="center"/>
          </w:tcPr>
          <w:p>
            <w:pPr>
              <w:pStyle w:val="31"/>
            </w:pPr>
            <w:r>
              <w:t>44#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40" w:type="pct"/>
            <w:vMerge w:val="restart"/>
            <w:shd w:val="clear" w:color="auto" w:fill="FFFFFF"/>
            <w:noWrap/>
            <w:vAlign w:val="center"/>
          </w:tcPr>
          <w:p>
            <w:pPr>
              <w:pStyle w:val="31"/>
            </w:pPr>
            <w:r>
              <w:t>45#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640" w:type="pct"/>
            <w:vMerge w:val="continue"/>
            <w:shd w:val="clear" w:color="auto" w:fill="FFFFFF"/>
            <w:noWrap/>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640" w:type="pct"/>
            <w:vMerge w:val="continue"/>
            <w:shd w:val="clear" w:color="auto" w:fill="FFFFFF"/>
            <w:noWrap/>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p>
            <w:pPr>
              <w:pStyle w:val="31"/>
            </w:pPr>
          </w:p>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49#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CL49-2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AT49-1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FS50-1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auto"/>
            <w:vAlign w:val="center"/>
          </w:tcPr>
          <w:p>
            <w:pPr>
              <w:pStyle w:val="31"/>
            </w:pPr>
            <w:r>
              <w:t>51#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auto"/>
            <w:vAlign w:val="center"/>
          </w:tcPr>
          <w:p>
            <w:pPr>
              <w:pStyle w:val="31"/>
            </w:pPr>
            <w:r>
              <w:t>53#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59#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CL59-2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AT59-1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auto"/>
            <w:vAlign w:val="center"/>
          </w:tcPr>
          <w:p>
            <w:pPr>
              <w:pStyle w:val="31"/>
            </w:pPr>
            <w:r>
              <w:t>62#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65#</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CL65-2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AT65-1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66#</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AT66-2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EL.43.9m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AT66-3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EL.66.3m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AT66-4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EL.90.7m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C66-1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C66-2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C66-3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C66-4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67#</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CL67-2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AT67-1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68#</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CL68-2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AT68-1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69#</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CL69-2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AT69-1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参比电极</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FS</w:t>
            </w:r>
            <w:r>
              <w:rPr>
                <w:rFonts w:hint="eastAsia"/>
                <w:color w:val="000000"/>
                <w:kern w:val="0"/>
              </w:rPr>
              <w:t>2</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EL.-4.5m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70#</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EL.12.3m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AT70-2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EL.46.0m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AT70-3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EL.68.4m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AT70-4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EL.92.6m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钢板应力计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w:t>
            </w:r>
            <w:r>
              <w:rPr>
                <w:rFonts w:hint="eastAsia"/>
                <w:color w:val="000000"/>
                <w:kern w:val="0"/>
              </w:rPr>
              <w:t>3</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w:t>
            </w:r>
            <w:r>
              <w:rPr>
                <w:rFonts w:hint="eastAsia"/>
                <w:color w:val="000000"/>
                <w:kern w:val="0"/>
              </w:rPr>
              <w:t>3</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w:t>
            </w:r>
            <w:r>
              <w:rPr>
                <w:rFonts w:hint="eastAsia"/>
                <w:color w:val="000000"/>
                <w:kern w:val="0"/>
              </w:rPr>
              <w:t>3</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w:t>
            </w:r>
            <w:r>
              <w:rPr>
                <w:rFonts w:hint="eastAsia"/>
                <w:color w:val="000000"/>
                <w:kern w:val="0"/>
              </w:rPr>
              <w:t>3</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w:t>
            </w:r>
            <w:r>
              <w:rPr>
                <w:rFonts w:hint="eastAsia"/>
                <w:color w:val="000000"/>
                <w:kern w:val="0"/>
              </w:rPr>
              <w:t>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w:t>
            </w:r>
            <w:r>
              <w:rPr>
                <w:rFonts w:hint="eastAsia"/>
                <w:color w:val="000000"/>
                <w:kern w:val="0"/>
              </w:rPr>
              <w:t>0</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w:t>
            </w:r>
            <w:r>
              <w:rPr>
                <w:rFonts w:hint="eastAsia"/>
                <w:color w:val="000000"/>
                <w:kern w:val="0"/>
              </w:rPr>
              <w:t>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w:t>
            </w:r>
            <w:r>
              <w:rPr>
                <w:rFonts w:hint="eastAsia"/>
                <w:color w:val="000000"/>
                <w:kern w:val="0"/>
              </w:rPr>
              <w:t>0</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w:t>
            </w:r>
            <w:r>
              <w:rPr>
                <w:rFonts w:hint="eastAsia"/>
                <w:color w:val="000000"/>
                <w:kern w:val="0"/>
              </w:rPr>
              <w:t>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w:t>
            </w:r>
            <w:r>
              <w:rPr>
                <w:rFonts w:hint="eastAsia"/>
                <w:color w:val="000000"/>
                <w:kern w:val="0"/>
              </w:rPr>
              <w:t>0</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C70-</w:t>
            </w:r>
            <w:r>
              <w:rPr>
                <w:rFonts w:hint="eastAsia"/>
                <w:color w:val="000000"/>
                <w:kern w:val="0"/>
              </w:rPr>
              <w:t>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w:t>
            </w:r>
            <w:r>
              <w:rPr>
                <w:rFonts w:hint="eastAsia"/>
                <w:color w:val="000000"/>
                <w:kern w:val="0"/>
              </w:rPr>
              <w:t>0</w:t>
            </w:r>
            <w:r>
              <w:rPr>
                <w:color w:val="000000"/>
                <w:kern w:val="0"/>
              </w:rPr>
              <w:t>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钢筋应力计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R</w:t>
            </w:r>
            <w:r>
              <w:rPr>
                <w:rFonts w:hint="eastAsia"/>
                <w:color w:val="000000"/>
                <w:kern w:val="0"/>
              </w:rPr>
              <w:t>70</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EL.11.5m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-5</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EL.8.75m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-6</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EL.8.75m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-7</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R</w:t>
            </w:r>
            <w:r>
              <w:rPr>
                <w:rFonts w:hint="eastAsia"/>
                <w:color w:val="000000"/>
                <w:kern w:val="0"/>
              </w:rPr>
              <w:t>70</w:t>
            </w:r>
            <w:r>
              <w:rPr>
                <w:color w:val="000000"/>
                <w:kern w:val="0"/>
              </w:rPr>
              <w:t>-8</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EL.7.2m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无应力计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rPr>
            </w:pPr>
            <w:r>
              <w:rPr>
                <w:color w:val="000000"/>
                <w:kern w:val="0"/>
              </w:rPr>
              <w:t>N</w:t>
            </w:r>
            <w:r>
              <w:rPr>
                <w:rFonts w:hint="eastAsia"/>
                <w:color w:val="000000"/>
                <w:kern w:val="0"/>
              </w:rPr>
              <w:t>70</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混凝土应变计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w:t>
            </w:r>
            <w:r>
              <w:rPr>
                <w:rFonts w:hint="eastAsia"/>
                <w:color w:val="000000"/>
                <w:kern w:val="0"/>
              </w:rPr>
              <w:t>70</w:t>
            </w:r>
            <w:r>
              <w:rPr>
                <w:color w:val="000000"/>
                <w:kern w:val="0"/>
              </w:rPr>
              <w:t>-1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w:t>
            </w:r>
            <w:r>
              <w:rPr>
                <w:rFonts w:hint="eastAsia"/>
                <w:color w:val="000000"/>
                <w:kern w:val="0"/>
              </w:rPr>
              <w:t>70</w:t>
            </w:r>
            <w:r>
              <w:rPr>
                <w:color w:val="000000"/>
                <w:kern w:val="0"/>
              </w:rPr>
              <w:t>-2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w:t>
            </w:r>
            <w:r>
              <w:rPr>
                <w:rFonts w:hint="eastAsia"/>
                <w:color w:val="000000"/>
                <w:kern w:val="0"/>
              </w:rPr>
              <w:t>70</w:t>
            </w:r>
            <w:r>
              <w:rPr>
                <w:color w:val="000000"/>
                <w:kern w:val="0"/>
              </w:rPr>
              <w:t>-3</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w:t>
            </w:r>
            <w:r>
              <w:rPr>
                <w:rFonts w:hint="eastAsia"/>
                <w:color w:val="000000"/>
                <w:kern w:val="0"/>
              </w:rPr>
              <w:t>70</w:t>
            </w:r>
            <w:r>
              <w:rPr>
                <w:color w:val="000000"/>
                <w:kern w:val="0"/>
              </w:rPr>
              <w:t>-4</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EL.7.4m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t>\</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71#</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CL71-2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AT71-1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72#</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CL72-2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AT72-1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73#</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CL73-2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AT73-1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restart"/>
            <w:shd w:val="clear" w:color="auto" w:fill="FFFFFF"/>
            <w:noWrap/>
            <w:vAlign w:val="center"/>
          </w:tcPr>
          <w:p>
            <w:pPr>
              <w:pStyle w:val="31"/>
            </w:pPr>
            <w:r>
              <w:t>74#</w:t>
            </w:r>
            <w:r>
              <w:rPr>
                <w:rFonts w:hint="eastAsia"/>
              </w:rPr>
              <w:t>风机</w:t>
            </w:r>
          </w:p>
        </w:tc>
        <w:tc>
          <w:tcPr>
            <w:tcW w:w="1060" w:type="pct"/>
            <w:vMerge w:val="restar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倾角仪</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restart"/>
            <w:shd w:val="clear" w:color="auto" w:fill="FFFFFF"/>
            <w:noWrap/>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31"/>
            </w:pP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CL74-2</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EL.100.96m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jc w:val="center"/>
        </w:trPr>
        <w:tc>
          <w:tcPr>
            <w:tcW w:w="640" w:type="pct"/>
            <w:vMerge w:val="continue"/>
            <w:shd w:val="clear" w:color="auto" w:fill="auto"/>
            <w:vAlign w:val="center"/>
          </w:tcPr>
          <w:p>
            <w:pPr>
              <w:pStyle w:val="31"/>
            </w:pPr>
          </w:p>
        </w:tc>
        <w:tc>
          <w:tcPr>
            <w:tcW w:w="1060"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rFonts w:hint="eastAsia"/>
              </w:rPr>
              <w:t>加速度计</w:t>
            </w:r>
          </w:p>
        </w:tc>
        <w:tc>
          <w:tcPr>
            <w:tcW w:w="77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AT74-1</w:t>
            </w:r>
          </w:p>
        </w:tc>
        <w:tc>
          <w:tcPr>
            <w:tcW w:w="1031"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rPr>
                <w:color w:val="000000"/>
                <w:kern w:val="0"/>
              </w:rPr>
            </w:pPr>
            <w:r>
              <w:rPr>
                <w:color w:val="000000"/>
                <w:kern w:val="0"/>
              </w:rPr>
              <w:t>EL.12.26m</w:t>
            </w:r>
          </w:p>
        </w:tc>
        <w:tc>
          <w:tcPr>
            <w:tcW w:w="1003" w:type="pct"/>
            <w:tcBorders>
              <w:top w:val="single" w:color="auto" w:sz="4" w:space="0"/>
              <w:left w:val="single" w:color="auto" w:sz="4" w:space="0"/>
              <w:bottom w:val="single" w:color="auto" w:sz="4" w:space="0"/>
              <w:right w:val="single" w:color="auto" w:sz="4" w:space="0"/>
            </w:tcBorders>
            <w:shd w:val="clear" w:color="auto" w:fill="FFFFFF"/>
            <w:noWrap/>
            <w:vAlign w:val="center"/>
          </w:tcPr>
          <w:p>
            <w:pPr>
              <w:pStyle w:val="31"/>
            </w:pPr>
            <w:r>
              <w:rPr>
                <w:color w:val="000000"/>
                <w:kern w:val="0"/>
              </w:rPr>
              <w:t>S67.5°E</w:t>
            </w:r>
          </w:p>
        </w:tc>
        <w:tc>
          <w:tcPr>
            <w:tcW w:w="493" w:type="pct"/>
            <w:vMerge w:val="continue"/>
            <w:vAlign w:val="center"/>
          </w:tcPr>
          <w:p>
            <w:pPr>
              <w:pStyle w:val="31"/>
            </w:pPr>
          </w:p>
        </w:tc>
      </w:tr>
    </w:tbl>
    <w:p>
      <w:pPr>
        <w:ind w:firstLine="560"/>
      </w:pPr>
    </w:p>
    <w:p>
      <w:pPr>
        <w:pStyle w:val="3"/>
        <w:ind w:firstLine="562"/>
      </w:pPr>
      <w:bookmarkStart w:id="5" w:name="_Toc131102013"/>
      <w:r>
        <w:rPr>
          <w:rFonts w:hint="eastAsia"/>
        </w:rPr>
        <w:t>海上升压站安全监测仪器布置</w:t>
      </w:r>
      <w:bookmarkEnd w:id="5"/>
      <w:r>
        <w:rPr>
          <w:rFonts w:hint="eastAsia"/>
        </w:rPr>
        <w:t>情况</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1</w:t>
      </w:r>
      <w:r>
        <w:rPr>
          <w:rFonts w:hint="eastAsia" w:ascii="仿宋" w:hAnsi="仿宋" w:cs="Times New Roman"/>
          <w:szCs w:val="28"/>
        </w:rPr>
        <w:t>）不均匀沉降监测</w:t>
      </w:r>
    </w:p>
    <w:p>
      <w:pPr>
        <w:ind w:firstLine="560"/>
        <w:rPr>
          <w:rFonts w:hint="eastAsia" w:ascii="仿宋" w:hAnsi="仿宋" w:cs="Times New Roman"/>
          <w:szCs w:val="28"/>
        </w:rPr>
      </w:pPr>
      <w:r>
        <w:rPr>
          <w:rFonts w:hint="eastAsia" w:ascii="仿宋" w:hAnsi="仿宋" w:cs="Times New Roman"/>
          <w:szCs w:val="28"/>
        </w:rPr>
        <w:t>在升压站上部组块顶层平台的</w:t>
      </w:r>
      <w:r>
        <w:rPr>
          <w:rFonts w:ascii="仿宋" w:hAnsi="仿宋" w:cs="Times New Roman"/>
          <w:szCs w:val="28"/>
        </w:rPr>
        <w:t>4</w:t>
      </w:r>
      <w:r>
        <w:rPr>
          <w:rFonts w:hint="eastAsia" w:ascii="仿宋" w:hAnsi="仿宋" w:cs="Times New Roman"/>
          <w:szCs w:val="28"/>
        </w:rPr>
        <w:t>个立柱布置</w:t>
      </w:r>
      <w:r>
        <w:rPr>
          <w:rFonts w:ascii="仿宋" w:hAnsi="仿宋" w:cs="Times New Roman"/>
          <w:szCs w:val="28"/>
        </w:rPr>
        <w:t>4</w:t>
      </w:r>
      <w:r>
        <w:rPr>
          <w:rFonts w:hint="eastAsia" w:ascii="仿宋" w:hAnsi="仿宋" w:cs="Times New Roman"/>
          <w:szCs w:val="28"/>
        </w:rPr>
        <w:t>台静力水准仪。</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2</w:t>
      </w:r>
      <w:r>
        <w:rPr>
          <w:rFonts w:hint="eastAsia" w:ascii="仿宋" w:hAnsi="仿宋" w:cs="Times New Roman"/>
          <w:szCs w:val="28"/>
        </w:rPr>
        <w:t>）倾斜监测</w:t>
      </w:r>
    </w:p>
    <w:p>
      <w:pPr>
        <w:ind w:firstLine="560"/>
        <w:rPr>
          <w:rFonts w:hint="eastAsia" w:ascii="仿宋" w:hAnsi="仿宋" w:cs="Times New Roman"/>
          <w:szCs w:val="28"/>
        </w:rPr>
      </w:pPr>
      <w:r>
        <w:rPr>
          <w:rFonts w:hint="eastAsia" w:ascii="仿宋" w:hAnsi="仿宋" w:cs="Times New Roman"/>
          <w:szCs w:val="28"/>
        </w:rPr>
        <w:t>在升压站上部组块一层平台和三层平台立柱布置倾角仪，每层</w:t>
      </w:r>
      <w:r>
        <w:rPr>
          <w:rFonts w:ascii="仿宋" w:hAnsi="仿宋" w:cs="Times New Roman"/>
          <w:szCs w:val="28"/>
        </w:rPr>
        <w:t>2</w:t>
      </w:r>
      <w:r>
        <w:rPr>
          <w:rFonts w:hint="eastAsia" w:ascii="仿宋" w:hAnsi="仿宋" w:cs="Times New Roman"/>
          <w:szCs w:val="28"/>
        </w:rPr>
        <w:t>台，共计</w:t>
      </w:r>
      <w:r>
        <w:rPr>
          <w:rFonts w:ascii="仿宋" w:hAnsi="仿宋" w:cs="Times New Roman"/>
          <w:szCs w:val="28"/>
        </w:rPr>
        <w:t>4</w:t>
      </w:r>
      <w:r>
        <w:rPr>
          <w:rFonts w:hint="eastAsia" w:ascii="仿宋" w:hAnsi="仿宋" w:cs="Times New Roman"/>
          <w:szCs w:val="28"/>
        </w:rPr>
        <w:t>台倾角仪。</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3</w:t>
      </w:r>
      <w:r>
        <w:rPr>
          <w:rFonts w:hint="eastAsia" w:ascii="仿宋" w:hAnsi="仿宋" w:cs="Times New Roman"/>
          <w:szCs w:val="28"/>
        </w:rPr>
        <w:t>）振动监测</w:t>
      </w:r>
    </w:p>
    <w:p>
      <w:pPr>
        <w:ind w:firstLine="560"/>
        <w:rPr>
          <w:rFonts w:hint="eastAsia" w:ascii="仿宋" w:hAnsi="仿宋" w:cs="Times New Roman"/>
          <w:szCs w:val="28"/>
        </w:rPr>
      </w:pPr>
      <w:r>
        <w:rPr>
          <w:rFonts w:hint="eastAsia" w:ascii="仿宋" w:hAnsi="仿宋" w:cs="Times New Roman"/>
          <w:szCs w:val="28"/>
        </w:rPr>
        <w:t>在升压站上部组块一层平台和三层平台立柱布置加速度计，每层</w:t>
      </w:r>
      <w:r>
        <w:rPr>
          <w:rFonts w:ascii="仿宋" w:hAnsi="仿宋" w:cs="Times New Roman"/>
          <w:szCs w:val="28"/>
        </w:rPr>
        <w:t>2</w:t>
      </w:r>
      <w:r>
        <w:rPr>
          <w:rFonts w:hint="eastAsia" w:ascii="仿宋" w:hAnsi="仿宋" w:cs="Times New Roman"/>
          <w:szCs w:val="28"/>
        </w:rPr>
        <w:t>台，共计</w:t>
      </w:r>
      <w:r>
        <w:rPr>
          <w:rFonts w:ascii="仿宋" w:hAnsi="仿宋" w:cs="Times New Roman"/>
          <w:szCs w:val="28"/>
        </w:rPr>
        <w:t>4</w:t>
      </w:r>
      <w:r>
        <w:rPr>
          <w:rFonts w:hint="eastAsia" w:ascii="仿宋" w:hAnsi="仿宋" w:cs="Times New Roman"/>
          <w:szCs w:val="28"/>
        </w:rPr>
        <w:t>台加速度计，监测升压站的振动（水平</w:t>
      </w:r>
      <w:r>
        <w:rPr>
          <w:rFonts w:ascii="仿宋" w:hAnsi="仿宋" w:cs="Times New Roman"/>
          <w:szCs w:val="28"/>
        </w:rPr>
        <w:t>X</w:t>
      </w:r>
      <w:r>
        <w:rPr>
          <w:rFonts w:hint="eastAsia" w:ascii="仿宋" w:hAnsi="仿宋" w:cs="Times New Roman"/>
          <w:szCs w:val="28"/>
        </w:rPr>
        <w:t>向、水平</w:t>
      </w:r>
      <w:r>
        <w:rPr>
          <w:rFonts w:ascii="仿宋" w:hAnsi="仿宋" w:cs="Times New Roman"/>
          <w:szCs w:val="28"/>
        </w:rPr>
        <w:t>Y</w:t>
      </w:r>
      <w:r>
        <w:rPr>
          <w:rFonts w:hint="eastAsia" w:ascii="仿宋" w:hAnsi="仿宋" w:cs="Times New Roman"/>
          <w:szCs w:val="28"/>
        </w:rPr>
        <w:t>向、竖直</w:t>
      </w:r>
      <w:r>
        <w:rPr>
          <w:rFonts w:ascii="仿宋" w:hAnsi="仿宋" w:cs="Times New Roman"/>
          <w:szCs w:val="28"/>
        </w:rPr>
        <w:t>Z</w:t>
      </w:r>
      <w:r>
        <w:rPr>
          <w:rFonts w:hint="eastAsia" w:ascii="仿宋" w:hAnsi="仿宋" w:cs="Times New Roman"/>
          <w:szCs w:val="28"/>
        </w:rPr>
        <w:t>向）情况。</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4</w:t>
      </w:r>
      <w:r>
        <w:rPr>
          <w:rFonts w:hint="eastAsia" w:ascii="仿宋" w:hAnsi="仿宋" w:cs="Times New Roman"/>
          <w:szCs w:val="28"/>
        </w:rPr>
        <w:t>）钢板应力监测</w:t>
      </w:r>
    </w:p>
    <w:p>
      <w:pPr>
        <w:ind w:firstLine="560"/>
        <w:rPr>
          <w:rFonts w:hint="eastAsia" w:ascii="仿宋" w:hAnsi="仿宋" w:cs="Times New Roman"/>
          <w:szCs w:val="28"/>
        </w:rPr>
      </w:pPr>
      <w:r>
        <w:rPr>
          <w:rFonts w:hint="eastAsia" w:ascii="仿宋" w:hAnsi="仿宋" w:cs="Times New Roman"/>
          <w:szCs w:val="28"/>
        </w:rPr>
        <w:t>在升压站导管架部位布置</w:t>
      </w:r>
      <w:r>
        <w:rPr>
          <w:rFonts w:ascii="仿宋" w:hAnsi="仿宋" w:cs="Times New Roman"/>
          <w:szCs w:val="28"/>
        </w:rPr>
        <w:t>16</w:t>
      </w:r>
      <w:r>
        <w:rPr>
          <w:rFonts w:hint="eastAsia" w:ascii="仿宋" w:hAnsi="仿宋" w:cs="Times New Roman"/>
          <w:szCs w:val="28"/>
        </w:rPr>
        <w:t>支钢板应力计。</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5</w:t>
      </w:r>
      <w:r>
        <w:rPr>
          <w:rFonts w:hint="eastAsia" w:ascii="仿宋" w:hAnsi="仿宋" w:cs="Times New Roman"/>
          <w:szCs w:val="28"/>
        </w:rPr>
        <w:t>）腐蚀监测</w:t>
      </w:r>
    </w:p>
    <w:p>
      <w:pPr>
        <w:ind w:firstLine="560"/>
        <w:rPr>
          <w:rFonts w:hint="eastAsia" w:ascii="仿宋" w:hAnsi="仿宋" w:cs="Times New Roman"/>
          <w:szCs w:val="28"/>
        </w:rPr>
      </w:pPr>
      <w:r>
        <w:rPr>
          <w:rFonts w:hint="eastAsia" w:ascii="仿宋" w:hAnsi="仿宋" w:cs="Times New Roman"/>
          <w:szCs w:val="28"/>
        </w:rPr>
        <w:t>在海上升压站导管架上共布置</w:t>
      </w:r>
      <w:r>
        <w:rPr>
          <w:rFonts w:ascii="仿宋" w:hAnsi="仿宋" w:cs="Times New Roman"/>
          <w:szCs w:val="28"/>
        </w:rPr>
        <w:t>2</w:t>
      </w:r>
      <w:r>
        <w:rPr>
          <w:rFonts w:hint="eastAsia" w:ascii="仿宋" w:hAnsi="仿宋" w:cs="Times New Roman"/>
          <w:szCs w:val="28"/>
        </w:rPr>
        <w:t>个参比电极，测点分别布置在泥面和极端低水位之间（</w:t>
      </w:r>
      <w:r>
        <w:rPr>
          <w:rFonts w:ascii="仿宋" w:hAnsi="仿宋" w:cs="Times New Roman"/>
          <w:szCs w:val="28"/>
        </w:rPr>
        <w:t>1</w:t>
      </w:r>
      <w:r>
        <w:rPr>
          <w:rFonts w:hint="eastAsia" w:ascii="仿宋" w:hAnsi="仿宋" w:cs="Times New Roman"/>
          <w:szCs w:val="28"/>
        </w:rPr>
        <w:t>个测点）、极端低水位和设计低水位之间（</w:t>
      </w:r>
      <w:r>
        <w:rPr>
          <w:rFonts w:ascii="仿宋" w:hAnsi="仿宋" w:cs="Times New Roman"/>
          <w:szCs w:val="28"/>
        </w:rPr>
        <w:t>1</w:t>
      </w:r>
      <w:r>
        <w:rPr>
          <w:rFonts w:hint="eastAsia" w:ascii="仿宋" w:hAnsi="仿宋" w:cs="Times New Roman"/>
          <w:szCs w:val="28"/>
        </w:rPr>
        <w:t>个测点）。</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t>海上升压站监测项目及频次要求</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0"/>
        <w:gridCol w:w="1382"/>
        <w:gridCol w:w="1822"/>
        <w:gridCol w:w="1042"/>
        <w:gridCol w:w="1760"/>
        <w:gridCol w:w="1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698" w:type="pct"/>
            <w:shd w:val="clear" w:color="auto" w:fill="auto"/>
            <w:vAlign w:val="center"/>
          </w:tcPr>
          <w:p>
            <w:pPr>
              <w:pStyle w:val="31"/>
            </w:pPr>
            <w:r>
              <w:t>监测项目</w:t>
            </w:r>
          </w:p>
        </w:tc>
        <w:tc>
          <w:tcPr>
            <w:tcW w:w="810" w:type="pct"/>
            <w:shd w:val="clear" w:color="auto" w:fill="auto"/>
            <w:vAlign w:val="center"/>
          </w:tcPr>
          <w:p>
            <w:pPr>
              <w:pStyle w:val="31"/>
            </w:pPr>
            <w:r>
              <w:t>监测仪器</w:t>
            </w:r>
          </w:p>
        </w:tc>
        <w:tc>
          <w:tcPr>
            <w:tcW w:w="1068" w:type="pct"/>
            <w:shd w:val="clear" w:color="auto" w:fill="auto"/>
            <w:vAlign w:val="center"/>
          </w:tcPr>
          <w:p>
            <w:pPr>
              <w:pStyle w:val="31"/>
            </w:pPr>
            <w:r>
              <w:t>测点编号</w:t>
            </w:r>
          </w:p>
        </w:tc>
        <w:tc>
          <w:tcPr>
            <w:tcW w:w="611" w:type="pct"/>
            <w:shd w:val="clear" w:color="auto" w:fill="auto"/>
            <w:vAlign w:val="center"/>
          </w:tcPr>
          <w:p>
            <w:pPr>
              <w:pStyle w:val="31"/>
            </w:pPr>
            <w:r>
              <w:t>测点数量</w:t>
            </w:r>
          </w:p>
        </w:tc>
        <w:tc>
          <w:tcPr>
            <w:tcW w:w="1032" w:type="pct"/>
            <w:shd w:val="clear" w:color="auto" w:fill="auto"/>
            <w:vAlign w:val="center"/>
          </w:tcPr>
          <w:p>
            <w:pPr>
              <w:pStyle w:val="31"/>
            </w:pPr>
            <w:r>
              <w:t>厂家型号</w:t>
            </w:r>
          </w:p>
        </w:tc>
        <w:tc>
          <w:tcPr>
            <w:tcW w:w="781" w:type="pct"/>
            <w:shd w:val="clear" w:color="auto" w:fill="auto"/>
            <w:vAlign w:val="center"/>
          </w:tcPr>
          <w:p>
            <w:pPr>
              <w:pStyle w:val="31"/>
            </w:pPr>
            <w: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1"/>
            </w:pPr>
            <w:r>
              <w:t>不均匀沉降</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静力水准仪</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JLsy-1~JLsy-4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南京水文所SYJ-100</w:t>
            </w:r>
          </w:p>
        </w:tc>
        <w:tc>
          <w:tcPr>
            <w:tcW w:w="781" w:type="pct"/>
            <w:shd w:val="clear" w:color="auto" w:fill="auto"/>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1"/>
            </w:pPr>
            <w:r>
              <w:t>倾斜</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倾角仪</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CLsy-1~CLsy-4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中国地震局QYG01-I</w:t>
            </w:r>
          </w:p>
        </w:tc>
        <w:tc>
          <w:tcPr>
            <w:tcW w:w="781" w:type="pct"/>
            <w:shd w:val="clear" w:color="auto" w:fill="auto"/>
            <w:vAlign w:val="center"/>
          </w:tcPr>
          <w:p>
            <w:pPr>
              <w:pStyle w:val="31"/>
            </w:pPr>
            <w:r>
              <w:t>2Hz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1"/>
            </w:pPr>
            <w:r>
              <w:t>振动</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加速度计</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ATsy-1~ATsy-4</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4台</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中国地震局QZ2013</w:t>
            </w:r>
          </w:p>
        </w:tc>
        <w:tc>
          <w:tcPr>
            <w:tcW w:w="781" w:type="pct"/>
            <w:shd w:val="clear" w:color="auto" w:fill="auto"/>
            <w:vAlign w:val="center"/>
          </w:tcPr>
          <w:p>
            <w:pPr>
              <w:pStyle w:val="31"/>
            </w:pPr>
            <w:r>
              <w:t>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1"/>
            </w:pPr>
            <w:r>
              <w:t>钢板应力</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钢板应力计</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Csy-1~Csy-16</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16支</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南京水文所SXB-15</w:t>
            </w:r>
          </w:p>
        </w:tc>
        <w:tc>
          <w:tcPr>
            <w:tcW w:w="781" w:type="pct"/>
            <w:shd w:val="clear" w:color="auto" w:fill="auto"/>
            <w:vAlign w:val="center"/>
          </w:tcPr>
          <w:p>
            <w:pPr>
              <w:pStyle w:val="31"/>
            </w:pPr>
            <w:r>
              <w:t>1次/小时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98" w:type="pct"/>
            <w:shd w:val="clear" w:color="auto" w:fill="auto"/>
            <w:vAlign w:val="center"/>
          </w:tcPr>
          <w:p>
            <w:pPr>
              <w:pStyle w:val="31"/>
            </w:pPr>
            <w:r>
              <w:t>腐蚀电位</w:t>
            </w:r>
          </w:p>
        </w:tc>
        <w:tc>
          <w:tcPr>
            <w:tcW w:w="810"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参比电极</w:t>
            </w:r>
          </w:p>
        </w:tc>
        <w:tc>
          <w:tcPr>
            <w:tcW w:w="1068"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FSsy-1、FSsy-2</w:t>
            </w:r>
          </w:p>
        </w:tc>
        <w:tc>
          <w:tcPr>
            <w:tcW w:w="61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2个</w:t>
            </w:r>
          </w:p>
        </w:tc>
        <w:tc>
          <w:tcPr>
            <w:tcW w:w="1032" w:type="pct"/>
            <w:tcBorders>
              <w:top w:val="single" w:color="auto" w:sz="4" w:space="0"/>
              <w:left w:val="single" w:color="auto" w:sz="4" w:space="0"/>
              <w:bottom w:val="single" w:color="auto" w:sz="4" w:space="0"/>
              <w:right w:val="single" w:color="auto" w:sz="4" w:space="0"/>
            </w:tcBorders>
            <w:shd w:val="clear" w:color="auto" w:fill="auto"/>
            <w:vAlign w:val="center"/>
          </w:tcPr>
          <w:p>
            <w:pPr>
              <w:pStyle w:val="31"/>
            </w:pPr>
            <w:r>
              <w:t>青岛双瑞</w:t>
            </w:r>
          </w:p>
        </w:tc>
        <w:tc>
          <w:tcPr>
            <w:tcW w:w="781" w:type="pct"/>
            <w:shd w:val="clear" w:color="auto" w:fill="auto"/>
            <w:vAlign w:val="center"/>
          </w:tcPr>
          <w:p>
            <w:pPr>
              <w:pStyle w:val="31"/>
            </w:pPr>
            <w:r>
              <w:t>1次/小时</w:t>
            </w:r>
          </w:p>
        </w:tc>
      </w:tr>
    </w:tbl>
    <w:p>
      <w:pPr>
        <w:ind w:firstLine="480"/>
        <w:jc w:val="center"/>
        <w:rPr>
          <w:rFonts w:hint="eastAsia" w:ascii="仿宋" w:hAnsi="仿宋" w:cs="Times New Roman"/>
          <w:sz w:val="24"/>
        </w:rPr>
      </w:pPr>
      <w:bookmarkStart w:id="6" w:name="_Toc131102014"/>
    </w:p>
    <w:p>
      <w:pPr>
        <w:pStyle w:val="39"/>
        <w:spacing w:before="156"/>
        <w:rPr>
          <w:rFonts w:hint="eastAsia" w:ascii="仿宋" w:hAnsi="仿宋"/>
          <w:szCs w:val="28"/>
        </w:rP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ascii="仿宋" w:hAnsi="仿宋"/>
          <w:szCs w:val="28"/>
        </w:rPr>
        <w:t>海上升压站监测仪器情况表</w:t>
      </w:r>
    </w:p>
    <w:tbl>
      <w:tblPr>
        <w:tblStyle w:val="18"/>
        <w:tblW w:w="500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1"/>
        <w:gridCol w:w="1982"/>
        <w:gridCol w:w="2893"/>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trPr>
        <w:tc>
          <w:tcPr>
            <w:tcW w:w="1156" w:type="pct"/>
            <w:vAlign w:val="center"/>
          </w:tcPr>
          <w:p>
            <w:pPr>
              <w:pStyle w:val="31"/>
            </w:pPr>
            <w:r>
              <w:rPr>
                <w:rFonts w:hint="eastAsia"/>
              </w:rPr>
              <w:t>仪器名称</w:t>
            </w:r>
          </w:p>
        </w:tc>
        <w:tc>
          <w:tcPr>
            <w:tcW w:w="1162" w:type="pct"/>
            <w:vAlign w:val="center"/>
          </w:tcPr>
          <w:p>
            <w:pPr>
              <w:pStyle w:val="31"/>
            </w:pPr>
            <w:r>
              <w:rPr>
                <w:rFonts w:hint="eastAsia"/>
              </w:rPr>
              <w:t>测点编号</w:t>
            </w:r>
          </w:p>
        </w:tc>
        <w:tc>
          <w:tcPr>
            <w:tcW w:w="1696" w:type="pct"/>
            <w:vAlign w:val="center"/>
          </w:tcPr>
          <w:p>
            <w:pPr>
              <w:pStyle w:val="31"/>
            </w:pPr>
            <w:r>
              <w:rPr>
                <w:rFonts w:hint="eastAsia"/>
              </w:rPr>
              <w:t>安装位置</w:t>
            </w:r>
          </w:p>
        </w:tc>
        <w:tc>
          <w:tcPr>
            <w:tcW w:w="986" w:type="pct"/>
            <w:vAlign w:val="center"/>
          </w:tcPr>
          <w:p>
            <w:pPr>
              <w:pStyle w:val="31"/>
            </w:pPr>
            <w: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w:t>
            </w:r>
            <w:r>
              <w:rPr>
                <w:rFonts w:hint="eastAsia"/>
              </w:rPr>
              <w:t>力</w:t>
            </w:r>
            <w:r>
              <w:t>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Csy-5</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Csy-6</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Csy-7</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Csy-8</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Csy-9</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Csy-10</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Csy-13</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Csy-14</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Csy-15</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t>钢板应力计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Csy-16</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参比电极</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FSsy-1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参比电极</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FSsy-2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导管架</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ATsy-1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上部组块一层立柱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ATsy-2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上部组块一层立柱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ATsy-3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上部组块三层立柱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加速度计</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ATsy-4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上部组块三层立柱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CLsy-1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上部组块一层立柱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CLsy-2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上部组块一层立柱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CLsy-3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上部组块三层立柱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倾角仪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CLsy-4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上部组块三层立柱</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SLsy-1</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上部组块顶层平台</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SLsy-2</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上部组块顶层平台</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SLsy-3</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上部组块顶层平台</w:t>
            </w:r>
          </w:p>
        </w:tc>
        <w:tc>
          <w:tcPr>
            <w:tcW w:w="986" w:type="pct"/>
            <w:vAlign w:val="center"/>
          </w:tcPr>
          <w:p>
            <w:pPr>
              <w:pStyle w:val="31"/>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156" w:type="pct"/>
            <w:vAlign w:val="center"/>
          </w:tcPr>
          <w:p>
            <w:pPr>
              <w:pStyle w:val="31"/>
            </w:pPr>
            <w:r>
              <w:rPr>
                <w:rFonts w:hint="eastAsia"/>
              </w:rPr>
              <w:t>静力水准仪</w:t>
            </w:r>
          </w:p>
        </w:tc>
        <w:tc>
          <w:tcPr>
            <w:tcW w:w="1162" w:type="pct"/>
            <w:tcBorders>
              <w:top w:val="single" w:color="auto" w:sz="4" w:space="0"/>
              <w:left w:val="single" w:color="auto" w:sz="4" w:space="0"/>
              <w:bottom w:val="single" w:color="auto" w:sz="4" w:space="0"/>
              <w:right w:val="single" w:color="auto" w:sz="4" w:space="0"/>
            </w:tcBorders>
            <w:vAlign w:val="center"/>
          </w:tcPr>
          <w:p>
            <w:pPr>
              <w:pStyle w:val="31"/>
            </w:pPr>
            <w:r>
              <w:t>SLsy-4</w:t>
            </w:r>
          </w:p>
        </w:tc>
        <w:tc>
          <w:tcPr>
            <w:tcW w:w="1696" w:type="pct"/>
            <w:tcBorders>
              <w:top w:val="single" w:color="auto" w:sz="4" w:space="0"/>
              <w:left w:val="single" w:color="auto" w:sz="4" w:space="0"/>
              <w:bottom w:val="single" w:color="auto" w:sz="4" w:space="0"/>
              <w:right w:val="single" w:color="auto" w:sz="4" w:space="0"/>
            </w:tcBorders>
            <w:vAlign w:val="center"/>
          </w:tcPr>
          <w:p>
            <w:pPr>
              <w:pStyle w:val="31"/>
            </w:pPr>
            <w:r>
              <w:rPr>
                <w:rFonts w:hint="eastAsia"/>
              </w:rPr>
              <w:t>上部组块顶层平台</w:t>
            </w:r>
          </w:p>
        </w:tc>
        <w:tc>
          <w:tcPr>
            <w:tcW w:w="986" w:type="pct"/>
            <w:vAlign w:val="center"/>
          </w:tcPr>
          <w:p>
            <w:pPr>
              <w:pStyle w:val="31"/>
            </w:pPr>
          </w:p>
        </w:tc>
      </w:tr>
    </w:tbl>
    <w:p>
      <w:pPr>
        <w:ind w:firstLine="560"/>
        <w:jc w:val="center"/>
        <w:rPr>
          <w:rFonts w:hint="eastAsia" w:ascii="仿宋" w:hAnsi="仿宋" w:cs="Times New Roman"/>
          <w:szCs w:val="28"/>
        </w:rPr>
      </w:pPr>
    </w:p>
    <w:p>
      <w:pPr>
        <w:pStyle w:val="3"/>
        <w:ind w:firstLine="562"/>
      </w:pPr>
      <w:r>
        <w:rPr>
          <w:rFonts w:hint="eastAsia"/>
        </w:rPr>
        <w:t>安全监测系统介绍</w:t>
      </w:r>
    </w:p>
    <w:p>
      <w:pPr>
        <w:pStyle w:val="4"/>
        <w:ind w:firstLine="560"/>
      </w:pPr>
      <w:r>
        <w:rPr>
          <w:rFonts w:hint="eastAsia"/>
        </w:rPr>
        <w:t>动态监测系统</w:t>
      </w:r>
      <w:bookmarkEnd w:id="6"/>
    </w:p>
    <w:p>
      <w:pPr>
        <w:ind w:firstLine="560"/>
        <w:rPr>
          <w:rFonts w:hint="eastAsia" w:ascii="仿宋" w:hAnsi="仿宋" w:cs="Times New Roman"/>
          <w:szCs w:val="28"/>
        </w:rPr>
      </w:pPr>
      <w:r>
        <w:rPr>
          <w:rFonts w:hint="eastAsia" w:ascii="仿宋" w:hAnsi="仿宋" w:cs="Times New Roman"/>
          <w:szCs w:val="28"/>
        </w:rPr>
        <w:t>动态监测系统由加速度计、倾角仪及其采集器和监测软件组成。</w:t>
      </w:r>
    </w:p>
    <w:p>
      <w:pPr>
        <w:ind w:firstLine="560"/>
      </w:pPr>
      <w:bookmarkStart w:id="7" w:name="_Toc131102015"/>
      <w:r>
        <w:rPr>
          <w:rFonts w:hint="eastAsia"/>
        </w:rPr>
        <w:t>（1）振动监测系统</w:t>
      </w:r>
      <w:bookmarkEnd w:id="7"/>
    </w:p>
    <w:p>
      <w:pPr>
        <w:ind w:firstLine="560"/>
        <w:rPr>
          <w:rFonts w:hint="eastAsia" w:ascii="仿宋" w:hAnsi="仿宋" w:cs="Times New Roman"/>
          <w:szCs w:val="28"/>
        </w:rPr>
      </w:pPr>
      <w:r>
        <w:rPr>
          <w:rFonts w:hint="eastAsia" w:ascii="仿宋" w:hAnsi="仿宋" w:cs="Times New Roman"/>
          <w:szCs w:val="28"/>
        </w:rPr>
        <w:t>如图</w:t>
      </w:r>
      <w:r>
        <w:rPr>
          <w:rFonts w:ascii="仿宋" w:hAnsi="仿宋" w:cs="Times New Roman"/>
          <w:szCs w:val="28"/>
        </w:rPr>
        <w:t>1</w:t>
      </w:r>
      <w:r>
        <w:rPr>
          <w:rFonts w:hint="eastAsia" w:ascii="仿宋" w:hAnsi="仿宋" w:cs="Times New Roman"/>
          <w:szCs w:val="28"/>
        </w:rPr>
        <w:t>所示，振动监测系统由加速度计及其采集器组成，是用于监测风机和升压站结构振动频率及振动加速度的设备，通过此设备可实时监测风机和升压站结构振动频率和加速度大小以及螺栓松动情况，进而分析结构的刚度或约束条件的变化情况。振动监测系统可同时兼容两分量和三分量加速度传感器，采样速率可达到</w:t>
      </w:r>
      <w:r>
        <w:rPr>
          <w:rFonts w:ascii="仿宋" w:hAnsi="仿宋" w:cs="Times New Roman"/>
          <w:szCs w:val="28"/>
        </w:rPr>
        <w:t>120Hz</w:t>
      </w:r>
      <w:r>
        <w:rPr>
          <w:rFonts w:hint="eastAsia" w:ascii="仿宋" w:hAnsi="仿宋" w:cs="Times New Roman"/>
          <w:szCs w:val="28"/>
        </w:rPr>
        <w:t>，可采用软件触发和可编程定时器触发采集，采样定时精度高，通过嵌入式系统软件开发，可以根据现场需要设置各种采集参数，具有在线多通道实时数据动态监测和脱机数据存储与分析等功能。</w:t>
      </w:r>
    </w:p>
    <w:p>
      <w:pPr>
        <w:ind w:firstLine="480"/>
        <w:jc w:val="center"/>
        <w:rPr>
          <w:rFonts w:hint="eastAsia" w:ascii="仿宋" w:hAnsi="仿宋" w:cs="Times New Roman"/>
          <w:sz w:val="24"/>
        </w:rPr>
      </w:pPr>
      <w:r>
        <w:rPr>
          <w:rFonts w:ascii="仿宋" w:hAnsi="仿宋" w:cs="Times New Roman"/>
          <w:sz w:val="24"/>
        </w:rPr>
        <w:drawing>
          <wp:inline distT="0" distB="0" distL="0" distR="0">
            <wp:extent cx="1621155" cy="2159635"/>
            <wp:effectExtent l="0" t="0" r="7" b="30"/>
            <wp:docPr id="4"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46"/>
                    <pic:cNvPicPr>
                      <a:picLocks noChangeAspect="1"/>
                    </pic:cNvPicPr>
                  </pic:nvPicPr>
                  <pic:blipFill>
                    <a:blip r:embed="rId15"/>
                    <a:stretch>
                      <a:fillRect/>
                    </a:stretch>
                  </pic:blipFill>
                  <pic:spPr>
                    <a:xfrm>
                      <a:off x="0" y="0"/>
                      <a:ext cx="1621789" cy="2159635"/>
                    </a:xfrm>
                    <a:prstGeom prst="rect">
                      <a:avLst/>
                    </a:prstGeom>
                    <a:noFill/>
                    <a:ln w="9525" cap="flat" cmpd="sng">
                      <a:noFill/>
                      <a:prstDash val="solid"/>
                      <a:round/>
                    </a:ln>
                  </pic:spPr>
                </pic:pic>
              </a:graphicData>
            </a:graphic>
          </wp:inline>
        </w:drawing>
      </w:r>
      <w:r>
        <w:rPr>
          <w:rFonts w:ascii="仿宋" w:hAnsi="仿宋" w:cs="Times New Roman"/>
          <w:sz w:val="24"/>
        </w:rPr>
        <w:t xml:space="preserve"> </w:t>
      </w:r>
      <w:r>
        <w:rPr>
          <w:rFonts w:ascii="仿宋" w:hAnsi="仿宋" w:cs="Times New Roman"/>
          <w:sz w:val="24"/>
        </w:rPr>
        <w:drawing>
          <wp:inline distT="0" distB="0" distL="0" distR="0">
            <wp:extent cx="2616200" cy="2159635"/>
            <wp:effectExtent l="0" t="0" r="9" b="30"/>
            <wp:docPr id="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pic:cNvPicPr>
                      <a:picLocks noChangeAspect="1"/>
                    </pic:cNvPicPr>
                  </pic:nvPicPr>
                  <pic:blipFill>
                    <a:blip r:embed="rId16"/>
                    <a:stretch>
                      <a:fillRect/>
                    </a:stretch>
                  </pic:blipFill>
                  <pic:spPr>
                    <a:xfrm>
                      <a:off x="0" y="0"/>
                      <a:ext cx="2616200" cy="2159635"/>
                    </a:xfrm>
                    <a:prstGeom prst="rect">
                      <a:avLst/>
                    </a:prstGeom>
                    <a:noFill/>
                    <a:ln w="9525" cap="flat" cmpd="sng">
                      <a:noFill/>
                      <a:prstDash val="solid"/>
                      <a:miter/>
                    </a:ln>
                  </pic:spPr>
                </pic:pic>
              </a:graphicData>
            </a:graphic>
          </wp:inline>
        </w:drawing>
      </w:r>
    </w:p>
    <w:p>
      <w:pPr>
        <w:pStyle w:val="40"/>
      </w:pPr>
      <w:r>
        <w:rPr>
          <w:rFonts w:hint="eastAsia"/>
        </w:rPr>
        <w:t>图</w:t>
      </w:r>
      <w:r>
        <w:t xml:space="preserve">1  </w:t>
      </w:r>
      <w:r>
        <w:rPr>
          <w:rFonts w:hint="eastAsia"/>
        </w:rPr>
        <w:t>加速度计（左图）及采集器（右图）</w:t>
      </w:r>
    </w:p>
    <w:p>
      <w:pPr>
        <w:ind w:firstLine="560"/>
        <w:rPr>
          <w:rFonts w:hint="eastAsia" w:ascii="仿宋" w:hAnsi="仿宋"/>
          <w:szCs w:val="28"/>
        </w:rPr>
      </w:pPr>
      <w:r>
        <w:rPr>
          <w:rFonts w:hint="eastAsia" w:ascii="仿宋" w:hAnsi="仿宋"/>
          <w:szCs w:val="28"/>
        </w:rPr>
        <w:t>浙能嘉兴</w:t>
      </w:r>
      <w:r>
        <w:rPr>
          <w:rFonts w:ascii="仿宋" w:hAnsi="仿宋"/>
          <w:szCs w:val="28"/>
        </w:rPr>
        <w:t>1</w:t>
      </w:r>
      <w:r>
        <w:rPr>
          <w:rFonts w:hint="eastAsia" w:ascii="仿宋" w:hAnsi="仿宋"/>
          <w:szCs w:val="28"/>
        </w:rPr>
        <w:t>号海上风电场使用的加速度计是</w:t>
      </w:r>
      <w:r>
        <w:rPr>
          <w:rFonts w:ascii="仿宋" w:hAnsi="仿宋"/>
          <w:szCs w:val="28"/>
        </w:rPr>
        <w:t>中国地震局工程力学研究所生产的QZ2013型加速度计，</w:t>
      </w:r>
      <w:r>
        <w:rPr>
          <w:rFonts w:hint="eastAsia" w:ascii="仿宋" w:hAnsi="仿宋"/>
          <w:szCs w:val="28"/>
        </w:rPr>
        <w:t>使用的采集器是</w:t>
      </w:r>
      <w:r>
        <w:rPr>
          <w:rFonts w:ascii="仿宋" w:hAnsi="仿宋"/>
          <w:szCs w:val="28"/>
        </w:rPr>
        <w:t>中国地震局工程力学研究所生产的G01NET-3D型</w:t>
      </w:r>
      <w:r>
        <w:rPr>
          <w:rFonts w:hint="eastAsia" w:ascii="仿宋" w:hAnsi="仿宋"/>
          <w:szCs w:val="28"/>
        </w:rPr>
        <w:t>动态传感器采集仪，传感器及采集</w:t>
      </w:r>
      <w:r>
        <w:rPr>
          <w:rFonts w:ascii="仿宋" w:hAnsi="仿宋"/>
          <w:szCs w:val="28"/>
        </w:rPr>
        <w:t>器主要技术指标</w:t>
      </w:r>
      <w:r>
        <w:rPr>
          <w:rFonts w:hint="eastAsia" w:ascii="仿宋" w:hAnsi="仿宋"/>
          <w:szCs w:val="28"/>
        </w:rPr>
        <w:t>分别如</w:t>
      </w:r>
      <w:r>
        <w:rPr>
          <w:rFonts w:hint="eastAsia" w:ascii="仿宋" w:hAnsi="仿宋"/>
          <w:szCs w:val="28"/>
        </w:rPr>
        <w:fldChar w:fldCharType="begin"/>
      </w:r>
      <w:r>
        <w:rPr>
          <w:rFonts w:hint="eastAsia" w:ascii="仿宋" w:hAnsi="仿宋"/>
          <w:szCs w:val="28"/>
        </w:rPr>
        <w:instrText xml:space="preserve"> REF _Ref200010881 </w:instrText>
      </w:r>
      <w:r>
        <w:rPr>
          <w:rFonts w:hint="eastAsia" w:ascii="仿宋" w:hAnsi="仿宋"/>
          <w:szCs w:val="28"/>
        </w:rPr>
        <w:fldChar w:fldCharType="separate"/>
      </w:r>
      <w:r>
        <w:rPr>
          <w:rFonts w:hint="eastAsia"/>
        </w:rPr>
        <w:t xml:space="preserve">表 </w:t>
      </w:r>
      <w:r>
        <w:t>3.3</w:t>
      </w:r>
      <w:r>
        <w:noBreakHyphen/>
      </w:r>
      <w:r>
        <w:t>1</w:t>
      </w:r>
      <w:r>
        <w:rPr>
          <w:rFonts w:hint="eastAsia" w:ascii="仿宋" w:hAnsi="仿宋"/>
          <w:szCs w:val="28"/>
        </w:rPr>
        <w:fldChar w:fldCharType="end"/>
      </w:r>
      <w:r>
        <w:rPr>
          <w:rFonts w:hint="eastAsia" w:ascii="仿宋" w:hAnsi="仿宋"/>
          <w:szCs w:val="28"/>
        </w:rPr>
        <w:t>和</w:t>
      </w:r>
      <w:r>
        <w:rPr>
          <w:rFonts w:hint="eastAsia" w:ascii="仿宋" w:hAnsi="仿宋"/>
          <w:szCs w:val="28"/>
        </w:rPr>
        <w:fldChar w:fldCharType="begin"/>
      </w:r>
      <w:r>
        <w:rPr>
          <w:rFonts w:hint="eastAsia" w:ascii="仿宋" w:hAnsi="仿宋"/>
          <w:szCs w:val="28"/>
        </w:rPr>
        <w:instrText xml:space="preserve"> REF _Ref200010882 </w:instrText>
      </w:r>
      <w:r>
        <w:rPr>
          <w:rFonts w:hint="eastAsia" w:ascii="仿宋" w:hAnsi="仿宋"/>
          <w:szCs w:val="28"/>
        </w:rPr>
        <w:fldChar w:fldCharType="separate"/>
      </w:r>
      <w:r>
        <w:rPr>
          <w:rFonts w:hint="eastAsia"/>
        </w:rPr>
        <w:t xml:space="preserve">表 </w:t>
      </w:r>
      <w:r>
        <w:t>3.3</w:t>
      </w:r>
      <w:r>
        <w:noBreakHyphen/>
      </w:r>
      <w:r>
        <w:t>2</w:t>
      </w:r>
      <w:r>
        <w:rPr>
          <w:rFonts w:hint="eastAsia" w:ascii="仿宋" w:hAnsi="仿宋"/>
          <w:szCs w:val="28"/>
        </w:rPr>
        <w:fldChar w:fldCharType="end"/>
      </w:r>
      <w:r>
        <w:rPr>
          <w:rFonts w:hint="eastAsia" w:ascii="仿宋" w:hAnsi="仿宋"/>
          <w:szCs w:val="28"/>
        </w:rPr>
        <w:t>所示。</w:t>
      </w:r>
    </w:p>
    <w:p>
      <w:pPr>
        <w:pStyle w:val="39"/>
        <w:spacing w:before="156"/>
      </w:pPr>
      <w:bookmarkStart w:id="8" w:name="_Ref200010881"/>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bookmarkEnd w:id="8"/>
      <w:r>
        <w:rPr>
          <w:rFonts w:hint="eastAsia"/>
        </w:rPr>
        <w:t>加速度计主要技术指标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仪器类型</w:t>
            </w:r>
          </w:p>
        </w:tc>
        <w:tc>
          <w:tcPr>
            <w:tcW w:w="3855" w:type="pct"/>
            <w:vAlign w:val="center"/>
          </w:tcPr>
          <w:p>
            <w:pPr>
              <w:pStyle w:val="31"/>
            </w:pPr>
            <w:r>
              <w:t>力平衡式加速度传感器，具有电磁兼容认证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t>±2g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动态范围</w:t>
            </w:r>
          </w:p>
        </w:tc>
        <w:tc>
          <w:tcPr>
            <w:tcW w:w="3855" w:type="pct"/>
            <w:vAlign w:val="center"/>
          </w:tcPr>
          <w:p>
            <w:pPr>
              <w:pStyle w:val="31"/>
            </w:pPr>
            <w:r>
              <w:t>165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灵敏度</w:t>
            </w:r>
          </w:p>
        </w:tc>
        <w:tc>
          <w:tcPr>
            <w:tcW w:w="3855" w:type="pct"/>
            <w:vAlign w:val="center"/>
          </w:tcPr>
          <w:p>
            <w:pPr>
              <w:pStyle w:val="31"/>
            </w:pPr>
            <w:r>
              <w:t>2.5~20 V/g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有效频带范围</w:t>
            </w:r>
          </w:p>
        </w:tc>
        <w:tc>
          <w:tcPr>
            <w:tcW w:w="3855" w:type="pct"/>
            <w:vAlign w:val="center"/>
          </w:tcPr>
          <w:p>
            <w:pPr>
              <w:pStyle w:val="31"/>
            </w:pPr>
            <w:r>
              <w:t>0~120Hz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频响范围</w:t>
            </w:r>
          </w:p>
        </w:tc>
        <w:tc>
          <w:tcPr>
            <w:tcW w:w="3855" w:type="pct"/>
            <w:vAlign w:val="center"/>
          </w:tcPr>
          <w:p>
            <w:pPr>
              <w:pStyle w:val="31"/>
            </w:pPr>
            <w:r>
              <w:t>≤3dB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工作温度</w:t>
            </w:r>
          </w:p>
        </w:tc>
        <w:tc>
          <w:tcPr>
            <w:tcW w:w="3855" w:type="pct"/>
            <w:vAlign w:val="center"/>
          </w:tcPr>
          <w:p>
            <w:pPr>
              <w:pStyle w:val="31"/>
            </w:pPr>
            <w:r>
              <w:t>-25℃～60℃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t>与选用仪器相配套的六芯屏蔽电缆，电缆具有耐海水腐蚀及阻燃性能</w:t>
            </w:r>
          </w:p>
        </w:tc>
      </w:tr>
    </w:tbl>
    <w:p>
      <w:pPr>
        <w:pStyle w:val="39"/>
        <w:spacing w:before="156"/>
        <w:rPr>
          <w:rStyle w:val="32"/>
          <w:rFonts w:ascii="Times New Roman" w:hAnsi="Times New Roman" w:eastAsia="仿宋"/>
          <w:b/>
          <w:bCs w:val="0"/>
          <w:sz w:val="24"/>
          <w:szCs w:val="24"/>
        </w:rPr>
      </w:pPr>
      <w:bookmarkStart w:id="9" w:name="_Ref200010882"/>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bookmarkEnd w:id="9"/>
      <w:r>
        <w:rPr>
          <w:rStyle w:val="32"/>
          <w:rFonts w:hint="eastAsia" w:ascii="Times New Roman" w:hAnsi="Times New Roman" w:eastAsia="仿宋"/>
          <w:b/>
          <w:bCs w:val="0"/>
          <w:sz w:val="24"/>
          <w:szCs w:val="24"/>
        </w:rPr>
        <w:t>振动监测采集器主要技术指标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技术指标</w:t>
            </w:r>
          </w:p>
        </w:tc>
        <w:tc>
          <w:tcPr>
            <w:tcW w:w="385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通道数量</w:t>
            </w:r>
          </w:p>
        </w:tc>
        <w:tc>
          <w:tcPr>
            <w:tcW w:w="385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2</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4</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8</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10</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12</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24</w:t>
            </w:r>
            <w:r>
              <w:rPr>
                <w:rStyle w:val="32"/>
                <w:rFonts w:hint="eastAsia" w:ascii="Times New Roman" w:hAnsi="Times New Roman" w:eastAsia="仿宋"/>
                <w:b w:val="0"/>
                <w:bCs w:val="0"/>
                <w:sz w:val="24"/>
                <w:szCs w:val="24"/>
              </w:rPr>
              <w:t>通道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通讯接口</w:t>
            </w:r>
          </w:p>
        </w:tc>
        <w:tc>
          <w:tcPr>
            <w:tcW w:w="385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具备以太网、</w:t>
            </w:r>
            <w:r>
              <w:rPr>
                <w:rStyle w:val="32"/>
                <w:rFonts w:ascii="Times New Roman" w:hAnsi="Times New Roman" w:eastAsia="仿宋"/>
                <w:b w:val="0"/>
                <w:bCs w:val="0"/>
                <w:sz w:val="24"/>
                <w:szCs w:val="24"/>
              </w:rPr>
              <w:t>USB</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RS232/RS422/RS485</w:t>
            </w:r>
            <w:r>
              <w:rPr>
                <w:rStyle w:val="32"/>
                <w:rFonts w:hint="eastAsia" w:ascii="Times New Roman" w:hAnsi="Times New Roman" w:eastAsia="仿宋"/>
                <w:b w:val="0"/>
                <w:bCs w:val="0"/>
                <w:sz w:val="24"/>
                <w:szCs w:val="24"/>
              </w:rPr>
              <w:t>等接口，同时具备支持</w:t>
            </w:r>
            <w:r>
              <w:rPr>
                <w:rStyle w:val="32"/>
                <w:rFonts w:ascii="Times New Roman" w:hAnsi="Times New Roman" w:eastAsia="仿宋"/>
                <w:b w:val="0"/>
                <w:bCs w:val="0"/>
                <w:sz w:val="24"/>
                <w:szCs w:val="24"/>
              </w:rPr>
              <w:t>GPRS</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WCDMA</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TD-SCDMA</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TD-LTE</w:t>
            </w:r>
            <w:r>
              <w:rPr>
                <w:rStyle w:val="32"/>
                <w:rFonts w:hint="eastAsia" w:ascii="Times New Roman" w:hAnsi="Times New Roman" w:eastAsia="仿宋"/>
                <w:b w:val="0"/>
                <w:bCs w:val="0"/>
                <w:sz w:val="24"/>
                <w:szCs w:val="24"/>
              </w:rPr>
              <w:t>等无线传输的功能，支持</w:t>
            </w:r>
            <w:r>
              <w:rPr>
                <w:rStyle w:val="32"/>
                <w:rFonts w:ascii="Times New Roman" w:hAnsi="Times New Roman" w:eastAsia="仿宋"/>
                <w:b w:val="0"/>
                <w:bCs w:val="0"/>
                <w:sz w:val="24"/>
                <w:szCs w:val="24"/>
              </w:rPr>
              <w:t>TCP/IP</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WEB</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FTP</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MODBUS</w:t>
            </w:r>
            <w:r>
              <w:rPr>
                <w:rStyle w:val="32"/>
                <w:rFonts w:hint="eastAsia" w:ascii="Times New Roman" w:hAnsi="Times New Roman" w:eastAsia="仿宋"/>
                <w:b w:val="0"/>
                <w:bCs w:val="0"/>
                <w:sz w:val="24"/>
                <w:szCs w:val="24"/>
              </w:rPr>
              <w:t>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输入信号</w:t>
            </w:r>
          </w:p>
        </w:tc>
        <w:tc>
          <w:tcPr>
            <w:tcW w:w="385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10VDC</w:t>
            </w:r>
            <w:r>
              <w:rPr>
                <w:rStyle w:val="32"/>
                <w:rFonts w:hint="eastAsia" w:ascii="Times New Roman" w:hAnsi="Times New Roman" w:eastAsia="仿宋"/>
                <w:b w:val="0"/>
                <w:bCs w:val="0"/>
                <w:sz w:val="24"/>
                <w:szCs w:val="24"/>
              </w:rPr>
              <w:t>差分，</w:t>
            </w:r>
            <w:r>
              <w:rPr>
                <w:rStyle w:val="32"/>
                <w:rFonts w:ascii="Times New Roman" w:hAnsi="Times New Roman" w:eastAsia="仿宋"/>
                <w:b w:val="0"/>
                <w:bCs w:val="0"/>
                <w:sz w:val="24"/>
                <w:szCs w:val="24"/>
              </w:rPr>
              <w:t>2.5VDC</w:t>
            </w:r>
            <w:r>
              <w:rPr>
                <w:rStyle w:val="32"/>
                <w:rFonts w:hint="eastAsia" w:ascii="Times New Roman" w:hAnsi="Times New Roman" w:eastAsia="仿宋"/>
                <w:b w:val="0"/>
                <w:bCs w:val="0"/>
                <w:sz w:val="24"/>
                <w:szCs w:val="24"/>
              </w:rPr>
              <w:t>±</w:t>
            </w:r>
            <w:r>
              <w:rPr>
                <w:rStyle w:val="32"/>
                <w:rFonts w:ascii="Times New Roman" w:hAnsi="Times New Roman" w:eastAsia="仿宋"/>
                <w:b w:val="0"/>
                <w:bCs w:val="0"/>
                <w:sz w:val="24"/>
                <w:szCs w:val="24"/>
              </w:rPr>
              <w:t>2.5 VDC</w:t>
            </w:r>
            <w:r>
              <w:rPr>
                <w:rStyle w:val="32"/>
                <w:rFonts w:hint="eastAsia" w:ascii="Times New Roman" w:hAnsi="Times New Roman" w:eastAsia="仿宋"/>
                <w:b w:val="0"/>
                <w:bCs w:val="0"/>
                <w:sz w:val="24"/>
                <w:szCs w:val="24"/>
              </w:rPr>
              <w:t>单端，</w:t>
            </w:r>
            <w:r>
              <w:rPr>
                <w:rStyle w:val="32"/>
                <w:rFonts w:ascii="Times New Roman" w:hAnsi="Times New Roman" w:eastAsia="仿宋"/>
                <w:b w:val="0"/>
                <w:bCs w:val="0"/>
                <w:sz w:val="24"/>
                <w:szCs w:val="24"/>
              </w:rPr>
              <w:t>0~20mA</w:t>
            </w:r>
            <w:r>
              <w:rPr>
                <w:rStyle w:val="32"/>
                <w:rFonts w:hint="eastAsia" w:ascii="Times New Roman" w:hAnsi="Times New Roman" w:eastAsia="仿宋"/>
                <w:b w:val="0"/>
                <w:bCs w:val="0"/>
                <w:sz w:val="24"/>
                <w:szCs w:val="24"/>
              </w:rPr>
              <w:t>电流环路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USB</w:t>
            </w:r>
            <w:r>
              <w:rPr>
                <w:rStyle w:val="32"/>
                <w:rFonts w:hint="eastAsia" w:ascii="Times New Roman" w:hAnsi="Times New Roman" w:eastAsia="仿宋"/>
                <w:b w:val="0"/>
                <w:bCs w:val="0"/>
                <w:sz w:val="24"/>
                <w:szCs w:val="24"/>
              </w:rPr>
              <w:t>接口</w:t>
            </w:r>
          </w:p>
        </w:tc>
        <w:tc>
          <w:tcPr>
            <w:tcW w:w="385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用于连接外部储存器和通讯设备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内部存储</w:t>
            </w:r>
          </w:p>
        </w:tc>
        <w:tc>
          <w:tcPr>
            <w:tcW w:w="385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8GB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传感器供电</w:t>
            </w:r>
          </w:p>
        </w:tc>
        <w:tc>
          <w:tcPr>
            <w:tcW w:w="385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交流</w:t>
            </w:r>
            <w:r>
              <w:rPr>
                <w:rStyle w:val="32"/>
                <w:rFonts w:ascii="Times New Roman" w:hAnsi="Times New Roman" w:eastAsia="仿宋"/>
                <w:b w:val="0"/>
                <w:bCs w:val="0"/>
                <w:sz w:val="24"/>
                <w:szCs w:val="24"/>
              </w:rPr>
              <w:t>220V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采样率</w:t>
            </w:r>
          </w:p>
        </w:tc>
        <w:tc>
          <w:tcPr>
            <w:tcW w:w="385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500sps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防护等级</w:t>
            </w:r>
          </w:p>
        </w:tc>
        <w:tc>
          <w:tcPr>
            <w:tcW w:w="3855" w:type="pct"/>
            <w:vAlign w:val="center"/>
          </w:tcPr>
          <w:p>
            <w:pPr>
              <w:pStyle w:val="31"/>
              <w:rPr>
                <w:rStyle w:val="32"/>
                <w:rFonts w:ascii="Times New Roman" w:hAnsi="Times New Roman" w:eastAsia="仿宋"/>
                <w:b w:val="0"/>
                <w:bCs w:val="0"/>
                <w:sz w:val="24"/>
                <w:szCs w:val="24"/>
              </w:rPr>
            </w:pPr>
            <w:r>
              <w:rPr>
                <w:rStyle w:val="32"/>
                <w:rFonts w:ascii="Times New Roman" w:hAnsi="Times New Roman" w:eastAsia="仿宋"/>
                <w:b w:val="0"/>
                <w:bCs w:val="0"/>
                <w:sz w:val="24"/>
                <w:szCs w:val="24"/>
              </w:rP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防雷保护</w:t>
            </w:r>
          </w:p>
        </w:tc>
        <w:tc>
          <w:tcPr>
            <w:tcW w:w="3855" w:type="pct"/>
            <w:vAlign w:val="center"/>
          </w:tcPr>
          <w:p>
            <w:pPr>
              <w:pStyle w:val="31"/>
              <w:rPr>
                <w:rStyle w:val="32"/>
                <w:rFonts w:ascii="Times New Roman" w:hAnsi="Times New Roman" w:eastAsia="仿宋"/>
                <w:b w:val="0"/>
                <w:bCs w:val="0"/>
                <w:sz w:val="24"/>
                <w:szCs w:val="24"/>
              </w:rPr>
            </w:pPr>
            <w:r>
              <w:rPr>
                <w:rStyle w:val="32"/>
                <w:rFonts w:hint="eastAsia" w:ascii="Times New Roman" w:hAnsi="Times New Roman" w:eastAsia="仿宋"/>
                <w:b w:val="0"/>
                <w:bCs w:val="0"/>
                <w:sz w:val="24"/>
                <w:szCs w:val="24"/>
              </w:rPr>
              <w:t>全信道专用防雷模块，最大放电电流</w:t>
            </w:r>
            <w:r>
              <w:rPr>
                <w:rStyle w:val="32"/>
                <w:rFonts w:ascii="Times New Roman" w:hAnsi="Times New Roman" w:eastAsia="仿宋"/>
                <w:b w:val="0"/>
                <w:bCs w:val="0"/>
                <w:sz w:val="24"/>
                <w:szCs w:val="24"/>
              </w:rPr>
              <w:t>10.0kA</w:t>
            </w:r>
          </w:p>
        </w:tc>
      </w:tr>
    </w:tbl>
    <w:p>
      <w:pPr>
        <w:ind w:firstLine="560"/>
        <w:rPr>
          <w:rFonts w:hint="eastAsia" w:ascii="仿宋" w:hAnsi="仿宋"/>
          <w:szCs w:val="28"/>
        </w:rPr>
      </w:pPr>
      <w:r>
        <w:rPr>
          <w:rFonts w:hint="eastAsia" w:ascii="仿宋" w:hAnsi="仿宋"/>
          <w:szCs w:val="28"/>
        </w:rPr>
        <w:t>数据采集软件在振动检测单元中的嵌入式控制器内运行，根据集控中心服务器设置的硬件采集参数、傅里叶变换参数、数据存储与显示参数，通过硬件中断的方式从高速采集卡的缓存中获取的数据，以曲线形式进行直观显示，根据传感器的标定参数和系统采集的传感器初始值对原始数据进行处理，计算出实际测得的加速度值，并对采集的数据进行消除直流分量、低通滤波等信号处理，然后进行快速傅里叶变换（</w:t>
      </w:r>
      <w:r>
        <w:rPr>
          <w:rFonts w:ascii="仿宋" w:hAnsi="仿宋"/>
          <w:szCs w:val="28"/>
        </w:rPr>
        <w:t>FFT</w:t>
      </w:r>
      <w:r>
        <w:rPr>
          <w:rFonts w:hint="eastAsia" w:ascii="仿宋" w:hAnsi="仿宋"/>
          <w:szCs w:val="28"/>
        </w:rPr>
        <w:t>变换）计算出相应的功率谱，具有在线多通道实时数据动态监测功能，并在本地进行存储，本系统进行数据存储时具有两种模式，一种是定时、定长的数据存储，其中采集周期、采集时长、采样率可以通过集控中心服务器进行设置，如每间隔</w:t>
      </w:r>
      <w:r>
        <w:rPr>
          <w:rFonts w:ascii="仿宋" w:hAnsi="仿宋"/>
          <w:szCs w:val="28"/>
        </w:rPr>
        <w:t>1h</w:t>
      </w:r>
      <w:r>
        <w:rPr>
          <w:rFonts w:hint="eastAsia" w:ascii="仿宋" w:hAnsi="仿宋"/>
          <w:szCs w:val="28"/>
        </w:rPr>
        <w:t>存储</w:t>
      </w:r>
      <w:r>
        <w:rPr>
          <w:rFonts w:ascii="仿宋" w:hAnsi="仿宋"/>
          <w:szCs w:val="28"/>
        </w:rPr>
        <w:t>5min</w:t>
      </w:r>
      <w:r>
        <w:rPr>
          <w:rFonts w:hint="eastAsia" w:ascii="仿宋" w:hAnsi="仿宋"/>
          <w:szCs w:val="28"/>
        </w:rPr>
        <w:t>，主要是长期连续存储，数据以指定长度进行保存。另外一种为超限存储，当检测到通道内加速度数值超过预设的阀值以后，系统自动存储当前时间点、当前通道内的加速度数据，并进行分析存储，主要用于记录风电基础的异常振动，尤其台风期间，机舱会随着风向的变化发生偏航事件，进而会产生强烈的振动信号，冲击振动的时间虽然较短但是由于振幅很大，因此冲击振动也是影响风机基础健康状况的主要因素之一，因此需要重点关注。</w:t>
      </w:r>
    </w:p>
    <w:p>
      <w:pPr>
        <w:ind w:firstLine="560"/>
      </w:pPr>
      <w:bookmarkStart w:id="10" w:name="_Toc131102016"/>
      <w:r>
        <w:rPr>
          <w:rFonts w:hint="eastAsia"/>
        </w:rPr>
        <w:t>（2）倾斜监测系统</w:t>
      </w:r>
      <w:bookmarkEnd w:id="10"/>
    </w:p>
    <w:p>
      <w:pPr>
        <w:ind w:firstLine="560"/>
        <w:rPr>
          <w:rFonts w:hint="eastAsia" w:ascii="仿宋" w:hAnsi="仿宋" w:cs="Times New Roman"/>
          <w:szCs w:val="28"/>
        </w:rPr>
      </w:pPr>
      <w:r>
        <w:rPr>
          <w:rFonts w:hint="eastAsia" w:ascii="仿宋" w:hAnsi="仿宋" w:cs="Times New Roman"/>
          <w:szCs w:val="28"/>
        </w:rPr>
        <w:t>如图2所示，倾斜监测系统由倾角仪及其采集器组成，倾角仪为大量程、高精度的二分量倾斜度测试传感器，采用高精度的差动电容芯片作为感应器件，用于测试海上升压站及风机基础、塔筒等结构的二维动态倾斜度的监测。</w:t>
      </w:r>
    </w:p>
    <w:p>
      <w:pPr>
        <w:pStyle w:val="40"/>
      </w:pPr>
      <w:r>
        <w:drawing>
          <wp:inline distT="0" distB="0" distL="0" distR="0">
            <wp:extent cx="2512695" cy="2159635"/>
            <wp:effectExtent l="0" t="0" r="6" b="30"/>
            <wp:docPr id="10"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48"/>
                    <pic:cNvPicPr>
                      <a:picLocks noChangeAspect="1"/>
                    </pic:cNvPicPr>
                  </pic:nvPicPr>
                  <pic:blipFill>
                    <a:blip r:embed="rId17"/>
                    <a:stretch>
                      <a:fillRect/>
                    </a:stretch>
                  </pic:blipFill>
                  <pic:spPr>
                    <a:xfrm>
                      <a:off x="0" y="0"/>
                      <a:ext cx="2513329" cy="2159635"/>
                    </a:xfrm>
                    <a:prstGeom prst="rect">
                      <a:avLst/>
                    </a:prstGeom>
                    <a:noFill/>
                    <a:ln w="9525" cap="flat" cmpd="sng">
                      <a:noFill/>
                      <a:prstDash val="solid"/>
                      <a:miter/>
                    </a:ln>
                  </pic:spPr>
                </pic:pic>
              </a:graphicData>
            </a:graphic>
          </wp:inline>
        </w:drawing>
      </w:r>
      <w:r>
        <w:drawing>
          <wp:inline distT="0" distB="0" distL="0" distR="0">
            <wp:extent cx="2616200" cy="2159635"/>
            <wp:effectExtent l="0" t="0" r="8" b="30"/>
            <wp:docPr id="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9"/>
                    <pic:cNvPicPr>
                      <a:picLocks noChangeAspect="1"/>
                    </pic:cNvPicPr>
                  </pic:nvPicPr>
                  <pic:blipFill>
                    <a:blip r:embed="rId16"/>
                    <a:stretch>
                      <a:fillRect/>
                    </a:stretch>
                  </pic:blipFill>
                  <pic:spPr>
                    <a:xfrm>
                      <a:off x="0" y="0"/>
                      <a:ext cx="2616200" cy="2159635"/>
                    </a:xfrm>
                    <a:prstGeom prst="rect">
                      <a:avLst/>
                    </a:prstGeom>
                    <a:noFill/>
                    <a:ln w="9525" cap="flat" cmpd="sng">
                      <a:noFill/>
                      <a:prstDash val="solid"/>
                      <a:miter/>
                    </a:ln>
                  </pic:spPr>
                </pic:pic>
              </a:graphicData>
            </a:graphic>
          </wp:inline>
        </w:drawing>
      </w:r>
    </w:p>
    <w:p>
      <w:pPr>
        <w:pStyle w:val="40"/>
      </w:pPr>
      <w:r>
        <w:rPr>
          <w:rFonts w:hint="eastAsia"/>
        </w:rPr>
        <w:t>图2</w:t>
      </w:r>
      <w:r>
        <w:t xml:space="preserve">  </w:t>
      </w:r>
      <w:r>
        <w:rPr>
          <w:rFonts w:hint="eastAsia"/>
        </w:rPr>
        <w:t>倾角仪（左图）及采集器（右图）</w:t>
      </w:r>
    </w:p>
    <w:p>
      <w:pPr>
        <w:ind w:firstLine="560"/>
        <w:rPr>
          <w:rFonts w:hint="eastAsia" w:ascii="仿宋" w:hAnsi="仿宋"/>
          <w:szCs w:val="28"/>
        </w:rPr>
      </w:pPr>
      <w:r>
        <w:rPr>
          <w:rFonts w:hint="eastAsia" w:ascii="仿宋" w:hAnsi="仿宋"/>
          <w:szCs w:val="28"/>
        </w:rPr>
        <w:t>浙能嘉兴</w:t>
      </w:r>
      <w:r>
        <w:rPr>
          <w:rFonts w:ascii="仿宋" w:hAnsi="仿宋"/>
          <w:szCs w:val="28"/>
        </w:rPr>
        <w:t>1</w:t>
      </w:r>
      <w:r>
        <w:rPr>
          <w:rFonts w:hint="eastAsia" w:ascii="仿宋" w:hAnsi="仿宋"/>
          <w:szCs w:val="28"/>
        </w:rPr>
        <w:t>号海上风电场使用的加速度计是</w:t>
      </w:r>
      <w:r>
        <w:rPr>
          <w:rFonts w:ascii="仿宋" w:hAnsi="仿宋"/>
          <w:szCs w:val="28"/>
        </w:rPr>
        <w:t>中国地震局工程力学研究所生产的QYG01-1型</w:t>
      </w:r>
      <w:r>
        <w:rPr>
          <w:rFonts w:hint="eastAsia" w:ascii="仿宋" w:hAnsi="仿宋"/>
          <w:szCs w:val="28"/>
        </w:rPr>
        <w:t>双轴倾角仪</w:t>
      </w:r>
      <w:r>
        <w:rPr>
          <w:rFonts w:ascii="仿宋" w:hAnsi="仿宋"/>
          <w:szCs w:val="28"/>
        </w:rPr>
        <w:t>，</w:t>
      </w:r>
      <w:r>
        <w:rPr>
          <w:rFonts w:hint="eastAsia" w:ascii="仿宋" w:hAnsi="仿宋"/>
          <w:szCs w:val="28"/>
        </w:rPr>
        <w:t>使用的采集器是</w:t>
      </w:r>
      <w:r>
        <w:rPr>
          <w:rFonts w:ascii="仿宋" w:hAnsi="仿宋"/>
          <w:szCs w:val="28"/>
        </w:rPr>
        <w:t>中国地震局工程力学研究所生产的G01NET-3D型</w:t>
      </w:r>
      <w:r>
        <w:rPr>
          <w:rFonts w:hint="eastAsia" w:ascii="仿宋" w:hAnsi="仿宋"/>
          <w:szCs w:val="28"/>
        </w:rPr>
        <w:t>动态传感器采集仪，传感器及采集</w:t>
      </w:r>
      <w:r>
        <w:rPr>
          <w:rFonts w:ascii="仿宋" w:hAnsi="仿宋"/>
          <w:szCs w:val="28"/>
        </w:rPr>
        <w:t>器主要技术指标分别如</w:t>
      </w:r>
      <w:r>
        <w:rPr>
          <w:rFonts w:hint="eastAsia" w:ascii="仿宋" w:hAnsi="仿宋"/>
          <w:szCs w:val="28"/>
        </w:rPr>
        <w:fldChar w:fldCharType="begin"/>
      </w:r>
      <w:r>
        <w:rPr>
          <w:rFonts w:hint="eastAsia" w:ascii="仿宋" w:hAnsi="仿宋"/>
          <w:szCs w:val="28"/>
        </w:rPr>
        <w:instrText xml:space="preserve"> </w:instrText>
      </w:r>
      <w:r>
        <w:rPr>
          <w:rFonts w:ascii="仿宋" w:hAnsi="仿宋"/>
          <w:szCs w:val="28"/>
        </w:rPr>
        <w:instrText xml:space="preserve">REF _Ref200010898</w:instrText>
      </w:r>
      <w:r>
        <w:rPr>
          <w:rFonts w:hint="eastAsia" w:ascii="仿宋" w:hAnsi="仿宋"/>
          <w:szCs w:val="28"/>
        </w:rPr>
        <w:instrText xml:space="preserve"> </w:instrText>
      </w:r>
      <w:r>
        <w:rPr>
          <w:rFonts w:hint="eastAsia" w:ascii="仿宋" w:hAnsi="仿宋"/>
          <w:szCs w:val="28"/>
        </w:rPr>
        <w:fldChar w:fldCharType="separate"/>
      </w:r>
      <w:r>
        <w:rPr>
          <w:rFonts w:hint="eastAsia"/>
        </w:rPr>
        <w:t xml:space="preserve">表 </w:t>
      </w:r>
      <w:r>
        <w:t>3.3</w:t>
      </w:r>
      <w:r>
        <w:noBreakHyphen/>
      </w:r>
      <w:r>
        <w:t>3</w:t>
      </w:r>
      <w:r>
        <w:rPr>
          <w:rFonts w:hint="eastAsia" w:ascii="仿宋" w:hAnsi="仿宋"/>
          <w:szCs w:val="28"/>
        </w:rPr>
        <w:fldChar w:fldCharType="end"/>
      </w:r>
      <w:r>
        <w:rPr>
          <w:rFonts w:hint="eastAsia" w:ascii="仿宋" w:hAnsi="仿宋"/>
          <w:szCs w:val="28"/>
        </w:rPr>
        <w:t>和</w:t>
      </w:r>
      <w:r>
        <w:rPr>
          <w:rFonts w:hint="eastAsia" w:ascii="仿宋" w:hAnsi="仿宋"/>
          <w:szCs w:val="28"/>
        </w:rPr>
        <w:fldChar w:fldCharType="begin"/>
      </w:r>
      <w:r>
        <w:rPr>
          <w:rFonts w:hint="eastAsia" w:ascii="仿宋" w:hAnsi="仿宋"/>
          <w:szCs w:val="28"/>
        </w:rPr>
        <w:instrText xml:space="preserve"> REF _Ref200010900 </w:instrText>
      </w:r>
      <w:r>
        <w:rPr>
          <w:rFonts w:hint="eastAsia" w:ascii="仿宋" w:hAnsi="仿宋"/>
          <w:szCs w:val="28"/>
        </w:rPr>
        <w:fldChar w:fldCharType="separate"/>
      </w:r>
      <w:r>
        <w:rPr>
          <w:rFonts w:hint="eastAsia"/>
        </w:rPr>
        <w:t xml:space="preserve">表 </w:t>
      </w:r>
      <w:r>
        <w:t>3.3</w:t>
      </w:r>
      <w:r>
        <w:noBreakHyphen/>
      </w:r>
      <w:r>
        <w:t>4</w:t>
      </w:r>
      <w:r>
        <w:rPr>
          <w:rFonts w:hint="eastAsia" w:ascii="仿宋" w:hAnsi="仿宋"/>
          <w:szCs w:val="28"/>
        </w:rPr>
        <w:fldChar w:fldCharType="end"/>
      </w:r>
      <w:r>
        <w:rPr>
          <w:rFonts w:ascii="仿宋" w:hAnsi="仿宋"/>
          <w:szCs w:val="28"/>
        </w:rPr>
        <w:t>所示。</w:t>
      </w:r>
    </w:p>
    <w:p>
      <w:pPr>
        <w:pStyle w:val="39"/>
        <w:spacing w:before="156"/>
        <w:rPr>
          <w:rFonts w:hint="eastAsia" w:ascii="仿宋" w:hAnsi="仿宋"/>
          <w:sz w:val="28"/>
          <w:szCs w:val="28"/>
        </w:rPr>
      </w:pPr>
      <w:bookmarkStart w:id="11" w:name="_Ref200010898"/>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3</w:t>
      </w:r>
      <w:r>
        <w:fldChar w:fldCharType="end"/>
      </w:r>
      <w:bookmarkEnd w:id="11"/>
      <w:r>
        <w:rPr>
          <w:rFonts w:hint="eastAsia" w:ascii="仿宋" w:hAnsi="仿宋"/>
          <w:sz w:val="28"/>
          <w:szCs w:val="28"/>
        </w:rPr>
        <w:t>倾角仪主要技术指标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rPr>
                <w:rFonts w:hint="eastAsia"/>
              </w:rPr>
              <w:t>±</w:t>
            </w: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5" w:type="pct"/>
            <w:vAlign w:val="center"/>
          </w:tcPr>
          <w:p>
            <w:pPr>
              <w:pStyle w:val="31"/>
            </w:pPr>
            <w:r>
              <w:rPr>
                <w:rFonts w:hint="eastAsia"/>
              </w:rPr>
              <w:t>精度</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灵敏度</w:t>
            </w:r>
          </w:p>
        </w:tc>
        <w:tc>
          <w:tcPr>
            <w:tcW w:w="3855" w:type="pct"/>
            <w:vAlign w:val="center"/>
          </w:tcPr>
          <w:p>
            <w:pPr>
              <w:pStyle w:val="31"/>
            </w:pPr>
            <w:r>
              <w:rPr>
                <w:rFonts w:hint="eastAsia"/>
              </w:rPr>
              <w:t>＞</w:t>
            </w:r>
            <w:r>
              <w:t>5V/</w:t>
            </w:r>
            <w:r>
              <w:rPr>
                <w:rFonts w:hint="eastAsia"/>
              </w:rPr>
              <w:t>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有效频带范围</w:t>
            </w:r>
          </w:p>
        </w:tc>
        <w:tc>
          <w:tcPr>
            <w:tcW w:w="3855" w:type="pct"/>
            <w:vAlign w:val="center"/>
          </w:tcPr>
          <w:p>
            <w:pPr>
              <w:pStyle w:val="31"/>
            </w:pPr>
            <w:r>
              <w:t>0~10Hz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防水等级</w:t>
            </w:r>
          </w:p>
        </w:tc>
        <w:tc>
          <w:tcPr>
            <w:tcW w:w="3855" w:type="pct"/>
            <w:vAlign w:val="center"/>
          </w:tcPr>
          <w:p>
            <w:pPr>
              <w:pStyle w:val="31"/>
            </w:pPr>
            <w:r>
              <w:rPr>
                <w:rFonts w:hint="eastAsia"/>
              </w:rPr>
              <w:t>＞</w:t>
            </w:r>
            <w: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工作温度</w:t>
            </w:r>
          </w:p>
        </w:tc>
        <w:tc>
          <w:tcPr>
            <w:tcW w:w="3855" w:type="pct"/>
            <w:vAlign w:val="center"/>
          </w:tcPr>
          <w:p>
            <w:pPr>
              <w:pStyle w:val="31"/>
            </w:pPr>
            <w:r>
              <w:t>-25℃～60℃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39"/>
        <w:spacing w:before="156"/>
      </w:pPr>
      <w:bookmarkStart w:id="12" w:name="_Ref200010900"/>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4</w:t>
      </w:r>
      <w:r>
        <w:fldChar w:fldCharType="end"/>
      </w:r>
      <w:bookmarkEnd w:id="12"/>
      <w:r>
        <w:rPr>
          <w:rFonts w:hint="eastAsia"/>
        </w:rPr>
        <w:t>倾斜监测采集器主要技术指标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通道数量</w:t>
            </w:r>
          </w:p>
        </w:tc>
        <w:tc>
          <w:tcPr>
            <w:tcW w:w="3855" w:type="pct"/>
            <w:vAlign w:val="center"/>
          </w:tcPr>
          <w:p>
            <w:pPr>
              <w:pStyle w:val="31"/>
            </w:pPr>
            <w:r>
              <w:t>2</w:t>
            </w:r>
            <w:r>
              <w:rPr>
                <w:rFonts w:hint="eastAsia"/>
              </w:rPr>
              <w:t>、</w:t>
            </w:r>
            <w:r>
              <w:t>4</w:t>
            </w:r>
            <w:r>
              <w:rPr>
                <w:rFonts w:hint="eastAsia"/>
              </w:rPr>
              <w:t>、</w:t>
            </w:r>
            <w:r>
              <w:t>8</w:t>
            </w:r>
            <w:r>
              <w:rPr>
                <w:rFonts w:hint="eastAsia"/>
              </w:rPr>
              <w:t>、</w:t>
            </w:r>
            <w:r>
              <w:t>10</w:t>
            </w:r>
            <w:r>
              <w:rPr>
                <w:rFonts w:hint="eastAsia"/>
              </w:rPr>
              <w:t>、</w:t>
            </w:r>
            <w:r>
              <w:t>12</w:t>
            </w:r>
            <w:r>
              <w:rPr>
                <w:rFonts w:hint="eastAsia"/>
              </w:rPr>
              <w:t>、</w:t>
            </w:r>
            <w:r>
              <w:t>24</w:t>
            </w:r>
            <w:r>
              <w:rPr>
                <w:rFonts w:hint="eastAsia"/>
              </w:rPr>
              <w:t>通道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通讯接口</w:t>
            </w:r>
          </w:p>
        </w:tc>
        <w:tc>
          <w:tcPr>
            <w:tcW w:w="3855" w:type="pct"/>
            <w:vAlign w:val="center"/>
          </w:tcPr>
          <w:p>
            <w:pPr>
              <w:pStyle w:val="31"/>
            </w:pPr>
            <w:r>
              <w:rPr>
                <w:rFonts w:hint="eastAsia"/>
              </w:rPr>
              <w:t>具备以太网、</w:t>
            </w:r>
            <w:r>
              <w:t>USB</w:t>
            </w:r>
            <w:r>
              <w:rPr>
                <w:rFonts w:hint="eastAsia"/>
              </w:rPr>
              <w:t>、</w:t>
            </w:r>
            <w:r>
              <w:t xml:space="preserve">RS232/RS422/RS485 </w:t>
            </w:r>
            <w:r>
              <w:rPr>
                <w:rFonts w:hint="eastAsia"/>
              </w:rPr>
              <w:t>等接口，同时具备支持</w:t>
            </w:r>
            <w:r>
              <w:t xml:space="preserve"> GPRS</w:t>
            </w:r>
            <w:r>
              <w:rPr>
                <w:rFonts w:hint="eastAsia"/>
              </w:rPr>
              <w:t>、</w:t>
            </w:r>
            <w:r>
              <w:t>WCDMA</w:t>
            </w:r>
            <w:r>
              <w:rPr>
                <w:rFonts w:hint="eastAsia"/>
              </w:rPr>
              <w:t>、</w:t>
            </w:r>
            <w:r>
              <w:t>TD-SCDMA</w:t>
            </w:r>
            <w:r>
              <w:rPr>
                <w:rFonts w:hint="eastAsia"/>
              </w:rPr>
              <w:t>、</w:t>
            </w:r>
            <w:r>
              <w:t>TD-LTE</w:t>
            </w:r>
            <w:r>
              <w:rPr>
                <w:rFonts w:hint="eastAsia"/>
              </w:rPr>
              <w:t>等无线传输的功能，支持</w:t>
            </w:r>
            <w:r>
              <w:t xml:space="preserve"> TCP/IP</w:t>
            </w:r>
            <w:r>
              <w:rPr>
                <w:rFonts w:hint="eastAsia"/>
              </w:rPr>
              <w:t>、</w:t>
            </w:r>
            <w:r>
              <w:t>WEB</w:t>
            </w:r>
            <w:r>
              <w:rPr>
                <w:rFonts w:hint="eastAsia"/>
              </w:rPr>
              <w:t>、</w:t>
            </w:r>
            <w:r>
              <w:t>FTP</w:t>
            </w:r>
            <w:r>
              <w:rPr>
                <w:rFonts w:hint="eastAsia"/>
              </w:rPr>
              <w:t>、</w:t>
            </w:r>
            <w:r>
              <w:t>MODBUS</w:t>
            </w:r>
            <w:r>
              <w:rPr>
                <w:rFonts w:hint="eastAsia"/>
              </w:rPr>
              <w:t>协议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输入信号</w:t>
            </w:r>
          </w:p>
        </w:tc>
        <w:tc>
          <w:tcPr>
            <w:tcW w:w="3855" w:type="pct"/>
            <w:vAlign w:val="center"/>
          </w:tcPr>
          <w:p>
            <w:pPr>
              <w:pStyle w:val="31"/>
            </w:pPr>
            <w:r>
              <w:t>10VDC</w:t>
            </w:r>
            <w:r>
              <w:rPr>
                <w:rFonts w:hint="eastAsia"/>
              </w:rPr>
              <w:t>差分，</w:t>
            </w:r>
            <w:r>
              <w:t>2.5VDC</w:t>
            </w:r>
            <w:r>
              <w:rPr>
                <w:rFonts w:hint="eastAsia"/>
              </w:rPr>
              <w:t>±</w:t>
            </w:r>
            <w:r>
              <w:t>2.5 VDC</w:t>
            </w:r>
            <w:r>
              <w:rPr>
                <w:rFonts w:hint="eastAsia"/>
              </w:rPr>
              <w:t>单端，</w:t>
            </w:r>
            <w:r>
              <w:t>0~20mA</w:t>
            </w:r>
            <w:r>
              <w:rPr>
                <w:rFonts w:hint="eastAsia"/>
              </w:rPr>
              <w:t>电流环路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USB</w:t>
            </w:r>
            <w:r>
              <w:rPr>
                <w:rFonts w:hint="eastAsia"/>
              </w:rPr>
              <w:t>接口</w:t>
            </w:r>
          </w:p>
        </w:tc>
        <w:tc>
          <w:tcPr>
            <w:tcW w:w="3855" w:type="pct"/>
            <w:vAlign w:val="center"/>
          </w:tcPr>
          <w:p>
            <w:pPr>
              <w:pStyle w:val="31"/>
            </w:pPr>
            <w:r>
              <w:rPr>
                <w:rFonts w:hint="eastAsia"/>
              </w:rPr>
              <w:t>用于连接外部储存器和通讯设备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内部存储</w:t>
            </w:r>
          </w:p>
        </w:tc>
        <w:tc>
          <w:tcPr>
            <w:tcW w:w="3855" w:type="pct"/>
            <w:vAlign w:val="center"/>
          </w:tcPr>
          <w:p>
            <w:pPr>
              <w:pStyle w:val="31"/>
            </w:pPr>
            <w:r>
              <w:t>8GB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传感器供电</w:t>
            </w:r>
          </w:p>
        </w:tc>
        <w:tc>
          <w:tcPr>
            <w:tcW w:w="3855" w:type="pct"/>
            <w:vAlign w:val="center"/>
          </w:tcPr>
          <w:p>
            <w:pPr>
              <w:pStyle w:val="31"/>
            </w:pPr>
            <w:r>
              <w:rPr>
                <w:rFonts w:hint="eastAsia"/>
              </w:rPr>
              <w:t>交流</w:t>
            </w:r>
            <w:r>
              <w:t>220V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采样率</w:t>
            </w:r>
          </w:p>
        </w:tc>
        <w:tc>
          <w:tcPr>
            <w:tcW w:w="3855" w:type="pct"/>
            <w:vAlign w:val="center"/>
          </w:tcPr>
          <w:p>
            <w:pPr>
              <w:pStyle w:val="31"/>
            </w:pPr>
            <w:r>
              <w:t>500sps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防护等级</w:t>
            </w:r>
          </w:p>
        </w:tc>
        <w:tc>
          <w:tcPr>
            <w:tcW w:w="3855" w:type="pct"/>
            <w:vAlign w:val="center"/>
          </w:tcPr>
          <w:p>
            <w:pPr>
              <w:pStyle w:val="31"/>
            </w:pPr>
            <w:r>
              <w:t>IP56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防雷保护</w:t>
            </w:r>
          </w:p>
        </w:tc>
        <w:tc>
          <w:tcPr>
            <w:tcW w:w="3855" w:type="pct"/>
            <w:vAlign w:val="center"/>
          </w:tcPr>
          <w:p>
            <w:pPr>
              <w:pStyle w:val="31"/>
            </w:pPr>
            <w:r>
              <w:rPr>
                <w:rFonts w:hint="eastAsia"/>
              </w:rPr>
              <w:t>全信道专用防雷模块，最大放电电流</w:t>
            </w:r>
            <w:r>
              <w:t>10.0kA</w:t>
            </w:r>
          </w:p>
        </w:tc>
      </w:tr>
    </w:tbl>
    <w:p>
      <w:pPr>
        <w:pStyle w:val="4"/>
        <w:ind w:firstLine="560"/>
      </w:pPr>
      <w:bookmarkStart w:id="13" w:name="_Toc131102017"/>
      <w:r>
        <w:rPr>
          <w:rFonts w:hint="eastAsia"/>
        </w:rPr>
        <w:t>静态监测系统</w:t>
      </w:r>
      <w:bookmarkEnd w:id="13"/>
    </w:p>
    <w:p>
      <w:pPr>
        <w:ind w:firstLine="560"/>
        <w:rPr>
          <w:rFonts w:hint="eastAsia" w:ascii="仿宋" w:hAnsi="仿宋" w:cs="Times New Roman"/>
          <w:szCs w:val="28"/>
        </w:rPr>
      </w:pPr>
      <w:r>
        <w:rPr>
          <w:rFonts w:hint="eastAsia" w:ascii="仿宋" w:hAnsi="仿宋" w:cs="Times New Roman"/>
          <w:szCs w:val="28"/>
        </w:rPr>
        <w:t>静态监测系统由静力水准仪、钢板应力计、钢筋应力计、混凝土应变计、无应力计及其采集器组成。静力水准仪用于监测海上升压站的不均匀沉降，钢板应力计用于监测海上升压站导管架与风机塔筒和钢管桩中钢板结构物的应力应变，安装于钢结构表面，钢结构的变形将通过固定于钢板上的夹具传递给仪器端块并引起仪器内钢弦发生应力变化，从而改变钢弦的振动频率。钢筋应力计用于监测高桩承台混凝土钢筋应力应变情况，混凝土应变计及无应力计用于监测高桩承台混凝土应力应变情况。上述各项仪器主要技术指标分别如</w:t>
      </w:r>
      <w:r>
        <w:rPr>
          <w:rFonts w:hint="eastAsia" w:ascii="仿宋" w:hAnsi="仿宋" w:cs="Times New Roman"/>
          <w:szCs w:val="28"/>
        </w:rPr>
        <w:fldChar w:fldCharType="begin"/>
      </w:r>
      <w:r>
        <w:rPr>
          <w:rFonts w:hint="eastAsia" w:ascii="仿宋" w:hAnsi="仿宋" w:cs="Times New Roman"/>
          <w:szCs w:val="28"/>
        </w:rPr>
        <w:instrText xml:space="preserve"> REF _Ref200010913 </w:instrText>
      </w:r>
      <w:r>
        <w:rPr>
          <w:rFonts w:hint="eastAsia" w:ascii="仿宋" w:hAnsi="仿宋" w:cs="Times New Roman"/>
          <w:szCs w:val="28"/>
        </w:rPr>
        <w:fldChar w:fldCharType="separate"/>
      </w:r>
      <w:r>
        <w:rPr>
          <w:rFonts w:hint="eastAsia"/>
        </w:rPr>
        <w:t xml:space="preserve">表 </w:t>
      </w:r>
      <w:r>
        <w:t>3.3</w:t>
      </w:r>
      <w:r>
        <w:noBreakHyphen/>
      </w:r>
      <w:r>
        <w:t>5</w:t>
      </w:r>
      <w:r>
        <w:rPr>
          <w:rFonts w:hint="eastAsia" w:ascii="仿宋" w:hAnsi="仿宋" w:cs="Times New Roman"/>
          <w:szCs w:val="28"/>
        </w:rPr>
        <w:fldChar w:fldCharType="end"/>
      </w:r>
      <w:r>
        <w:rPr>
          <w:rFonts w:hint="eastAsia" w:ascii="仿宋" w:hAnsi="仿宋" w:cs="Times New Roman"/>
          <w:szCs w:val="28"/>
        </w:rPr>
        <w:t>和</w:t>
      </w:r>
      <w:r>
        <w:rPr>
          <w:rFonts w:hint="eastAsia" w:ascii="仿宋" w:hAnsi="仿宋" w:cs="Times New Roman"/>
          <w:szCs w:val="28"/>
        </w:rPr>
        <w:fldChar w:fldCharType="begin"/>
      </w:r>
      <w:r>
        <w:rPr>
          <w:rFonts w:hint="eastAsia" w:ascii="仿宋" w:hAnsi="仿宋" w:cs="Times New Roman"/>
          <w:szCs w:val="28"/>
        </w:rPr>
        <w:instrText xml:space="preserve"> REF _Ref200010924 </w:instrText>
      </w:r>
      <w:r>
        <w:rPr>
          <w:rFonts w:hint="eastAsia" w:ascii="仿宋" w:hAnsi="仿宋" w:cs="Times New Roman"/>
          <w:szCs w:val="28"/>
        </w:rPr>
        <w:fldChar w:fldCharType="separate"/>
      </w:r>
      <w:r>
        <w:rPr>
          <w:rFonts w:hint="eastAsia"/>
        </w:rPr>
        <w:t xml:space="preserve">表 </w:t>
      </w:r>
      <w:r>
        <w:t>3.3</w:t>
      </w:r>
      <w:r>
        <w:noBreakHyphen/>
      </w:r>
      <w:r>
        <w:t>9</w:t>
      </w:r>
      <w:r>
        <w:rPr>
          <w:rFonts w:hint="eastAsia" w:ascii="仿宋" w:hAnsi="仿宋" w:cs="Times New Roman"/>
          <w:szCs w:val="28"/>
        </w:rPr>
        <w:fldChar w:fldCharType="end"/>
      </w:r>
      <w:r>
        <w:rPr>
          <w:rFonts w:hint="eastAsia" w:ascii="仿宋" w:hAnsi="仿宋" w:cs="Times New Roman"/>
          <w:szCs w:val="28"/>
        </w:rPr>
        <w:t>所示。</w:t>
      </w:r>
    </w:p>
    <w:p>
      <w:pPr>
        <w:pStyle w:val="39"/>
        <w:spacing w:before="156"/>
      </w:pPr>
      <w:bookmarkStart w:id="14" w:name="_Ref200010913"/>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5</w:t>
      </w:r>
      <w:r>
        <w:fldChar w:fldCharType="end"/>
      </w:r>
      <w:bookmarkEnd w:id="14"/>
      <w:r>
        <w:rPr>
          <w:rFonts w:hint="eastAsia"/>
        </w:rPr>
        <w:t>静力水准仪主要技术指标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精度</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6</w:t>
      </w:r>
      <w:r>
        <w:fldChar w:fldCharType="end"/>
      </w:r>
      <w:r>
        <w:rPr>
          <w:rFonts w:hint="eastAsia"/>
        </w:rPr>
        <w:t>钢板应力计主要技术指标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标距</w:t>
            </w:r>
          </w:p>
        </w:tc>
        <w:tc>
          <w:tcPr>
            <w:tcW w:w="3855" w:type="pct"/>
            <w:vAlign w:val="center"/>
          </w:tcPr>
          <w:p>
            <w:pPr>
              <w:pStyle w:val="31"/>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精度</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分辨率</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工作温度</w:t>
            </w:r>
          </w:p>
        </w:tc>
        <w:tc>
          <w:tcPr>
            <w:tcW w:w="3855" w:type="pct"/>
            <w:vAlign w:val="center"/>
          </w:tcPr>
          <w:p>
            <w:pPr>
              <w:pStyle w:val="31"/>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7</w:t>
      </w:r>
      <w:r>
        <w:fldChar w:fldCharType="end"/>
      </w:r>
      <w:r>
        <w:rPr>
          <w:rFonts w:hint="eastAsia"/>
        </w:rPr>
        <w:t>钢筋应力计主要技术指标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rPr>
                <w:rFonts w:hint="eastAsia"/>
              </w:rPr>
              <w:t>拉伸</w:t>
            </w:r>
            <w:r>
              <w:t>400MPa</w:t>
            </w:r>
            <w:r>
              <w:rPr>
                <w:rFonts w:hint="eastAsia"/>
              </w:rPr>
              <w:t>；压缩</w:t>
            </w:r>
            <w:r>
              <w:t>100MPa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分辨率</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工作温度</w:t>
            </w:r>
          </w:p>
        </w:tc>
        <w:tc>
          <w:tcPr>
            <w:tcW w:w="3855" w:type="pct"/>
            <w:vAlign w:val="center"/>
          </w:tcPr>
          <w:p>
            <w:pPr>
              <w:pStyle w:val="31"/>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8</w:t>
      </w:r>
      <w:r>
        <w:fldChar w:fldCharType="end"/>
      </w:r>
      <w:r>
        <w:rPr>
          <w:rFonts w:hint="eastAsia"/>
        </w:rPr>
        <w:t>混凝土应变计主要技术指标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标距</w:t>
            </w:r>
          </w:p>
        </w:tc>
        <w:tc>
          <w:tcPr>
            <w:tcW w:w="3855" w:type="pct"/>
            <w:vAlign w:val="center"/>
          </w:tcPr>
          <w:p>
            <w:pPr>
              <w:pStyle w:val="31"/>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分辨率</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工作温度</w:t>
            </w:r>
          </w:p>
        </w:tc>
        <w:tc>
          <w:tcPr>
            <w:tcW w:w="3855" w:type="pct"/>
            <w:vAlign w:val="center"/>
          </w:tcPr>
          <w:p>
            <w:pPr>
              <w:pStyle w:val="31"/>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39"/>
        <w:spacing w:before="156"/>
      </w:pPr>
      <w:bookmarkStart w:id="15" w:name="_Ref200010924"/>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9</w:t>
      </w:r>
      <w:r>
        <w:fldChar w:fldCharType="end"/>
      </w:r>
      <w:bookmarkEnd w:id="15"/>
      <w:r>
        <w:rPr>
          <w:rFonts w:hint="eastAsia"/>
        </w:rPr>
        <w:t>无应力计主要技术指标</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3"/>
        <w:gridCol w:w="6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技术指标</w:t>
            </w:r>
          </w:p>
        </w:tc>
        <w:tc>
          <w:tcPr>
            <w:tcW w:w="3855" w:type="pct"/>
            <w:vAlign w:val="center"/>
          </w:tcPr>
          <w:p>
            <w:pPr>
              <w:pStyle w:val="31"/>
            </w:pPr>
            <w:r>
              <w:rPr>
                <w:rFonts w:hint="eastAsia"/>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量程</w:t>
            </w:r>
          </w:p>
        </w:tc>
        <w:tc>
          <w:tcPr>
            <w:tcW w:w="3855" w:type="pct"/>
            <w:vAlign w:val="center"/>
          </w:tcPr>
          <w:p>
            <w:pPr>
              <w:pStyle w:val="31"/>
            </w:pPr>
            <w:r>
              <w:t>拉伸1200με；压缩1200με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标距</w:t>
            </w:r>
          </w:p>
        </w:tc>
        <w:tc>
          <w:tcPr>
            <w:tcW w:w="3855" w:type="pct"/>
            <w:vAlign w:val="center"/>
          </w:tcPr>
          <w:p>
            <w:pPr>
              <w:pStyle w:val="31"/>
            </w:pPr>
            <w:r>
              <w:t>150mm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分辨率</w:t>
            </w:r>
          </w:p>
        </w:tc>
        <w:tc>
          <w:tcPr>
            <w:tcW w:w="3855" w:type="pct"/>
            <w:vAlign w:val="center"/>
          </w:tcPr>
          <w:p>
            <w:pPr>
              <w:pStyle w:val="31"/>
            </w:pPr>
            <w:r>
              <w:rPr>
                <w:rFonts w:hint="eastAsia"/>
              </w:rPr>
              <w:t>±</w:t>
            </w:r>
            <w:r>
              <w:t>0.1%F.S.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耐水压</w:t>
            </w:r>
          </w:p>
        </w:tc>
        <w:tc>
          <w:tcPr>
            <w:tcW w:w="3855" w:type="pct"/>
            <w:vAlign w:val="center"/>
          </w:tcPr>
          <w:p>
            <w:pPr>
              <w:pStyle w:val="31"/>
            </w:pPr>
            <w:r>
              <w:t>0.5MPa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rPr>
                <w:rFonts w:hint="eastAsia"/>
              </w:rPr>
              <w:t>工作温度</w:t>
            </w:r>
          </w:p>
        </w:tc>
        <w:tc>
          <w:tcPr>
            <w:tcW w:w="3855" w:type="pct"/>
            <w:vAlign w:val="center"/>
          </w:tcPr>
          <w:p>
            <w:pPr>
              <w:pStyle w:val="31"/>
            </w:pPr>
            <w:r>
              <w:t>-25</w:t>
            </w:r>
            <w:r>
              <w:rPr>
                <w:rFonts w:hint="eastAsia"/>
              </w:rPr>
              <w:t>℃～</w:t>
            </w:r>
            <w:r>
              <w:t>60</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pct"/>
            <w:vAlign w:val="center"/>
          </w:tcPr>
          <w:p>
            <w:pPr>
              <w:pStyle w:val="31"/>
            </w:pPr>
            <w:r>
              <w:t>电缆</w:t>
            </w:r>
          </w:p>
        </w:tc>
        <w:tc>
          <w:tcPr>
            <w:tcW w:w="3855" w:type="pct"/>
            <w:vAlign w:val="center"/>
          </w:tcPr>
          <w:p>
            <w:pPr>
              <w:pStyle w:val="31"/>
            </w:pPr>
            <w:r>
              <w:rPr>
                <w:rFonts w:hint="eastAsia"/>
              </w:rPr>
              <w:t>与选用仪器相配套的屏蔽电缆，电缆具有耐海水腐蚀及阻燃性能</w:t>
            </w:r>
          </w:p>
        </w:tc>
      </w:tr>
    </w:tbl>
    <w:p>
      <w:pPr>
        <w:pStyle w:val="4"/>
        <w:ind w:firstLine="560"/>
      </w:pPr>
      <w:bookmarkStart w:id="16" w:name="_Toc131102018"/>
      <w:r>
        <w:rPr>
          <w:rFonts w:hint="eastAsia"/>
        </w:rPr>
        <w:t>腐蚀监测系统</w:t>
      </w:r>
      <w:bookmarkEnd w:id="16"/>
    </w:p>
    <w:p>
      <w:pPr>
        <w:ind w:firstLine="560"/>
        <w:rPr>
          <w:rFonts w:hint="eastAsia" w:ascii="仿宋" w:hAnsi="仿宋" w:cs="Times New Roman"/>
          <w:szCs w:val="28"/>
        </w:rPr>
      </w:pPr>
      <w:r>
        <w:rPr>
          <w:rFonts w:hint="eastAsia" w:ascii="仿宋" w:hAnsi="仿宋" w:cs="Times New Roman"/>
          <w:szCs w:val="28"/>
        </w:rPr>
        <w:t>腐蚀监测系统由参比电极及其采集器组成，参比电极用于监测海上钢结构阴极防护系统的腐蚀情况，测点布置在升压站和风机所在区域的海床面和极端低水位、设计低水位之间。浙能嵊泗2号海上风电场的现场腐蚀监测系统是将参比电极置于桩体的待测点,后通过服务器对采集发出采集指令实时监测腐蚀情况。</w:t>
      </w:r>
    </w:p>
    <w:p>
      <w:pPr>
        <w:pStyle w:val="40"/>
      </w:pPr>
      <w:r>
        <w:rPr>
          <w:rFonts w:hint="eastAsia"/>
        </w:rPr>
        <w:object>
          <v:shape id="_x0000_i1025" o:spt="75" type="#_x0000_t75" style="height:255.55pt;width:415.35pt;" o:ole="t" filled="f" o:preferrelative="t" stroked="f" coordsize="21600,21600">
            <v:path/>
            <v:fill on="f" focussize="0,0"/>
            <v:stroke on="f" joinstyle="miter"/>
            <v:imagedata r:id="rId19" o:title=""/>
            <o:lock v:ext="edit" aspectratio="f"/>
            <w10:wrap type="none"/>
            <w10:anchorlock/>
          </v:shape>
          <o:OLEObject Type="Embed" ProgID="Visio.Drawing.15" ShapeID="_x0000_i1025" DrawAspect="Content" ObjectID="_1468075725" r:id="rId18">
            <o:LockedField>false</o:LockedField>
          </o:OLEObject>
        </w:object>
      </w:r>
      <w:r>
        <w:rPr>
          <w:rFonts w:hint="eastAsia"/>
        </w:rPr>
        <w:t>图3</w:t>
      </w:r>
      <w:r>
        <w:t xml:space="preserve">  </w:t>
      </w:r>
      <w:r>
        <w:rPr>
          <w:rFonts w:hint="eastAsia"/>
        </w:rPr>
        <w:t>腐蚀监测系统工作示意图</w:t>
      </w:r>
    </w:p>
    <w:p>
      <w:pPr>
        <w:ind w:firstLine="560"/>
        <w:rPr>
          <w:rFonts w:hint="eastAsia" w:ascii="仿宋" w:hAnsi="仿宋" w:cs="Times New Roman"/>
          <w:sz w:val="24"/>
        </w:rPr>
      </w:pPr>
      <w:r>
        <w:rPr>
          <w:rFonts w:hint="eastAsia" w:ascii="仿宋" w:hAnsi="仿宋" w:cs="Times New Roman"/>
          <w:szCs w:val="28"/>
        </w:rPr>
        <w:t>腐蚀监测原理通过信号线缆将各参比电极探头的电信号传输至自动化远程数据采集仪进行信号处理，将处理后的监测数据转化为电信号，使用风场内建立的通信网络将实时采集数据传输至服务器集海上风电基础腐蚀监测管理系统数据处理，展示界面显示出当前腐蚀实时情况。</w:t>
      </w:r>
    </w:p>
    <w:p>
      <w:pPr>
        <w:ind w:firstLine="560"/>
        <w:rPr>
          <w:rFonts w:hint="eastAsia" w:ascii="仿宋" w:hAnsi="仿宋" w:cs="Times New Roman"/>
          <w:szCs w:val="28"/>
        </w:rPr>
      </w:pPr>
      <w:r>
        <w:rPr>
          <w:rFonts w:hint="eastAsia" w:ascii="仿宋" w:hAnsi="仿宋" w:cs="Times New Roman"/>
          <w:szCs w:val="28"/>
        </w:rPr>
        <w:t>腐蚀监测系统基于有线信号传输数据通信方式以实现远程数据采集自动化系统投用前，先进行人工数值采集工作，将数字万用表调至“</w:t>
      </w:r>
      <w:r>
        <w:rPr>
          <w:rFonts w:ascii="仿宋" w:hAnsi="仿宋" w:cs="Times New Roman"/>
          <w:szCs w:val="28"/>
        </w:rPr>
        <w:t>2V</w:t>
      </w:r>
      <w:r>
        <w:rPr>
          <w:rFonts w:hint="eastAsia" w:ascii="仿宋" w:hAnsi="仿宋" w:cs="Times New Roman"/>
          <w:szCs w:val="28"/>
        </w:rPr>
        <w:t>”电压测量档，万用表“正极”表笔与桩体连接，“负极”表笔与参比电极连接，然后对桩体各待测点的保护电位进行人工测量记录与后期自动化采集数据进行调试对比，自动化系统框架如图4所示。</w:t>
      </w:r>
    </w:p>
    <w:p>
      <w:pPr>
        <w:pStyle w:val="40"/>
      </w:pPr>
      <w:r>
        <w:drawing>
          <wp:inline distT="0" distB="0" distL="0" distR="0">
            <wp:extent cx="5274310" cy="2370455"/>
            <wp:effectExtent l="0" t="0" r="17" b="5"/>
            <wp:docPr id="19"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51"/>
                    <pic:cNvPicPr>
                      <a:picLocks noChangeAspect="1"/>
                    </pic:cNvPicPr>
                  </pic:nvPicPr>
                  <pic:blipFill>
                    <a:blip r:embed="rId20"/>
                    <a:stretch>
                      <a:fillRect/>
                    </a:stretch>
                  </pic:blipFill>
                  <pic:spPr>
                    <a:xfrm>
                      <a:off x="0" y="0"/>
                      <a:ext cx="5274310" cy="2370455"/>
                    </a:xfrm>
                    <a:prstGeom prst="rect">
                      <a:avLst/>
                    </a:prstGeom>
                    <a:noFill/>
                    <a:ln w="9525" cap="flat" cmpd="sng">
                      <a:noFill/>
                      <a:prstDash val="solid"/>
                      <a:miter/>
                    </a:ln>
                  </pic:spPr>
                </pic:pic>
              </a:graphicData>
            </a:graphic>
          </wp:inline>
        </w:drawing>
      </w:r>
    </w:p>
    <w:p>
      <w:pPr>
        <w:pStyle w:val="40"/>
      </w:pPr>
      <w:r>
        <w:rPr>
          <w:rFonts w:hint="eastAsia"/>
        </w:rPr>
        <w:t>图4</w:t>
      </w:r>
      <w:r>
        <w:t xml:space="preserve">  </w:t>
      </w:r>
      <w:r>
        <w:rPr>
          <w:rFonts w:hint="eastAsia"/>
        </w:rPr>
        <w:t>腐蚀监测系统</w:t>
      </w:r>
    </w:p>
    <w:p>
      <w:pPr>
        <w:ind w:firstLine="560"/>
        <w:rPr>
          <w:rFonts w:hint="eastAsia" w:ascii="仿宋" w:hAnsi="仿宋" w:cs="Times New Roman"/>
          <w:szCs w:val="28"/>
        </w:rPr>
      </w:pPr>
      <w:r>
        <w:rPr>
          <w:rFonts w:hint="eastAsia" w:ascii="仿宋" w:hAnsi="仿宋" w:cs="Times New Roman"/>
          <w:szCs w:val="28"/>
        </w:rPr>
        <w:t>腐蚀监测系统由以下部分组成：</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1</w:t>
      </w:r>
      <w:r>
        <w:rPr>
          <w:rFonts w:hint="eastAsia" w:ascii="仿宋" w:hAnsi="仿宋" w:cs="Times New Roman"/>
          <w:szCs w:val="28"/>
        </w:rPr>
        <w:t>）自动化远程数据采集仪如图5所示，安装在风机上部工作平台上，主要应用于阴极保护参数远程检测和数据传输，对钢桩的保护电位、阳极输出电流等参数进行测量。智能电位采集仪采用光纤、</w:t>
      </w:r>
      <w:r>
        <w:rPr>
          <w:rFonts w:ascii="仿宋" w:hAnsi="仿宋" w:cs="Times New Roman"/>
          <w:szCs w:val="28"/>
        </w:rPr>
        <w:t>GPRS</w:t>
      </w:r>
      <w:r>
        <w:rPr>
          <w:rFonts w:hint="eastAsia" w:ascii="仿宋" w:hAnsi="仿宋" w:cs="Times New Roman"/>
          <w:szCs w:val="28"/>
        </w:rPr>
        <w:t>的方式进行通讯，根据设定的时间进行阴极保护参数采集。</w:t>
      </w:r>
    </w:p>
    <w:p>
      <w:pPr>
        <w:pStyle w:val="40"/>
      </w:pPr>
      <w:r>
        <w:drawing>
          <wp:inline distT="0" distB="0" distL="0" distR="0">
            <wp:extent cx="5052695" cy="3777615"/>
            <wp:effectExtent l="0" t="0" r="13" b="37"/>
            <wp:docPr id="21"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52"/>
                    <pic:cNvPicPr>
                      <a:picLocks noChangeAspect="1"/>
                    </pic:cNvPicPr>
                  </pic:nvPicPr>
                  <pic:blipFill>
                    <a:blip r:embed="rId21"/>
                    <a:stretch>
                      <a:fillRect/>
                    </a:stretch>
                  </pic:blipFill>
                  <pic:spPr>
                    <a:xfrm>
                      <a:off x="0" y="0"/>
                      <a:ext cx="5053329" cy="3777615"/>
                    </a:xfrm>
                    <a:prstGeom prst="rect">
                      <a:avLst/>
                    </a:prstGeom>
                    <a:noFill/>
                    <a:ln w="9525" cap="flat" cmpd="sng">
                      <a:noFill/>
                      <a:prstDash val="solid"/>
                      <a:round/>
                    </a:ln>
                  </pic:spPr>
                </pic:pic>
              </a:graphicData>
            </a:graphic>
          </wp:inline>
        </w:drawing>
      </w:r>
    </w:p>
    <w:p>
      <w:pPr>
        <w:pStyle w:val="40"/>
      </w:pPr>
      <w:r>
        <w:rPr>
          <w:rFonts w:hint="eastAsia"/>
        </w:rPr>
        <w:t>图5</w:t>
      </w:r>
      <w:r>
        <w:t xml:space="preserve">  </w:t>
      </w:r>
      <w:r>
        <w:rPr>
          <w:rFonts w:hint="eastAsia"/>
        </w:rPr>
        <w:t>腐蚀监测采集仪</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2</w:t>
      </w:r>
      <w:r>
        <w:rPr>
          <w:rFonts w:hint="eastAsia" w:ascii="仿宋" w:hAnsi="仿宋" w:cs="Times New Roman"/>
          <w:szCs w:val="28"/>
        </w:rPr>
        <w:t>）上位机集中处理软件系统：发送监控指令、接收遥测数据，进行数据分析处理，面向用户界面操作，安装在管理中心控制室内；</w:t>
      </w:r>
    </w:p>
    <w:p>
      <w:pPr>
        <w:ind w:firstLine="560"/>
        <w:rPr>
          <w:rFonts w:hint="eastAsia" w:ascii="仿宋" w:hAnsi="仿宋" w:cs="Times New Roman"/>
          <w:szCs w:val="28"/>
        </w:rPr>
      </w:pPr>
      <w:r>
        <w:rPr>
          <w:rFonts w:hint="eastAsia" w:ascii="仿宋" w:hAnsi="仿宋" w:cs="Times New Roman"/>
          <w:szCs w:val="28"/>
        </w:rPr>
        <w:t>（</w:t>
      </w:r>
      <w:r>
        <w:rPr>
          <w:rFonts w:ascii="仿宋" w:hAnsi="仿宋" w:cs="Times New Roman"/>
          <w:szCs w:val="28"/>
        </w:rPr>
        <w:t>3</w:t>
      </w:r>
      <w:r>
        <w:rPr>
          <w:rFonts w:hint="eastAsia" w:ascii="仿宋" w:hAnsi="仿宋" w:cs="Times New Roman"/>
          <w:szCs w:val="28"/>
        </w:rPr>
        <w:t>）监测探头及其配件：安装在钢管桩上，由参比电极、接线箱、阳极绝缘支架、电缆护管及卡具组成。</w:t>
      </w:r>
    </w:p>
    <w:p>
      <w:pPr>
        <w:pStyle w:val="4"/>
        <w:ind w:firstLine="560"/>
      </w:pPr>
      <w:r>
        <w:t>监测软件系统</w:t>
      </w:r>
    </w:p>
    <w:p>
      <w:pPr>
        <w:ind w:firstLine="560"/>
        <w:rPr>
          <w:rFonts w:hint="eastAsia" w:ascii="仿宋" w:hAnsi="仿宋" w:cs="Times New Roman"/>
          <w:szCs w:val="28"/>
        </w:rPr>
      </w:pPr>
      <w:r>
        <w:rPr>
          <w:rFonts w:hint="eastAsia" w:ascii="仿宋" w:hAnsi="仿宋" w:cs="Times New Roman"/>
          <w:szCs w:val="28"/>
        </w:rPr>
        <w:t>监测系统辅助软件：USR-TCP232-E45，软件开发单位：河北振创电子科技有限公司；</w:t>
      </w:r>
    </w:p>
    <w:p>
      <w:pPr>
        <w:ind w:firstLine="560"/>
        <w:rPr>
          <w:rFonts w:hint="eastAsia" w:ascii="仿宋" w:hAnsi="仿宋" w:cs="Times New Roman"/>
          <w:szCs w:val="28"/>
        </w:rPr>
      </w:pPr>
      <w:r>
        <w:rPr>
          <w:rFonts w:ascii="仿宋" w:hAnsi="仿宋" w:cs="Times New Roman"/>
          <w:szCs w:val="28"/>
        </w:rPr>
        <w:t>动态监测系统软件：</w:t>
      </w:r>
      <w:r>
        <w:rPr>
          <w:rFonts w:hint="eastAsia" w:ascii="仿宋" w:hAnsi="仿宋" w:cs="Times New Roman"/>
          <w:szCs w:val="28"/>
        </w:rPr>
        <w:t>风机安全监测与预警系统，软件开发单位：河北振创电子科技有限公司；</w:t>
      </w:r>
    </w:p>
    <w:p>
      <w:pPr>
        <w:ind w:firstLine="560"/>
        <w:rPr>
          <w:rFonts w:hint="eastAsia" w:ascii="仿宋" w:hAnsi="仿宋" w:cs="Times New Roman"/>
          <w:szCs w:val="28"/>
        </w:rPr>
      </w:pPr>
      <w:r>
        <w:rPr>
          <w:rFonts w:hint="eastAsia" w:ascii="仿宋" w:hAnsi="仿宋" w:cs="Times New Roman"/>
          <w:szCs w:val="28"/>
        </w:rPr>
        <w:t>静态监测:</w:t>
      </w:r>
      <w:r>
        <w:rPr>
          <w:rFonts w:hint="eastAsia" w:ascii="仿宋" w:hAnsi="仿宋"/>
          <w:szCs w:val="28"/>
        </w:rPr>
        <w:t xml:space="preserve"> </w:t>
      </w:r>
      <w:r>
        <w:rPr>
          <w:rFonts w:hint="eastAsia" w:ascii="仿宋" w:hAnsi="仿宋" w:cs="Times New Roman"/>
          <w:szCs w:val="28"/>
        </w:rPr>
        <w:t>DG 型大坝安全监测自动化系统数据采集软件，软件开发单位：江苏南水科技有限公司；</w:t>
      </w:r>
    </w:p>
    <w:p>
      <w:pPr>
        <w:ind w:firstLine="560"/>
        <w:rPr>
          <w:rFonts w:hint="eastAsia" w:ascii="仿宋" w:hAnsi="仿宋" w:cs="Times New Roman"/>
          <w:szCs w:val="28"/>
        </w:rPr>
      </w:pPr>
      <w:r>
        <w:rPr>
          <w:rFonts w:hint="eastAsia" w:ascii="仿宋" w:hAnsi="仿宋" w:cs="Times New Roman"/>
          <w:szCs w:val="28"/>
        </w:rPr>
        <w:t>腐蚀监测：海上风电基础腐蚀监测管理系统，软件开发单位：青岛双瑞海洋环境工程股份有限公司。</w:t>
      </w:r>
    </w:p>
    <w:p>
      <w:pPr>
        <w:pStyle w:val="4"/>
        <w:ind w:firstLine="560"/>
      </w:pPr>
      <w:r>
        <w:rPr>
          <w:rFonts w:hint="eastAsia"/>
        </w:rPr>
        <w:t>塔筒姿态监测系统介绍</w:t>
      </w:r>
    </w:p>
    <w:p>
      <w:pPr>
        <w:ind w:firstLine="560"/>
      </w:pPr>
      <w:r>
        <w:t>HPW8000</w:t>
      </w:r>
      <w:r>
        <w:rPr>
          <w:rFonts w:hint="eastAsia"/>
        </w:rPr>
        <w:t>风机全状态监测系统适用于各类型风机，可实时监测风机塔筒的底部应变（载荷）、晃动、倾斜度、基础不均匀沉降等状态，及时发现塔筒的潜在故障，提供设备的实时预警及报警，避免重大安全事故的发生；同时系统可兼容传动链、叶片的监测数据，为风机全状态监测及大数据分析提供数据支撑。根据风机的特点及运行要求，提出了以北京浩朴科技有限公司（</w:t>
      </w:r>
      <w:r>
        <w:t>HP Tech</w:t>
      </w:r>
      <w:r>
        <w:rPr>
          <w:rFonts w:hint="eastAsia"/>
        </w:rPr>
        <w:t>）全状态监测系统及配套硬件为基础的完整解决方案和系统构架方案。全厂共38台风机安装了塔筒姿态监测系统。</w:t>
      </w:r>
    </w:p>
    <w:p>
      <w:pPr>
        <w:ind w:firstLine="560"/>
      </w:pPr>
      <w:r>
        <w:rPr>
          <w:rFonts w:hint="eastAsia"/>
        </w:rPr>
        <w:t>风机塔筒应变、安全及基础沉降监测系统选取塔筒底部安装光纤光栅应变传感器用于测量塔筒应变（载荷）；在塔筒顶端、底部两个合适的端面安装特制用于塔筒状态监测的传感器，可实时监测塔筒的形变量，并采用空间三维拟合算法描绘出塔筒的实际空间运行姿态，系统可对塔筒载荷、倾斜度、不均匀沉降、晃动量等进行预警，避免倒塔等重大事故的发生。</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3.3</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10</w:t>
      </w:r>
      <w:r>
        <w:fldChar w:fldCharType="end"/>
      </w:r>
      <w:r>
        <w:rPr>
          <w:rFonts w:hint="eastAsia"/>
        </w:rPr>
        <w:t xml:space="preserve"> 塔筒姿态监测系统配置清单</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1486"/>
        <w:gridCol w:w="735"/>
        <w:gridCol w:w="737"/>
        <w:gridCol w:w="4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479" w:type="pct"/>
            <w:vAlign w:val="center"/>
          </w:tcPr>
          <w:p>
            <w:pPr>
              <w:pStyle w:val="31"/>
              <w:widowControl w:val="0"/>
            </w:pPr>
            <w:r>
              <w:rPr>
                <w:rFonts w:hint="eastAsia"/>
              </w:rPr>
              <w:t>序号</w:t>
            </w:r>
          </w:p>
        </w:tc>
        <w:tc>
          <w:tcPr>
            <w:tcW w:w="871" w:type="pct"/>
            <w:vAlign w:val="center"/>
          </w:tcPr>
          <w:p>
            <w:pPr>
              <w:pStyle w:val="31"/>
              <w:widowControl w:val="0"/>
            </w:pPr>
            <w:r>
              <w:rPr>
                <w:rFonts w:hint="eastAsia"/>
              </w:rPr>
              <w:t>名称</w:t>
            </w:r>
          </w:p>
        </w:tc>
        <w:tc>
          <w:tcPr>
            <w:tcW w:w="431" w:type="pct"/>
            <w:vAlign w:val="center"/>
          </w:tcPr>
          <w:p>
            <w:pPr>
              <w:pStyle w:val="31"/>
              <w:widowControl w:val="0"/>
            </w:pPr>
            <w:r>
              <w:rPr>
                <w:rFonts w:hint="eastAsia"/>
              </w:rPr>
              <w:t>数量</w:t>
            </w:r>
          </w:p>
        </w:tc>
        <w:tc>
          <w:tcPr>
            <w:tcW w:w="432" w:type="pct"/>
            <w:vAlign w:val="center"/>
          </w:tcPr>
          <w:p>
            <w:pPr>
              <w:pStyle w:val="31"/>
              <w:widowControl w:val="0"/>
            </w:pPr>
            <w:r>
              <w:rPr>
                <w:rFonts w:hint="eastAsia"/>
              </w:rPr>
              <w:t>单位</w:t>
            </w:r>
          </w:p>
        </w:tc>
        <w:tc>
          <w:tcPr>
            <w:tcW w:w="2787" w:type="pct"/>
            <w:noWrap/>
            <w:vAlign w:val="center"/>
          </w:tcPr>
          <w:p>
            <w:pPr>
              <w:pStyle w:val="31"/>
              <w:widowControl w:val="0"/>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5000" w:type="pct"/>
            <w:gridSpan w:val="5"/>
            <w:noWrap/>
            <w:vAlign w:val="center"/>
          </w:tcPr>
          <w:p>
            <w:pPr>
              <w:pStyle w:val="31"/>
              <w:widowControl w:val="0"/>
            </w:pPr>
            <w:r>
              <w:rPr>
                <w:rFonts w:hint="eastAsia"/>
              </w:rPr>
              <w:t>塔</w:t>
            </w:r>
            <w:r>
              <w:t>筒配置</w:t>
            </w:r>
            <w:r>
              <w:rPr>
                <w:rFonts w:hint="eastAsia"/>
              </w:rPr>
              <w:t>（单台</w:t>
            </w:r>
            <w:r>
              <w:t>机组）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t>1</w:t>
            </w:r>
          </w:p>
        </w:tc>
        <w:tc>
          <w:tcPr>
            <w:tcW w:w="871" w:type="pct"/>
            <w:vAlign w:val="center"/>
          </w:tcPr>
          <w:p>
            <w:pPr>
              <w:pStyle w:val="31"/>
              <w:widowControl w:val="0"/>
            </w:pPr>
            <w:r>
              <w:rPr>
                <w:rFonts w:hint="eastAsia"/>
              </w:rPr>
              <w:t>塔筒晃动传感器</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个</w:t>
            </w:r>
          </w:p>
        </w:tc>
        <w:tc>
          <w:tcPr>
            <w:tcW w:w="2787" w:type="pct"/>
            <w:vAlign w:val="center"/>
          </w:tcPr>
          <w:p>
            <w:pPr>
              <w:pStyle w:val="31"/>
              <w:widowControl w:val="0"/>
            </w:pPr>
            <w:r>
              <w:rPr>
                <w:rFonts w:hint="eastAsia"/>
              </w:rPr>
              <w:t>双向加速度带陀螺仪、温度测量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t>2</w:t>
            </w:r>
          </w:p>
        </w:tc>
        <w:tc>
          <w:tcPr>
            <w:tcW w:w="871" w:type="pct"/>
            <w:vAlign w:val="center"/>
          </w:tcPr>
          <w:p>
            <w:pPr>
              <w:pStyle w:val="31"/>
              <w:widowControl w:val="0"/>
            </w:pPr>
            <w:r>
              <w:rPr>
                <w:rFonts w:hint="eastAsia"/>
              </w:rPr>
              <w:t>塔筒沉降传感器</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个</w:t>
            </w:r>
          </w:p>
        </w:tc>
        <w:tc>
          <w:tcPr>
            <w:tcW w:w="2787" w:type="pct"/>
            <w:vAlign w:val="center"/>
          </w:tcPr>
          <w:p>
            <w:pPr>
              <w:pStyle w:val="31"/>
              <w:widowControl w:val="0"/>
            </w:pPr>
            <w:r>
              <w:rPr>
                <w:rFonts w:hint="eastAsia"/>
              </w:rPr>
              <w:t>双向加速度、带温度测量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rPr>
                <w:rFonts w:hint="eastAsia"/>
              </w:rPr>
              <w:t>3</w:t>
            </w:r>
          </w:p>
        </w:tc>
        <w:tc>
          <w:tcPr>
            <w:tcW w:w="871" w:type="pct"/>
            <w:vAlign w:val="center"/>
          </w:tcPr>
          <w:p>
            <w:pPr>
              <w:pStyle w:val="31"/>
              <w:widowControl w:val="0"/>
            </w:pPr>
            <w:r>
              <w:rPr>
                <w:rFonts w:hint="eastAsia"/>
              </w:rPr>
              <w:t>采集器</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台</w:t>
            </w:r>
          </w:p>
        </w:tc>
        <w:tc>
          <w:tcPr>
            <w:tcW w:w="2787" w:type="pct"/>
            <w:vAlign w:val="center"/>
          </w:tcPr>
          <w:p>
            <w:pPr>
              <w:pStyle w:val="31"/>
              <w:widowControl w:val="0"/>
            </w:pPr>
            <w:r>
              <w:rPr>
                <w:rFonts w:hint="eastAsia"/>
              </w:rPr>
              <w:t>塔筒数据采集器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tcPr>
          <w:p>
            <w:pPr>
              <w:pStyle w:val="31"/>
              <w:widowControl w:val="0"/>
            </w:pPr>
            <w:r>
              <w:t>4</w:t>
            </w:r>
          </w:p>
        </w:tc>
        <w:tc>
          <w:tcPr>
            <w:tcW w:w="871" w:type="pct"/>
          </w:tcPr>
          <w:p>
            <w:pPr>
              <w:pStyle w:val="31"/>
              <w:widowControl w:val="0"/>
            </w:pPr>
            <w:r>
              <w:rPr>
                <w:rFonts w:hint="eastAsia"/>
              </w:rPr>
              <w:t>安装</w:t>
            </w:r>
            <w:r>
              <w:t>辅料</w:t>
            </w:r>
          </w:p>
        </w:tc>
        <w:tc>
          <w:tcPr>
            <w:tcW w:w="431" w:type="pct"/>
          </w:tcPr>
          <w:p>
            <w:pPr>
              <w:pStyle w:val="31"/>
              <w:widowControl w:val="0"/>
            </w:pPr>
            <w:r>
              <w:t>1</w:t>
            </w:r>
          </w:p>
        </w:tc>
        <w:tc>
          <w:tcPr>
            <w:tcW w:w="432" w:type="pct"/>
          </w:tcPr>
          <w:p>
            <w:pPr>
              <w:pStyle w:val="31"/>
              <w:widowControl w:val="0"/>
            </w:pPr>
            <w:r>
              <w:rPr>
                <w:rFonts w:hint="eastAsia"/>
              </w:rPr>
              <w:t>套</w:t>
            </w:r>
          </w:p>
        </w:tc>
        <w:tc>
          <w:tcPr>
            <w:tcW w:w="2787" w:type="pct"/>
          </w:tcPr>
          <w:p>
            <w:pPr>
              <w:pStyle w:val="31"/>
              <w:widowControl w:val="0"/>
            </w:pPr>
            <w:r>
              <w:rPr>
                <w:rFonts w:hint="eastAsia"/>
              </w:rPr>
              <w:t>包括空开、24V开关电源，交换机</w:t>
            </w:r>
            <w:r>
              <w:t>、扎带</w:t>
            </w:r>
            <w:r>
              <w:rPr>
                <w:rFonts w:hint="eastAsia"/>
              </w:rPr>
              <w:t>、网线、电源线</w:t>
            </w:r>
            <w: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5000" w:type="pct"/>
            <w:gridSpan w:val="5"/>
            <w:vAlign w:val="center"/>
          </w:tcPr>
          <w:p>
            <w:pPr>
              <w:pStyle w:val="31"/>
              <w:widowControl w:val="0"/>
            </w:pPr>
            <w:r>
              <w:rPr>
                <w:rFonts w:hint="eastAsia"/>
              </w:rPr>
              <w:t>升压</w:t>
            </w:r>
            <w:r>
              <w:t>站</w:t>
            </w:r>
            <w:r>
              <w:rPr>
                <w:rFonts w:hint="eastAsia"/>
              </w:rPr>
              <w:t>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t>5</w:t>
            </w:r>
          </w:p>
        </w:tc>
        <w:tc>
          <w:tcPr>
            <w:tcW w:w="871" w:type="pct"/>
            <w:vAlign w:val="center"/>
          </w:tcPr>
          <w:p>
            <w:pPr>
              <w:pStyle w:val="31"/>
              <w:widowControl w:val="0"/>
            </w:pPr>
            <w:r>
              <w:t>服务器</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台</w:t>
            </w:r>
          </w:p>
        </w:tc>
        <w:tc>
          <w:tcPr>
            <w:tcW w:w="2787" w:type="pct"/>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t>6</w:t>
            </w:r>
          </w:p>
        </w:tc>
        <w:tc>
          <w:tcPr>
            <w:tcW w:w="871" w:type="pct"/>
            <w:vAlign w:val="center"/>
          </w:tcPr>
          <w:p>
            <w:pPr>
              <w:pStyle w:val="31"/>
              <w:widowControl w:val="0"/>
            </w:pPr>
            <w:r>
              <w:rPr>
                <w:rFonts w:hint="eastAsia"/>
              </w:rPr>
              <w:t>监测</w:t>
            </w:r>
            <w:r>
              <w:t>软件</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套</w:t>
            </w:r>
          </w:p>
        </w:tc>
        <w:tc>
          <w:tcPr>
            <w:tcW w:w="2787" w:type="pct"/>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479" w:type="pct"/>
            <w:vAlign w:val="center"/>
          </w:tcPr>
          <w:p>
            <w:pPr>
              <w:pStyle w:val="31"/>
              <w:widowControl w:val="0"/>
            </w:pPr>
            <w:r>
              <w:t>7</w:t>
            </w:r>
          </w:p>
        </w:tc>
        <w:tc>
          <w:tcPr>
            <w:tcW w:w="871" w:type="pct"/>
            <w:vAlign w:val="center"/>
          </w:tcPr>
          <w:p>
            <w:pPr>
              <w:pStyle w:val="31"/>
              <w:widowControl w:val="0"/>
            </w:pPr>
            <w:r>
              <w:rPr>
                <w:rFonts w:hint="eastAsia"/>
              </w:rPr>
              <w:t>配套线缆</w:t>
            </w:r>
          </w:p>
        </w:tc>
        <w:tc>
          <w:tcPr>
            <w:tcW w:w="431" w:type="pct"/>
            <w:vAlign w:val="center"/>
          </w:tcPr>
          <w:p>
            <w:pPr>
              <w:pStyle w:val="31"/>
              <w:widowControl w:val="0"/>
            </w:pPr>
            <w:r>
              <w:rPr>
                <w:rFonts w:hint="eastAsia"/>
              </w:rPr>
              <w:t>1</w:t>
            </w:r>
          </w:p>
        </w:tc>
        <w:tc>
          <w:tcPr>
            <w:tcW w:w="432" w:type="pct"/>
            <w:vAlign w:val="center"/>
          </w:tcPr>
          <w:p>
            <w:pPr>
              <w:pStyle w:val="31"/>
              <w:widowControl w:val="0"/>
            </w:pPr>
            <w:r>
              <w:rPr>
                <w:rFonts w:hint="eastAsia"/>
              </w:rPr>
              <w:t>套</w:t>
            </w:r>
          </w:p>
        </w:tc>
        <w:tc>
          <w:tcPr>
            <w:tcW w:w="2787" w:type="pct"/>
            <w:vAlign w:val="center"/>
          </w:tcPr>
          <w:p>
            <w:pPr>
              <w:pStyle w:val="31"/>
              <w:widowControl w:val="0"/>
            </w:pPr>
            <w:r>
              <w:rPr>
                <w:rFonts w:hint="eastAsia"/>
              </w:rPr>
              <w:t>包括</w:t>
            </w:r>
            <w:r>
              <w:t>网线、电源线等</w:t>
            </w:r>
          </w:p>
        </w:tc>
      </w:tr>
    </w:tbl>
    <w:p>
      <w:pPr>
        <w:pStyle w:val="3"/>
        <w:ind w:firstLine="562"/>
      </w:pPr>
      <w:bookmarkStart w:id="17" w:name="_Hlk199946098"/>
      <w:r>
        <w:rPr>
          <w:rFonts w:hint="eastAsia"/>
        </w:rPr>
        <w:t>高桩承台风机基础不均匀沉降监测方法</w:t>
      </w:r>
    </w:p>
    <w:bookmarkEnd w:id="17"/>
    <w:p>
      <w:pPr>
        <w:ind w:firstLine="560"/>
      </w:pPr>
      <w:bookmarkStart w:id="18" w:name="_Hlk199946128"/>
      <w:r>
        <w:rPr>
          <w:rFonts w:hint="eastAsia"/>
        </w:rPr>
        <w:t>本次招标内容为</w:t>
      </w:r>
      <w:bookmarkEnd w:id="18"/>
      <w:r>
        <w:rPr>
          <w:rFonts w:hint="eastAsia"/>
        </w:rPr>
        <w:t>对高桩承台形式的37台风机基础进行不均匀沉降监测，每台风机布置四个水准点，</w:t>
      </w:r>
      <w:r>
        <w:t>以风机塔筒门处水准点作为起始点BM1，以逆时针方向每90°选择一个点位，分别为BM2、BM3、BM4，</w:t>
      </w:r>
      <w:r>
        <w:rPr>
          <w:rFonts w:hint="eastAsia"/>
        </w:rPr>
        <w:t>通过测量各水准点间高差相对变化来判定风机的不均匀沉降情况</w:t>
      </w:r>
      <w:r>
        <w:t>。</w:t>
      </w:r>
    </w:p>
    <w:p>
      <w:pPr>
        <w:pStyle w:val="3"/>
        <w:ind w:firstLine="562"/>
      </w:pPr>
      <w:bookmarkStart w:id="19" w:name="_Hlk199946144"/>
      <w:r>
        <w:rPr>
          <w:rFonts w:hint="eastAsia"/>
        </w:rPr>
        <w:t>牺牲阳极电位检测方法</w:t>
      </w:r>
    </w:p>
    <w:bookmarkEnd w:id="19"/>
    <w:p>
      <w:pPr>
        <w:ind w:firstLine="560"/>
      </w:pPr>
      <w:r>
        <w:rPr>
          <w:rFonts w:hint="eastAsia"/>
        </w:rPr>
        <w:t>本次招标的牺牲阳极电位检测为全部74台风机牺牲阳极电位人工检测。</w:t>
      </w:r>
    </w:p>
    <w:p>
      <w:pPr>
        <w:pStyle w:val="3"/>
        <w:ind w:firstLine="562"/>
      </w:pPr>
      <w:r>
        <w:rPr>
          <w:rFonts w:hint="eastAsia"/>
        </w:rPr>
        <w:t>陆上计量站沉降监测点位布置情况</w:t>
      </w:r>
    </w:p>
    <w:p>
      <w:pPr>
        <w:widowControl/>
        <w:ind w:firstLine="490" w:firstLineChars="175"/>
        <w:jc w:val="left"/>
        <w:rPr>
          <w:rFonts w:hint="eastAsia" w:ascii="仿宋" w:hAnsi="仿宋" w:cs="Times New Roman"/>
          <w:szCs w:val="28"/>
        </w:rPr>
      </w:pPr>
      <w:r>
        <w:rPr>
          <w:rFonts w:hint="eastAsia" w:ascii="仿宋" w:hAnsi="仿宋" w:cs="Times New Roman"/>
          <w:szCs w:val="28"/>
        </w:rPr>
        <w:t>陆上计量站位于独山港拟建 8#码头的海堤内侧区域内，距离海堤约100m。陆上计量站内布置 GIS 楼、无功补偿楼、生产楼、值班楼、消防楼、门卫等建（构）筑物，总建筑面积4012.94m2。陆上计量站各建筑物沉降监测点包含：GIS楼12个点，高站变、电抗器区域24个点，无功补偿楼10个点，生产楼4个点，值班楼4个点，消防楼8个点，门卫4个点，共计66个点位。</w:t>
      </w:r>
    </w:p>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嘉兴1号陆上计量站基础沉降监测基准点信息</w:t>
      </w:r>
    </w:p>
    <w:tbl>
      <w:tblPr>
        <w:tblStyle w:val="19"/>
        <w:tblW w:w="53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7"/>
        <w:gridCol w:w="3618"/>
        <w:gridCol w:w="711"/>
        <w:gridCol w:w="2124"/>
        <w:gridCol w:w="1551"/>
        <w:gridCol w:w="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624" w:hRule="atLeast"/>
        </w:trPr>
        <w:tc>
          <w:tcPr>
            <w:tcW w:w="568" w:type="pct"/>
            <w:vAlign w:val="center"/>
          </w:tcPr>
          <w:p>
            <w:pPr>
              <w:pStyle w:val="31"/>
              <w:widowControl w:val="0"/>
            </w:pPr>
            <w:r>
              <w:rPr>
                <w:rFonts w:hint="eastAsia"/>
              </w:rPr>
              <w:t>点号</w:t>
            </w:r>
          </w:p>
        </w:tc>
        <w:tc>
          <w:tcPr>
            <w:tcW w:w="2394" w:type="pct"/>
            <w:gridSpan w:val="2"/>
            <w:vAlign w:val="center"/>
          </w:tcPr>
          <w:p>
            <w:pPr>
              <w:pStyle w:val="31"/>
              <w:widowControl w:val="0"/>
            </w:pPr>
            <w:r>
              <w:rPr>
                <w:rFonts w:hint="eastAsia"/>
              </w:rPr>
              <w:t>位置</w:t>
            </w:r>
          </w:p>
        </w:tc>
        <w:tc>
          <w:tcPr>
            <w:tcW w:w="1175" w:type="pct"/>
            <w:vAlign w:val="center"/>
          </w:tcPr>
          <w:p>
            <w:pPr>
              <w:pStyle w:val="31"/>
              <w:widowControl w:val="0"/>
            </w:pPr>
            <w:r>
              <w:t>联测高程（m）</w:t>
            </w:r>
          </w:p>
        </w:tc>
        <w:tc>
          <w:tcPr>
            <w:tcW w:w="858" w:type="pct"/>
            <w:vAlign w:val="center"/>
          </w:tcPr>
          <w:p>
            <w:pPr>
              <w:pStyle w:val="31"/>
              <w:widowControl w:val="0"/>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624" w:hRule="atLeast"/>
        </w:trPr>
        <w:tc>
          <w:tcPr>
            <w:tcW w:w="568" w:type="pct"/>
            <w:vAlign w:val="center"/>
          </w:tcPr>
          <w:p>
            <w:pPr>
              <w:pStyle w:val="31"/>
              <w:widowControl w:val="0"/>
            </w:pPr>
            <w:r>
              <w:rPr>
                <w:rFonts w:hint="eastAsia"/>
              </w:rPr>
              <w:t>J</w:t>
            </w:r>
            <w:r>
              <w:t>D1</w:t>
            </w:r>
          </w:p>
        </w:tc>
        <w:tc>
          <w:tcPr>
            <w:tcW w:w="2394" w:type="pct"/>
            <w:gridSpan w:val="2"/>
            <w:vAlign w:val="center"/>
          </w:tcPr>
          <w:p>
            <w:pPr>
              <w:pStyle w:val="31"/>
              <w:widowControl w:val="0"/>
            </w:pPr>
            <w:r>
              <w:rPr>
                <w:rFonts w:hint="eastAsia"/>
              </w:rPr>
              <w:t>位于陆上计量站北侧堤坝截面上</w:t>
            </w:r>
          </w:p>
        </w:tc>
        <w:tc>
          <w:tcPr>
            <w:tcW w:w="1175" w:type="pct"/>
            <w:vAlign w:val="center"/>
          </w:tcPr>
          <w:p>
            <w:pPr>
              <w:pStyle w:val="31"/>
              <w:widowControl w:val="0"/>
            </w:pPr>
            <w:r>
              <w:t>5.0154</w:t>
            </w:r>
          </w:p>
        </w:tc>
        <w:tc>
          <w:tcPr>
            <w:tcW w:w="858" w:type="pct"/>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624" w:hRule="atLeast"/>
        </w:trPr>
        <w:tc>
          <w:tcPr>
            <w:tcW w:w="568" w:type="pct"/>
            <w:vAlign w:val="center"/>
          </w:tcPr>
          <w:p>
            <w:pPr>
              <w:pStyle w:val="31"/>
              <w:widowControl w:val="0"/>
            </w:pPr>
            <w:r>
              <w:rPr>
                <w:rFonts w:hint="eastAsia"/>
              </w:rPr>
              <w:t>J</w:t>
            </w:r>
            <w:r>
              <w:t>D2</w:t>
            </w:r>
          </w:p>
        </w:tc>
        <w:tc>
          <w:tcPr>
            <w:tcW w:w="2394" w:type="pct"/>
            <w:gridSpan w:val="2"/>
            <w:vAlign w:val="center"/>
          </w:tcPr>
          <w:p>
            <w:pPr>
              <w:pStyle w:val="31"/>
              <w:widowControl w:val="0"/>
            </w:pPr>
            <w:r>
              <w:rPr>
                <w:rFonts w:hint="eastAsia"/>
              </w:rPr>
              <w:t>位于陆上计量站北侧堤坝顶部</w:t>
            </w:r>
          </w:p>
        </w:tc>
        <w:tc>
          <w:tcPr>
            <w:tcW w:w="1175" w:type="pct"/>
            <w:vAlign w:val="center"/>
          </w:tcPr>
          <w:p>
            <w:pPr>
              <w:pStyle w:val="31"/>
              <w:widowControl w:val="0"/>
            </w:pPr>
            <w:r>
              <w:t>6.9598</w:t>
            </w:r>
          </w:p>
        </w:tc>
        <w:tc>
          <w:tcPr>
            <w:tcW w:w="858" w:type="pct"/>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624" w:hRule="atLeast"/>
        </w:trPr>
        <w:tc>
          <w:tcPr>
            <w:tcW w:w="568" w:type="pct"/>
            <w:vAlign w:val="center"/>
          </w:tcPr>
          <w:p>
            <w:pPr>
              <w:pStyle w:val="31"/>
              <w:widowControl w:val="0"/>
            </w:pPr>
            <w:r>
              <w:rPr>
                <w:rFonts w:hint="eastAsia"/>
              </w:rPr>
              <w:t>J</w:t>
            </w:r>
            <w:r>
              <w:t>D3</w:t>
            </w:r>
          </w:p>
        </w:tc>
        <w:tc>
          <w:tcPr>
            <w:tcW w:w="2394" w:type="pct"/>
            <w:gridSpan w:val="2"/>
            <w:vAlign w:val="center"/>
          </w:tcPr>
          <w:p>
            <w:pPr>
              <w:pStyle w:val="31"/>
              <w:widowControl w:val="0"/>
            </w:pPr>
            <w:r>
              <w:rPr>
                <w:rFonts w:hint="eastAsia"/>
              </w:rPr>
              <w:t>位于陆上计量站西北侧电塔底部承台</w:t>
            </w:r>
          </w:p>
        </w:tc>
        <w:tc>
          <w:tcPr>
            <w:tcW w:w="1175" w:type="pct"/>
            <w:vAlign w:val="center"/>
          </w:tcPr>
          <w:p>
            <w:pPr>
              <w:pStyle w:val="31"/>
              <w:widowControl w:val="0"/>
            </w:pPr>
            <w:r>
              <w:t>4.1954</w:t>
            </w:r>
          </w:p>
        </w:tc>
        <w:tc>
          <w:tcPr>
            <w:tcW w:w="858" w:type="pct"/>
            <w:vAlign w:val="center"/>
          </w:tcPr>
          <w:p>
            <w:pPr>
              <w:pStyle w:val="31"/>
              <w:widowControl w:val="0"/>
            </w:pPr>
            <w:r>
              <w:rPr>
                <w:rFonts w:hint="eastAsia"/>
              </w:rPr>
              <w:t>起算点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5" w:type="pct"/>
          <w:trHeight w:val="624" w:hRule="atLeast"/>
        </w:trPr>
        <w:tc>
          <w:tcPr>
            <w:tcW w:w="568" w:type="pct"/>
            <w:vAlign w:val="center"/>
          </w:tcPr>
          <w:p>
            <w:pPr>
              <w:pStyle w:val="31"/>
              <w:widowControl w:val="0"/>
            </w:pPr>
            <w:r>
              <w:rPr>
                <w:rFonts w:hint="eastAsia"/>
              </w:rPr>
              <w:t>J</w:t>
            </w:r>
            <w:r>
              <w:t>D4</w:t>
            </w:r>
          </w:p>
        </w:tc>
        <w:tc>
          <w:tcPr>
            <w:tcW w:w="2394" w:type="pct"/>
            <w:gridSpan w:val="2"/>
            <w:vAlign w:val="center"/>
          </w:tcPr>
          <w:p>
            <w:pPr>
              <w:pStyle w:val="31"/>
              <w:widowControl w:val="0"/>
            </w:pPr>
            <w:r>
              <w:rPr>
                <w:rFonts w:hint="eastAsia"/>
              </w:rPr>
              <w:t>位于陆上计量站南侧土地上</w:t>
            </w:r>
          </w:p>
        </w:tc>
        <w:tc>
          <w:tcPr>
            <w:tcW w:w="1175" w:type="pct"/>
            <w:vAlign w:val="center"/>
          </w:tcPr>
          <w:p>
            <w:pPr>
              <w:pStyle w:val="31"/>
              <w:widowControl w:val="0"/>
            </w:pPr>
            <w:r>
              <w:t>3.6174</w:t>
            </w:r>
          </w:p>
        </w:tc>
        <w:tc>
          <w:tcPr>
            <w:tcW w:w="858" w:type="pct"/>
            <w:vAlign w:val="center"/>
          </w:tcPr>
          <w:p>
            <w:pPr>
              <w:pStyle w:val="31"/>
              <w:widowControl w:val="0"/>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69" w:type="pct"/>
            <w:gridSpan w:val="2"/>
            <w:vAlign w:val="center"/>
          </w:tcPr>
          <w:p>
            <w:pPr>
              <w:pStyle w:val="31"/>
              <w:widowControl w:val="0"/>
            </w:pPr>
            <w:r>
              <w:drawing>
                <wp:inline distT="0" distB="0" distL="0" distR="0">
                  <wp:extent cx="2591435" cy="1942465"/>
                  <wp:effectExtent l="0" t="0" r="0" b="635"/>
                  <wp:docPr id="2" name="图片 4" descr="C:\Users\hdec\Desktop\嘉兴1号陆上计量站沉降新布基准点照片20231213\微信图片_20231219181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C:\Users\hdec\Desktop\嘉兴1号陆上计量站沉降新布基准点照片20231213\微信图片_2023121918113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92000" cy="1942782"/>
                          </a:xfrm>
                          <a:prstGeom prst="rect">
                            <a:avLst/>
                          </a:prstGeom>
                          <a:noFill/>
                          <a:ln>
                            <a:noFill/>
                          </a:ln>
                        </pic:spPr>
                      </pic:pic>
                    </a:graphicData>
                  </a:graphic>
                </wp:inline>
              </w:drawing>
            </w:r>
          </w:p>
        </w:tc>
        <w:tc>
          <w:tcPr>
            <w:tcW w:w="2431" w:type="pct"/>
            <w:gridSpan w:val="4"/>
            <w:vAlign w:val="center"/>
          </w:tcPr>
          <w:p>
            <w:pPr>
              <w:pStyle w:val="31"/>
              <w:widowControl w:val="0"/>
            </w:pPr>
            <w:r>
              <w:drawing>
                <wp:inline distT="0" distB="0" distL="0" distR="0">
                  <wp:extent cx="2591435" cy="1942465"/>
                  <wp:effectExtent l="0" t="0" r="0" b="635"/>
                  <wp:docPr id="3" name="图片 26" descr="C:\Users\hdec\Desktop\嘉兴1号陆上计量站沉降新布基准点照片20231213\微信图片_2023121918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6" descr="C:\Users\hdec\Desktop\嘉兴1号陆上计量站沉降新布基准点照片20231213\微信图片_2023121918114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592000" cy="1942782"/>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69" w:type="pct"/>
            <w:gridSpan w:val="2"/>
            <w:vAlign w:val="center"/>
          </w:tcPr>
          <w:p>
            <w:pPr>
              <w:pStyle w:val="31"/>
              <w:widowControl w:val="0"/>
            </w:pPr>
            <w:r>
              <w:rPr>
                <w:rFonts w:hint="eastAsia"/>
              </w:rPr>
              <w:t>基准点</w:t>
            </w:r>
            <w:r>
              <w:t>JD1</w:t>
            </w:r>
            <w:r>
              <w:rPr>
                <w:rFonts w:hint="eastAsia"/>
              </w:rPr>
              <w:t>现场照片</w:t>
            </w:r>
          </w:p>
        </w:tc>
        <w:tc>
          <w:tcPr>
            <w:tcW w:w="2431" w:type="pct"/>
            <w:gridSpan w:val="4"/>
            <w:vAlign w:val="center"/>
          </w:tcPr>
          <w:p>
            <w:pPr>
              <w:pStyle w:val="31"/>
              <w:widowControl w:val="0"/>
            </w:pPr>
            <w:r>
              <w:rPr>
                <w:rFonts w:hint="eastAsia"/>
              </w:rPr>
              <w:t>基准点</w:t>
            </w:r>
            <w:r>
              <w:t>JD2</w:t>
            </w:r>
            <w:r>
              <w:rPr>
                <w:rFonts w:hint="eastAsia"/>
              </w:rPr>
              <w:t>现场照片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69" w:type="pct"/>
            <w:gridSpan w:val="2"/>
            <w:vAlign w:val="center"/>
          </w:tcPr>
          <w:p>
            <w:pPr>
              <w:pStyle w:val="31"/>
              <w:widowControl w:val="0"/>
            </w:pPr>
            <w:r>
              <w:drawing>
                <wp:inline distT="0" distB="0" distL="0" distR="0">
                  <wp:extent cx="2517775" cy="1889760"/>
                  <wp:effectExtent l="0" t="0" r="0" b="0"/>
                  <wp:docPr id="1087416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41683"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17775" cy="1889760"/>
                          </a:xfrm>
                          <a:prstGeom prst="rect">
                            <a:avLst/>
                          </a:prstGeom>
                          <a:noFill/>
                        </pic:spPr>
                      </pic:pic>
                    </a:graphicData>
                  </a:graphic>
                </wp:inline>
              </w:drawing>
            </w:r>
          </w:p>
        </w:tc>
        <w:tc>
          <w:tcPr>
            <w:tcW w:w="2431" w:type="pct"/>
            <w:gridSpan w:val="4"/>
            <w:vAlign w:val="center"/>
          </w:tcPr>
          <w:p>
            <w:pPr>
              <w:pStyle w:val="31"/>
              <w:widowControl w:val="0"/>
            </w:pPr>
            <w:r>
              <w:drawing>
                <wp:inline distT="0" distB="0" distL="0" distR="0">
                  <wp:extent cx="2591435" cy="1942465"/>
                  <wp:effectExtent l="0" t="0" r="0" b="635"/>
                  <wp:docPr id="6" name="图片 29" descr="C:\Users\hdec\Desktop\嘉兴1号陆上计量站沉降新布基准点照片20231213\微信图片_2023121918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9" descr="C:\Users\hdec\Desktop\嘉兴1号陆上计量站沉降新布基准点照片20231213\微信图片_2023121918114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592000" cy="1942782"/>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69" w:type="pct"/>
            <w:gridSpan w:val="2"/>
            <w:vAlign w:val="center"/>
          </w:tcPr>
          <w:p>
            <w:pPr>
              <w:pStyle w:val="31"/>
              <w:widowControl w:val="0"/>
            </w:pPr>
            <w:r>
              <w:rPr>
                <w:rFonts w:hint="eastAsia"/>
              </w:rPr>
              <w:t>基准点</w:t>
            </w:r>
            <w:r>
              <w:t>JD3</w:t>
            </w:r>
            <w:r>
              <w:rPr>
                <w:rFonts w:hint="eastAsia"/>
              </w:rPr>
              <w:t>现场照片</w:t>
            </w:r>
          </w:p>
        </w:tc>
        <w:tc>
          <w:tcPr>
            <w:tcW w:w="2431" w:type="pct"/>
            <w:gridSpan w:val="4"/>
            <w:vAlign w:val="center"/>
          </w:tcPr>
          <w:p>
            <w:pPr>
              <w:pStyle w:val="31"/>
              <w:widowControl w:val="0"/>
            </w:pPr>
            <w:r>
              <w:rPr>
                <w:rFonts w:hint="eastAsia"/>
              </w:rPr>
              <w:t>基准点</w:t>
            </w:r>
            <w:r>
              <w:t>JD4</w:t>
            </w:r>
            <w:r>
              <w:rPr>
                <w:rFonts w:hint="eastAsia"/>
              </w:rPr>
              <w:t>现场照片</w:t>
            </w:r>
          </w:p>
        </w:tc>
      </w:tr>
    </w:tbl>
    <w:p>
      <w:pPr>
        <w:pStyle w:val="39"/>
        <w:spacing w:before="156"/>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3.6</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2</w:t>
      </w:r>
      <w:r>
        <w:fldChar w:fldCharType="end"/>
      </w:r>
      <w:r>
        <w:rPr>
          <w:rFonts w:hint="eastAsia"/>
        </w:rPr>
        <w:t>计量站附近国家控制点信息（平湖坐标系，1985国家高程基准）</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2"/>
        <w:gridCol w:w="2244"/>
        <w:gridCol w:w="2126"/>
        <w:gridCol w:w="1417"/>
        <w:gridCol w:w="1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692" w:type="dxa"/>
            <w:vMerge w:val="restart"/>
            <w:vAlign w:val="center"/>
          </w:tcPr>
          <w:p>
            <w:pPr>
              <w:pStyle w:val="31"/>
              <w:widowControl w:val="0"/>
            </w:pPr>
            <w:r>
              <w:t>点名</w:t>
            </w:r>
          </w:p>
        </w:tc>
        <w:tc>
          <w:tcPr>
            <w:tcW w:w="4370" w:type="dxa"/>
            <w:gridSpan w:val="2"/>
            <w:vAlign w:val="center"/>
          </w:tcPr>
          <w:p>
            <w:pPr>
              <w:pStyle w:val="31"/>
              <w:widowControl w:val="0"/>
            </w:pPr>
            <w:r>
              <w:t>平湖坐标系</w:t>
            </w:r>
          </w:p>
        </w:tc>
        <w:tc>
          <w:tcPr>
            <w:tcW w:w="1417" w:type="dxa"/>
            <w:vAlign w:val="center"/>
          </w:tcPr>
          <w:p>
            <w:pPr>
              <w:pStyle w:val="31"/>
              <w:widowControl w:val="0"/>
            </w:pPr>
            <w:r>
              <w:t>高程（米）</w:t>
            </w:r>
          </w:p>
        </w:tc>
        <w:tc>
          <w:tcPr>
            <w:tcW w:w="1049" w:type="dxa"/>
            <w:vMerge w:val="restart"/>
            <w:vAlign w:val="center"/>
          </w:tcPr>
          <w:p>
            <w:pPr>
              <w:pStyle w:val="31"/>
              <w:widowControl w:val="0"/>
            </w:pPr>
            <w: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1692" w:type="dxa"/>
            <w:vMerge w:val="continue"/>
            <w:vAlign w:val="center"/>
          </w:tcPr>
          <w:p>
            <w:pPr>
              <w:pStyle w:val="31"/>
              <w:widowControl w:val="0"/>
            </w:pPr>
          </w:p>
        </w:tc>
        <w:tc>
          <w:tcPr>
            <w:tcW w:w="2244" w:type="dxa"/>
            <w:vAlign w:val="center"/>
          </w:tcPr>
          <w:p>
            <w:pPr>
              <w:pStyle w:val="31"/>
              <w:widowControl w:val="0"/>
            </w:pPr>
            <w:r>
              <w:rPr>
                <w:rFonts w:hint="eastAsia"/>
              </w:rPr>
              <w:t>X</w:t>
            </w:r>
          </w:p>
        </w:tc>
        <w:tc>
          <w:tcPr>
            <w:tcW w:w="2126" w:type="dxa"/>
            <w:vAlign w:val="center"/>
          </w:tcPr>
          <w:p>
            <w:pPr>
              <w:pStyle w:val="31"/>
              <w:widowControl w:val="0"/>
            </w:pPr>
            <w:r>
              <w:rPr>
                <w:rFonts w:hint="eastAsia"/>
              </w:rPr>
              <w:t>Y</w:t>
            </w:r>
          </w:p>
        </w:tc>
        <w:tc>
          <w:tcPr>
            <w:tcW w:w="1417" w:type="dxa"/>
            <w:vAlign w:val="center"/>
          </w:tcPr>
          <w:p>
            <w:pPr>
              <w:pStyle w:val="31"/>
              <w:widowControl w:val="0"/>
            </w:pPr>
            <w:r>
              <w:rPr>
                <w:rFonts w:hint="eastAsia"/>
              </w:rPr>
              <w:t>H</w:t>
            </w:r>
          </w:p>
        </w:tc>
        <w:tc>
          <w:tcPr>
            <w:tcW w:w="1049" w:type="dxa"/>
            <w:vMerge w:val="continue"/>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7" w:hRule="atLeast"/>
          <w:jc w:val="center"/>
        </w:trPr>
        <w:tc>
          <w:tcPr>
            <w:tcW w:w="1692" w:type="dxa"/>
            <w:vAlign w:val="center"/>
          </w:tcPr>
          <w:p>
            <w:pPr>
              <w:pStyle w:val="31"/>
              <w:widowControl w:val="0"/>
            </w:pPr>
            <w:r>
              <w:t>前进村</w:t>
            </w:r>
          </w:p>
        </w:tc>
        <w:tc>
          <w:tcPr>
            <w:tcW w:w="2244" w:type="dxa"/>
            <w:vAlign w:val="center"/>
          </w:tcPr>
          <w:p>
            <w:pPr>
              <w:pStyle w:val="31"/>
              <w:widowControl w:val="0"/>
            </w:pPr>
            <w:r>
              <w:rPr>
                <w:rFonts w:hint="eastAsia"/>
              </w:rPr>
              <w:t>3398380.642</w:t>
            </w:r>
          </w:p>
        </w:tc>
        <w:tc>
          <w:tcPr>
            <w:tcW w:w="2126" w:type="dxa"/>
            <w:vAlign w:val="center"/>
          </w:tcPr>
          <w:p>
            <w:pPr>
              <w:pStyle w:val="31"/>
              <w:widowControl w:val="0"/>
            </w:pPr>
            <w:r>
              <w:rPr>
                <w:rFonts w:hint="eastAsia"/>
              </w:rPr>
              <w:t>617666.609</w:t>
            </w:r>
          </w:p>
        </w:tc>
        <w:tc>
          <w:tcPr>
            <w:tcW w:w="1417" w:type="dxa"/>
            <w:vAlign w:val="center"/>
          </w:tcPr>
          <w:p>
            <w:pPr>
              <w:pStyle w:val="31"/>
              <w:widowControl w:val="0"/>
            </w:pPr>
            <w:r>
              <w:rPr>
                <w:rFonts w:hint="eastAsia"/>
              </w:rPr>
              <w:t>2.670</w:t>
            </w:r>
          </w:p>
        </w:tc>
        <w:tc>
          <w:tcPr>
            <w:tcW w:w="1049" w:type="dxa"/>
            <w:vAlign w:val="center"/>
          </w:tcPr>
          <w:p>
            <w:pPr>
              <w:pStyle w:val="31"/>
              <w:widowControl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692" w:type="dxa"/>
            <w:vAlign w:val="center"/>
          </w:tcPr>
          <w:p>
            <w:pPr>
              <w:pStyle w:val="31"/>
              <w:widowControl w:val="0"/>
            </w:pPr>
            <w:r>
              <w:t>三八村</w:t>
            </w:r>
          </w:p>
        </w:tc>
        <w:tc>
          <w:tcPr>
            <w:tcW w:w="2244" w:type="dxa"/>
            <w:vAlign w:val="center"/>
          </w:tcPr>
          <w:p>
            <w:pPr>
              <w:pStyle w:val="31"/>
              <w:widowControl w:val="0"/>
            </w:pPr>
            <w:r>
              <w:rPr>
                <w:rFonts w:hint="eastAsia"/>
              </w:rPr>
              <w:t>3397556.945</w:t>
            </w:r>
          </w:p>
        </w:tc>
        <w:tc>
          <w:tcPr>
            <w:tcW w:w="2126" w:type="dxa"/>
            <w:vAlign w:val="center"/>
          </w:tcPr>
          <w:p>
            <w:pPr>
              <w:pStyle w:val="31"/>
              <w:widowControl w:val="0"/>
            </w:pPr>
            <w:r>
              <w:rPr>
                <w:rFonts w:hint="eastAsia"/>
              </w:rPr>
              <w:t>619272.091</w:t>
            </w:r>
          </w:p>
        </w:tc>
        <w:tc>
          <w:tcPr>
            <w:tcW w:w="1417" w:type="dxa"/>
            <w:vAlign w:val="center"/>
          </w:tcPr>
          <w:p>
            <w:pPr>
              <w:pStyle w:val="31"/>
              <w:widowControl w:val="0"/>
            </w:pPr>
            <w:r>
              <w:rPr>
                <w:rFonts w:hint="eastAsia"/>
              </w:rPr>
              <w:t>6.923</w:t>
            </w:r>
          </w:p>
        </w:tc>
        <w:tc>
          <w:tcPr>
            <w:tcW w:w="1049" w:type="dxa"/>
            <w:vAlign w:val="center"/>
          </w:tcPr>
          <w:p>
            <w:pPr>
              <w:pStyle w:val="31"/>
              <w:widowControl w:val="0"/>
            </w:pPr>
          </w:p>
        </w:tc>
      </w:tr>
    </w:tbl>
    <w:p>
      <w:pPr>
        <w:pStyle w:val="2"/>
        <w:ind w:firstLine="562"/>
      </w:pPr>
      <w:r>
        <w:rPr>
          <w:rFonts w:hint="eastAsia"/>
        </w:rPr>
        <w:t>工作内容（包括但不限于）</w:t>
      </w:r>
    </w:p>
    <w:p>
      <w:pPr>
        <w:ind w:firstLine="560"/>
      </w:pPr>
      <w:bookmarkStart w:id="20" w:name="_Hlk199946185"/>
      <w:r>
        <w:rPr>
          <w:rFonts w:hint="eastAsia"/>
        </w:rPr>
        <w:t>本次招标工作内容分为两大部分：</w:t>
      </w:r>
      <w:bookmarkEnd w:id="20"/>
    </w:p>
    <w:p>
      <w:pPr>
        <w:pStyle w:val="3"/>
        <w:ind w:firstLine="562"/>
      </w:pPr>
      <w:bookmarkStart w:id="21" w:name="_Hlk199946194"/>
      <w:r>
        <w:rPr>
          <w:rFonts w:hint="eastAsia"/>
        </w:rPr>
        <w:t>安全监测系统维护与数据分析服务</w:t>
      </w:r>
      <w:r>
        <w:t>工作内容</w:t>
      </w:r>
    </w:p>
    <w:bookmarkEnd w:id="21"/>
    <w:p>
      <w:pPr>
        <w:ind w:firstLine="560"/>
        <w:rPr>
          <w:rFonts w:hint="eastAsia" w:ascii="仿宋" w:hAnsi="仿宋" w:cs="Times New Roman"/>
          <w:szCs w:val="28"/>
        </w:rPr>
      </w:pPr>
      <w:bookmarkStart w:id="22" w:name="_Hlk199946274"/>
      <w:r>
        <w:rPr>
          <w:rFonts w:hint="eastAsia" w:ascii="仿宋" w:hAnsi="仿宋" w:cs="Times New Roman"/>
          <w:szCs w:val="28"/>
        </w:rPr>
        <w:t>1、投标人在服务期内提供安全监测系统（包括塔筒姿态监测系统）的运行和维护服务工作，及时掌握了解海工建筑物在各种状态下的安全程度，为风机正确运行提供依据。</w:t>
      </w:r>
    </w:p>
    <w:p>
      <w:pPr>
        <w:ind w:firstLine="560"/>
        <w:rPr>
          <w:rFonts w:hint="eastAsia" w:ascii="仿宋" w:hAnsi="仿宋" w:cs="Times New Roman"/>
          <w:szCs w:val="28"/>
        </w:rPr>
      </w:pPr>
      <w:r>
        <w:rPr>
          <w:rFonts w:hint="eastAsia" w:ascii="仿宋" w:hAnsi="仿宋" w:cs="Times New Roman"/>
          <w:szCs w:val="28"/>
        </w:rPr>
        <w:t>2、投标人应每月按时对监测数据进行分析，监视掌握风机、海上升压站及其基础设施的状态变化，及时发现不正常迹象，分析原因提出措施意见，防止发生破坏事故，确保风电场安全稳定运行。年终时根据本年度的月度报告编制本年度报告，评估风电场设施本年度的安全状态。</w:t>
      </w:r>
    </w:p>
    <w:p>
      <w:pPr>
        <w:ind w:firstLine="565" w:firstLineChars="202"/>
        <w:rPr>
          <w:rFonts w:hint="eastAsia" w:ascii="仿宋" w:hAnsi="仿宋" w:cs="Times New Roman"/>
          <w:szCs w:val="28"/>
        </w:rPr>
      </w:pPr>
      <w:r>
        <w:rPr>
          <w:rFonts w:hint="eastAsia" w:ascii="仿宋" w:hAnsi="仿宋" w:cs="Times New Roman"/>
          <w:szCs w:val="28"/>
        </w:rPr>
        <w:t>3、投标人应每周对安全监测系统进行巡视检查，确保安全监测系统正常运行，发现问题及时进行消缺。</w:t>
      </w:r>
    </w:p>
    <w:p>
      <w:pPr>
        <w:ind w:firstLine="565" w:firstLineChars="202"/>
        <w:rPr>
          <w:rFonts w:hint="eastAsia" w:ascii="仿宋" w:hAnsi="仿宋" w:cs="Times New Roman"/>
          <w:szCs w:val="28"/>
        </w:rPr>
      </w:pPr>
      <w:r>
        <w:rPr>
          <w:rFonts w:hint="eastAsia" w:ascii="仿宋" w:hAnsi="仿宋" w:cs="Times New Roman"/>
          <w:szCs w:val="28"/>
        </w:rPr>
        <w:t>4、投标人发现安全监测系统存在问题时，应及时修复或更换软件系统、安全监测设备设施、线缆等，确保安全监测系统正常稳定运行。</w:t>
      </w:r>
    </w:p>
    <w:p>
      <w:pPr>
        <w:ind w:firstLine="560"/>
        <w:rPr>
          <w:rFonts w:hint="eastAsia" w:ascii="仿宋" w:hAnsi="仿宋"/>
          <w:szCs w:val="28"/>
        </w:rPr>
      </w:pPr>
      <w:r>
        <w:rPr>
          <w:rFonts w:hint="eastAsia" w:ascii="仿宋" w:hAnsi="仿宋" w:cs="Times New Roman"/>
          <w:szCs w:val="28"/>
        </w:rPr>
        <w:t>5、</w:t>
      </w:r>
      <w:r>
        <w:rPr>
          <w:rFonts w:hint="eastAsia" w:ascii="仿宋" w:hAnsi="仿宋"/>
          <w:szCs w:val="28"/>
        </w:rPr>
        <w:t>协助招标人做好</w:t>
      </w:r>
      <w:r>
        <w:rPr>
          <w:rFonts w:ascii="仿宋" w:hAnsi="仿宋"/>
          <w:szCs w:val="28"/>
        </w:rPr>
        <w:t>与</w:t>
      </w:r>
      <w:r>
        <w:rPr>
          <w:rFonts w:hint="eastAsia" w:ascii="仿宋" w:hAnsi="仿宋"/>
          <w:szCs w:val="28"/>
        </w:rPr>
        <w:t>安全</w:t>
      </w:r>
      <w:r>
        <w:rPr>
          <w:rFonts w:ascii="仿宋" w:hAnsi="仿宋"/>
          <w:szCs w:val="28"/>
        </w:rPr>
        <w:t>监测相关的其他工作内容</w:t>
      </w:r>
      <w:r>
        <w:rPr>
          <w:rFonts w:hint="eastAsia" w:ascii="仿宋" w:hAnsi="仿宋"/>
          <w:szCs w:val="28"/>
        </w:rPr>
        <w:t>。</w:t>
      </w:r>
    </w:p>
    <w:bookmarkEnd w:id="22"/>
    <w:p>
      <w:pPr>
        <w:pStyle w:val="3"/>
        <w:ind w:firstLine="562"/>
      </w:pPr>
      <w:bookmarkStart w:id="23" w:name="_Hlk199946627"/>
      <w:bookmarkStart w:id="24" w:name="_Hlk199946533"/>
      <w:r>
        <w:rPr>
          <w:rFonts w:hint="eastAsia"/>
        </w:rPr>
        <w:t>沉降监测、牺牲阳极电位检测</w:t>
      </w:r>
      <w:bookmarkEnd w:id="23"/>
      <w:r>
        <w:rPr>
          <w:rFonts w:hint="eastAsia"/>
        </w:rPr>
        <w:t>工作内容</w:t>
      </w:r>
    </w:p>
    <w:bookmarkEnd w:id="24"/>
    <w:p>
      <w:pPr>
        <w:ind w:firstLine="560"/>
        <w:rPr>
          <w:rFonts w:hint="eastAsia" w:ascii="仿宋" w:hAnsi="仿宋" w:cs="Times New Roman"/>
          <w:szCs w:val="28"/>
        </w:rPr>
      </w:pPr>
      <w:r>
        <w:rPr>
          <w:rFonts w:hint="eastAsia" w:ascii="仿宋" w:hAnsi="仿宋" w:cs="Times New Roman"/>
          <w:szCs w:val="28"/>
        </w:rPr>
        <w:t>1、投标人在服务期内应按时完成海上升压站和风机不均匀监测、风机牺牲阳极电位检测以及计量站建筑物基础沉降监测工作（出海测量作业所需船只由招标人提供）。</w:t>
      </w:r>
    </w:p>
    <w:p>
      <w:pPr>
        <w:ind w:firstLine="560"/>
        <w:rPr>
          <w:rFonts w:hint="eastAsia" w:ascii="仿宋" w:hAnsi="仿宋" w:cs="Times New Roman"/>
          <w:szCs w:val="28"/>
        </w:rPr>
      </w:pPr>
      <w:r>
        <w:rPr>
          <w:rFonts w:hint="eastAsia" w:ascii="仿宋" w:hAnsi="仿宋" w:cs="Times New Roman"/>
          <w:szCs w:val="28"/>
        </w:rPr>
        <w:t>2、投标人应对测量数据进行计算，并与往期数据进行对比、分析，及时监视掌握海上升压站、风机、陆上计量站建筑物基础设施的状态变化，发现不正常迹象，分析原因提出措施意见，防止发生破坏事故，确保风电场安全稳定运行。</w:t>
      </w:r>
    </w:p>
    <w:p>
      <w:pPr>
        <w:ind w:firstLine="565" w:firstLineChars="202"/>
        <w:rPr>
          <w:rFonts w:hint="eastAsia" w:ascii="仿宋" w:hAnsi="仿宋" w:cs="Times New Roman"/>
          <w:szCs w:val="28"/>
        </w:rPr>
      </w:pPr>
      <w:r>
        <w:rPr>
          <w:rFonts w:hint="eastAsia" w:ascii="仿宋" w:hAnsi="仿宋" w:cs="Times New Roman"/>
          <w:szCs w:val="28"/>
        </w:rPr>
        <w:t>3、投标人应及时完成监测报告的编制并上报招标人。</w:t>
      </w:r>
    </w:p>
    <w:p>
      <w:pPr>
        <w:ind w:firstLine="560"/>
        <w:rPr>
          <w:rFonts w:hint="eastAsia" w:ascii="仿宋" w:hAnsi="仿宋" w:cs="Times New Roman"/>
          <w:szCs w:val="28"/>
        </w:rPr>
      </w:pPr>
      <w:r>
        <w:rPr>
          <w:rFonts w:hint="eastAsia" w:ascii="仿宋" w:hAnsi="仿宋" w:cs="Times New Roman"/>
          <w:szCs w:val="28"/>
        </w:rPr>
        <w:t>4、</w:t>
      </w:r>
      <w:r>
        <w:rPr>
          <w:rFonts w:hint="eastAsia" w:ascii="仿宋" w:hAnsi="仿宋"/>
          <w:szCs w:val="28"/>
        </w:rPr>
        <w:t>协助招标人做好</w:t>
      </w:r>
      <w:r>
        <w:rPr>
          <w:rFonts w:ascii="仿宋" w:hAnsi="仿宋"/>
          <w:szCs w:val="28"/>
        </w:rPr>
        <w:t>与</w:t>
      </w:r>
      <w:r>
        <w:rPr>
          <w:rFonts w:hint="eastAsia" w:ascii="仿宋" w:hAnsi="仿宋"/>
          <w:szCs w:val="28"/>
        </w:rPr>
        <w:t>监测项目</w:t>
      </w:r>
      <w:r>
        <w:rPr>
          <w:rFonts w:ascii="仿宋" w:hAnsi="仿宋"/>
          <w:szCs w:val="28"/>
        </w:rPr>
        <w:t>相关的其他工作内容</w:t>
      </w:r>
      <w:r>
        <w:rPr>
          <w:rFonts w:hint="eastAsia" w:ascii="仿宋" w:hAnsi="仿宋"/>
          <w:szCs w:val="28"/>
        </w:rPr>
        <w:t>。</w:t>
      </w:r>
    </w:p>
    <w:p>
      <w:pPr>
        <w:pStyle w:val="39"/>
        <w:keepNext/>
        <w:spacing w:before="156"/>
        <w:rPr>
          <w:rFonts w:hint="eastAsia" w:ascii="仿宋" w:hAnsi="仿宋"/>
          <w:szCs w:val="28"/>
        </w:rP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t>4.2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t>1</w:t>
      </w:r>
      <w:r>
        <w:fldChar w:fldCharType="end"/>
      </w:r>
      <w:r>
        <w:rPr>
          <w:rFonts w:hint="eastAsia"/>
        </w:rPr>
        <w:t>沉降监测、牺牲阳极电位检测</w:t>
      </w:r>
      <w:r>
        <w:rPr>
          <w:rFonts w:hint="eastAsia" w:ascii="仿宋" w:hAnsi="仿宋"/>
          <w:szCs w:val="28"/>
        </w:rPr>
        <w:t>工程量清单</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593"/>
        <w:gridCol w:w="809"/>
        <w:gridCol w:w="851"/>
        <w:gridCol w:w="3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1"/>
              <w:keepNext/>
              <w:widowControl w:val="0"/>
            </w:pPr>
            <w:r>
              <w:t>序号</w:t>
            </w:r>
          </w:p>
        </w:tc>
        <w:tc>
          <w:tcPr>
            <w:tcW w:w="2593" w:type="dxa"/>
            <w:vAlign w:val="center"/>
          </w:tcPr>
          <w:p>
            <w:pPr>
              <w:pStyle w:val="31"/>
              <w:keepNext/>
              <w:widowControl w:val="0"/>
            </w:pPr>
            <w:r>
              <w:t>工作内容</w:t>
            </w:r>
          </w:p>
        </w:tc>
        <w:tc>
          <w:tcPr>
            <w:tcW w:w="809" w:type="dxa"/>
            <w:vAlign w:val="center"/>
          </w:tcPr>
          <w:p>
            <w:pPr>
              <w:pStyle w:val="31"/>
              <w:keepNext/>
              <w:widowControl w:val="0"/>
            </w:pPr>
            <w:r>
              <w:t>数量</w:t>
            </w:r>
          </w:p>
        </w:tc>
        <w:tc>
          <w:tcPr>
            <w:tcW w:w="851" w:type="dxa"/>
            <w:vAlign w:val="center"/>
          </w:tcPr>
          <w:p>
            <w:pPr>
              <w:pStyle w:val="31"/>
              <w:keepNext/>
              <w:widowControl w:val="0"/>
            </w:pPr>
            <w:r>
              <w:t>单位</w:t>
            </w:r>
          </w:p>
        </w:tc>
        <w:tc>
          <w:tcPr>
            <w:tcW w:w="3458" w:type="dxa"/>
            <w:vAlign w:val="center"/>
          </w:tcPr>
          <w:p>
            <w:pPr>
              <w:pStyle w:val="31"/>
              <w:keepNext/>
              <w:widowControl w:val="0"/>
            </w:pPr>
            <w: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1"/>
              <w:keepNext/>
              <w:widowControl w:val="0"/>
            </w:pPr>
            <w:r>
              <w:rPr>
                <w:rFonts w:hint="eastAsia"/>
              </w:rPr>
              <w:t>1</w:t>
            </w:r>
          </w:p>
        </w:tc>
        <w:tc>
          <w:tcPr>
            <w:tcW w:w="2593" w:type="dxa"/>
            <w:vAlign w:val="center"/>
          </w:tcPr>
          <w:p>
            <w:pPr>
              <w:pStyle w:val="31"/>
              <w:keepNext/>
              <w:widowControl w:val="0"/>
            </w:pPr>
            <w:r>
              <w:t>嘉兴</w:t>
            </w:r>
            <w:r>
              <w:rPr>
                <w:rFonts w:hint="eastAsia"/>
              </w:rPr>
              <w:t>1号风机不均匀沉降监测</w:t>
            </w:r>
          </w:p>
        </w:tc>
        <w:tc>
          <w:tcPr>
            <w:tcW w:w="809" w:type="dxa"/>
            <w:vAlign w:val="center"/>
          </w:tcPr>
          <w:p>
            <w:pPr>
              <w:pStyle w:val="31"/>
              <w:keepNext/>
              <w:widowControl w:val="0"/>
            </w:pPr>
            <w:r>
              <w:rPr>
                <w:rFonts w:hint="eastAsia"/>
              </w:rPr>
              <w:t>74</w:t>
            </w:r>
          </w:p>
        </w:tc>
        <w:tc>
          <w:tcPr>
            <w:tcW w:w="851" w:type="dxa"/>
            <w:vAlign w:val="center"/>
          </w:tcPr>
          <w:p>
            <w:pPr>
              <w:pStyle w:val="31"/>
              <w:keepNext/>
              <w:widowControl w:val="0"/>
            </w:pPr>
            <w:r>
              <w:rPr>
                <w:rFonts w:hint="eastAsia"/>
              </w:rPr>
              <w:t>台次</w:t>
            </w:r>
          </w:p>
        </w:tc>
        <w:tc>
          <w:tcPr>
            <w:tcW w:w="3458" w:type="dxa"/>
            <w:vAlign w:val="center"/>
          </w:tcPr>
          <w:p>
            <w:pPr>
              <w:pStyle w:val="31"/>
              <w:keepNext/>
              <w:widowControl w:val="0"/>
            </w:pPr>
            <w:r>
              <w:t>共计</w:t>
            </w:r>
            <w:r>
              <w:rPr>
                <w:rFonts w:hint="eastAsia"/>
              </w:rPr>
              <w:t>37个机位，每台4个水准点位，每年按二等水准测量标准测量一次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1"/>
              <w:keepNext/>
              <w:widowControl w:val="0"/>
            </w:pPr>
            <w:r>
              <w:rPr>
                <w:rFonts w:hint="eastAsia"/>
              </w:rPr>
              <w:t>2</w:t>
            </w:r>
          </w:p>
        </w:tc>
        <w:tc>
          <w:tcPr>
            <w:tcW w:w="2593" w:type="dxa"/>
            <w:vAlign w:val="center"/>
          </w:tcPr>
          <w:p>
            <w:pPr>
              <w:pStyle w:val="31"/>
              <w:keepNext/>
              <w:widowControl w:val="0"/>
            </w:pPr>
            <w:r>
              <w:t>嘉兴</w:t>
            </w:r>
            <w:r>
              <w:rPr>
                <w:rFonts w:hint="eastAsia"/>
              </w:rPr>
              <w:t>1号风机牺牲阳极电位检测</w:t>
            </w:r>
          </w:p>
        </w:tc>
        <w:tc>
          <w:tcPr>
            <w:tcW w:w="809" w:type="dxa"/>
            <w:vAlign w:val="center"/>
          </w:tcPr>
          <w:p>
            <w:pPr>
              <w:pStyle w:val="31"/>
              <w:keepNext/>
              <w:widowControl w:val="0"/>
            </w:pPr>
            <w:r>
              <w:rPr>
                <w:rFonts w:hint="eastAsia"/>
              </w:rPr>
              <w:t>296</w:t>
            </w:r>
          </w:p>
        </w:tc>
        <w:tc>
          <w:tcPr>
            <w:tcW w:w="851" w:type="dxa"/>
            <w:vAlign w:val="center"/>
          </w:tcPr>
          <w:p>
            <w:pPr>
              <w:pStyle w:val="31"/>
              <w:keepNext/>
              <w:widowControl w:val="0"/>
            </w:pPr>
            <w:r>
              <w:rPr>
                <w:rFonts w:hint="eastAsia"/>
              </w:rPr>
              <w:t>台次</w:t>
            </w:r>
          </w:p>
        </w:tc>
        <w:tc>
          <w:tcPr>
            <w:tcW w:w="3458" w:type="dxa"/>
            <w:vAlign w:val="center"/>
          </w:tcPr>
          <w:p>
            <w:pPr>
              <w:pStyle w:val="31"/>
              <w:keepNext/>
              <w:widowControl w:val="0"/>
            </w:pPr>
            <w:r>
              <w:t>共计</w:t>
            </w:r>
            <w:r>
              <w:rPr>
                <w:rFonts w:hint="eastAsia"/>
              </w:rPr>
              <w:t>74个机位，每半年人工检测一次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7" w:type="dxa"/>
            <w:vAlign w:val="center"/>
          </w:tcPr>
          <w:p>
            <w:pPr>
              <w:pStyle w:val="31"/>
              <w:keepNext/>
              <w:widowControl w:val="0"/>
            </w:pPr>
            <w:r>
              <w:rPr>
                <w:rFonts w:hint="eastAsia"/>
              </w:rPr>
              <w:t>3</w:t>
            </w:r>
          </w:p>
        </w:tc>
        <w:tc>
          <w:tcPr>
            <w:tcW w:w="2593" w:type="dxa"/>
            <w:vAlign w:val="center"/>
          </w:tcPr>
          <w:p>
            <w:pPr>
              <w:pStyle w:val="31"/>
              <w:keepNext/>
              <w:widowControl w:val="0"/>
            </w:pPr>
            <w:r>
              <w:t>嘉兴</w:t>
            </w:r>
            <w:r>
              <w:rPr>
                <w:rFonts w:hint="eastAsia"/>
              </w:rPr>
              <w:t>1号海上升压站不均匀沉降监测</w:t>
            </w:r>
          </w:p>
        </w:tc>
        <w:tc>
          <w:tcPr>
            <w:tcW w:w="809" w:type="dxa"/>
            <w:vAlign w:val="center"/>
          </w:tcPr>
          <w:p>
            <w:pPr>
              <w:pStyle w:val="31"/>
              <w:keepNext/>
              <w:widowControl w:val="0"/>
            </w:pPr>
            <w:r>
              <w:rPr>
                <w:rFonts w:hint="eastAsia"/>
              </w:rPr>
              <w:t>2</w:t>
            </w:r>
          </w:p>
        </w:tc>
        <w:tc>
          <w:tcPr>
            <w:tcW w:w="851" w:type="dxa"/>
            <w:vAlign w:val="center"/>
          </w:tcPr>
          <w:p>
            <w:pPr>
              <w:pStyle w:val="31"/>
              <w:keepNext/>
              <w:widowControl w:val="0"/>
            </w:pPr>
            <w:r>
              <w:rPr>
                <w:rFonts w:hint="eastAsia"/>
              </w:rPr>
              <w:t>座次</w:t>
            </w:r>
          </w:p>
        </w:tc>
        <w:tc>
          <w:tcPr>
            <w:tcW w:w="3458" w:type="dxa"/>
            <w:vAlign w:val="center"/>
          </w:tcPr>
          <w:p>
            <w:pPr>
              <w:pStyle w:val="31"/>
              <w:keepNext/>
              <w:widowControl w:val="0"/>
            </w:pPr>
            <w:r>
              <w:t>共计</w:t>
            </w:r>
            <w:r>
              <w:rPr>
                <w:rFonts w:hint="eastAsia"/>
              </w:rPr>
              <w:t>1座海上升压站，共4个水准点位，每年按二等水准测量标准测量一次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1"/>
              <w:keepNext/>
              <w:widowControl w:val="0"/>
            </w:pPr>
            <w:r>
              <w:rPr>
                <w:rFonts w:hint="eastAsia"/>
              </w:rPr>
              <w:t>4</w:t>
            </w:r>
          </w:p>
        </w:tc>
        <w:tc>
          <w:tcPr>
            <w:tcW w:w="2593" w:type="dxa"/>
            <w:vAlign w:val="center"/>
          </w:tcPr>
          <w:p>
            <w:pPr>
              <w:pStyle w:val="31"/>
              <w:keepNext/>
              <w:widowControl w:val="0"/>
            </w:pPr>
            <w:r>
              <w:t>陆上计量站监测基准点联测</w:t>
            </w:r>
          </w:p>
        </w:tc>
        <w:tc>
          <w:tcPr>
            <w:tcW w:w="809" w:type="dxa"/>
            <w:vAlign w:val="center"/>
          </w:tcPr>
          <w:p>
            <w:pPr>
              <w:pStyle w:val="31"/>
              <w:keepNext/>
              <w:widowControl w:val="0"/>
            </w:pPr>
            <w:r>
              <w:rPr>
                <w:rFonts w:hint="eastAsia"/>
              </w:rPr>
              <w:t>8</w:t>
            </w:r>
          </w:p>
        </w:tc>
        <w:tc>
          <w:tcPr>
            <w:tcW w:w="851" w:type="dxa"/>
            <w:vAlign w:val="center"/>
          </w:tcPr>
          <w:p>
            <w:pPr>
              <w:pStyle w:val="31"/>
              <w:keepNext/>
              <w:widowControl w:val="0"/>
            </w:pPr>
            <w:r>
              <w:t>点</w:t>
            </w:r>
            <w:r>
              <w:rPr>
                <w:rFonts w:hint="eastAsia"/>
              </w:rPr>
              <w:t>次</w:t>
            </w:r>
          </w:p>
        </w:tc>
        <w:tc>
          <w:tcPr>
            <w:tcW w:w="3458" w:type="dxa"/>
            <w:vAlign w:val="center"/>
          </w:tcPr>
          <w:p>
            <w:pPr>
              <w:pStyle w:val="31"/>
              <w:keepNext/>
              <w:widowControl w:val="0"/>
            </w:pPr>
            <w:r>
              <w:t>共计</w:t>
            </w:r>
            <w:r>
              <w:rPr>
                <w:rFonts w:hint="eastAsia"/>
              </w:rPr>
              <w:t>4个监测基准点位，每次进行基础监测前按一等水准测量标准与提供的国家水准点联测一次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pStyle w:val="31"/>
              <w:keepNext/>
              <w:widowControl w:val="0"/>
            </w:pPr>
            <w:r>
              <w:rPr>
                <w:rFonts w:hint="eastAsia"/>
              </w:rPr>
              <w:t>5</w:t>
            </w:r>
          </w:p>
        </w:tc>
        <w:tc>
          <w:tcPr>
            <w:tcW w:w="2593" w:type="dxa"/>
            <w:vAlign w:val="center"/>
          </w:tcPr>
          <w:p>
            <w:pPr>
              <w:pStyle w:val="31"/>
              <w:keepNext/>
              <w:widowControl w:val="0"/>
            </w:pPr>
            <w:r>
              <w:t>陆上计量站建筑物基础沉降监测</w:t>
            </w:r>
          </w:p>
        </w:tc>
        <w:tc>
          <w:tcPr>
            <w:tcW w:w="809" w:type="dxa"/>
            <w:vAlign w:val="center"/>
          </w:tcPr>
          <w:p>
            <w:pPr>
              <w:pStyle w:val="31"/>
              <w:keepNext/>
              <w:widowControl w:val="0"/>
            </w:pPr>
            <w:r>
              <w:rPr>
                <w:rFonts w:hint="eastAsia"/>
              </w:rPr>
              <w:t>132</w:t>
            </w:r>
          </w:p>
        </w:tc>
        <w:tc>
          <w:tcPr>
            <w:tcW w:w="851" w:type="dxa"/>
            <w:vAlign w:val="center"/>
          </w:tcPr>
          <w:p>
            <w:pPr>
              <w:pStyle w:val="31"/>
              <w:keepNext/>
              <w:widowControl w:val="0"/>
            </w:pPr>
            <w:r>
              <w:t>点</w:t>
            </w:r>
            <w:r>
              <w:rPr>
                <w:rFonts w:hint="eastAsia"/>
              </w:rPr>
              <w:t>次</w:t>
            </w:r>
          </w:p>
        </w:tc>
        <w:tc>
          <w:tcPr>
            <w:tcW w:w="3458" w:type="dxa"/>
            <w:vAlign w:val="center"/>
          </w:tcPr>
          <w:p>
            <w:pPr>
              <w:pStyle w:val="31"/>
              <w:keepNext/>
              <w:widowControl w:val="0"/>
            </w:pPr>
            <w:r>
              <w:t>共计</w:t>
            </w:r>
            <w:r>
              <w:rPr>
                <w:rFonts w:hint="eastAsia"/>
              </w:rPr>
              <w:t>66个监测点位，每年按二等水准测量标准测量一次</w:t>
            </w:r>
          </w:p>
        </w:tc>
      </w:tr>
    </w:tbl>
    <w:p>
      <w:pPr>
        <w:ind w:firstLine="560"/>
        <w:rPr>
          <w:rFonts w:hint="eastAsia" w:ascii="仿宋" w:hAnsi="仿宋"/>
          <w:szCs w:val="28"/>
        </w:rPr>
      </w:pPr>
    </w:p>
    <w:p>
      <w:pPr>
        <w:pStyle w:val="2"/>
        <w:ind w:firstLine="562"/>
      </w:pPr>
      <w:r>
        <w:rPr>
          <w:rFonts w:hint="eastAsia"/>
        </w:rPr>
        <w:t>服务要求</w:t>
      </w:r>
    </w:p>
    <w:p>
      <w:pPr>
        <w:pStyle w:val="3"/>
        <w:ind w:firstLine="562"/>
      </w:pPr>
      <w:r>
        <w:rPr>
          <w:rFonts w:hint="eastAsia"/>
        </w:rPr>
        <w:t>遵循的规范标准</w:t>
      </w:r>
    </w:p>
    <w:p>
      <w:pPr>
        <w:widowControl/>
        <w:spacing w:before="60" w:after="60"/>
        <w:ind w:firstLine="495" w:firstLineChars="177"/>
        <w:jc w:val="left"/>
        <w:rPr>
          <w:rFonts w:hint="eastAsia" w:ascii="仿宋" w:hAnsi="仿宋"/>
          <w:szCs w:val="28"/>
        </w:rPr>
      </w:pPr>
      <w:r>
        <w:rPr>
          <w:rFonts w:hint="eastAsia" w:ascii="仿宋" w:hAnsi="仿宋"/>
          <w:szCs w:val="28"/>
        </w:rPr>
        <w:t>投标人应严格执行本文件所列法规</w:t>
      </w:r>
      <w:r>
        <w:rPr>
          <w:rFonts w:ascii="仿宋" w:hAnsi="仿宋"/>
          <w:szCs w:val="28"/>
        </w:rPr>
        <w:t>、</w:t>
      </w:r>
      <w:r>
        <w:rPr>
          <w:rFonts w:hint="eastAsia" w:ascii="仿宋" w:hAnsi="仿宋"/>
          <w:szCs w:val="28"/>
        </w:rPr>
        <w:t>标准、规范、规程，若招标人提出的法规、标准、</w:t>
      </w:r>
      <w:r>
        <w:rPr>
          <w:rFonts w:ascii="仿宋" w:hAnsi="仿宋"/>
          <w:szCs w:val="28"/>
        </w:rPr>
        <w:t>规范、规程等</w:t>
      </w:r>
      <w:r>
        <w:rPr>
          <w:rFonts w:hint="eastAsia" w:ascii="仿宋" w:hAnsi="仿宋"/>
          <w:szCs w:val="28"/>
        </w:rPr>
        <w:t>与本文件所列不一致时，应按较高法规</w:t>
      </w:r>
      <w:r>
        <w:rPr>
          <w:rFonts w:ascii="仿宋" w:hAnsi="仿宋"/>
          <w:szCs w:val="28"/>
        </w:rPr>
        <w:t>、</w:t>
      </w:r>
      <w:r>
        <w:rPr>
          <w:rFonts w:hint="eastAsia" w:ascii="仿宋" w:hAnsi="仿宋"/>
          <w:szCs w:val="28"/>
        </w:rPr>
        <w:t>标准、规范、规程要求执行。</w:t>
      </w:r>
    </w:p>
    <w:p>
      <w:pPr>
        <w:widowControl/>
        <w:spacing w:before="60" w:after="60"/>
        <w:ind w:firstLine="495" w:firstLineChars="177"/>
        <w:jc w:val="left"/>
        <w:rPr>
          <w:rFonts w:hint="eastAsia" w:ascii="仿宋" w:hAnsi="仿宋"/>
          <w:szCs w:val="28"/>
        </w:rPr>
      </w:pPr>
      <w:r>
        <w:rPr>
          <w:rFonts w:hint="eastAsia" w:ascii="仿宋" w:hAnsi="仿宋"/>
          <w:szCs w:val="28"/>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pPr>
        <w:widowControl/>
        <w:spacing w:before="60" w:after="60"/>
        <w:ind w:firstLine="495" w:firstLineChars="177"/>
        <w:jc w:val="left"/>
        <w:rPr>
          <w:rFonts w:hint="eastAsia" w:ascii="仿宋" w:hAnsi="仿宋"/>
          <w:szCs w:val="28"/>
        </w:rPr>
      </w:pPr>
      <w:r>
        <w:rPr>
          <w:rFonts w:hint="eastAsia" w:ascii="仿宋" w:hAnsi="仿宋"/>
          <w:szCs w:val="28"/>
        </w:rPr>
        <w:t>下列文件对于本文件的应用是必不可少的，凡是注日期的引用文件，仅注日期的版本适用于本文件，凡是不注日期的引用文件，其最新版本（包括所有的修改单）适用于本文件。</w:t>
      </w:r>
    </w:p>
    <w:p>
      <w:pPr>
        <w:widowControl/>
        <w:spacing w:before="60" w:after="60"/>
        <w:ind w:firstLine="495" w:firstLineChars="177"/>
        <w:jc w:val="left"/>
        <w:rPr>
          <w:rFonts w:hint="eastAsia" w:ascii="仿宋" w:hAnsi="仿宋"/>
          <w:szCs w:val="28"/>
        </w:rPr>
      </w:pPr>
      <w:r>
        <w:rPr>
          <w:rFonts w:hint="eastAsia" w:ascii="仿宋" w:hAnsi="仿宋"/>
          <w:szCs w:val="28"/>
        </w:rPr>
        <w:t>1、《海上风电场工程结构安全监测建设规范》（NB/T 11085-2023）;</w:t>
      </w:r>
    </w:p>
    <w:p>
      <w:pPr>
        <w:widowControl/>
        <w:spacing w:before="60" w:after="60"/>
        <w:ind w:firstLine="495" w:firstLineChars="177"/>
        <w:jc w:val="left"/>
        <w:rPr>
          <w:rFonts w:hint="eastAsia" w:ascii="仿宋" w:hAnsi="仿宋"/>
          <w:szCs w:val="28"/>
        </w:rPr>
      </w:pPr>
      <w:r>
        <w:rPr>
          <w:rFonts w:hint="eastAsia" w:ascii="仿宋" w:hAnsi="仿宋"/>
          <w:szCs w:val="28"/>
        </w:rPr>
        <w:t>2、</w:t>
      </w:r>
      <w:r>
        <w:rPr>
          <w:rFonts w:ascii="仿宋" w:hAnsi="仿宋"/>
          <w:szCs w:val="28"/>
        </w:rPr>
        <w:t>《</w:t>
      </w:r>
      <w:r>
        <w:rPr>
          <w:rFonts w:hint="eastAsia" w:ascii="仿宋" w:hAnsi="仿宋"/>
          <w:szCs w:val="28"/>
        </w:rPr>
        <w:t>国家一、二等水准测量规范</w:t>
      </w:r>
      <w:r>
        <w:rPr>
          <w:rFonts w:ascii="仿宋" w:hAnsi="仿宋"/>
          <w:szCs w:val="28"/>
        </w:rPr>
        <w:t>》（GB/T 12897-2006）；</w:t>
      </w:r>
    </w:p>
    <w:p>
      <w:pPr>
        <w:widowControl/>
        <w:spacing w:before="60" w:after="60"/>
        <w:ind w:firstLine="495" w:firstLineChars="177"/>
        <w:jc w:val="left"/>
        <w:rPr>
          <w:rFonts w:hint="eastAsia" w:ascii="仿宋" w:hAnsi="仿宋"/>
          <w:szCs w:val="28"/>
        </w:rPr>
      </w:pPr>
      <w:r>
        <w:rPr>
          <w:rFonts w:hint="eastAsia" w:ascii="仿宋" w:hAnsi="仿宋"/>
          <w:szCs w:val="28"/>
        </w:rPr>
        <w:t>3、</w:t>
      </w:r>
      <w:r>
        <w:rPr>
          <w:rFonts w:ascii="仿宋" w:hAnsi="仿宋"/>
          <w:szCs w:val="28"/>
        </w:rPr>
        <w:t>《</w:t>
      </w:r>
      <w:r>
        <w:rPr>
          <w:rFonts w:hint="eastAsia" w:ascii="仿宋" w:hAnsi="仿宋"/>
          <w:szCs w:val="28"/>
        </w:rPr>
        <w:t>建筑变形测量规范</w:t>
      </w:r>
      <w:r>
        <w:rPr>
          <w:rFonts w:ascii="仿宋" w:hAnsi="仿宋"/>
          <w:szCs w:val="28"/>
        </w:rPr>
        <w:t>》（JGJ 8-2016）；</w:t>
      </w:r>
    </w:p>
    <w:p>
      <w:pPr>
        <w:widowControl/>
        <w:spacing w:before="60" w:after="60"/>
        <w:ind w:firstLine="495" w:firstLineChars="177"/>
        <w:jc w:val="left"/>
        <w:rPr>
          <w:rFonts w:hint="eastAsia" w:ascii="仿宋" w:hAnsi="仿宋"/>
          <w:szCs w:val="28"/>
        </w:rPr>
      </w:pPr>
      <w:r>
        <w:rPr>
          <w:rFonts w:hint="eastAsia" w:ascii="仿宋" w:hAnsi="仿宋"/>
          <w:szCs w:val="28"/>
        </w:rPr>
        <w:t>4、</w:t>
      </w:r>
      <w:r>
        <w:rPr>
          <w:rFonts w:ascii="仿宋" w:hAnsi="仿宋"/>
          <w:szCs w:val="28"/>
        </w:rPr>
        <w:t>《大坝安全监测自动化技术规范》（DL/T 5211-2005）；</w:t>
      </w:r>
    </w:p>
    <w:p>
      <w:pPr>
        <w:widowControl/>
        <w:spacing w:before="60" w:after="60"/>
        <w:ind w:firstLine="495" w:firstLineChars="177"/>
        <w:jc w:val="left"/>
        <w:rPr>
          <w:rFonts w:hint="eastAsia" w:ascii="仿宋" w:hAnsi="仿宋"/>
          <w:szCs w:val="28"/>
        </w:rPr>
      </w:pPr>
      <w:r>
        <w:rPr>
          <w:rFonts w:hint="eastAsia" w:ascii="仿宋" w:hAnsi="仿宋"/>
          <w:szCs w:val="28"/>
        </w:rPr>
        <w:t>5、</w:t>
      </w:r>
      <w:r>
        <w:rPr>
          <w:rFonts w:ascii="仿宋" w:hAnsi="仿宋"/>
          <w:szCs w:val="28"/>
        </w:rPr>
        <w:t>《混凝土坝安全监测资料整编规程》（DL/T 5209-2005）；</w:t>
      </w:r>
    </w:p>
    <w:p>
      <w:pPr>
        <w:widowControl/>
        <w:spacing w:before="60" w:after="60"/>
        <w:ind w:firstLine="495" w:firstLineChars="177"/>
        <w:jc w:val="left"/>
        <w:rPr>
          <w:rFonts w:hint="eastAsia" w:ascii="仿宋" w:hAnsi="仿宋"/>
          <w:szCs w:val="28"/>
        </w:rPr>
      </w:pPr>
      <w:r>
        <w:rPr>
          <w:rFonts w:hint="eastAsia" w:ascii="仿宋" w:hAnsi="仿宋"/>
          <w:szCs w:val="28"/>
        </w:rPr>
        <w:t>6、</w:t>
      </w:r>
      <w:r>
        <w:rPr>
          <w:rFonts w:ascii="仿宋" w:hAnsi="仿宋"/>
          <w:szCs w:val="28"/>
        </w:rPr>
        <w:t>《海上风电场钢结构防腐蚀技术标准》（NB/T 31006-2011）；</w:t>
      </w:r>
    </w:p>
    <w:p>
      <w:pPr>
        <w:widowControl/>
        <w:spacing w:before="60" w:after="60"/>
        <w:ind w:firstLine="495" w:firstLineChars="177"/>
        <w:jc w:val="left"/>
        <w:rPr>
          <w:rFonts w:hint="eastAsia" w:ascii="仿宋" w:hAnsi="仿宋"/>
          <w:szCs w:val="28"/>
        </w:rPr>
      </w:pPr>
      <w:r>
        <w:rPr>
          <w:rFonts w:hint="eastAsia" w:ascii="仿宋" w:hAnsi="仿宋"/>
          <w:szCs w:val="28"/>
        </w:rPr>
        <w:t>7、《港工设施牺牲阳极保护设计和安装要求》（GJB-156A-200821）；</w:t>
      </w:r>
    </w:p>
    <w:p>
      <w:pPr>
        <w:widowControl/>
        <w:spacing w:before="60" w:after="60"/>
        <w:ind w:firstLine="495" w:firstLineChars="177"/>
        <w:jc w:val="left"/>
        <w:rPr>
          <w:rFonts w:hint="eastAsia" w:ascii="仿宋" w:hAnsi="仿宋"/>
          <w:szCs w:val="28"/>
        </w:rPr>
      </w:pPr>
      <w:r>
        <w:rPr>
          <w:rFonts w:hint="eastAsia" w:ascii="仿宋" w:hAnsi="仿宋"/>
          <w:szCs w:val="28"/>
        </w:rPr>
        <w:t>8、</w:t>
      </w:r>
      <w:r>
        <w:rPr>
          <w:rFonts w:ascii="仿宋" w:hAnsi="仿宋"/>
          <w:szCs w:val="28"/>
        </w:rPr>
        <w:t>《中华人民共和国海上交通安全法》（2016年11月修正）；</w:t>
      </w:r>
    </w:p>
    <w:p>
      <w:pPr>
        <w:widowControl/>
        <w:spacing w:before="60" w:after="60"/>
        <w:ind w:firstLine="495" w:firstLineChars="177"/>
        <w:jc w:val="left"/>
        <w:rPr>
          <w:rFonts w:hint="eastAsia" w:ascii="仿宋" w:hAnsi="仿宋"/>
          <w:szCs w:val="28"/>
        </w:rPr>
      </w:pPr>
      <w:r>
        <w:rPr>
          <w:rFonts w:hint="eastAsia" w:ascii="仿宋" w:hAnsi="仿宋"/>
          <w:szCs w:val="28"/>
        </w:rPr>
        <w:t>9、</w:t>
      </w:r>
      <w:r>
        <w:rPr>
          <w:rFonts w:ascii="仿宋" w:hAnsi="仿宋"/>
          <w:szCs w:val="28"/>
        </w:rPr>
        <w:t>《大坝安全监测仪器安装标准》（SL 531-2012）；</w:t>
      </w:r>
    </w:p>
    <w:p>
      <w:pPr>
        <w:pStyle w:val="3"/>
        <w:ind w:firstLine="562"/>
      </w:pPr>
      <w:r>
        <w:rPr>
          <w:rFonts w:hint="eastAsia"/>
        </w:rPr>
        <w:t>服务期限</w:t>
      </w:r>
      <w:r>
        <w:t>要求</w:t>
      </w:r>
    </w:p>
    <w:p>
      <w:pPr>
        <w:widowControl/>
        <w:spacing w:before="60" w:after="60"/>
        <w:ind w:firstLine="495" w:firstLineChars="177"/>
        <w:jc w:val="left"/>
        <w:rPr>
          <w:rFonts w:hint="eastAsia" w:ascii="仿宋" w:hAnsi="仿宋"/>
          <w:szCs w:val="28"/>
        </w:rPr>
      </w:pPr>
      <w:r>
        <w:rPr>
          <w:rFonts w:hint="eastAsia" w:ascii="仿宋" w:hAnsi="仿宋"/>
          <w:szCs w:val="28"/>
        </w:rPr>
        <w:t>服务期限：</w:t>
      </w:r>
      <w:r>
        <w:rPr>
          <w:rFonts w:hint="eastAsia" w:ascii="仿宋" w:hAnsi="仿宋"/>
          <w:szCs w:val="28"/>
          <w:u w:val="single"/>
        </w:rPr>
        <w:t>202</w:t>
      </w:r>
      <w:r>
        <w:rPr>
          <w:rFonts w:ascii="仿宋" w:hAnsi="仿宋"/>
          <w:szCs w:val="28"/>
          <w:u w:val="single"/>
        </w:rPr>
        <w:t>5</w:t>
      </w:r>
      <w:r>
        <w:rPr>
          <w:rFonts w:hint="eastAsia" w:ascii="仿宋" w:hAnsi="仿宋"/>
          <w:szCs w:val="28"/>
          <w:u w:val="single"/>
        </w:rPr>
        <w:t>年9月10日至2027年9月</w:t>
      </w:r>
      <w:r>
        <w:rPr>
          <w:rFonts w:ascii="仿宋" w:hAnsi="仿宋"/>
          <w:szCs w:val="28"/>
          <w:u w:val="single"/>
        </w:rPr>
        <w:t>3</w:t>
      </w:r>
      <w:r>
        <w:rPr>
          <w:rFonts w:hint="eastAsia" w:ascii="仿宋" w:hAnsi="仿宋"/>
          <w:szCs w:val="28"/>
          <w:u w:val="single"/>
        </w:rPr>
        <w:t>0日</w:t>
      </w:r>
      <w:r>
        <w:rPr>
          <w:rFonts w:hint="eastAsia" w:ascii="仿宋" w:hAnsi="仿宋"/>
          <w:szCs w:val="28"/>
        </w:rPr>
        <w:t>。</w:t>
      </w:r>
    </w:p>
    <w:p>
      <w:pPr>
        <w:pStyle w:val="3"/>
        <w:ind w:firstLine="562"/>
      </w:pPr>
      <w:r>
        <w:rPr>
          <w:rFonts w:hint="eastAsia"/>
        </w:rPr>
        <w:t>安全监测系统维护及服务要求</w:t>
      </w:r>
    </w:p>
    <w:p>
      <w:pPr>
        <w:pStyle w:val="4"/>
        <w:ind w:firstLine="560"/>
      </w:pPr>
      <w:r>
        <w:rPr>
          <w:rFonts w:hint="eastAsia"/>
        </w:rPr>
        <w:t>技术要求</w:t>
      </w:r>
    </w:p>
    <w:p>
      <w:pPr>
        <w:ind w:firstLine="560"/>
        <w:rPr>
          <w:rFonts w:hint="eastAsia" w:ascii="仿宋" w:hAnsi="仿宋" w:cs="Times New Roman"/>
          <w:szCs w:val="28"/>
        </w:rPr>
      </w:pPr>
      <w:r>
        <w:rPr>
          <w:rFonts w:hint="eastAsia" w:ascii="仿宋" w:hAnsi="仿宋" w:cs="Times New Roman"/>
          <w:szCs w:val="28"/>
        </w:rPr>
        <w:t>1、投标人在服务期内应确保招标人安全监测系统安全可靠运行，安全监测设备设施及软件系统发生故障应及时进行修复。</w:t>
      </w:r>
    </w:p>
    <w:p>
      <w:pPr>
        <w:ind w:firstLine="560"/>
        <w:rPr>
          <w:rFonts w:hint="eastAsia" w:ascii="仿宋" w:hAnsi="仿宋" w:cs="Times New Roman"/>
          <w:szCs w:val="28"/>
        </w:rPr>
      </w:pPr>
      <w:r>
        <w:rPr>
          <w:rFonts w:hint="eastAsia" w:ascii="仿宋" w:hAnsi="仿宋" w:cs="Times New Roman"/>
          <w:szCs w:val="28"/>
        </w:rPr>
        <w:t>2、投标人应及时对安全监测数据进行整理、检查和分析并及时提供安全监测月报、年报等报告资料。</w:t>
      </w:r>
    </w:p>
    <w:p>
      <w:pPr>
        <w:ind w:firstLine="560"/>
        <w:rPr>
          <w:rFonts w:hint="eastAsia" w:ascii="仿宋" w:hAnsi="仿宋" w:cs="Times New Roman"/>
          <w:szCs w:val="28"/>
        </w:rPr>
      </w:pPr>
      <w:r>
        <w:rPr>
          <w:rFonts w:hint="eastAsia" w:ascii="仿宋" w:hAnsi="仿宋" w:cs="Times New Roman"/>
          <w:szCs w:val="28"/>
        </w:rPr>
        <w:t>3、投标人应自备满足安全监测维护与数据分析服务所需的专业人员、设备及工器具（出海船舶由招标人提供）。</w:t>
      </w:r>
    </w:p>
    <w:p>
      <w:pPr>
        <w:ind w:firstLine="560"/>
        <w:rPr>
          <w:rFonts w:hint="eastAsia" w:ascii="仿宋" w:hAnsi="仿宋" w:cs="Times New Roman"/>
          <w:szCs w:val="28"/>
        </w:rPr>
      </w:pPr>
      <w:r>
        <w:rPr>
          <w:rFonts w:hint="eastAsia" w:ascii="仿宋" w:hAnsi="仿宋" w:cs="Times New Roman"/>
          <w:szCs w:val="28"/>
        </w:rPr>
        <w:t>4、投标人应及时开展设备日常巡视检查工作，发现问题应及时进行修复或更换，安全监测设备设施及配件、线缆的采购、更换、安装等费用均包含在投标总报价内。</w:t>
      </w:r>
    </w:p>
    <w:p>
      <w:pPr>
        <w:widowControl/>
        <w:spacing w:before="60" w:after="60"/>
        <w:ind w:firstLine="495" w:firstLineChars="177"/>
        <w:jc w:val="left"/>
        <w:rPr>
          <w:rFonts w:hint="eastAsia" w:ascii="仿宋" w:hAnsi="仿宋"/>
          <w:szCs w:val="28"/>
        </w:rPr>
      </w:pPr>
      <w:r>
        <w:rPr>
          <w:rFonts w:hint="eastAsia" w:ascii="仿宋" w:hAnsi="仿宋"/>
          <w:szCs w:val="28"/>
        </w:rPr>
        <w:t>5、投标人在服务期间发现不正常情况或安全监测数据异常，应及时上报招标人，并密切关注，加强监测，分析原因提出改善措施及意见</w:t>
      </w:r>
      <w:r>
        <w:rPr>
          <w:rFonts w:hint="eastAsia" w:ascii="仿宋" w:hAnsi="仿宋" w:cs="宋体"/>
          <w:szCs w:val="28"/>
        </w:rPr>
        <w:t>。</w:t>
      </w:r>
    </w:p>
    <w:p>
      <w:pPr>
        <w:widowControl/>
        <w:spacing w:before="60" w:after="60"/>
        <w:ind w:firstLine="495" w:firstLineChars="177"/>
        <w:jc w:val="left"/>
        <w:rPr>
          <w:rFonts w:hint="eastAsia" w:ascii="仿宋" w:hAnsi="仿宋"/>
          <w:szCs w:val="28"/>
        </w:rPr>
      </w:pPr>
      <w:r>
        <w:rPr>
          <w:rFonts w:hint="eastAsia" w:ascii="仿宋" w:hAnsi="仿宋"/>
          <w:szCs w:val="28"/>
        </w:rPr>
        <w:t>6、投标人应做好安全监测系统备品备件的管理工作，备品备件定期进行检查保养，使其保持良好的技术状态，已动用了的应及时补充，以保持规定的储备数量。（备品备件由</w:t>
      </w:r>
      <w:r>
        <w:rPr>
          <w:rFonts w:ascii="仿宋" w:hAnsi="仿宋"/>
          <w:szCs w:val="28"/>
        </w:rPr>
        <w:t>投</w:t>
      </w:r>
      <w:r>
        <w:rPr>
          <w:rFonts w:hint="eastAsia" w:ascii="仿宋" w:hAnsi="仿宋"/>
          <w:szCs w:val="28"/>
        </w:rPr>
        <w:t>标人提供）</w:t>
      </w:r>
    </w:p>
    <w:p>
      <w:pPr>
        <w:widowControl/>
        <w:spacing w:before="60" w:after="60"/>
        <w:ind w:firstLine="495" w:firstLineChars="177"/>
        <w:jc w:val="left"/>
        <w:rPr>
          <w:rFonts w:hint="eastAsia" w:ascii="仿宋" w:hAnsi="仿宋"/>
          <w:szCs w:val="28"/>
        </w:rPr>
      </w:pPr>
      <w:r>
        <w:rPr>
          <w:rFonts w:hint="eastAsia" w:ascii="仿宋" w:hAnsi="仿宋"/>
          <w:szCs w:val="28"/>
        </w:rPr>
        <w:t>7、若遇到特殊情况，如台风、大暴雨、大浪潮、强地震以及结构出现异常或损坏等情况，应及时对海上安全监测设施进行一次全面检查，及时修复损坏的设备。</w:t>
      </w:r>
    </w:p>
    <w:p>
      <w:pPr>
        <w:pStyle w:val="4"/>
        <w:ind w:firstLine="560"/>
      </w:pPr>
      <w:r>
        <w:rPr>
          <w:rFonts w:hint="eastAsia"/>
        </w:rPr>
        <w:t>成果报告</w:t>
      </w:r>
    </w:p>
    <w:p>
      <w:pPr>
        <w:widowControl/>
        <w:spacing w:before="60" w:after="60"/>
        <w:ind w:firstLine="495" w:firstLineChars="177"/>
        <w:jc w:val="left"/>
        <w:rPr>
          <w:rFonts w:hint="eastAsia" w:ascii="仿宋" w:hAnsi="仿宋"/>
          <w:szCs w:val="28"/>
        </w:rPr>
      </w:pPr>
      <w:r>
        <w:rPr>
          <w:rFonts w:hint="eastAsia" w:ascii="仿宋" w:hAnsi="仿宋"/>
          <w:szCs w:val="28"/>
        </w:rPr>
        <w:t>要求投标人每月编制月度安全监测报告，内容包括安全监测系统运行情况，监测数据的整理、检查，并绘制相应的图表，对监测数据进行初步分析和判断，并提出海工建（构）筑物的变化趋势、更换设备情况，巡视巡检、维护过程的影像资料以及故障部件更换清单等，在当月监测数据采集完成后于下月15日前编写完成报告并上报给招标人。</w:t>
      </w:r>
    </w:p>
    <w:p>
      <w:pPr>
        <w:widowControl/>
        <w:spacing w:before="60" w:after="60"/>
        <w:ind w:firstLine="495" w:firstLineChars="177"/>
        <w:jc w:val="left"/>
        <w:rPr>
          <w:rFonts w:hint="eastAsia" w:ascii="仿宋" w:hAnsi="仿宋"/>
          <w:szCs w:val="28"/>
        </w:rPr>
      </w:pPr>
      <w:r>
        <w:rPr>
          <w:rFonts w:hint="eastAsia" w:ascii="仿宋" w:hAnsi="仿宋"/>
          <w:szCs w:val="28"/>
        </w:rPr>
        <w:t>年度安全监测报告应在月度报告的基础上进行资料分析，对年度数据与历年数据进行对比计算和分析，评估风电场建构筑物安全状态，发现不正常现象或确认的异常值，应立即向招标人报告，并提出应采取的相应对策，年度安全检查报告应在本年度监测结束后1个月内完成编写并上报给招标人。</w:t>
      </w:r>
    </w:p>
    <w:p>
      <w:pPr>
        <w:widowControl/>
        <w:spacing w:before="60" w:after="60"/>
        <w:ind w:firstLine="495" w:firstLineChars="177"/>
        <w:jc w:val="left"/>
        <w:rPr>
          <w:rFonts w:hint="eastAsia" w:ascii="仿宋" w:hAnsi="仿宋"/>
          <w:szCs w:val="28"/>
        </w:rPr>
      </w:pPr>
      <w:r>
        <w:rPr>
          <w:rFonts w:hint="eastAsia" w:ascii="仿宋" w:hAnsi="仿宋"/>
          <w:szCs w:val="28"/>
        </w:rPr>
        <w:t>报告应为单位盖章纸质版，并提供相应的电子版资料。</w:t>
      </w:r>
    </w:p>
    <w:p>
      <w:pPr>
        <w:pStyle w:val="3"/>
        <w:ind w:firstLine="562"/>
      </w:pPr>
      <w:r>
        <w:rPr>
          <w:rFonts w:hint="eastAsia"/>
        </w:rPr>
        <w:t>沉降监测、牺牲阳极电位检测服务要求</w:t>
      </w:r>
    </w:p>
    <w:p>
      <w:pPr>
        <w:pStyle w:val="4"/>
        <w:ind w:firstLine="560"/>
      </w:pPr>
      <w:r>
        <w:rPr>
          <w:rFonts w:hint="eastAsia"/>
        </w:rPr>
        <w:t>技术要求</w:t>
      </w:r>
    </w:p>
    <w:p>
      <w:pPr>
        <w:ind w:firstLine="560"/>
        <w:rPr>
          <w:rFonts w:hint="eastAsia" w:ascii="仿宋" w:hAnsi="仿宋" w:cs="Times New Roman"/>
          <w:szCs w:val="28"/>
        </w:rPr>
      </w:pPr>
      <w:r>
        <w:rPr>
          <w:rFonts w:hint="eastAsia" w:ascii="仿宋" w:hAnsi="仿宋" w:cs="Times New Roman"/>
          <w:szCs w:val="28"/>
        </w:rPr>
        <w:t>1、投标人在服务期内应确保所使用的仪器设备准确可靠，并且仪器设备应在有效检定期内，相关资料上报招标人。</w:t>
      </w:r>
    </w:p>
    <w:p>
      <w:pPr>
        <w:ind w:firstLine="560"/>
        <w:rPr>
          <w:rFonts w:hint="eastAsia" w:ascii="仿宋" w:hAnsi="仿宋" w:cs="Times New Roman"/>
          <w:szCs w:val="28"/>
        </w:rPr>
      </w:pPr>
      <w:r>
        <w:rPr>
          <w:rFonts w:hint="eastAsia" w:ascii="仿宋" w:hAnsi="仿宋" w:cs="Times New Roman"/>
          <w:szCs w:val="28"/>
        </w:rPr>
        <w:t>2、投标人应自备满足项目工作内容所需的专业人员、设备及工器具（出海船舶由招标人提供）。牺牲阳极电位检测人员应持有低压电工证，熟悉万用表、参比电极使用方法。</w:t>
      </w:r>
    </w:p>
    <w:p>
      <w:pPr>
        <w:ind w:firstLine="560"/>
        <w:rPr>
          <w:rFonts w:hint="eastAsia" w:ascii="仿宋" w:hAnsi="仿宋" w:cs="Times New Roman"/>
          <w:szCs w:val="28"/>
        </w:rPr>
      </w:pPr>
      <w:r>
        <w:rPr>
          <w:rFonts w:hint="eastAsia" w:ascii="仿宋" w:hAnsi="仿宋" w:cs="Times New Roman"/>
          <w:szCs w:val="28"/>
        </w:rPr>
        <w:t>3、投标人应及时对监测数据进行整理、检查和分析并及时提供监测报告资料。</w:t>
      </w:r>
    </w:p>
    <w:p>
      <w:pPr>
        <w:widowControl/>
        <w:spacing w:before="60" w:after="60"/>
        <w:ind w:firstLine="495" w:firstLineChars="177"/>
        <w:jc w:val="left"/>
        <w:rPr>
          <w:rFonts w:hint="eastAsia" w:ascii="仿宋" w:hAnsi="仿宋"/>
          <w:szCs w:val="28"/>
        </w:rPr>
      </w:pPr>
      <w:r>
        <w:rPr>
          <w:rFonts w:hint="eastAsia" w:ascii="仿宋" w:hAnsi="仿宋"/>
          <w:szCs w:val="28"/>
        </w:rPr>
        <w:t>4、投标人在服务期间发现不正常情况或安全监测数据异常，应及时上报招标人，并密切关注，分析原因提出改善措施及意见</w:t>
      </w:r>
      <w:r>
        <w:rPr>
          <w:rFonts w:hint="eastAsia" w:ascii="仿宋" w:hAnsi="仿宋" w:cs="宋体"/>
          <w:szCs w:val="28"/>
        </w:rPr>
        <w:t>。</w:t>
      </w:r>
    </w:p>
    <w:p>
      <w:pPr>
        <w:pStyle w:val="4"/>
        <w:ind w:firstLine="560"/>
      </w:pPr>
      <w:r>
        <w:rPr>
          <w:rFonts w:hint="eastAsia"/>
        </w:rPr>
        <w:t>成果报告</w:t>
      </w:r>
    </w:p>
    <w:p>
      <w:pPr>
        <w:widowControl/>
        <w:spacing w:before="60" w:after="60"/>
        <w:ind w:firstLine="495" w:firstLineChars="177"/>
        <w:jc w:val="left"/>
        <w:rPr>
          <w:rFonts w:hint="eastAsia" w:ascii="仿宋" w:hAnsi="仿宋"/>
          <w:szCs w:val="28"/>
        </w:rPr>
      </w:pPr>
      <w:r>
        <w:rPr>
          <w:rFonts w:hint="eastAsia" w:ascii="仿宋" w:hAnsi="仿宋"/>
          <w:szCs w:val="28"/>
        </w:rPr>
        <w:t>要求投标人每次完成风机不均匀沉降监测、风机牺牲阳极电位检测、陆上计量站监测基准点联测及陆上计量站建筑物基础沉降监测工作内容后15日内编制完成监测报告，内容包括安全监测系统运行情况，监测数据的整理、检查，并绘制相应的图表，对监测数据进行初步分析和判断，并提出监测建（构）筑物的变化趋势等内容，发现不正常现象或确认的异常值，应立即向招标人报告，并应提出所需采取的相应对策建议。报告应为纸质版，并提供相应的电子版资料。</w:t>
      </w:r>
    </w:p>
    <w:p>
      <w:pPr>
        <w:pStyle w:val="3"/>
        <w:ind w:firstLine="562"/>
      </w:pPr>
      <w:r>
        <w:rPr>
          <w:rFonts w:hint="eastAsia"/>
        </w:rPr>
        <w:t>其它要求</w:t>
      </w:r>
    </w:p>
    <w:p>
      <w:pPr>
        <w:widowControl/>
        <w:spacing w:before="60" w:after="60"/>
        <w:ind w:firstLine="495" w:firstLineChars="177"/>
        <w:jc w:val="left"/>
        <w:rPr>
          <w:rFonts w:hint="eastAsia" w:ascii="仿宋" w:hAnsi="仿宋"/>
          <w:szCs w:val="28"/>
        </w:rPr>
      </w:pPr>
      <w:r>
        <w:rPr>
          <w:rFonts w:hint="eastAsia" w:ascii="仿宋" w:hAnsi="仿宋"/>
          <w:szCs w:val="28"/>
        </w:rPr>
        <w:t>1、投标人应对安全监测数据资料保密，除需上报给招标人外，不得将安全监测数据资料提供给其他单位和个人，否则应对由此造成的后果承担责任。</w:t>
      </w:r>
    </w:p>
    <w:p>
      <w:pPr>
        <w:widowControl/>
        <w:spacing w:before="60" w:after="60"/>
        <w:ind w:firstLine="495" w:firstLineChars="177"/>
        <w:jc w:val="left"/>
        <w:rPr>
          <w:rFonts w:hint="eastAsia" w:ascii="仿宋" w:hAnsi="仿宋"/>
          <w:szCs w:val="28"/>
        </w:rPr>
      </w:pPr>
      <w:r>
        <w:rPr>
          <w:rFonts w:hint="eastAsia" w:ascii="仿宋" w:hAnsi="仿宋"/>
          <w:szCs w:val="28"/>
        </w:rPr>
        <w:t>2、投标人在进入海上升压站、风机进行监测作业时，应按照招标人相关规章制度办理相关许可手续后方可进行监测作业。</w:t>
      </w:r>
    </w:p>
    <w:p>
      <w:pPr>
        <w:widowControl/>
        <w:spacing w:before="60" w:after="60"/>
        <w:ind w:firstLine="495" w:firstLineChars="177"/>
        <w:jc w:val="left"/>
        <w:rPr>
          <w:rFonts w:hint="eastAsia" w:ascii="仿宋" w:hAnsi="仿宋"/>
          <w:szCs w:val="28"/>
        </w:rPr>
      </w:pPr>
      <w:r>
        <w:rPr>
          <w:rFonts w:hint="eastAsia" w:ascii="仿宋" w:hAnsi="仿宋"/>
          <w:szCs w:val="28"/>
        </w:rPr>
        <w:t>3、投标人应为出海测量作业人员办理好相关的手续及证书，保证符合海事等主管部门出海、维护作业的相关要求。</w:t>
      </w:r>
    </w:p>
    <w:p>
      <w:pPr>
        <w:widowControl/>
        <w:spacing w:before="60" w:after="60"/>
        <w:ind w:firstLine="495" w:firstLineChars="177"/>
        <w:jc w:val="left"/>
        <w:rPr>
          <w:rFonts w:hint="eastAsia" w:ascii="仿宋" w:hAnsi="仿宋"/>
          <w:szCs w:val="28"/>
        </w:rPr>
      </w:pPr>
      <w:r>
        <w:rPr>
          <w:rFonts w:hint="eastAsia" w:ascii="仿宋" w:hAnsi="仿宋"/>
          <w:szCs w:val="28"/>
        </w:rPr>
        <w:t>4、投标人</w:t>
      </w:r>
      <w:r>
        <w:rPr>
          <w:rFonts w:ascii="仿宋" w:hAnsi="仿宋"/>
          <w:szCs w:val="28"/>
        </w:rPr>
        <w:t>如需</w:t>
      </w:r>
      <w:r>
        <w:rPr>
          <w:rFonts w:hint="eastAsia" w:ascii="仿宋" w:hAnsi="仿宋"/>
          <w:szCs w:val="28"/>
        </w:rPr>
        <w:t>登风机进行测量作业时，应提前开具工作票，待工作票许可后方能登风机进行作业</w:t>
      </w:r>
      <w:r>
        <w:rPr>
          <w:rFonts w:ascii="仿宋" w:hAnsi="仿宋"/>
          <w:szCs w:val="28"/>
        </w:rPr>
        <w:t>。</w:t>
      </w:r>
    </w:p>
    <w:p>
      <w:pPr>
        <w:widowControl/>
        <w:spacing w:before="60" w:after="60"/>
        <w:ind w:firstLine="495" w:firstLineChars="177"/>
        <w:jc w:val="left"/>
        <w:rPr>
          <w:rFonts w:hint="eastAsia" w:ascii="仿宋" w:hAnsi="仿宋"/>
          <w:szCs w:val="28"/>
        </w:rPr>
      </w:pPr>
      <w:r>
        <w:rPr>
          <w:rFonts w:hint="eastAsia" w:ascii="仿宋" w:hAnsi="仿宋"/>
          <w:szCs w:val="28"/>
        </w:rPr>
        <w:t>5、投标人如需船只进行测量作业时，应提前在招标人船只管理部门进行报备，待允许后方可按要求出海作业。</w:t>
      </w:r>
    </w:p>
    <w:p>
      <w:pPr>
        <w:widowControl/>
        <w:spacing w:before="60" w:after="60"/>
        <w:ind w:firstLine="495" w:firstLineChars="177"/>
        <w:jc w:val="left"/>
        <w:rPr>
          <w:rFonts w:hint="eastAsia" w:ascii="仿宋" w:hAnsi="仿宋"/>
          <w:szCs w:val="28"/>
        </w:rPr>
      </w:pPr>
      <w:r>
        <w:rPr>
          <w:rFonts w:hint="eastAsia" w:ascii="仿宋" w:hAnsi="仿宋"/>
          <w:szCs w:val="28"/>
        </w:rPr>
        <w:t>6、投标人应协助做好上级单位和相关主管单位进行的安全监测相关的检查、检测等工作。</w:t>
      </w:r>
    </w:p>
    <w:p>
      <w:pPr>
        <w:pStyle w:val="2"/>
        <w:ind w:firstLine="562"/>
      </w:pPr>
      <w:bookmarkStart w:id="25" w:name="_GoBack"/>
      <w:bookmarkEnd w:id="25"/>
      <w:r>
        <w:rPr>
          <w:rFonts w:hint="eastAsia"/>
        </w:rPr>
        <w:t>技术考核要求</w:t>
      </w:r>
    </w:p>
    <w:p>
      <w:pPr>
        <w:widowControl/>
        <w:spacing w:before="60" w:after="60"/>
        <w:ind w:firstLine="495" w:firstLineChars="177"/>
        <w:jc w:val="left"/>
        <w:rPr>
          <w:rFonts w:hint="eastAsia" w:ascii="仿宋" w:hAnsi="仿宋"/>
          <w:szCs w:val="28"/>
        </w:rPr>
      </w:pPr>
      <w:r>
        <w:rPr>
          <w:rFonts w:hint="eastAsia" w:ascii="仿宋" w:hAnsi="仿宋"/>
          <w:szCs w:val="28"/>
        </w:rPr>
        <w:t>1、因投标人工作错误造成的损失，投标人除负责采取补救措施外，免收受损失部分的服务费，并根据损失程度向招标人赔偿实际损失。</w:t>
      </w:r>
    </w:p>
    <w:p>
      <w:pPr>
        <w:widowControl/>
        <w:spacing w:before="60" w:after="60"/>
        <w:ind w:firstLine="495" w:firstLineChars="177"/>
        <w:jc w:val="left"/>
        <w:rPr>
          <w:rFonts w:hint="eastAsia" w:ascii="仿宋" w:hAnsi="仿宋"/>
          <w:szCs w:val="28"/>
        </w:rPr>
      </w:pPr>
      <w:r>
        <w:rPr>
          <w:rFonts w:hint="eastAsia" w:ascii="仿宋" w:hAnsi="仿宋"/>
          <w:szCs w:val="28"/>
        </w:rPr>
        <w:t>2、由于投标人自身的原因，延误了按本技术规范书规定的报告文件交付时间，考核1000元/每期。</w:t>
      </w:r>
    </w:p>
    <w:p>
      <w:pPr>
        <w:widowControl/>
        <w:spacing w:before="60" w:after="60"/>
        <w:ind w:firstLine="495" w:firstLineChars="177"/>
        <w:jc w:val="left"/>
        <w:rPr>
          <w:rFonts w:hint="eastAsia" w:ascii="仿宋" w:hAnsi="仿宋"/>
          <w:szCs w:val="28"/>
        </w:rPr>
      </w:pPr>
      <w:r>
        <w:rPr>
          <w:rFonts w:hint="eastAsia" w:ascii="仿宋" w:hAnsi="仿宋"/>
          <w:szCs w:val="28"/>
        </w:rPr>
        <w:t>3、安全监测设备发生缺陷，投标人15日内未出海消缺的，考核500元/每次。</w:t>
      </w:r>
    </w:p>
    <w:p>
      <w:pPr>
        <w:widowControl/>
        <w:spacing w:before="60" w:after="60"/>
        <w:ind w:firstLine="495" w:firstLineChars="177"/>
        <w:jc w:val="left"/>
        <w:rPr>
          <w:rFonts w:hint="eastAsia" w:ascii="仿宋" w:hAnsi="仿宋"/>
          <w:szCs w:val="28"/>
        </w:rPr>
      </w:pPr>
      <w:r>
        <w:rPr>
          <w:rFonts w:hint="eastAsia" w:ascii="仿宋" w:hAnsi="仿宋"/>
          <w:szCs w:val="28"/>
        </w:rPr>
        <w:t>4、招标人对监测报告提出意见后，本月内投标人未答复或整改的，考核1000元/次。</w:t>
      </w:r>
    </w:p>
    <w:p>
      <w:pPr>
        <w:ind w:firstLine="560"/>
      </w:pPr>
      <w:r>
        <w:br w:type="page"/>
      </w:r>
    </w:p>
    <w:p>
      <w:pPr>
        <w:pStyle w:val="2"/>
        <w:ind w:firstLine="562"/>
      </w:pPr>
      <w:r>
        <w:rPr>
          <w:rFonts w:hint="eastAsia"/>
        </w:rPr>
        <w:t>附件</w:t>
      </w:r>
    </w:p>
    <w:p>
      <w:pPr>
        <w:pStyle w:val="40"/>
      </w:pPr>
      <w:r>
        <w:rPr>
          <w:rFonts w:hint="eastAsia"/>
        </w:rPr>
        <w:t>附件1 陆上计量站测点平面布置图</w:t>
      </w:r>
    </w:p>
    <w:p>
      <w:pPr>
        <w:pStyle w:val="40"/>
      </w:pPr>
      <w:r>
        <w:drawing>
          <wp:inline distT="0" distB="0" distL="0" distR="0">
            <wp:extent cx="5278120" cy="774954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noChangeArrowheads="1"/>
                    </pic:cNvPicPr>
                  </pic:nvPicPr>
                  <pic:blipFill>
                    <a:blip r:embed="rId26" cstate="print">
                      <a:extLst>
                        <a:ext uri="{28A0092B-C50C-407E-A947-70E740481C1C}">
                          <a14:useLocalDpi xmlns:a14="http://schemas.microsoft.com/office/drawing/2010/main" val="0"/>
                        </a:ext>
                      </a:extLst>
                    </a:blip>
                    <a:srcRect l="44388" t="22212" r="45329" b="41702"/>
                    <a:stretch>
                      <a:fillRect/>
                    </a:stretch>
                  </pic:blipFill>
                  <pic:spPr>
                    <a:xfrm>
                      <a:off x="0" y="0"/>
                      <a:ext cx="5278120" cy="7749540"/>
                    </a:xfrm>
                    <a:prstGeom prst="rect">
                      <a:avLst/>
                    </a:prstGeom>
                    <a:noFill/>
                    <a:ln>
                      <a:noFill/>
                    </a:ln>
                  </pic:spPr>
                </pic:pic>
              </a:graphicData>
            </a:graphic>
          </wp:inline>
        </w:drawing>
      </w:r>
      <w:r>
        <w:br w:type="page"/>
      </w:r>
    </w:p>
    <w:p>
      <w:pPr>
        <w:pStyle w:val="40"/>
      </w:pPr>
      <w:r>
        <w:rPr>
          <w:rFonts w:hint="eastAsia"/>
        </w:rPr>
        <w:t>附件2 计量站附件国家水准点平面位置图</w:t>
      </w:r>
    </w:p>
    <w:p>
      <w:pPr>
        <w:pStyle w:val="40"/>
      </w:pPr>
      <w:r>
        <w:drawing>
          <wp:inline distT="0" distB="0" distL="0" distR="0">
            <wp:extent cx="5278120" cy="4672330"/>
            <wp:effectExtent l="0" t="0" r="0" b="0"/>
            <wp:docPr id="935206493" name="图片 6" descr="图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06493" name="图片 6" descr="图片.png"/>
                    <pic:cNvPicPr>
                      <a:picLocks noChangeAspect="1"/>
                    </pic:cNvPicPr>
                  </pic:nvPicPr>
                  <pic:blipFill>
                    <a:blip r:embed="rId27" cstate="print"/>
                    <a:srcRect l="18137" t="48127" r="12362" b="8568"/>
                    <a:stretch>
                      <a:fillRect/>
                    </a:stretch>
                  </pic:blipFill>
                  <pic:spPr>
                    <a:xfrm>
                      <a:off x="0" y="0"/>
                      <a:ext cx="5278120" cy="4672690"/>
                    </a:xfrm>
                    <a:prstGeom prst="rect">
                      <a:avLst/>
                    </a:prstGeom>
                  </pic:spPr>
                </pic:pic>
              </a:graphicData>
            </a:graphic>
          </wp:inline>
        </w:drawing>
      </w:r>
    </w:p>
    <w:sectPr>
      <w:footerReference r:id="rId12" w:type="first"/>
      <w:footerReference r:id="rId11" w:type="default"/>
      <w:pgSz w:w="11906" w:h="16838"/>
      <w:pgMar w:top="1440" w:right="1797" w:bottom="1191"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35144544"/>
      <w:docPartObj>
        <w:docPartGallery w:val="AutoText"/>
      </w:docPartObj>
    </w:sdtPr>
    <w:sdtContent>
      <w:p>
        <w:pPr>
          <w:pStyle w:val="12"/>
          <w:ind w:firstLine="360"/>
          <w:jc w:val="cente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82986449"/>
      <w:docPartObj>
        <w:docPartGallery w:val="AutoText"/>
      </w:docPartObj>
    </w:sdtPr>
    <w:sdtContent>
      <w:p>
        <w:pPr>
          <w:pStyle w:val="12"/>
          <w:ind w:firstLine="360"/>
          <w:jc w:val="center"/>
        </w:pPr>
        <w:r>
          <w:fldChar w:fldCharType="begin"/>
        </w:r>
        <w:r>
          <w:instrText xml:space="preserve">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1A3187"/>
    <w:multiLevelType w:val="multilevel"/>
    <w:tmpl w:val="361A3187"/>
    <w:lvl w:ilvl="0" w:tentative="0">
      <w:start w:val="1"/>
      <w:numFmt w:val="chineseCountingThousand"/>
      <w:pStyle w:val="2"/>
      <w:suff w:val="nothing"/>
      <w:lvlText w:val="%1、"/>
      <w:lvlJc w:val="left"/>
      <w:pPr>
        <w:ind w:left="0" w:firstLine="0"/>
      </w:pPr>
      <w:rPr>
        <w:rFonts w:hint="eastAsia"/>
        <w:lang w:val="en-US"/>
      </w:rPr>
    </w:lvl>
    <w:lvl w:ilvl="1" w:tentative="0">
      <w:start w:val="1"/>
      <w:numFmt w:val="decimal"/>
      <w:pStyle w:val="3"/>
      <w:isLgl/>
      <w:suff w:val="space"/>
      <w:lvlText w:val="%1.%2"/>
      <w:lvlJc w:val="left"/>
      <w:pPr>
        <w:ind w:left="0" w:firstLine="0"/>
      </w:pPr>
      <w:rPr>
        <w:rFonts w:hint="eastAsia"/>
      </w:rPr>
    </w:lvl>
    <w:lvl w:ilvl="2" w:tentative="0">
      <w:start w:val="1"/>
      <w:numFmt w:val="decimal"/>
      <w:pStyle w:val="4"/>
      <w:isLgl/>
      <w:suff w:val="space"/>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noPunctuationKerning w:val="1"/>
  <w:characterSpacingControl w:val="compressPunctuation"/>
  <w:footnotePr>
    <w:footnote w:id="0"/>
    <w:footnote w:id="1"/>
  </w:footnotePr>
  <w:endnotePr>
    <w:endnote w:id="0"/>
    <w:endnote w:id="1"/>
  </w:endnotePr>
  <w:compat>
    <w:spaceForUL/>
    <w:balanceSingleByteDoubleByteWidth/>
    <w:ulTrailSpace/>
    <w:doNotExpandShiftReturn/>
    <w:adjustLineHeightInTable/>
    <w:useFELayout/>
    <w:doNotUseIndentAsNumberingTabStop/>
    <w:compatSetting w:name="compatibilityMode" w:uri="http://schemas.microsoft.com/office/word" w:val="12"/>
  </w:compat>
  <w:rsids>
    <w:rsidRoot w:val="00EA7A03"/>
    <w:rsid w:val="000020FF"/>
    <w:rsid w:val="000025C6"/>
    <w:rsid w:val="0000766F"/>
    <w:rsid w:val="00021025"/>
    <w:rsid w:val="0002637E"/>
    <w:rsid w:val="00030255"/>
    <w:rsid w:val="00031444"/>
    <w:rsid w:val="0003247E"/>
    <w:rsid w:val="0003348C"/>
    <w:rsid w:val="00033FA4"/>
    <w:rsid w:val="00035B73"/>
    <w:rsid w:val="00040517"/>
    <w:rsid w:val="000441E2"/>
    <w:rsid w:val="00046AA4"/>
    <w:rsid w:val="00051857"/>
    <w:rsid w:val="000530DE"/>
    <w:rsid w:val="00055030"/>
    <w:rsid w:val="00060AAD"/>
    <w:rsid w:val="000642E5"/>
    <w:rsid w:val="00070C17"/>
    <w:rsid w:val="00072A81"/>
    <w:rsid w:val="000734AC"/>
    <w:rsid w:val="00074862"/>
    <w:rsid w:val="00077397"/>
    <w:rsid w:val="00081E58"/>
    <w:rsid w:val="00082003"/>
    <w:rsid w:val="00085088"/>
    <w:rsid w:val="00093458"/>
    <w:rsid w:val="00093942"/>
    <w:rsid w:val="000A6169"/>
    <w:rsid w:val="000B6E4C"/>
    <w:rsid w:val="000B751E"/>
    <w:rsid w:val="000C5FC3"/>
    <w:rsid w:val="000C6B59"/>
    <w:rsid w:val="000D5D45"/>
    <w:rsid w:val="000D6F67"/>
    <w:rsid w:val="000E139E"/>
    <w:rsid w:val="000E70BC"/>
    <w:rsid w:val="000F2741"/>
    <w:rsid w:val="00102164"/>
    <w:rsid w:val="001047F0"/>
    <w:rsid w:val="00105308"/>
    <w:rsid w:val="001203AF"/>
    <w:rsid w:val="00132D28"/>
    <w:rsid w:val="00137B9A"/>
    <w:rsid w:val="00145901"/>
    <w:rsid w:val="001626B6"/>
    <w:rsid w:val="001740FA"/>
    <w:rsid w:val="00176AD4"/>
    <w:rsid w:val="001775B9"/>
    <w:rsid w:val="001915C5"/>
    <w:rsid w:val="001A503C"/>
    <w:rsid w:val="001A77FE"/>
    <w:rsid w:val="001A7A19"/>
    <w:rsid w:val="001B32C5"/>
    <w:rsid w:val="001B5E84"/>
    <w:rsid w:val="001C7F61"/>
    <w:rsid w:val="001D5AC3"/>
    <w:rsid w:val="001D70F4"/>
    <w:rsid w:val="001E2998"/>
    <w:rsid w:val="001E5F68"/>
    <w:rsid w:val="001F0068"/>
    <w:rsid w:val="001F356B"/>
    <w:rsid w:val="001F449B"/>
    <w:rsid w:val="001F58FE"/>
    <w:rsid w:val="001F5E7A"/>
    <w:rsid w:val="00200417"/>
    <w:rsid w:val="00210747"/>
    <w:rsid w:val="0021134E"/>
    <w:rsid w:val="00213857"/>
    <w:rsid w:val="00220485"/>
    <w:rsid w:val="00230AF0"/>
    <w:rsid w:val="002372C1"/>
    <w:rsid w:val="00247AEB"/>
    <w:rsid w:val="0025177E"/>
    <w:rsid w:val="00254EC0"/>
    <w:rsid w:val="00276FD4"/>
    <w:rsid w:val="0028002E"/>
    <w:rsid w:val="002812C1"/>
    <w:rsid w:val="00285B8A"/>
    <w:rsid w:val="002920C6"/>
    <w:rsid w:val="00292C2A"/>
    <w:rsid w:val="002A546A"/>
    <w:rsid w:val="002B7501"/>
    <w:rsid w:val="002C3631"/>
    <w:rsid w:val="002C537B"/>
    <w:rsid w:val="002D7C08"/>
    <w:rsid w:val="002F22E7"/>
    <w:rsid w:val="002F4B74"/>
    <w:rsid w:val="00300808"/>
    <w:rsid w:val="00300890"/>
    <w:rsid w:val="00316798"/>
    <w:rsid w:val="00317982"/>
    <w:rsid w:val="003269DA"/>
    <w:rsid w:val="00327833"/>
    <w:rsid w:val="003303CF"/>
    <w:rsid w:val="003420AB"/>
    <w:rsid w:val="00343CC7"/>
    <w:rsid w:val="00344CEA"/>
    <w:rsid w:val="00351E5B"/>
    <w:rsid w:val="00355AD4"/>
    <w:rsid w:val="003711BD"/>
    <w:rsid w:val="00371BBC"/>
    <w:rsid w:val="00384C8E"/>
    <w:rsid w:val="0038573F"/>
    <w:rsid w:val="00392CA5"/>
    <w:rsid w:val="003A345F"/>
    <w:rsid w:val="003A632D"/>
    <w:rsid w:val="003B1929"/>
    <w:rsid w:val="003B2E4A"/>
    <w:rsid w:val="003C741B"/>
    <w:rsid w:val="003D1F71"/>
    <w:rsid w:val="003E38B5"/>
    <w:rsid w:val="003E6015"/>
    <w:rsid w:val="00401344"/>
    <w:rsid w:val="00411900"/>
    <w:rsid w:val="00423EDA"/>
    <w:rsid w:val="0044603A"/>
    <w:rsid w:val="004466CC"/>
    <w:rsid w:val="00446EF2"/>
    <w:rsid w:val="0044707C"/>
    <w:rsid w:val="004470B7"/>
    <w:rsid w:val="004530C6"/>
    <w:rsid w:val="0046712B"/>
    <w:rsid w:val="00481EFD"/>
    <w:rsid w:val="00494195"/>
    <w:rsid w:val="004A48D0"/>
    <w:rsid w:val="004B12FC"/>
    <w:rsid w:val="004B4FD9"/>
    <w:rsid w:val="004C26C0"/>
    <w:rsid w:val="004C476A"/>
    <w:rsid w:val="004C7AC0"/>
    <w:rsid w:val="004D0050"/>
    <w:rsid w:val="004D2C81"/>
    <w:rsid w:val="004E5639"/>
    <w:rsid w:val="004F4DB0"/>
    <w:rsid w:val="004F68B4"/>
    <w:rsid w:val="00500C0E"/>
    <w:rsid w:val="00511553"/>
    <w:rsid w:val="00525A36"/>
    <w:rsid w:val="00526EA3"/>
    <w:rsid w:val="00527D7C"/>
    <w:rsid w:val="005374F8"/>
    <w:rsid w:val="00547D66"/>
    <w:rsid w:val="00551A8E"/>
    <w:rsid w:val="0055381F"/>
    <w:rsid w:val="00560EA4"/>
    <w:rsid w:val="005630F6"/>
    <w:rsid w:val="00565BE0"/>
    <w:rsid w:val="00566A64"/>
    <w:rsid w:val="0057692D"/>
    <w:rsid w:val="00577982"/>
    <w:rsid w:val="00580EFC"/>
    <w:rsid w:val="00591A03"/>
    <w:rsid w:val="00596144"/>
    <w:rsid w:val="005A4FC5"/>
    <w:rsid w:val="005B2915"/>
    <w:rsid w:val="005D1424"/>
    <w:rsid w:val="005D1F73"/>
    <w:rsid w:val="005D2D78"/>
    <w:rsid w:val="005D2DD9"/>
    <w:rsid w:val="005E33C6"/>
    <w:rsid w:val="005E3D6D"/>
    <w:rsid w:val="005E3DC8"/>
    <w:rsid w:val="005F1096"/>
    <w:rsid w:val="005F10C1"/>
    <w:rsid w:val="005F14A0"/>
    <w:rsid w:val="005F5008"/>
    <w:rsid w:val="005F6453"/>
    <w:rsid w:val="005F67DA"/>
    <w:rsid w:val="005F77E4"/>
    <w:rsid w:val="00602847"/>
    <w:rsid w:val="006065DC"/>
    <w:rsid w:val="00633105"/>
    <w:rsid w:val="00634C15"/>
    <w:rsid w:val="00641A77"/>
    <w:rsid w:val="00641B62"/>
    <w:rsid w:val="00641FED"/>
    <w:rsid w:val="00654B5B"/>
    <w:rsid w:val="00674862"/>
    <w:rsid w:val="006756CF"/>
    <w:rsid w:val="00677600"/>
    <w:rsid w:val="006866C7"/>
    <w:rsid w:val="00692C6D"/>
    <w:rsid w:val="006A18E1"/>
    <w:rsid w:val="006A3C08"/>
    <w:rsid w:val="006A3E29"/>
    <w:rsid w:val="006A5097"/>
    <w:rsid w:val="006B03ED"/>
    <w:rsid w:val="006D283E"/>
    <w:rsid w:val="006D4041"/>
    <w:rsid w:val="006D64A1"/>
    <w:rsid w:val="006E08E4"/>
    <w:rsid w:val="00705F56"/>
    <w:rsid w:val="00705FC8"/>
    <w:rsid w:val="0071002C"/>
    <w:rsid w:val="0071636D"/>
    <w:rsid w:val="00717348"/>
    <w:rsid w:val="00720A70"/>
    <w:rsid w:val="00723E39"/>
    <w:rsid w:val="0072563E"/>
    <w:rsid w:val="0073280A"/>
    <w:rsid w:val="007365B3"/>
    <w:rsid w:val="00752A63"/>
    <w:rsid w:val="007534B3"/>
    <w:rsid w:val="007632B5"/>
    <w:rsid w:val="00764B82"/>
    <w:rsid w:val="00774DBB"/>
    <w:rsid w:val="007774DA"/>
    <w:rsid w:val="00780C01"/>
    <w:rsid w:val="007822AB"/>
    <w:rsid w:val="00784418"/>
    <w:rsid w:val="00785B06"/>
    <w:rsid w:val="00791615"/>
    <w:rsid w:val="007A137F"/>
    <w:rsid w:val="007A59E3"/>
    <w:rsid w:val="007A5B17"/>
    <w:rsid w:val="007B5A3F"/>
    <w:rsid w:val="007C2625"/>
    <w:rsid w:val="007C5CDC"/>
    <w:rsid w:val="007D7956"/>
    <w:rsid w:val="007E64AC"/>
    <w:rsid w:val="008026A8"/>
    <w:rsid w:val="00811165"/>
    <w:rsid w:val="00811561"/>
    <w:rsid w:val="00811C60"/>
    <w:rsid w:val="0081382F"/>
    <w:rsid w:val="00820FFA"/>
    <w:rsid w:val="0083106A"/>
    <w:rsid w:val="00833A29"/>
    <w:rsid w:val="00847018"/>
    <w:rsid w:val="00850EDD"/>
    <w:rsid w:val="0085178E"/>
    <w:rsid w:val="00873DCB"/>
    <w:rsid w:val="008A363D"/>
    <w:rsid w:val="008A5B27"/>
    <w:rsid w:val="008B161D"/>
    <w:rsid w:val="008B30C3"/>
    <w:rsid w:val="008B4016"/>
    <w:rsid w:val="008C3DC6"/>
    <w:rsid w:val="008C4DAA"/>
    <w:rsid w:val="008D0788"/>
    <w:rsid w:val="008E2F62"/>
    <w:rsid w:val="008F079F"/>
    <w:rsid w:val="008F4C92"/>
    <w:rsid w:val="0090274D"/>
    <w:rsid w:val="009033F1"/>
    <w:rsid w:val="00904CA0"/>
    <w:rsid w:val="00925164"/>
    <w:rsid w:val="009272E4"/>
    <w:rsid w:val="009277F9"/>
    <w:rsid w:val="00941651"/>
    <w:rsid w:val="00946EB2"/>
    <w:rsid w:val="00947763"/>
    <w:rsid w:val="00953230"/>
    <w:rsid w:val="00955F82"/>
    <w:rsid w:val="00956BDC"/>
    <w:rsid w:val="0096218D"/>
    <w:rsid w:val="00966EC0"/>
    <w:rsid w:val="0097462C"/>
    <w:rsid w:val="00977401"/>
    <w:rsid w:val="00981A96"/>
    <w:rsid w:val="0098390F"/>
    <w:rsid w:val="00984476"/>
    <w:rsid w:val="009907F3"/>
    <w:rsid w:val="009A0294"/>
    <w:rsid w:val="009A0EED"/>
    <w:rsid w:val="009A7AFC"/>
    <w:rsid w:val="009B05E9"/>
    <w:rsid w:val="009B2009"/>
    <w:rsid w:val="009B30DF"/>
    <w:rsid w:val="009C4656"/>
    <w:rsid w:val="009C6C6B"/>
    <w:rsid w:val="009D4C6B"/>
    <w:rsid w:val="009F1A73"/>
    <w:rsid w:val="009F20D5"/>
    <w:rsid w:val="009F213E"/>
    <w:rsid w:val="009F3F8F"/>
    <w:rsid w:val="009F41B1"/>
    <w:rsid w:val="009F7843"/>
    <w:rsid w:val="00A0144C"/>
    <w:rsid w:val="00A05CFF"/>
    <w:rsid w:val="00A0715E"/>
    <w:rsid w:val="00A12A3D"/>
    <w:rsid w:val="00A1502F"/>
    <w:rsid w:val="00A15F7C"/>
    <w:rsid w:val="00A1683A"/>
    <w:rsid w:val="00A27BBB"/>
    <w:rsid w:val="00A32819"/>
    <w:rsid w:val="00A32C08"/>
    <w:rsid w:val="00A339E3"/>
    <w:rsid w:val="00A520E5"/>
    <w:rsid w:val="00A5611A"/>
    <w:rsid w:val="00A72E3F"/>
    <w:rsid w:val="00A84841"/>
    <w:rsid w:val="00A903EF"/>
    <w:rsid w:val="00A92352"/>
    <w:rsid w:val="00A9778A"/>
    <w:rsid w:val="00AA3BB6"/>
    <w:rsid w:val="00AA6919"/>
    <w:rsid w:val="00AB05DA"/>
    <w:rsid w:val="00AB1C43"/>
    <w:rsid w:val="00AB3E5F"/>
    <w:rsid w:val="00AC093E"/>
    <w:rsid w:val="00AC359A"/>
    <w:rsid w:val="00AD25FC"/>
    <w:rsid w:val="00AD329D"/>
    <w:rsid w:val="00AD421B"/>
    <w:rsid w:val="00AD517E"/>
    <w:rsid w:val="00AD5474"/>
    <w:rsid w:val="00AE2E78"/>
    <w:rsid w:val="00AF1378"/>
    <w:rsid w:val="00B13127"/>
    <w:rsid w:val="00B164F2"/>
    <w:rsid w:val="00B17C29"/>
    <w:rsid w:val="00B30CF4"/>
    <w:rsid w:val="00B35D32"/>
    <w:rsid w:val="00B41D99"/>
    <w:rsid w:val="00B41F70"/>
    <w:rsid w:val="00B467DD"/>
    <w:rsid w:val="00B51421"/>
    <w:rsid w:val="00B5663C"/>
    <w:rsid w:val="00B62DE6"/>
    <w:rsid w:val="00B634A5"/>
    <w:rsid w:val="00B7277C"/>
    <w:rsid w:val="00B76EE1"/>
    <w:rsid w:val="00B80E78"/>
    <w:rsid w:val="00B814A1"/>
    <w:rsid w:val="00B82570"/>
    <w:rsid w:val="00B838FB"/>
    <w:rsid w:val="00B95993"/>
    <w:rsid w:val="00BB31CC"/>
    <w:rsid w:val="00BB4B16"/>
    <w:rsid w:val="00BD0162"/>
    <w:rsid w:val="00BE58EB"/>
    <w:rsid w:val="00BF381F"/>
    <w:rsid w:val="00C01AD0"/>
    <w:rsid w:val="00C0280B"/>
    <w:rsid w:val="00C050A3"/>
    <w:rsid w:val="00C05828"/>
    <w:rsid w:val="00C05D96"/>
    <w:rsid w:val="00C126A2"/>
    <w:rsid w:val="00C34F2A"/>
    <w:rsid w:val="00C36B89"/>
    <w:rsid w:val="00C378FC"/>
    <w:rsid w:val="00C4087F"/>
    <w:rsid w:val="00C43259"/>
    <w:rsid w:val="00C470E3"/>
    <w:rsid w:val="00C479A6"/>
    <w:rsid w:val="00C54248"/>
    <w:rsid w:val="00C73E43"/>
    <w:rsid w:val="00C75FD6"/>
    <w:rsid w:val="00C80CC7"/>
    <w:rsid w:val="00C93BFD"/>
    <w:rsid w:val="00CA161E"/>
    <w:rsid w:val="00CA19D0"/>
    <w:rsid w:val="00CB0CCD"/>
    <w:rsid w:val="00CC2063"/>
    <w:rsid w:val="00CE16BD"/>
    <w:rsid w:val="00CE6299"/>
    <w:rsid w:val="00CE7D16"/>
    <w:rsid w:val="00D00943"/>
    <w:rsid w:val="00D02617"/>
    <w:rsid w:val="00D042F2"/>
    <w:rsid w:val="00D13CD2"/>
    <w:rsid w:val="00D17B4C"/>
    <w:rsid w:val="00D248BF"/>
    <w:rsid w:val="00D251C3"/>
    <w:rsid w:val="00D308D8"/>
    <w:rsid w:val="00D4115F"/>
    <w:rsid w:val="00D4556D"/>
    <w:rsid w:val="00D50870"/>
    <w:rsid w:val="00D640E8"/>
    <w:rsid w:val="00D7017E"/>
    <w:rsid w:val="00D74E93"/>
    <w:rsid w:val="00D75603"/>
    <w:rsid w:val="00D76849"/>
    <w:rsid w:val="00D80013"/>
    <w:rsid w:val="00D81460"/>
    <w:rsid w:val="00D84F49"/>
    <w:rsid w:val="00D87042"/>
    <w:rsid w:val="00D87CA3"/>
    <w:rsid w:val="00D90201"/>
    <w:rsid w:val="00D97725"/>
    <w:rsid w:val="00D97EA2"/>
    <w:rsid w:val="00DA0249"/>
    <w:rsid w:val="00DA3C76"/>
    <w:rsid w:val="00DA4A6D"/>
    <w:rsid w:val="00DB123B"/>
    <w:rsid w:val="00DB44DB"/>
    <w:rsid w:val="00DC29EE"/>
    <w:rsid w:val="00DC2FB7"/>
    <w:rsid w:val="00DC461A"/>
    <w:rsid w:val="00DC780A"/>
    <w:rsid w:val="00DD1AE5"/>
    <w:rsid w:val="00DD62AE"/>
    <w:rsid w:val="00DD7EC2"/>
    <w:rsid w:val="00DF41EF"/>
    <w:rsid w:val="00DF5B39"/>
    <w:rsid w:val="00DF635D"/>
    <w:rsid w:val="00DF6BA1"/>
    <w:rsid w:val="00E02ACC"/>
    <w:rsid w:val="00E106A7"/>
    <w:rsid w:val="00E10D6F"/>
    <w:rsid w:val="00E135C2"/>
    <w:rsid w:val="00E141D8"/>
    <w:rsid w:val="00E15D5E"/>
    <w:rsid w:val="00E21AF2"/>
    <w:rsid w:val="00E22D07"/>
    <w:rsid w:val="00E2488C"/>
    <w:rsid w:val="00E414D1"/>
    <w:rsid w:val="00E45DE7"/>
    <w:rsid w:val="00E51D54"/>
    <w:rsid w:val="00E64079"/>
    <w:rsid w:val="00E65196"/>
    <w:rsid w:val="00E67459"/>
    <w:rsid w:val="00E71DDF"/>
    <w:rsid w:val="00E76110"/>
    <w:rsid w:val="00E80FC6"/>
    <w:rsid w:val="00E823D4"/>
    <w:rsid w:val="00E83772"/>
    <w:rsid w:val="00E84CFF"/>
    <w:rsid w:val="00E85253"/>
    <w:rsid w:val="00E9053E"/>
    <w:rsid w:val="00EA30D6"/>
    <w:rsid w:val="00EA5E51"/>
    <w:rsid w:val="00EA7A03"/>
    <w:rsid w:val="00EB0C47"/>
    <w:rsid w:val="00EB3A33"/>
    <w:rsid w:val="00EB516D"/>
    <w:rsid w:val="00EB6CAF"/>
    <w:rsid w:val="00EC7FEC"/>
    <w:rsid w:val="00ED4A74"/>
    <w:rsid w:val="00EE1C0F"/>
    <w:rsid w:val="00EE38E5"/>
    <w:rsid w:val="00EE6355"/>
    <w:rsid w:val="00F0567F"/>
    <w:rsid w:val="00F130AE"/>
    <w:rsid w:val="00F34F60"/>
    <w:rsid w:val="00F359AA"/>
    <w:rsid w:val="00F40B27"/>
    <w:rsid w:val="00F43300"/>
    <w:rsid w:val="00F500AD"/>
    <w:rsid w:val="00F5094D"/>
    <w:rsid w:val="00F524C2"/>
    <w:rsid w:val="00F532B7"/>
    <w:rsid w:val="00F5786D"/>
    <w:rsid w:val="00F57EC3"/>
    <w:rsid w:val="00F60D99"/>
    <w:rsid w:val="00F61693"/>
    <w:rsid w:val="00F64F3E"/>
    <w:rsid w:val="00F6586E"/>
    <w:rsid w:val="00F6624F"/>
    <w:rsid w:val="00F66B14"/>
    <w:rsid w:val="00F714C5"/>
    <w:rsid w:val="00F737D1"/>
    <w:rsid w:val="00F8204B"/>
    <w:rsid w:val="00F86C7C"/>
    <w:rsid w:val="00F9071A"/>
    <w:rsid w:val="00F9119B"/>
    <w:rsid w:val="00F9377E"/>
    <w:rsid w:val="00F945A4"/>
    <w:rsid w:val="00FA1FDC"/>
    <w:rsid w:val="00FA4433"/>
    <w:rsid w:val="00FB5FBA"/>
    <w:rsid w:val="00FD06AF"/>
    <w:rsid w:val="00FD1B0C"/>
    <w:rsid w:val="00FE0C63"/>
    <w:rsid w:val="00FF14C1"/>
    <w:rsid w:val="00FF2795"/>
    <w:rsid w:val="67BD03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仿宋" w:cs="Arial"/>
      <w:kern w:val="2"/>
      <w:sz w:val="28"/>
      <w:szCs w:val="24"/>
      <w:lang w:val="en-US" w:eastAsia="zh-CN" w:bidi="ar-SA"/>
    </w:rPr>
  </w:style>
  <w:style w:type="paragraph" w:styleId="2">
    <w:name w:val="heading 1"/>
    <w:basedOn w:val="1"/>
    <w:next w:val="1"/>
    <w:qFormat/>
    <w:uiPriority w:val="9"/>
    <w:pPr>
      <w:keepNext/>
      <w:keepLines/>
      <w:numPr>
        <w:ilvl w:val="0"/>
        <w:numId w:val="1"/>
      </w:numPr>
      <w:outlineLvl w:val="0"/>
    </w:pPr>
    <w:rPr>
      <w:b/>
      <w:bCs/>
      <w:kern w:val="44"/>
      <w:szCs w:val="44"/>
    </w:rPr>
  </w:style>
  <w:style w:type="paragraph" w:styleId="3">
    <w:name w:val="heading 2"/>
    <w:basedOn w:val="1"/>
    <w:next w:val="1"/>
    <w:unhideWhenUsed/>
    <w:qFormat/>
    <w:uiPriority w:val="9"/>
    <w:pPr>
      <w:keepNext/>
      <w:keepLines/>
      <w:numPr>
        <w:ilvl w:val="1"/>
        <w:numId w:val="1"/>
      </w:numPr>
      <w:jc w:val="left"/>
      <w:outlineLvl w:val="1"/>
    </w:pPr>
    <w:rPr>
      <w:rFonts w:cs="Times New Roman"/>
      <w:b/>
      <w:szCs w:val="20"/>
    </w:rPr>
  </w:style>
  <w:style w:type="paragraph" w:styleId="4">
    <w:name w:val="heading 3"/>
    <w:basedOn w:val="1"/>
    <w:next w:val="1"/>
    <w:unhideWhenUsed/>
    <w:qFormat/>
    <w:uiPriority w:val="9"/>
    <w:pPr>
      <w:keepNext/>
      <w:keepLines/>
      <w:numPr>
        <w:ilvl w:val="2"/>
        <w:numId w:val="1"/>
      </w:numPr>
      <w:jc w:val="left"/>
      <w:outlineLvl w:val="2"/>
    </w:pPr>
    <w:rPr>
      <w:rFonts w:cs="Times New Roman"/>
      <w:szCs w:val="20"/>
    </w:rPr>
  </w:style>
  <w:style w:type="paragraph" w:styleId="5">
    <w:name w:val="heading 4"/>
    <w:basedOn w:val="1"/>
    <w:next w:val="1"/>
    <w:semiHidden/>
    <w:unhideWhenUsed/>
    <w:qFormat/>
    <w:uiPriority w:val="9"/>
    <w:pPr>
      <w:keepNext/>
      <w:keepLines/>
      <w:jc w:val="left"/>
      <w:outlineLvl w:val="3"/>
    </w:pPr>
    <w:rPr>
      <w:rFonts w:eastAsia="黑体" w:cs="Times New Roman"/>
      <w:bCs/>
      <w:sz w:val="24"/>
      <w:szCs w:val="28"/>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Document Map"/>
    <w:basedOn w:val="1"/>
    <w:qFormat/>
    <w:uiPriority w:val="0"/>
    <w:rPr>
      <w:rFonts w:ascii="宋体"/>
      <w:sz w:val="18"/>
      <w:szCs w:val="18"/>
    </w:rPr>
  </w:style>
  <w:style w:type="paragraph" w:styleId="8">
    <w:name w:val="annotation text"/>
    <w:basedOn w:val="1"/>
    <w:qFormat/>
    <w:uiPriority w:val="0"/>
    <w:pPr>
      <w:jc w:val="left"/>
    </w:pPr>
    <w:rPr>
      <w:rFonts w:cs="Times New Roman"/>
    </w:rPr>
  </w:style>
  <w:style w:type="paragraph" w:styleId="9">
    <w:name w:val="toc 3"/>
    <w:basedOn w:val="1"/>
    <w:next w:val="1"/>
    <w:qFormat/>
    <w:uiPriority w:val="0"/>
    <w:pPr>
      <w:widowControl/>
      <w:spacing w:after="100" w:line="259" w:lineRule="auto"/>
      <w:ind w:left="440"/>
      <w:jc w:val="left"/>
    </w:pPr>
    <w:rPr>
      <w:rFonts w:cs="Times New Roman"/>
      <w:kern w:val="0"/>
      <w:sz w:val="22"/>
      <w:szCs w:val="22"/>
    </w:rPr>
  </w:style>
  <w:style w:type="paragraph" w:styleId="10">
    <w:name w:val="Date"/>
    <w:basedOn w:val="1"/>
    <w:next w:val="1"/>
    <w:qFormat/>
    <w:uiPriority w:val="0"/>
    <w:pPr>
      <w:ind w:left="2500" w:leftChars="2500"/>
    </w:pPr>
    <w:rPr>
      <w:szCs w:val="22"/>
    </w:rPr>
  </w:style>
  <w:style w:type="paragraph" w:styleId="11">
    <w:name w:val="Balloon Text"/>
    <w:basedOn w:val="1"/>
    <w:qFormat/>
    <w:uiPriority w:val="0"/>
    <w:rPr>
      <w:sz w:val="18"/>
      <w:szCs w:val="18"/>
    </w:rPr>
  </w:style>
  <w:style w:type="paragraph" w:styleId="12">
    <w:name w:val="footer"/>
    <w:basedOn w:val="1"/>
    <w:link w:val="51"/>
    <w:qFormat/>
    <w:uiPriority w:val="99"/>
    <w:pPr>
      <w:tabs>
        <w:tab w:val="center" w:pos="4153"/>
        <w:tab w:val="right" w:pos="8306"/>
      </w:tabs>
      <w:snapToGrid w:val="0"/>
      <w:jc w:val="left"/>
    </w:pPr>
    <w:rPr>
      <w:sz w:val="18"/>
      <w:szCs w:val="18"/>
    </w:rPr>
  </w:style>
  <w:style w:type="paragraph" w:styleId="1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pPr>
      <w:widowControl/>
      <w:spacing w:after="100" w:line="259" w:lineRule="auto"/>
      <w:jc w:val="left"/>
    </w:pPr>
    <w:rPr>
      <w:rFonts w:cs="Times New Roman"/>
      <w:kern w:val="0"/>
      <w:sz w:val="22"/>
      <w:szCs w:val="22"/>
    </w:rPr>
  </w:style>
  <w:style w:type="paragraph" w:styleId="15">
    <w:name w:val="toc 2"/>
    <w:basedOn w:val="1"/>
    <w:next w:val="1"/>
    <w:qFormat/>
    <w:uiPriority w:val="0"/>
    <w:pPr>
      <w:widowControl/>
      <w:spacing w:after="100" w:line="259" w:lineRule="auto"/>
      <w:ind w:left="220"/>
      <w:jc w:val="left"/>
    </w:pPr>
    <w:rPr>
      <w:rFonts w:cs="Times New Roman"/>
      <w:kern w:val="0"/>
      <w:sz w:val="22"/>
      <w:szCs w:val="22"/>
    </w:rPr>
  </w:style>
  <w:style w:type="paragraph" w:styleId="16">
    <w:name w:val="Normal (Web)"/>
    <w:basedOn w:val="1"/>
    <w:qFormat/>
    <w:uiPriority w:val="0"/>
    <w:pPr>
      <w:spacing w:beforeAutospacing="1" w:afterAutospacing="1"/>
      <w:jc w:val="left"/>
    </w:pPr>
    <w:rPr>
      <w:rFonts w:cs="Times New Roman"/>
      <w:kern w:val="0"/>
      <w:sz w:val="24"/>
      <w:szCs w:val="22"/>
    </w:rPr>
  </w:style>
  <w:style w:type="paragraph" w:styleId="17">
    <w:name w:val="annotation subject"/>
    <w:basedOn w:val="8"/>
    <w:next w:val="8"/>
    <w:qFormat/>
    <w:uiPriority w:val="0"/>
    <w:rPr>
      <w:b/>
      <w:bCs/>
      <w:sz w:val="24"/>
    </w:rPr>
  </w:style>
  <w:style w:type="table" w:styleId="19">
    <w:name w:val="Table Grid"/>
    <w:basedOn w:val="18"/>
    <w:qFormat/>
    <w:uiPriority w:val="59"/>
    <w:pPr>
      <w:widowControl w:val="0"/>
      <w:jc w:val="both"/>
    </w:pPr>
    <w:rPr>
      <w:rFonts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qFormat/>
    <w:uiPriority w:val="0"/>
    <w:rPr>
      <w:color w:val="0563C1"/>
      <w:u w:val="single"/>
    </w:rPr>
  </w:style>
  <w:style w:type="character" w:styleId="22">
    <w:name w:val="annotation reference"/>
    <w:qFormat/>
    <w:uiPriority w:val="0"/>
    <w:rPr>
      <w:sz w:val="21"/>
      <w:szCs w:val="21"/>
    </w:rPr>
  </w:style>
  <w:style w:type="paragraph" w:customStyle="1" w:styleId="23">
    <w:name w:val="段"/>
    <w:basedOn w:val="1"/>
    <w:qFormat/>
    <w:uiPriority w:val="0"/>
    <w:pPr>
      <w:widowControl/>
      <w:autoSpaceDE w:val="0"/>
      <w:autoSpaceDN w:val="0"/>
    </w:pPr>
    <w:rPr>
      <w:rFonts w:ascii="宋体" w:hAnsi="宋体" w:cs="Times New Roman"/>
      <w:kern w:val="0"/>
      <w:szCs w:val="21"/>
    </w:rPr>
  </w:style>
  <w:style w:type="paragraph" w:customStyle="1" w:styleId="24">
    <w:name w:val="正文1"/>
    <w:basedOn w:val="1"/>
    <w:qFormat/>
    <w:uiPriority w:val="0"/>
    <w:rPr>
      <w:rFonts w:cs="Times New Roman"/>
      <w:color w:val="000000"/>
      <w:sz w:val="24"/>
      <w:szCs w:val="20"/>
    </w:rPr>
  </w:style>
  <w:style w:type="paragraph" w:customStyle="1" w:styleId="25">
    <w:name w:val="Default"/>
    <w:qFormat/>
    <w:uiPriority w:val="0"/>
    <w:pPr>
      <w:widowControl w:val="0"/>
      <w:autoSpaceDE w:val="0"/>
      <w:autoSpaceDN w:val="0"/>
      <w:adjustRightInd w:val="0"/>
    </w:pPr>
    <w:rPr>
      <w:rFonts w:ascii="黑体" w:hAnsi="Times New Roman" w:eastAsia="黑体" w:cs="黑体"/>
      <w:color w:val="000000"/>
      <w:sz w:val="24"/>
      <w:szCs w:val="24"/>
      <w:lang w:val="en-US" w:eastAsia="zh-CN" w:bidi="ar-SA"/>
    </w:rPr>
  </w:style>
  <w:style w:type="character" w:customStyle="1" w:styleId="26">
    <w:name w:val="fontstyle01"/>
    <w:basedOn w:val="20"/>
    <w:qFormat/>
    <w:uiPriority w:val="0"/>
    <w:rPr>
      <w:rFonts w:ascii="宋体" w:hAnsi="宋体" w:eastAsia="宋体"/>
      <w:color w:val="000000"/>
      <w:sz w:val="24"/>
      <w:szCs w:val="24"/>
    </w:rPr>
  </w:style>
  <w:style w:type="character" w:customStyle="1" w:styleId="27">
    <w:name w:val="fontstyle21"/>
    <w:basedOn w:val="20"/>
    <w:qFormat/>
    <w:uiPriority w:val="0"/>
    <w:rPr>
      <w:rFonts w:ascii="Times New Roman" w:hAnsi="Times New Roman" w:cs="Times New Roman"/>
      <w:i/>
      <w:iCs/>
      <w:color w:val="000000"/>
      <w:sz w:val="24"/>
      <w:szCs w:val="24"/>
    </w:rPr>
  </w:style>
  <w:style w:type="character" w:customStyle="1" w:styleId="28">
    <w:name w:val="fontstyle31"/>
    <w:basedOn w:val="20"/>
    <w:qFormat/>
    <w:uiPriority w:val="0"/>
    <w:rPr>
      <w:rFonts w:ascii="Times New Roman" w:hAnsi="Times New Roman" w:cs="Times New Roman"/>
      <w:color w:val="000000"/>
      <w:sz w:val="24"/>
      <w:szCs w:val="24"/>
    </w:rPr>
  </w:style>
  <w:style w:type="paragraph" w:styleId="29">
    <w:name w:val="List Paragraph"/>
    <w:basedOn w:val="1"/>
    <w:qFormat/>
    <w:uiPriority w:val="0"/>
    <w:rPr>
      <w:rFonts w:cs="Times New Roman"/>
    </w:rPr>
  </w:style>
  <w:style w:type="character" w:customStyle="1" w:styleId="30">
    <w:name w:val="fontstyle11"/>
    <w:basedOn w:val="20"/>
    <w:qFormat/>
    <w:uiPriority w:val="0"/>
    <w:rPr>
      <w:rFonts w:ascii="TimesNewRomanPSMT" w:hAnsi="TimesNewRomanPSMT"/>
      <w:color w:val="000000"/>
      <w:sz w:val="32"/>
      <w:szCs w:val="32"/>
    </w:rPr>
  </w:style>
  <w:style w:type="paragraph" w:customStyle="1" w:styleId="31">
    <w:name w:val="表格"/>
    <w:qFormat/>
    <w:uiPriority w:val="0"/>
    <w:pPr>
      <w:jc w:val="center"/>
    </w:pPr>
    <w:rPr>
      <w:rFonts w:ascii="Times New Roman" w:hAnsi="Times New Roman" w:eastAsia="宋体" w:cs="Times New Roman"/>
      <w:kern w:val="2"/>
      <w:sz w:val="24"/>
      <w:szCs w:val="24"/>
      <w:lang w:val="en-US" w:eastAsia="zh-CN" w:bidi="ar-SA"/>
    </w:rPr>
  </w:style>
  <w:style w:type="character" w:customStyle="1" w:styleId="32">
    <w:name w:val="标题 2 Char1"/>
    <w:basedOn w:val="20"/>
    <w:qFormat/>
    <w:uiPriority w:val="0"/>
    <w:rPr>
      <w:rFonts w:ascii="Calibri Light" w:hAnsi="Calibri Light" w:eastAsia="宋体" w:cs="Times New Roman"/>
      <w:b/>
      <w:bCs/>
      <w:kern w:val="2"/>
      <w:sz w:val="32"/>
      <w:szCs w:val="32"/>
    </w:rPr>
  </w:style>
  <w:style w:type="paragraph" w:customStyle="1" w:styleId="33">
    <w:name w:val="WPSOffice手动目录 1"/>
    <w:qFormat/>
    <w:uiPriority w:val="0"/>
    <w:rPr>
      <w:rFonts w:ascii="Times New Roman" w:hAnsi="Times New Roman" w:eastAsia="宋体" w:cs="Times New Roman"/>
      <w:lang w:val="en-US" w:eastAsia="zh-CN" w:bidi="ar-SA"/>
    </w:rPr>
  </w:style>
  <w:style w:type="paragraph" w:customStyle="1" w:styleId="34">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35">
    <w:name w:val="font31"/>
    <w:basedOn w:val="20"/>
    <w:qFormat/>
    <w:uiPriority w:val="0"/>
    <w:rPr>
      <w:rFonts w:ascii="宋体" w:hAnsi="宋体" w:eastAsia="宋体" w:cs="宋体"/>
      <w:color w:val="000000"/>
      <w:sz w:val="20"/>
      <w:szCs w:val="20"/>
      <w:u w:val="none"/>
    </w:rPr>
  </w:style>
  <w:style w:type="character" w:customStyle="1" w:styleId="36">
    <w:name w:val="font11"/>
    <w:basedOn w:val="20"/>
    <w:qFormat/>
    <w:uiPriority w:val="0"/>
    <w:rPr>
      <w:rFonts w:ascii="Times New Roman" w:hAnsi="Times New Roman" w:cs="Times New Roman"/>
      <w:color w:val="000000"/>
      <w:sz w:val="20"/>
      <w:szCs w:val="20"/>
      <w:u w:val="none"/>
    </w:rPr>
  </w:style>
  <w:style w:type="character" w:customStyle="1" w:styleId="37">
    <w:name w:val="font21"/>
    <w:basedOn w:val="20"/>
    <w:qFormat/>
    <w:uiPriority w:val="0"/>
    <w:rPr>
      <w:rFonts w:ascii="Times New Roman" w:hAnsi="Times New Roman" w:cs="Times New Roman"/>
      <w:color w:val="000000"/>
      <w:sz w:val="20"/>
      <w:szCs w:val="20"/>
      <w:u w:val="none"/>
      <w:vertAlign w:val="superscript"/>
    </w:rPr>
  </w:style>
  <w:style w:type="paragraph" w:customStyle="1" w:styleId="38">
    <w:name w:val="TOC 标题1"/>
    <w:basedOn w:val="2"/>
    <w:next w:val="1"/>
    <w:qFormat/>
    <w:uiPriority w:val="0"/>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39">
    <w:name w:val="表名"/>
    <w:qFormat/>
    <w:uiPriority w:val="0"/>
    <w:pPr>
      <w:spacing w:before="50" w:beforeLines="50" w:line="360" w:lineRule="auto"/>
      <w:jc w:val="center"/>
    </w:pPr>
    <w:rPr>
      <w:rFonts w:ascii="Times New Roman" w:hAnsi="Times New Roman" w:eastAsia="仿宋" w:cs="Times New Roman"/>
      <w:b/>
      <w:kern w:val="2"/>
      <w:sz w:val="24"/>
      <w:szCs w:val="24"/>
      <w:lang w:val="en-US" w:eastAsia="zh-CN" w:bidi="ar-SA"/>
    </w:rPr>
  </w:style>
  <w:style w:type="paragraph" w:customStyle="1" w:styleId="40">
    <w:name w:val="图"/>
    <w:basedOn w:val="31"/>
    <w:qFormat/>
    <w:uiPriority w:val="0"/>
    <w:pPr>
      <w:snapToGrid w:val="0"/>
    </w:pPr>
    <w:rPr>
      <w:b/>
    </w:rPr>
  </w:style>
  <w:style w:type="character" w:customStyle="1" w:styleId="41">
    <w:name w:val="font51"/>
    <w:qFormat/>
    <w:uiPriority w:val="0"/>
    <w:rPr>
      <w:rFonts w:ascii="宋体" w:hAnsi="宋体" w:eastAsia="宋体" w:cs="宋体"/>
      <w:b/>
      <w:color w:val="000000"/>
      <w:sz w:val="21"/>
      <w:szCs w:val="21"/>
      <w:u w:val="none"/>
    </w:rPr>
  </w:style>
  <w:style w:type="paragraph" w:customStyle="1" w:styleId="42">
    <w:name w:val="TOC 标题2"/>
    <w:basedOn w:val="2"/>
    <w:next w:val="1"/>
    <w:qFormat/>
    <w:uiPriority w:val="0"/>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43">
    <w:name w:val="石城正文"/>
    <w:basedOn w:val="1"/>
    <w:qFormat/>
    <w:uiPriority w:val="0"/>
    <w:rPr>
      <w:rFonts w:cs="Times New Roman"/>
      <w:kern w:val="0"/>
      <w:sz w:val="24"/>
      <w:szCs w:val="20"/>
    </w:rPr>
  </w:style>
  <w:style w:type="character" w:customStyle="1" w:styleId="44">
    <w:name w:val="font01"/>
    <w:basedOn w:val="20"/>
    <w:qFormat/>
    <w:uiPriority w:val="0"/>
    <w:rPr>
      <w:rFonts w:ascii="宋体" w:hAnsi="宋体" w:eastAsia="宋体" w:cs="宋体"/>
      <w:color w:val="000000"/>
      <w:sz w:val="22"/>
      <w:szCs w:val="22"/>
      <w:u w:val="none"/>
    </w:rPr>
  </w:style>
  <w:style w:type="paragraph" w:customStyle="1" w:styleId="45">
    <w:name w:val="石城图"/>
    <w:basedOn w:val="39"/>
    <w:qFormat/>
    <w:uiPriority w:val="0"/>
    <w:rPr>
      <w:rFonts w:cs="Arial"/>
      <w:b w:val="0"/>
      <w:sz w:val="21"/>
      <w:szCs w:val="21"/>
    </w:rPr>
  </w:style>
  <w:style w:type="paragraph" w:customStyle="1" w:styleId="46">
    <w:name w:val="Other|1"/>
    <w:basedOn w:val="1"/>
    <w:qFormat/>
    <w:uiPriority w:val="0"/>
    <w:pPr>
      <w:jc w:val="center"/>
    </w:pPr>
    <w:rPr>
      <w:rFonts w:ascii="宋体" w:hAnsi="宋体" w:cs="宋体"/>
      <w:sz w:val="20"/>
      <w:szCs w:val="20"/>
    </w:rPr>
  </w:style>
  <w:style w:type="paragraph" w:customStyle="1" w:styleId="47">
    <w:name w:val="白鹤滩正文"/>
    <w:basedOn w:val="1"/>
    <w:qFormat/>
    <w:uiPriority w:val="0"/>
    <w:pPr>
      <w:ind w:firstLine="480"/>
    </w:pPr>
    <w:rPr>
      <w:rFonts w:cs="Times New Roman"/>
      <w:sz w:val="24"/>
      <w:lang w:val="zh-CN"/>
    </w:rPr>
  </w:style>
  <w:style w:type="paragraph" w:customStyle="1" w:styleId="48">
    <w:name w:val="Char Char Char Char Char Char Char"/>
    <w:basedOn w:val="1"/>
    <w:qFormat/>
    <w:uiPriority w:val="0"/>
    <w:rPr>
      <w:rFonts w:cs="Times New Roman"/>
    </w:rPr>
  </w:style>
  <w:style w:type="paragraph" w:customStyle="1" w:styleId="49">
    <w:name w:val="Char Char Char Char Char Char Char1"/>
    <w:basedOn w:val="1"/>
    <w:qFormat/>
    <w:uiPriority w:val="0"/>
    <w:rPr>
      <w:rFonts w:cs="Times New Roman"/>
    </w:rPr>
  </w:style>
  <w:style w:type="character" w:customStyle="1" w:styleId="50">
    <w:name w:val="样式 宋体 小三 加粗 黑色"/>
    <w:qFormat/>
    <w:uiPriority w:val="0"/>
    <w:rPr>
      <w:rFonts w:ascii="宋体" w:hAnsi="宋体" w:eastAsia="宋体"/>
      <w:b/>
      <w:bCs/>
      <w:color w:val="000000"/>
      <w:kern w:val="0"/>
      <w:sz w:val="30"/>
    </w:rPr>
  </w:style>
  <w:style w:type="character" w:customStyle="1" w:styleId="51">
    <w:name w:val="页脚 字符"/>
    <w:basedOn w:val="20"/>
    <w:link w:val="12"/>
    <w:qFormat/>
    <w:uiPriority w:val="99"/>
    <w:rPr>
      <w:rFonts w:ascii="Calibr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numbering" Target="numbering.xml"/><Relationship Id="rId27" Type="http://schemas.openxmlformats.org/officeDocument/2006/relationships/image" Target="media/image13.png"/><Relationship Id="rId26" Type="http://schemas.openxmlformats.org/officeDocument/2006/relationships/image" Target="media/image12.wmf"/><Relationship Id="rId25" Type="http://schemas.openxmlformats.org/officeDocument/2006/relationships/image" Target="media/image11.jpeg"/><Relationship Id="rId24" Type="http://schemas.openxmlformats.org/officeDocument/2006/relationships/image" Target="media/image10.png"/><Relationship Id="rId23" Type="http://schemas.openxmlformats.org/officeDocument/2006/relationships/image" Target="media/image9.jpeg"/><Relationship Id="rId22" Type="http://schemas.openxmlformats.org/officeDocument/2006/relationships/image" Target="media/image8.jpeg"/><Relationship Id="rId21" Type="http://schemas.openxmlformats.org/officeDocument/2006/relationships/image" Target="media/image7.emf"/><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emf"/><Relationship Id="rId18" Type="http://schemas.openxmlformats.org/officeDocument/2006/relationships/oleObject" Target="embeddings/oleObject1.bin"/><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emf"/><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ustomData xmlns="http://www.yozosoft.com.cn/officeDocument/2016/customData">
  <customProps>
    <docPr revisions="3 0 5 0 0 0 1 0 0 0 3000 0 1 1 1 1"/>
    <sectPr/>
  </customProps>
</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BB9C-D3C9-4F26-A516-DB012F604B50}">
  <ds:schemaRefs/>
</ds:datastoreItem>
</file>

<file path=customXml/itemProps2.xml><?xml version="1.0" encoding="utf-8"?>
<ds:datastoreItem xmlns:ds="http://schemas.openxmlformats.org/officeDocument/2006/customXml" ds:itemID="{1B32AF0E-4028-47DB-8FE2-050AB04F32FC}">
  <ds:schemaRefs/>
</ds:datastoreItem>
</file>

<file path=docProps/app.xml><?xml version="1.0" encoding="utf-8"?>
<Properties xmlns="http://schemas.openxmlformats.org/officeDocument/2006/extended-properties" xmlns:vt="http://schemas.openxmlformats.org/officeDocument/2006/docPropsVTypes">
  <Template>Normal.dotm</Template>
  <Pages>37</Pages>
  <Words>3583</Words>
  <Characters>20424</Characters>
  <Lines>170</Lines>
  <Paragraphs>47</Paragraphs>
  <TotalTime>8744</TotalTime>
  <ScaleCrop>false</ScaleCrop>
  <LinksUpToDate>false</LinksUpToDate>
  <CharactersWithSpaces>23960</CharactersWithSpaces>
  <Application>WPS Office_11.8.2.11813_F1E327BC-269C-435d-A152-05C5408002CA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2022-07-06T07:58:00Z</dcterms:created>
  <dc:creator>WPS_1591333281</dc:creator>
  <cp:lastModifiedBy>JXFD-LYJ</cp:lastModifiedBy>
  <cp:lastPrinted>2024-07-05T06:25:00Z</cp:lastPrinted>
  <dcterms:modified xsi:type="dcterms:W3CDTF">2025-07-16T03:06:46Z</dcterms:modified>
  <cp:revision>689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9B31D00B8F5744359766B331ED905DA2</vt:lpwstr>
  </property>
</Properties>
</file>