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val="0"/>
        <w:wordWrap/>
        <w:overflowPunct/>
        <w:topLinePunct w:val="0"/>
        <w:autoSpaceDE w:val="0"/>
        <w:autoSpaceDN w:val="0"/>
        <w:bidi w:val="0"/>
        <w:adjustRightInd w:val="0"/>
        <w:snapToGrid w:val="0"/>
        <w:spacing w:before="137" w:line="560" w:lineRule="exact"/>
        <w:jc w:val="both"/>
        <w:textAlignment w:val="baseline"/>
        <w:outlineLvl w:val="9"/>
        <w:rPr>
          <w:rFonts w:hint="default" w:ascii="华文中宋" w:hAnsi="华文中宋" w:eastAsia="华文中宋" w:cs="华文中宋"/>
          <w:b w:val="0"/>
          <w:bCs w:val="0"/>
          <w:spacing w:val="-4"/>
          <w:sz w:val="44"/>
          <w:szCs w:val="44"/>
        </w:rPr>
      </w:pPr>
      <w:bookmarkStart w:id="0" w:name="_Toc8671"/>
      <w:bookmarkStart w:id="1" w:name="_Toc25779"/>
    </w:p>
    <w:bookmarkEnd w:id="0"/>
    <w:bookmarkEnd w:id="1"/>
    <w:p>
      <w:pPr>
        <w:keepNext w:val="0"/>
        <w:keepLines w:val="0"/>
        <w:pageBreakBefore w:val="0"/>
        <w:widowControl/>
        <w:kinsoku w:val="0"/>
        <w:wordWrap/>
        <w:overflowPunct/>
        <w:topLinePunct w:val="0"/>
        <w:autoSpaceDE w:val="0"/>
        <w:autoSpaceDN w:val="0"/>
        <w:bidi w:val="0"/>
        <w:adjustRightInd w:val="0"/>
        <w:snapToGrid w:val="0"/>
        <w:spacing w:before="137" w:line="560" w:lineRule="exact"/>
        <w:jc w:val="center"/>
        <w:textAlignment w:val="baseline"/>
        <w:outlineLvl w:val="0"/>
        <w:rPr>
          <w:rFonts w:hint="eastAsia" w:ascii="华文中宋" w:hAnsi="华文中宋" w:eastAsia="华文中宋" w:cs="华文中宋"/>
          <w:b/>
          <w:bCs/>
          <w:spacing w:val="16"/>
          <w:sz w:val="44"/>
          <w:szCs w:val="44"/>
          <w:lang w:val="en-US" w:eastAsia="zh-CN"/>
        </w:rPr>
      </w:pPr>
      <w:bookmarkStart w:id="2" w:name="_Toc28802"/>
      <w:bookmarkStart w:id="3" w:name="_Toc31666"/>
      <w:bookmarkStart w:id="4" w:name="_Toc22546"/>
      <w:bookmarkStart w:id="5" w:name="_Toc24699"/>
      <w:bookmarkStart w:id="6" w:name="_Toc23862"/>
      <w:r>
        <w:rPr>
          <w:rFonts w:hint="eastAsia" w:ascii="华文中宋" w:hAnsi="华文中宋" w:eastAsia="华文中宋" w:cs="华文中宋"/>
          <w:b/>
          <w:bCs/>
          <w:spacing w:val="16"/>
          <w:sz w:val="44"/>
          <w:szCs w:val="44"/>
          <w:lang w:val="en-US" w:eastAsia="zh-CN"/>
        </w:rPr>
        <w:t>浙能台州1号海上风电项目</w:t>
      </w:r>
    </w:p>
    <w:p>
      <w:pPr>
        <w:keepNext w:val="0"/>
        <w:keepLines w:val="0"/>
        <w:pageBreakBefore w:val="0"/>
        <w:widowControl/>
        <w:kinsoku w:val="0"/>
        <w:wordWrap/>
        <w:overflowPunct/>
        <w:topLinePunct w:val="0"/>
        <w:autoSpaceDE w:val="0"/>
        <w:autoSpaceDN w:val="0"/>
        <w:bidi w:val="0"/>
        <w:adjustRightInd w:val="0"/>
        <w:snapToGrid w:val="0"/>
        <w:spacing w:before="137" w:line="560" w:lineRule="exact"/>
        <w:jc w:val="center"/>
        <w:textAlignment w:val="baseline"/>
        <w:outlineLvl w:val="0"/>
        <w:rPr>
          <w:rFonts w:hint="eastAsia" w:ascii="华文中宋" w:hAnsi="华文中宋" w:eastAsia="华文中宋" w:cs="华文中宋"/>
          <w:sz w:val="44"/>
          <w:szCs w:val="44"/>
        </w:rPr>
      </w:pPr>
      <w:r>
        <w:rPr>
          <w:rFonts w:hint="eastAsia" w:ascii="华文中宋" w:hAnsi="华文中宋" w:eastAsia="华文中宋" w:cs="华文中宋"/>
          <w:b/>
          <w:bCs/>
          <w:spacing w:val="-4"/>
          <w:sz w:val="44"/>
          <w:szCs w:val="44"/>
        </w:rPr>
        <w:t>安全监测系统</w:t>
      </w:r>
      <w:bookmarkEnd w:id="2"/>
      <w:bookmarkEnd w:id="3"/>
      <w:bookmarkEnd w:id="4"/>
      <w:bookmarkEnd w:id="5"/>
      <w:bookmarkEnd w:id="6"/>
      <w:bookmarkStart w:id="7" w:name="_Toc13416"/>
      <w:bookmarkStart w:id="8" w:name="_Toc1477"/>
      <w:bookmarkStart w:id="9" w:name="_Toc31102"/>
      <w:bookmarkStart w:id="10" w:name="_Toc11127"/>
      <w:bookmarkStart w:id="11" w:name="_Toc8071"/>
      <w:r>
        <w:rPr>
          <w:rFonts w:hint="eastAsia" w:ascii="华文中宋" w:hAnsi="华文中宋" w:eastAsia="华文中宋" w:cs="华文中宋"/>
          <w:b/>
          <w:bCs/>
          <w:spacing w:val="-4"/>
          <w:sz w:val="44"/>
          <w:szCs w:val="44"/>
        </w:rPr>
        <w:t>维护与数据分析服务</w:t>
      </w:r>
      <w:bookmarkEnd w:id="7"/>
      <w:bookmarkEnd w:id="8"/>
      <w:bookmarkEnd w:id="9"/>
      <w:bookmarkEnd w:id="10"/>
      <w:bookmarkEnd w:id="11"/>
    </w:p>
    <w:p>
      <w:pPr>
        <w:spacing w:before="140" w:line="480" w:lineRule="auto"/>
        <w:jc w:val="center"/>
        <w:outlineLvl w:val="9"/>
        <w:rPr>
          <w:rFonts w:hint="eastAsia" w:ascii="Times New Roman" w:hAnsi="Times New Roman" w:eastAsia="宋体" w:cs="Times New Roman"/>
          <w:sz w:val="43"/>
          <w:szCs w:val="43"/>
          <w:lang w:eastAsia="zh-CN"/>
        </w:rPr>
      </w:pPr>
    </w:p>
    <w:p>
      <w:pPr>
        <w:pStyle w:val="4"/>
        <w:spacing w:line="480" w:lineRule="auto"/>
        <w:rPr>
          <w:rFonts w:hint="default" w:ascii="Times New Roman" w:hAnsi="Times New Roman" w:eastAsia="宋体" w:cs="Times New Roman"/>
        </w:rPr>
      </w:pPr>
    </w:p>
    <w:p>
      <w:pPr>
        <w:pStyle w:val="4"/>
        <w:spacing w:line="480" w:lineRule="auto"/>
        <w:rPr>
          <w:rFonts w:hint="default" w:ascii="Times New Roman" w:hAnsi="Times New Roman" w:eastAsia="宋体" w:cs="Times New Roman"/>
        </w:rPr>
      </w:pPr>
    </w:p>
    <w:p>
      <w:pPr>
        <w:pStyle w:val="4"/>
        <w:spacing w:line="480" w:lineRule="auto"/>
        <w:rPr>
          <w:rFonts w:hint="default" w:ascii="Times New Roman" w:hAnsi="Times New Roman" w:eastAsia="宋体" w:cs="Times New Roman"/>
        </w:rPr>
      </w:pPr>
    </w:p>
    <w:p>
      <w:pPr>
        <w:spacing w:before="97" w:line="480" w:lineRule="auto"/>
        <w:ind w:left="1209" w:firstLine="514" w:firstLineChars="200"/>
        <w:rPr>
          <w:rFonts w:hint="default" w:ascii="Times New Roman" w:hAnsi="Times New Roman" w:eastAsia="宋体" w:cs="Times New Roman"/>
          <w:sz w:val="30"/>
          <w:szCs w:val="30"/>
        </w:rPr>
      </w:pPr>
      <w:r>
        <w:rPr>
          <w:rFonts w:hint="default" w:ascii="Times New Roman" w:hAnsi="Times New Roman" w:eastAsia="宋体" w:cs="Times New Roman"/>
          <w:b/>
          <w:bCs/>
          <w:spacing w:val="-22"/>
          <w:sz w:val="30"/>
          <w:szCs w:val="30"/>
        </w:rPr>
        <w:t>编制：</w:t>
      </w:r>
    </w:p>
    <w:p>
      <w:pPr>
        <w:pStyle w:val="4"/>
        <w:spacing w:line="480" w:lineRule="auto"/>
        <w:rPr>
          <w:rFonts w:hint="default" w:ascii="Times New Roman" w:hAnsi="Times New Roman" w:eastAsia="宋体" w:cs="Times New Roman"/>
        </w:rPr>
      </w:pPr>
    </w:p>
    <w:p>
      <w:pPr>
        <w:pStyle w:val="4"/>
        <w:spacing w:line="480" w:lineRule="auto"/>
        <w:rPr>
          <w:rFonts w:hint="default" w:ascii="Times New Roman" w:hAnsi="Times New Roman" w:eastAsia="宋体" w:cs="Times New Roman"/>
        </w:rPr>
      </w:pPr>
    </w:p>
    <w:p>
      <w:pPr>
        <w:spacing w:before="97" w:line="480" w:lineRule="auto"/>
        <w:ind w:left="1209" w:firstLine="526" w:firstLineChars="200"/>
        <w:rPr>
          <w:rFonts w:hint="default" w:ascii="Times New Roman" w:hAnsi="Times New Roman" w:eastAsia="宋体" w:cs="Times New Roman"/>
          <w:sz w:val="30"/>
          <w:szCs w:val="30"/>
        </w:rPr>
      </w:pPr>
      <w:r>
        <w:rPr>
          <w:rFonts w:hint="default" w:ascii="Times New Roman" w:hAnsi="Times New Roman" w:eastAsia="宋体" w:cs="Times New Roman"/>
          <w:b/>
          <w:bCs/>
          <w:spacing w:val="-19"/>
          <w:sz w:val="30"/>
          <w:szCs w:val="30"/>
        </w:rPr>
        <w:t>审</w:t>
      </w:r>
      <w:r>
        <w:rPr>
          <w:rFonts w:hint="eastAsia" w:ascii="Times New Roman" w:hAnsi="Times New Roman" w:eastAsia="宋体" w:cs="Times New Roman"/>
          <w:b/>
          <w:bCs/>
          <w:spacing w:val="-19"/>
          <w:sz w:val="30"/>
          <w:szCs w:val="30"/>
          <w:lang w:val="en-US" w:eastAsia="zh-CN"/>
        </w:rPr>
        <w:t>核</w:t>
      </w:r>
      <w:r>
        <w:rPr>
          <w:rFonts w:hint="default" w:ascii="Times New Roman" w:hAnsi="Times New Roman" w:eastAsia="宋体" w:cs="Times New Roman"/>
          <w:b/>
          <w:bCs/>
          <w:spacing w:val="-19"/>
          <w:sz w:val="30"/>
          <w:szCs w:val="30"/>
        </w:rPr>
        <w:t>：</w:t>
      </w:r>
    </w:p>
    <w:p>
      <w:pPr>
        <w:pStyle w:val="4"/>
        <w:spacing w:line="480" w:lineRule="auto"/>
        <w:rPr>
          <w:rFonts w:hint="default" w:ascii="Times New Roman" w:hAnsi="Times New Roman" w:eastAsia="宋体" w:cs="Times New Roman"/>
        </w:rPr>
      </w:pPr>
    </w:p>
    <w:p>
      <w:pPr>
        <w:pStyle w:val="4"/>
        <w:spacing w:line="480" w:lineRule="auto"/>
        <w:rPr>
          <w:rFonts w:hint="default" w:ascii="Times New Roman" w:hAnsi="Times New Roman" w:eastAsia="宋体" w:cs="Times New Roman"/>
        </w:rPr>
      </w:pPr>
    </w:p>
    <w:p>
      <w:pPr>
        <w:spacing w:before="99" w:line="480" w:lineRule="auto"/>
        <w:ind w:left="1209" w:firstLine="518" w:firstLineChars="200"/>
        <w:rPr>
          <w:rFonts w:hint="default" w:ascii="Times New Roman" w:hAnsi="Times New Roman" w:eastAsia="宋体" w:cs="Times New Roman"/>
          <w:sz w:val="30"/>
          <w:szCs w:val="30"/>
        </w:rPr>
      </w:pPr>
      <w:r>
        <w:rPr>
          <w:rFonts w:hint="default" w:ascii="Times New Roman" w:hAnsi="Times New Roman" w:eastAsia="宋体" w:cs="Times New Roman"/>
          <w:b/>
          <w:bCs/>
          <w:spacing w:val="-21"/>
          <w:sz w:val="30"/>
          <w:szCs w:val="30"/>
        </w:rPr>
        <w:t>批准：</w:t>
      </w:r>
    </w:p>
    <w:p>
      <w:pPr>
        <w:spacing w:line="480" w:lineRule="auto"/>
        <w:rPr>
          <w:rFonts w:hint="default" w:ascii="Times New Roman" w:hAnsi="Times New Roman" w:eastAsia="宋体" w:cs="Times New Roman"/>
          <w:sz w:val="30"/>
          <w:szCs w:val="30"/>
        </w:rPr>
      </w:pPr>
    </w:p>
    <w:p>
      <w:pPr>
        <w:spacing w:line="480" w:lineRule="auto"/>
        <w:rPr>
          <w:rFonts w:hint="default" w:ascii="Times New Roman" w:hAnsi="Times New Roman" w:eastAsia="宋体" w:cs="Times New Roman"/>
          <w:sz w:val="30"/>
          <w:szCs w:val="30"/>
        </w:rPr>
      </w:pPr>
    </w:p>
    <w:p>
      <w:pPr>
        <w:spacing w:line="480" w:lineRule="auto"/>
        <w:rPr>
          <w:rFonts w:hint="default" w:ascii="Times New Roman" w:hAnsi="Times New Roman" w:eastAsia="宋体" w:cs="Times New Roman"/>
          <w:sz w:val="30"/>
          <w:szCs w:val="30"/>
        </w:rPr>
      </w:pPr>
    </w:p>
    <w:p>
      <w:pPr>
        <w:keepNext w:val="0"/>
        <w:keepLines w:val="0"/>
        <w:pageBreakBefore w:val="0"/>
        <w:widowControl/>
        <w:kinsoku w:val="0"/>
        <w:wordWrap/>
        <w:overflowPunct/>
        <w:topLinePunct w:val="0"/>
        <w:autoSpaceDE w:val="0"/>
        <w:autoSpaceDN w:val="0"/>
        <w:bidi w:val="0"/>
        <w:adjustRightInd w:val="0"/>
        <w:snapToGrid w:val="0"/>
        <w:spacing w:before="323" w:line="300" w:lineRule="exact"/>
        <w:jc w:val="center"/>
        <w:textAlignment w:val="baseline"/>
        <w:rPr>
          <w:rFonts w:hint="eastAsia" w:ascii="华文仿宋" w:hAnsi="华文仿宋" w:eastAsia="华文仿宋" w:cs="华文仿宋"/>
          <w:b/>
          <w:bCs/>
          <w:spacing w:val="5"/>
          <w:sz w:val="32"/>
          <w:szCs w:val="32"/>
          <w:lang w:val="en-US" w:eastAsia="zh-CN"/>
        </w:rPr>
      </w:pPr>
      <w:r>
        <w:rPr>
          <w:rFonts w:hint="eastAsia" w:ascii="华文仿宋" w:hAnsi="华文仿宋" w:eastAsia="华文仿宋" w:cs="华文仿宋"/>
          <w:b/>
          <w:bCs/>
          <w:spacing w:val="5"/>
          <w:sz w:val="32"/>
          <w:szCs w:val="32"/>
          <w:lang w:val="en-US" w:eastAsia="zh-CN"/>
        </w:rPr>
        <w:t>浙江浙能临海海上风力发电有限公司</w:t>
      </w:r>
    </w:p>
    <w:p>
      <w:pPr>
        <w:keepNext w:val="0"/>
        <w:keepLines w:val="0"/>
        <w:pageBreakBefore w:val="0"/>
        <w:widowControl/>
        <w:kinsoku w:val="0"/>
        <w:wordWrap/>
        <w:overflowPunct/>
        <w:topLinePunct w:val="0"/>
        <w:autoSpaceDE w:val="0"/>
        <w:autoSpaceDN w:val="0"/>
        <w:bidi w:val="0"/>
        <w:adjustRightInd w:val="0"/>
        <w:snapToGrid w:val="0"/>
        <w:spacing w:before="323" w:line="300" w:lineRule="exact"/>
        <w:jc w:val="center"/>
        <w:textAlignment w:val="baseline"/>
        <w:rPr>
          <w:rFonts w:hint="eastAsia" w:ascii="华文仿宋" w:hAnsi="华文仿宋" w:eastAsia="华文仿宋" w:cs="华文仿宋"/>
          <w:b/>
          <w:bCs/>
          <w:spacing w:val="5"/>
          <w:sz w:val="32"/>
          <w:szCs w:val="32"/>
          <w:lang w:val="en-US" w:eastAsia="zh-CN"/>
        </w:rPr>
      </w:pPr>
      <w:r>
        <w:rPr>
          <w:rFonts w:hint="eastAsia" w:ascii="华文仿宋" w:hAnsi="华文仿宋" w:eastAsia="华文仿宋" w:cs="华文仿宋"/>
          <w:b/>
          <w:bCs/>
          <w:spacing w:val="5"/>
          <w:sz w:val="32"/>
          <w:szCs w:val="32"/>
          <w:lang w:val="en-US" w:eastAsia="zh-CN"/>
        </w:rPr>
        <w:t>二零二五年六月</w:t>
      </w:r>
    </w:p>
    <w:p>
      <w:pPr>
        <w:keepNext w:val="0"/>
        <w:keepLines w:val="0"/>
        <w:pageBreakBefore w:val="0"/>
        <w:widowControl/>
        <w:kinsoku w:val="0"/>
        <w:wordWrap/>
        <w:overflowPunct/>
        <w:topLinePunct w:val="0"/>
        <w:autoSpaceDE w:val="0"/>
        <w:autoSpaceDN w:val="0"/>
        <w:bidi w:val="0"/>
        <w:adjustRightInd w:val="0"/>
        <w:snapToGrid w:val="0"/>
        <w:spacing w:before="323" w:line="300" w:lineRule="exact"/>
        <w:jc w:val="center"/>
        <w:textAlignment w:val="baseline"/>
        <w:rPr>
          <w:rFonts w:hint="eastAsia" w:ascii="华文仿宋" w:hAnsi="华文仿宋" w:eastAsia="华文仿宋" w:cs="华文仿宋"/>
          <w:b/>
          <w:bCs/>
          <w:spacing w:val="5"/>
          <w:sz w:val="32"/>
          <w:szCs w:val="32"/>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before="323" w:line="300" w:lineRule="exact"/>
        <w:jc w:val="center"/>
        <w:textAlignment w:val="baseline"/>
        <w:rPr>
          <w:rFonts w:hint="eastAsia" w:ascii="华文仿宋" w:hAnsi="华文仿宋" w:eastAsia="华文仿宋" w:cs="华文仿宋"/>
          <w:b/>
          <w:bCs/>
          <w:spacing w:val="5"/>
          <w:sz w:val="32"/>
          <w:szCs w:val="32"/>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before="323" w:line="300" w:lineRule="exact"/>
        <w:jc w:val="both"/>
        <w:textAlignment w:val="baseline"/>
        <w:rPr>
          <w:rFonts w:hint="eastAsia" w:ascii="华文仿宋" w:hAnsi="华文仿宋" w:eastAsia="华文仿宋" w:cs="华文仿宋"/>
          <w:b/>
          <w:bCs/>
          <w:spacing w:val="5"/>
          <w:sz w:val="32"/>
          <w:szCs w:val="32"/>
          <w:lang w:val="en-US" w:eastAsia="zh-CN"/>
        </w:rPr>
      </w:pPr>
    </w:p>
    <w:sdt>
      <w:sdtPr>
        <w:rPr>
          <w:rFonts w:ascii="宋体" w:hAnsi="宋体" w:eastAsia="宋体" w:cs="Arial"/>
          <w:snapToGrid w:val="0"/>
          <w:color w:val="000000"/>
          <w:kern w:val="0"/>
          <w:sz w:val="32"/>
          <w:szCs w:val="32"/>
          <w:lang w:val="en-US" w:eastAsia="en-US" w:bidi="ar-SA"/>
        </w:rPr>
        <w:id w:val="147478364"/>
        <w:showingPlcHdr/>
        <w15:color w:val="DBDBDB"/>
        <w:docPartObj>
          <w:docPartGallery w:val="Table of Contents"/>
          <w:docPartUnique/>
        </w:docPartObj>
      </w:sdtPr>
      <w:sdtEndPr>
        <w:rPr>
          <w:rFonts w:hint="eastAsia" w:ascii="华文仿宋" w:hAnsi="华文仿宋" w:eastAsia="华文仿宋" w:cs="华文仿宋"/>
          <w:b/>
          <w:bCs/>
          <w:snapToGrid w:val="0"/>
          <w:color w:val="000000"/>
          <w:spacing w:val="5"/>
          <w:kern w:val="0"/>
          <w:sz w:val="21"/>
          <w:szCs w:val="32"/>
          <w:lang w:val="en-US" w:eastAsia="en-US" w:bidi="ar-SA"/>
        </w:rPr>
      </w:sdtEndPr>
      <w:sdtContent>
        <w:p>
          <w:pPr>
            <w:spacing w:before="0" w:beforeLines="0" w:after="0" w:afterLines="0" w:line="240" w:lineRule="auto"/>
            <w:ind w:left="0" w:leftChars="0" w:right="0" w:rightChars="0" w:firstLine="0" w:firstLineChars="0"/>
            <w:jc w:val="center"/>
            <w:rPr>
              <w:rFonts w:hint="eastAsia" w:ascii="华文仿宋" w:hAnsi="华文仿宋" w:eastAsia="华文仿宋" w:cs="华文仿宋"/>
              <w:b/>
              <w:bCs/>
              <w:snapToGrid w:val="0"/>
              <w:color w:val="000000"/>
              <w:spacing w:val="5"/>
              <w:kern w:val="0"/>
              <w:sz w:val="21"/>
              <w:szCs w:val="32"/>
              <w:lang w:val="en-US" w:eastAsia="en-US" w:bidi="ar-SA"/>
            </w:rPr>
          </w:pPr>
          <w:r>
            <w:rPr>
              <w:rFonts w:hint="eastAsia" w:ascii="宋体" w:hAnsi="宋体" w:eastAsia="宋体" w:cs="Arial"/>
              <w:snapToGrid w:val="0"/>
              <w:color w:val="000000"/>
              <w:kern w:val="0"/>
              <w:sz w:val="32"/>
              <w:szCs w:val="32"/>
              <w:lang w:val="en-US" w:eastAsia="zh-CN" w:bidi="ar-SA"/>
            </w:rPr>
            <w:t xml:space="preserve">     </w:t>
          </w:r>
        </w:p>
      </w:sdtContent>
    </w:sdt>
    <w:sdt>
      <w:sdtPr>
        <w:rPr>
          <w:rFonts w:ascii="宋体" w:hAnsi="宋体" w:eastAsia="宋体" w:cs="Arial"/>
          <w:snapToGrid w:val="0"/>
          <w:color w:val="000000"/>
          <w:kern w:val="0"/>
          <w:sz w:val="28"/>
          <w:szCs w:val="28"/>
          <w:lang w:val="en-US" w:eastAsia="en-US" w:bidi="ar-SA"/>
        </w:rPr>
        <w:id w:val="147466996"/>
        <w15:color w:val="DBDBDB"/>
        <w:docPartObj>
          <w:docPartGallery w:val="Table of Contents"/>
          <w:docPartUnique/>
        </w:docPartObj>
      </w:sdtPr>
      <w:sdtEndPr>
        <w:rPr>
          <w:rFonts w:hint="eastAsia" w:ascii="华文仿宋" w:hAnsi="华文仿宋" w:eastAsia="华文仿宋" w:cs="华文仿宋"/>
          <w:b/>
          <w:bCs/>
          <w:snapToGrid w:val="0"/>
          <w:color w:val="000000"/>
          <w:spacing w:val="5"/>
          <w:kern w:val="0"/>
          <w:sz w:val="21"/>
          <w:szCs w:val="32"/>
          <w:lang w:val="en-US" w:eastAsia="en-US" w:bidi="ar-SA"/>
        </w:rPr>
      </w:sdtEndPr>
      <w:sdtContent>
        <w:p>
          <w:pPr>
            <w:spacing w:before="0" w:beforeLines="0" w:after="0" w:afterLines="0" w:line="240" w:lineRule="auto"/>
            <w:ind w:left="0" w:leftChars="0" w:right="0" w:rightChars="0" w:firstLine="0" w:firstLineChars="0"/>
            <w:jc w:val="center"/>
            <w:rPr>
              <w:sz w:val="28"/>
              <w:szCs w:val="28"/>
            </w:rPr>
          </w:pPr>
          <w:r>
            <w:rPr>
              <w:rFonts w:ascii="宋体" w:hAnsi="宋体" w:eastAsia="宋体"/>
              <w:sz w:val="28"/>
              <w:szCs w:val="28"/>
            </w:rPr>
            <w:t>目</w:t>
          </w:r>
          <w:r>
            <w:rPr>
              <w:rFonts w:hint="eastAsia" w:ascii="宋体" w:hAnsi="宋体" w:eastAsia="宋体"/>
              <w:sz w:val="28"/>
              <w:szCs w:val="28"/>
              <w:lang w:val="en-US" w:eastAsia="zh-CN"/>
            </w:rPr>
            <w:t xml:space="preserve">  </w:t>
          </w:r>
          <w:r>
            <w:rPr>
              <w:rFonts w:ascii="宋体" w:hAnsi="宋体" w:eastAsia="宋体"/>
              <w:sz w:val="28"/>
              <w:szCs w:val="28"/>
            </w:rPr>
            <w:t>录</w:t>
          </w:r>
        </w:p>
        <w:p>
          <w:pPr>
            <w:pStyle w:val="7"/>
            <w:tabs>
              <w:tab w:val="right" w:leader="dot" w:pos="8306"/>
            </w:tabs>
            <w:rPr>
              <w:sz w:val="28"/>
              <w:szCs w:val="28"/>
            </w:rPr>
          </w:pPr>
          <w:r>
            <w:rPr>
              <w:rFonts w:hint="eastAsia" w:ascii="华文仿宋" w:hAnsi="华文仿宋" w:eastAsia="华文仿宋" w:cs="华文仿宋"/>
              <w:b/>
              <w:bCs/>
              <w:snapToGrid w:val="0"/>
              <w:color w:val="000000"/>
              <w:spacing w:val="5"/>
              <w:kern w:val="0"/>
              <w:sz w:val="28"/>
              <w:szCs w:val="28"/>
              <w:lang w:val="en-US" w:eastAsia="en-US" w:bidi="ar-SA"/>
            </w:rPr>
            <w:fldChar w:fldCharType="begin"/>
          </w:r>
          <w:r>
            <w:rPr>
              <w:rFonts w:hint="eastAsia" w:ascii="华文仿宋" w:hAnsi="华文仿宋" w:eastAsia="华文仿宋" w:cs="华文仿宋"/>
              <w:b/>
              <w:bCs/>
              <w:snapToGrid w:val="0"/>
              <w:color w:val="000000"/>
              <w:spacing w:val="5"/>
              <w:kern w:val="0"/>
              <w:sz w:val="28"/>
              <w:szCs w:val="28"/>
              <w:lang w:val="en-US" w:eastAsia="en-US" w:bidi="ar-SA"/>
            </w:rPr>
            <w:instrText xml:space="preserve">TOC \o "1-2" \h \u </w:instrText>
          </w:r>
          <w:r>
            <w:rPr>
              <w:rFonts w:hint="eastAsia" w:ascii="华文仿宋" w:hAnsi="华文仿宋" w:eastAsia="华文仿宋" w:cs="华文仿宋"/>
              <w:b/>
              <w:bCs/>
              <w:snapToGrid w:val="0"/>
              <w:color w:val="000000"/>
              <w:spacing w:val="5"/>
              <w:kern w:val="0"/>
              <w:sz w:val="28"/>
              <w:szCs w:val="28"/>
              <w:lang w:val="en-US" w:eastAsia="en-US" w:bidi="ar-SA"/>
            </w:rPr>
            <w:fldChar w:fldCharType="separate"/>
          </w:r>
        </w:p>
        <w:p>
          <w:pPr>
            <w:pStyle w:val="7"/>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_Toc15376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一、总则</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_Toc15376 \h </w:instrText>
          </w:r>
          <w:r>
            <w:rPr>
              <w:rFonts w:hint="eastAsia" w:ascii="楷体" w:hAnsi="楷体" w:eastAsia="楷体" w:cs="楷体"/>
              <w:sz w:val="28"/>
              <w:szCs w:val="28"/>
            </w:rPr>
            <w:fldChar w:fldCharType="separate"/>
          </w:r>
          <w:r>
            <w:rPr>
              <w:rFonts w:hint="eastAsia" w:ascii="楷体" w:hAnsi="楷体" w:eastAsia="楷体" w:cs="楷体"/>
              <w:sz w:val="28"/>
              <w:szCs w:val="28"/>
            </w:rPr>
            <w:t>1</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7"/>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_Toc1343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二、项目概况</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_Toc1343 \h </w:instrText>
          </w:r>
          <w:r>
            <w:rPr>
              <w:rFonts w:hint="eastAsia" w:ascii="楷体" w:hAnsi="楷体" w:eastAsia="楷体" w:cs="楷体"/>
              <w:sz w:val="28"/>
              <w:szCs w:val="28"/>
            </w:rPr>
            <w:fldChar w:fldCharType="separate"/>
          </w:r>
          <w:r>
            <w:rPr>
              <w:rFonts w:hint="eastAsia" w:ascii="楷体" w:hAnsi="楷体" w:eastAsia="楷体" w:cs="楷体"/>
              <w:sz w:val="28"/>
              <w:szCs w:val="28"/>
            </w:rPr>
            <w:t>1</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7"/>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_Toc7487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三、安全监测系统布置情况</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_Toc7487 \h </w:instrText>
          </w:r>
          <w:r>
            <w:rPr>
              <w:rFonts w:hint="eastAsia" w:ascii="楷体" w:hAnsi="楷体" w:eastAsia="楷体" w:cs="楷体"/>
              <w:sz w:val="28"/>
              <w:szCs w:val="28"/>
            </w:rPr>
            <w:fldChar w:fldCharType="separate"/>
          </w:r>
          <w:r>
            <w:rPr>
              <w:rFonts w:hint="eastAsia" w:ascii="楷体" w:hAnsi="楷体" w:eastAsia="楷体" w:cs="楷体"/>
              <w:sz w:val="28"/>
              <w:szCs w:val="28"/>
            </w:rPr>
            <w:t>2</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_Toc31684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3.1 单桩基础风机监测</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_Toc31684 \h </w:instrText>
          </w:r>
          <w:r>
            <w:rPr>
              <w:rFonts w:hint="eastAsia" w:ascii="楷体" w:hAnsi="楷体" w:eastAsia="楷体" w:cs="楷体"/>
              <w:sz w:val="28"/>
              <w:szCs w:val="28"/>
            </w:rPr>
            <w:fldChar w:fldCharType="separate"/>
          </w:r>
          <w:r>
            <w:rPr>
              <w:rFonts w:hint="eastAsia" w:ascii="楷体" w:hAnsi="楷体" w:eastAsia="楷体" w:cs="楷体"/>
              <w:sz w:val="28"/>
              <w:szCs w:val="28"/>
            </w:rPr>
            <w:t>2</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_Toc20772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3.2 桩-桶复合基础风机监测</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_Toc20772 \h </w:instrText>
          </w:r>
          <w:r>
            <w:rPr>
              <w:rFonts w:hint="eastAsia" w:ascii="楷体" w:hAnsi="楷体" w:eastAsia="楷体" w:cs="楷体"/>
              <w:sz w:val="28"/>
              <w:szCs w:val="28"/>
            </w:rPr>
            <w:fldChar w:fldCharType="separate"/>
          </w:r>
          <w:r>
            <w:rPr>
              <w:rFonts w:hint="eastAsia" w:ascii="楷体" w:hAnsi="楷体" w:eastAsia="楷体" w:cs="楷体"/>
              <w:sz w:val="28"/>
              <w:szCs w:val="28"/>
            </w:rPr>
            <w:t>4</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_Toc26840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3.3 海上升压站监测</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_Toc26840 \h </w:instrText>
          </w:r>
          <w:r>
            <w:rPr>
              <w:rFonts w:hint="eastAsia" w:ascii="楷体" w:hAnsi="楷体" w:eastAsia="楷体" w:cs="楷体"/>
              <w:sz w:val="28"/>
              <w:szCs w:val="28"/>
            </w:rPr>
            <w:fldChar w:fldCharType="separate"/>
          </w:r>
          <w:r>
            <w:rPr>
              <w:rFonts w:hint="eastAsia" w:ascii="楷体" w:hAnsi="楷体" w:eastAsia="楷体" w:cs="楷体"/>
              <w:sz w:val="28"/>
              <w:szCs w:val="28"/>
            </w:rPr>
            <w:t>5</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_Toc21085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3.4 动态监测系统</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_Toc21085 \h </w:instrText>
          </w:r>
          <w:r>
            <w:rPr>
              <w:rFonts w:hint="eastAsia" w:ascii="楷体" w:hAnsi="楷体" w:eastAsia="楷体" w:cs="楷体"/>
              <w:sz w:val="28"/>
              <w:szCs w:val="28"/>
            </w:rPr>
            <w:fldChar w:fldCharType="separate"/>
          </w:r>
          <w:r>
            <w:rPr>
              <w:rFonts w:hint="eastAsia" w:ascii="楷体" w:hAnsi="楷体" w:eastAsia="楷体" w:cs="楷体"/>
              <w:sz w:val="28"/>
              <w:szCs w:val="28"/>
            </w:rPr>
            <w:t>6</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_Toc9052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3.5 静态监测系统</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_Toc9052 \h </w:instrText>
          </w:r>
          <w:r>
            <w:rPr>
              <w:rFonts w:hint="eastAsia" w:ascii="楷体" w:hAnsi="楷体" w:eastAsia="楷体" w:cs="楷体"/>
              <w:sz w:val="28"/>
              <w:szCs w:val="28"/>
            </w:rPr>
            <w:fldChar w:fldCharType="separate"/>
          </w:r>
          <w:r>
            <w:rPr>
              <w:rFonts w:hint="eastAsia" w:ascii="楷体" w:hAnsi="楷体" w:eastAsia="楷体" w:cs="楷体"/>
              <w:sz w:val="28"/>
              <w:szCs w:val="28"/>
            </w:rPr>
            <w:t>11</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_Toc26986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3.6 腐蚀监测系统</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_Toc26986 \h </w:instrText>
          </w:r>
          <w:r>
            <w:rPr>
              <w:rFonts w:hint="eastAsia" w:ascii="楷体" w:hAnsi="楷体" w:eastAsia="楷体" w:cs="楷体"/>
              <w:sz w:val="28"/>
              <w:szCs w:val="28"/>
            </w:rPr>
            <w:fldChar w:fldCharType="separate"/>
          </w:r>
          <w:r>
            <w:rPr>
              <w:rFonts w:hint="eastAsia" w:ascii="楷体" w:hAnsi="楷体" w:eastAsia="楷体" w:cs="楷体"/>
              <w:sz w:val="28"/>
              <w:szCs w:val="28"/>
            </w:rPr>
            <w:t>12</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_Toc26460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3.7 监测软件系统</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_Toc26460 \h </w:instrText>
          </w:r>
          <w:r>
            <w:rPr>
              <w:rFonts w:hint="eastAsia" w:ascii="楷体" w:hAnsi="楷体" w:eastAsia="楷体" w:cs="楷体"/>
              <w:sz w:val="28"/>
              <w:szCs w:val="28"/>
            </w:rPr>
            <w:fldChar w:fldCharType="separate"/>
          </w:r>
          <w:r>
            <w:rPr>
              <w:rFonts w:hint="eastAsia" w:ascii="楷体" w:hAnsi="楷体" w:eastAsia="楷体" w:cs="楷体"/>
              <w:sz w:val="28"/>
              <w:szCs w:val="28"/>
            </w:rPr>
            <w:t>13</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_Toc7614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3.8 陆上集控中心沉降监测点、海缆登陆段电缆沟沉降观测监测点位及海上升压站不均匀沉降监测点布置</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_Toc7614 \h </w:instrText>
          </w:r>
          <w:r>
            <w:rPr>
              <w:rFonts w:hint="eastAsia" w:ascii="楷体" w:hAnsi="楷体" w:eastAsia="楷体" w:cs="楷体"/>
              <w:sz w:val="28"/>
              <w:szCs w:val="28"/>
            </w:rPr>
            <w:fldChar w:fldCharType="separate"/>
          </w:r>
          <w:r>
            <w:rPr>
              <w:rFonts w:hint="eastAsia" w:ascii="楷体" w:hAnsi="楷体" w:eastAsia="楷体" w:cs="楷体"/>
              <w:sz w:val="28"/>
              <w:szCs w:val="28"/>
            </w:rPr>
            <w:t>14</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7"/>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_Toc21976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四、工作内容(包括但不限于)</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_Toc21976 \h </w:instrText>
          </w:r>
          <w:r>
            <w:rPr>
              <w:rFonts w:hint="eastAsia" w:ascii="楷体" w:hAnsi="楷体" w:eastAsia="楷体" w:cs="楷体"/>
              <w:sz w:val="28"/>
              <w:szCs w:val="28"/>
            </w:rPr>
            <w:fldChar w:fldCharType="separate"/>
          </w:r>
          <w:r>
            <w:rPr>
              <w:rFonts w:hint="eastAsia" w:ascii="楷体" w:hAnsi="楷体" w:eastAsia="楷体" w:cs="楷体"/>
              <w:sz w:val="28"/>
              <w:szCs w:val="28"/>
            </w:rPr>
            <w:t>18</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_Toc22518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4.1 安全监测系统维护与数据分析服务工作内容</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_Toc22518 \h </w:instrText>
          </w:r>
          <w:r>
            <w:rPr>
              <w:rFonts w:hint="eastAsia" w:ascii="楷体" w:hAnsi="楷体" w:eastAsia="楷体" w:cs="楷体"/>
              <w:sz w:val="28"/>
              <w:szCs w:val="28"/>
            </w:rPr>
            <w:fldChar w:fldCharType="separate"/>
          </w:r>
          <w:r>
            <w:rPr>
              <w:rFonts w:hint="eastAsia" w:ascii="楷体" w:hAnsi="楷体" w:eastAsia="楷体" w:cs="楷体"/>
              <w:sz w:val="28"/>
              <w:szCs w:val="28"/>
            </w:rPr>
            <w:t>18</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_Toc24008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4.2 沉降监测工作内容</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_Toc24008 \h </w:instrText>
          </w:r>
          <w:r>
            <w:rPr>
              <w:rFonts w:hint="eastAsia" w:ascii="楷体" w:hAnsi="楷体" w:eastAsia="楷体" w:cs="楷体"/>
              <w:sz w:val="28"/>
              <w:szCs w:val="28"/>
            </w:rPr>
            <w:fldChar w:fldCharType="separate"/>
          </w:r>
          <w:r>
            <w:rPr>
              <w:rFonts w:hint="eastAsia" w:ascii="楷体" w:hAnsi="楷体" w:eastAsia="楷体" w:cs="楷体"/>
              <w:sz w:val="28"/>
              <w:szCs w:val="28"/>
            </w:rPr>
            <w:t>19</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7"/>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_Toc17791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五、安全监测系统维护与数据分析服务要求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_Toc17791 \h </w:instrText>
          </w:r>
          <w:r>
            <w:rPr>
              <w:rFonts w:hint="eastAsia" w:ascii="楷体" w:hAnsi="楷体" w:eastAsia="楷体" w:cs="楷体"/>
              <w:sz w:val="28"/>
              <w:szCs w:val="28"/>
            </w:rPr>
            <w:fldChar w:fldCharType="separate"/>
          </w:r>
          <w:r>
            <w:rPr>
              <w:rFonts w:hint="eastAsia" w:ascii="楷体" w:hAnsi="楷体" w:eastAsia="楷体" w:cs="楷体"/>
              <w:sz w:val="28"/>
              <w:szCs w:val="28"/>
            </w:rPr>
            <w:t>20</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_Toc2500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5.1 遵循的规范标准</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_Toc2500 \h </w:instrText>
          </w:r>
          <w:r>
            <w:rPr>
              <w:rFonts w:hint="eastAsia" w:ascii="楷体" w:hAnsi="楷体" w:eastAsia="楷体" w:cs="楷体"/>
              <w:sz w:val="28"/>
              <w:szCs w:val="28"/>
            </w:rPr>
            <w:fldChar w:fldCharType="separate"/>
          </w:r>
          <w:r>
            <w:rPr>
              <w:rFonts w:hint="eastAsia" w:ascii="楷体" w:hAnsi="楷体" w:eastAsia="楷体" w:cs="楷体"/>
              <w:sz w:val="28"/>
              <w:szCs w:val="28"/>
            </w:rPr>
            <w:t>20</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_Toc21995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5.2 服务期限要求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_Toc21995 \h </w:instrText>
          </w:r>
          <w:r>
            <w:rPr>
              <w:rFonts w:hint="eastAsia" w:ascii="楷体" w:hAnsi="楷体" w:eastAsia="楷体" w:cs="楷体"/>
              <w:sz w:val="28"/>
              <w:szCs w:val="28"/>
            </w:rPr>
            <w:fldChar w:fldCharType="separate"/>
          </w:r>
          <w:r>
            <w:rPr>
              <w:rFonts w:hint="eastAsia" w:ascii="楷体" w:hAnsi="楷体" w:eastAsia="楷体" w:cs="楷体"/>
              <w:sz w:val="28"/>
              <w:szCs w:val="28"/>
            </w:rPr>
            <w:t>21</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_Toc17671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5.3 安全监测系统维护及服务要求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_Toc17671 \h </w:instrText>
          </w:r>
          <w:r>
            <w:rPr>
              <w:rFonts w:hint="eastAsia" w:ascii="楷体" w:hAnsi="楷体" w:eastAsia="楷体" w:cs="楷体"/>
              <w:sz w:val="28"/>
              <w:szCs w:val="28"/>
            </w:rPr>
            <w:fldChar w:fldCharType="separate"/>
          </w:r>
          <w:r>
            <w:rPr>
              <w:rFonts w:hint="eastAsia" w:ascii="楷体" w:hAnsi="楷体" w:eastAsia="楷体" w:cs="楷体"/>
              <w:sz w:val="28"/>
              <w:szCs w:val="28"/>
            </w:rPr>
            <w:t>21</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_Toc25005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5.4 沉降监测服务要求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_Toc25005 \h </w:instrText>
          </w:r>
          <w:r>
            <w:rPr>
              <w:rFonts w:hint="eastAsia" w:ascii="楷体" w:hAnsi="楷体" w:eastAsia="楷体" w:cs="楷体"/>
              <w:sz w:val="28"/>
              <w:szCs w:val="28"/>
            </w:rPr>
            <w:fldChar w:fldCharType="separate"/>
          </w:r>
          <w:r>
            <w:rPr>
              <w:rFonts w:hint="eastAsia" w:ascii="楷体" w:hAnsi="楷体" w:eastAsia="楷体" w:cs="楷体"/>
              <w:sz w:val="28"/>
              <w:szCs w:val="28"/>
            </w:rPr>
            <w:t>23</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8"/>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_Toc24503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5.5 其它要求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_Toc24503 \h </w:instrText>
          </w:r>
          <w:r>
            <w:rPr>
              <w:rFonts w:hint="eastAsia" w:ascii="楷体" w:hAnsi="楷体" w:eastAsia="楷体" w:cs="楷体"/>
              <w:sz w:val="28"/>
              <w:szCs w:val="28"/>
            </w:rPr>
            <w:fldChar w:fldCharType="separate"/>
          </w:r>
          <w:r>
            <w:rPr>
              <w:rFonts w:hint="eastAsia" w:ascii="楷体" w:hAnsi="楷体" w:eastAsia="楷体" w:cs="楷体"/>
              <w:sz w:val="28"/>
              <w:szCs w:val="28"/>
            </w:rPr>
            <w:t>24</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7"/>
            <w:tabs>
              <w:tab w:val="right" w:leader="dot" w:pos="8306"/>
            </w:tabs>
            <w:rPr>
              <w:rFonts w:hint="eastAsia" w:ascii="楷体" w:hAnsi="楷体" w:eastAsia="楷体" w:cs="楷体"/>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_Toc29652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六、资质要求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_Toc29652 \h </w:instrText>
          </w:r>
          <w:r>
            <w:rPr>
              <w:rFonts w:hint="eastAsia" w:ascii="楷体" w:hAnsi="楷体" w:eastAsia="楷体" w:cs="楷体"/>
              <w:sz w:val="28"/>
              <w:szCs w:val="28"/>
            </w:rPr>
            <w:fldChar w:fldCharType="separate"/>
          </w:r>
          <w:r>
            <w:rPr>
              <w:rFonts w:hint="eastAsia" w:ascii="楷体" w:hAnsi="楷体" w:eastAsia="楷体" w:cs="楷体"/>
              <w:sz w:val="28"/>
              <w:szCs w:val="28"/>
            </w:rPr>
            <w:t>24</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pStyle w:val="7"/>
            <w:tabs>
              <w:tab w:val="right" w:leader="dot" w:pos="8306"/>
            </w:tabs>
            <w:rPr>
              <w:sz w:val="28"/>
              <w:szCs w:val="28"/>
            </w:rPr>
          </w:pPr>
          <w:r>
            <w:rPr>
              <w:rFonts w:hint="eastAsia" w:ascii="楷体" w:hAnsi="楷体" w:eastAsia="楷体" w:cs="楷体"/>
              <w:bCs/>
              <w:snapToGrid w:val="0"/>
              <w:color w:val="000000"/>
              <w:spacing w:val="5"/>
              <w:kern w:val="0"/>
              <w:sz w:val="28"/>
              <w:szCs w:val="28"/>
              <w:lang w:val="en-US" w:eastAsia="en-US" w:bidi="ar-SA"/>
            </w:rPr>
            <w:fldChar w:fldCharType="begin"/>
          </w:r>
          <w:r>
            <w:rPr>
              <w:rFonts w:hint="eastAsia" w:ascii="楷体" w:hAnsi="楷体" w:eastAsia="楷体" w:cs="楷体"/>
              <w:bCs/>
              <w:snapToGrid w:val="0"/>
              <w:spacing w:val="5"/>
              <w:kern w:val="0"/>
              <w:sz w:val="28"/>
              <w:szCs w:val="28"/>
              <w:lang w:val="en-US" w:eastAsia="en-US" w:bidi="ar-SA"/>
            </w:rPr>
            <w:instrText xml:space="preserve"> HYPERLINK \l _Toc11841 </w:instrText>
          </w:r>
          <w:r>
            <w:rPr>
              <w:rFonts w:hint="eastAsia" w:ascii="楷体" w:hAnsi="楷体" w:eastAsia="楷体" w:cs="楷体"/>
              <w:bCs/>
              <w:snapToGrid w:val="0"/>
              <w:spacing w:val="5"/>
              <w:kern w:val="0"/>
              <w:sz w:val="28"/>
              <w:szCs w:val="28"/>
              <w:lang w:val="en-US" w:eastAsia="en-US" w:bidi="ar-SA"/>
            </w:rPr>
            <w:fldChar w:fldCharType="separate"/>
          </w:r>
          <w:r>
            <w:rPr>
              <w:rFonts w:hint="eastAsia" w:ascii="楷体" w:hAnsi="楷体" w:eastAsia="楷体" w:cs="楷体"/>
              <w:sz w:val="28"/>
              <w:szCs w:val="28"/>
              <w:lang w:val="en-US" w:eastAsia="zh-CN"/>
            </w:rPr>
            <w:t>七、考核要求</w:t>
          </w:r>
          <w:r>
            <w:rPr>
              <w:rFonts w:hint="eastAsia" w:ascii="楷体" w:hAnsi="楷体" w:eastAsia="楷体" w:cs="楷体"/>
              <w:sz w:val="28"/>
              <w:szCs w:val="28"/>
            </w:rPr>
            <w:tab/>
          </w:r>
          <w:r>
            <w:rPr>
              <w:rFonts w:hint="eastAsia" w:ascii="楷体" w:hAnsi="楷体" w:eastAsia="楷体" w:cs="楷体"/>
              <w:sz w:val="28"/>
              <w:szCs w:val="28"/>
            </w:rPr>
            <w:fldChar w:fldCharType="begin"/>
          </w:r>
          <w:r>
            <w:rPr>
              <w:rFonts w:hint="eastAsia" w:ascii="楷体" w:hAnsi="楷体" w:eastAsia="楷体" w:cs="楷体"/>
              <w:sz w:val="28"/>
              <w:szCs w:val="28"/>
            </w:rPr>
            <w:instrText xml:space="preserve"> PAGEREF _Toc11841 \h </w:instrText>
          </w:r>
          <w:r>
            <w:rPr>
              <w:rFonts w:hint="eastAsia" w:ascii="楷体" w:hAnsi="楷体" w:eastAsia="楷体" w:cs="楷体"/>
              <w:sz w:val="28"/>
              <w:szCs w:val="28"/>
            </w:rPr>
            <w:fldChar w:fldCharType="separate"/>
          </w:r>
          <w:r>
            <w:rPr>
              <w:rFonts w:hint="eastAsia" w:ascii="楷体" w:hAnsi="楷体" w:eastAsia="楷体" w:cs="楷体"/>
              <w:sz w:val="28"/>
              <w:szCs w:val="28"/>
            </w:rPr>
            <w:t>25</w:t>
          </w:r>
          <w:r>
            <w:rPr>
              <w:rFonts w:hint="eastAsia" w:ascii="楷体" w:hAnsi="楷体" w:eastAsia="楷体" w:cs="楷体"/>
              <w:sz w:val="28"/>
              <w:szCs w:val="28"/>
            </w:rPr>
            <w:fldChar w:fldCharType="end"/>
          </w:r>
          <w:r>
            <w:rPr>
              <w:rFonts w:hint="eastAsia" w:ascii="楷体" w:hAnsi="楷体" w:eastAsia="楷体" w:cs="楷体"/>
              <w:bCs/>
              <w:snapToGrid w:val="0"/>
              <w:color w:val="000000"/>
              <w:spacing w:val="5"/>
              <w:kern w:val="0"/>
              <w:sz w:val="28"/>
              <w:szCs w:val="28"/>
              <w:lang w:val="en-US" w:eastAsia="en-US" w:bidi="ar-SA"/>
            </w:rPr>
            <w:fldChar w:fldCharType="end"/>
          </w:r>
        </w:p>
        <w:p>
          <w:pPr>
            <w:spacing w:before="323" w:line="480" w:lineRule="auto"/>
            <w:jc w:val="center"/>
            <w:rPr>
              <w:rFonts w:hint="eastAsia" w:ascii="华文仿宋" w:hAnsi="华文仿宋" w:eastAsia="华文仿宋" w:cs="华文仿宋"/>
              <w:b/>
              <w:bCs/>
              <w:snapToGrid w:val="0"/>
              <w:color w:val="000000"/>
              <w:spacing w:val="5"/>
              <w:kern w:val="0"/>
              <w:sz w:val="21"/>
              <w:szCs w:val="32"/>
              <w:lang w:val="en-US" w:eastAsia="en-US" w:bidi="ar-SA"/>
            </w:rPr>
          </w:pPr>
          <w:r>
            <w:rPr>
              <w:rFonts w:hint="eastAsia" w:ascii="华文仿宋" w:hAnsi="华文仿宋" w:eastAsia="华文仿宋" w:cs="华文仿宋"/>
              <w:bCs/>
              <w:snapToGrid w:val="0"/>
              <w:color w:val="000000"/>
              <w:spacing w:val="5"/>
              <w:kern w:val="0"/>
              <w:sz w:val="28"/>
              <w:szCs w:val="28"/>
              <w:lang w:val="en-US" w:eastAsia="en-US" w:bidi="ar-SA"/>
            </w:rPr>
            <w:fldChar w:fldCharType="end"/>
          </w:r>
        </w:p>
      </w:sdtContent>
    </w:sdt>
    <w:p>
      <w:pPr>
        <w:spacing w:before="323" w:line="480" w:lineRule="auto"/>
        <w:jc w:val="both"/>
        <w:rPr>
          <w:rFonts w:hint="eastAsia" w:ascii="华文仿宋" w:hAnsi="华文仿宋" w:eastAsia="华文仿宋" w:cs="华文仿宋"/>
          <w:b/>
          <w:bCs/>
          <w:snapToGrid w:val="0"/>
          <w:color w:val="000000"/>
          <w:spacing w:val="5"/>
          <w:kern w:val="0"/>
          <w:sz w:val="21"/>
          <w:szCs w:val="32"/>
          <w:lang w:val="en-US" w:eastAsia="en-US" w:bidi="ar-SA"/>
        </w:rPr>
      </w:pPr>
    </w:p>
    <w:p>
      <w:pPr>
        <w:spacing w:before="323" w:line="480" w:lineRule="auto"/>
        <w:jc w:val="both"/>
        <w:rPr>
          <w:rFonts w:hint="eastAsia" w:ascii="华文仿宋" w:hAnsi="华文仿宋" w:eastAsia="华文仿宋" w:cs="华文仿宋"/>
          <w:b/>
          <w:bCs/>
          <w:snapToGrid w:val="0"/>
          <w:color w:val="000000"/>
          <w:spacing w:val="5"/>
          <w:kern w:val="0"/>
          <w:sz w:val="21"/>
          <w:szCs w:val="32"/>
          <w:lang w:val="en-US" w:eastAsia="en-US" w:bidi="ar-SA"/>
        </w:rPr>
      </w:pPr>
    </w:p>
    <w:p>
      <w:pPr>
        <w:spacing w:before="323" w:line="480" w:lineRule="auto"/>
        <w:jc w:val="both"/>
        <w:rPr>
          <w:rFonts w:hint="eastAsia" w:ascii="华文仿宋" w:hAnsi="华文仿宋" w:eastAsia="华文仿宋" w:cs="华文仿宋"/>
          <w:b/>
          <w:bCs/>
          <w:snapToGrid w:val="0"/>
          <w:color w:val="000000"/>
          <w:spacing w:val="5"/>
          <w:kern w:val="0"/>
          <w:sz w:val="21"/>
          <w:szCs w:val="32"/>
          <w:lang w:val="en-US" w:eastAsia="en-US" w:bidi="ar-SA"/>
        </w:rPr>
      </w:pPr>
    </w:p>
    <w:p>
      <w:pPr>
        <w:keepNext w:val="0"/>
        <w:keepLines w:val="0"/>
        <w:pageBreakBefore w:val="0"/>
        <w:widowControl/>
        <w:kinsoku w:val="0"/>
        <w:wordWrap/>
        <w:overflowPunct/>
        <w:topLinePunct w:val="0"/>
        <w:autoSpaceDE w:val="0"/>
        <w:autoSpaceDN w:val="0"/>
        <w:bidi w:val="0"/>
        <w:adjustRightInd w:val="0"/>
        <w:snapToGrid w:val="0"/>
        <w:spacing w:before="323" w:line="400" w:lineRule="exact"/>
        <w:jc w:val="center"/>
        <w:textAlignment w:val="baseline"/>
        <w:outlineLvl w:val="0"/>
        <w:rPr>
          <w:rFonts w:hint="eastAsia" w:ascii="华文中宋" w:hAnsi="华文中宋" w:eastAsia="华文中宋" w:cs="华文中宋"/>
          <w:b/>
          <w:bCs/>
          <w:spacing w:val="5"/>
          <w:sz w:val="32"/>
          <w:szCs w:val="32"/>
        </w:rPr>
      </w:pPr>
      <w:bookmarkStart w:id="12" w:name="_Toc30903"/>
      <w:bookmarkStart w:id="13" w:name="_Toc9105"/>
      <w:bookmarkStart w:id="14" w:name="_Toc3462"/>
      <w:bookmarkStart w:id="15" w:name="_Toc17998"/>
      <w:bookmarkStart w:id="16" w:name="_Toc22405"/>
      <w:bookmarkStart w:id="17" w:name="_Toc17515"/>
      <w:bookmarkStart w:id="18" w:name="_Toc5673"/>
      <w:r>
        <w:rPr>
          <w:rFonts w:hint="eastAsia" w:ascii="华文中宋" w:hAnsi="华文中宋" w:eastAsia="华文中宋" w:cs="华文中宋"/>
          <w:b/>
          <w:bCs/>
          <w:spacing w:val="5"/>
          <w:sz w:val="32"/>
          <w:szCs w:val="32"/>
          <w:lang w:val="en-US" w:eastAsia="zh-CN"/>
        </w:rPr>
        <w:t>浙能台州1号海上风电项目</w:t>
      </w:r>
      <w:r>
        <w:rPr>
          <w:rFonts w:hint="eastAsia" w:ascii="华文中宋" w:hAnsi="华文中宋" w:eastAsia="华文中宋" w:cs="华文中宋"/>
          <w:b/>
          <w:bCs/>
          <w:spacing w:val="5"/>
          <w:sz w:val="32"/>
          <w:szCs w:val="32"/>
        </w:rPr>
        <w:t>安全监测系统</w:t>
      </w:r>
      <w:bookmarkEnd w:id="12"/>
      <w:bookmarkEnd w:id="13"/>
      <w:bookmarkEnd w:id="14"/>
      <w:bookmarkEnd w:id="15"/>
      <w:bookmarkEnd w:id="16"/>
    </w:p>
    <w:p>
      <w:pPr>
        <w:keepNext w:val="0"/>
        <w:keepLines w:val="0"/>
        <w:pageBreakBefore w:val="0"/>
        <w:widowControl/>
        <w:kinsoku w:val="0"/>
        <w:wordWrap/>
        <w:overflowPunct/>
        <w:topLinePunct w:val="0"/>
        <w:autoSpaceDE w:val="0"/>
        <w:autoSpaceDN w:val="0"/>
        <w:bidi w:val="0"/>
        <w:adjustRightInd w:val="0"/>
        <w:snapToGrid w:val="0"/>
        <w:spacing w:before="323" w:line="400" w:lineRule="exact"/>
        <w:jc w:val="center"/>
        <w:textAlignment w:val="baseline"/>
        <w:outlineLvl w:val="0"/>
        <w:rPr>
          <w:rFonts w:hint="eastAsia" w:ascii="华文中宋" w:hAnsi="华文中宋" w:eastAsia="华文中宋" w:cs="华文中宋"/>
          <w:b/>
          <w:bCs/>
          <w:spacing w:val="5"/>
          <w:sz w:val="32"/>
          <w:szCs w:val="32"/>
        </w:rPr>
      </w:pPr>
      <w:bookmarkStart w:id="19" w:name="_Toc21337"/>
      <w:bookmarkStart w:id="20" w:name="_Toc17673"/>
      <w:bookmarkStart w:id="21" w:name="_Toc9749"/>
      <w:bookmarkStart w:id="22" w:name="_Toc14082"/>
      <w:bookmarkStart w:id="23" w:name="_Toc29836"/>
      <w:r>
        <w:rPr>
          <w:rFonts w:hint="eastAsia" w:ascii="华文中宋" w:hAnsi="华文中宋" w:eastAsia="华文中宋" w:cs="华文中宋"/>
          <w:b/>
          <w:bCs/>
          <w:spacing w:val="5"/>
          <w:sz w:val="32"/>
          <w:szCs w:val="32"/>
        </w:rPr>
        <w:t>维护与数据分析服务技术规范书</w:t>
      </w:r>
      <w:bookmarkEnd w:id="17"/>
      <w:bookmarkEnd w:id="18"/>
      <w:bookmarkEnd w:id="19"/>
      <w:bookmarkEnd w:id="20"/>
      <w:bookmarkEnd w:id="21"/>
      <w:bookmarkEnd w:id="22"/>
      <w:bookmarkEnd w:id="23"/>
    </w:p>
    <w:p>
      <w:pPr>
        <w:keepNext w:val="0"/>
        <w:keepLines w:val="0"/>
        <w:pageBreakBefore w:val="0"/>
        <w:widowControl/>
        <w:kinsoku w:val="0"/>
        <w:wordWrap/>
        <w:overflowPunct/>
        <w:topLinePunct w:val="0"/>
        <w:autoSpaceDE w:val="0"/>
        <w:autoSpaceDN w:val="0"/>
        <w:bidi w:val="0"/>
        <w:adjustRightInd w:val="0"/>
        <w:snapToGrid w:val="0"/>
        <w:spacing w:before="323" w:line="400" w:lineRule="exact"/>
        <w:jc w:val="center"/>
        <w:textAlignment w:val="baseline"/>
        <w:outlineLvl w:val="9"/>
        <w:rPr>
          <w:rFonts w:hint="eastAsia" w:ascii="华文中宋" w:hAnsi="华文中宋" w:eastAsia="华文中宋" w:cs="华文中宋"/>
          <w:b/>
          <w:bCs/>
          <w:spacing w:val="5"/>
          <w:sz w:val="32"/>
          <w:szCs w:val="32"/>
        </w:rPr>
      </w:pP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0"/>
        <w:rPr>
          <w:rFonts w:hint="eastAsia" w:ascii="黑体" w:hAnsi="黑体" w:eastAsia="黑体" w:cs="黑体"/>
          <w:sz w:val="28"/>
          <w:szCs w:val="28"/>
          <w:lang w:val="en-US" w:eastAsia="zh-CN"/>
        </w:rPr>
      </w:pPr>
      <w:bookmarkStart w:id="24" w:name="_Toc15376"/>
      <w:r>
        <w:rPr>
          <w:rFonts w:hint="eastAsia" w:ascii="黑体" w:hAnsi="黑体" w:eastAsia="黑体" w:cs="黑体"/>
          <w:sz w:val="28"/>
          <w:szCs w:val="28"/>
          <w:lang w:val="en-US" w:eastAsia="zh-CN"/>
        </w:rPr>
        <w:t>一、总则</w:t>
      </w:r>
      <w:bookmarkEnd w:id="24"/>
    </w:p>
    <w:p>
      <w:pPr>
        <w:keepNext w:val="0"/>
        <w:keepLines w:val="0"/>
        <w:pageBreakBefore w:val="0"/>
        <w:widowControl/>
        <w:kinsoku w:val="0"/>
        <w:wordWrap/>
        <w:overflowPunct/>
        <w:topLinePunct/>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1.1</w:t>
      </w:r>
      <w:r>
        <w:rPr>
          <w:rFonts w:hint="eastAsia"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rPr>
        <w:t>本技术规范书适用于浙能台州1号海上风电项目安全监测系统维护与数据分析服务</w:t>
      </w: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陆上集控中心沉降监测、海缆登陆段电缆沟沉降观测监测、海上升压站不均匀沉降监测</w:t>
      </w:r>
      <w:r>
        <w:rPr>
          <w:rFonts w:hint="eastAsia" w:ascii="Times New Roman" w:hAnsi="Times New Roman" w:eastAsia="宋体" w:cs="Times New Roman"/>
          <w:sz w:val="28"/>
          <w:szCs w:val="28"/>
        </w:rPr>
        <w:t>以及各监测项目监测分析及报告书编制等工作。</w:t>
      </w:r>
    </w:p>
    <w:p>
      <w:pPr>
        <w:keepNext w:val="0"/>
        <w:keepLines w:val="0"/>
        <w:pageBreakBefore w:val="0"/>
        <w:widowControl/>
        <w:kinsoku w:val="0"/>
        <w:wordWrap/>
        <w:overflowPunct/>
        <w:topLinePunct/>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1.2</w:t>
      </w:r>
      <w:r>
        <w:rPr>
          <w:rFonts w:hint="eastAsia"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rPr>
        <w:t>本技术规范书提出的是最低限度的技术要求，并未对一切技术细节做出规定，也未充分引述有关标准和规范的条文，投标人应保证提供符合本技术规范书相关的监测规范与标准以及工艺质量优良的优质服务。同时必须满足国家有关安全、环保等强制性标准和规范的要求。</w:t>
      </w:r>
    </w:p>
    <w:p>
      <w:pPr>
        <w:keepNext w:val="0"/>
        <w:keepLines w:val="0"/>
        <w:pageBreakBefore w:val="0"/>
        <w:widowControl/>
        <w:kinsoku w:val="0"/>
        <w:wordWrap/>
        <w:overflowPunct/>
        <w:topLinePunct/>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1.3</w:t>
      </w:r>
      <w:r>
        <w:rPr>
          <w:rFonts w:hint="eastAsia"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rPr>
        <w:t>本技术规范书经双方确认后，作为合同的附件，与合同正文具有同等的法律效力。</w:t>
      </w:r>
    </w:p>
    <w:p>
      <w:pPr>
        <w:keepNext w:val="0"/>
        <w:keepLines w:val="0"/>
        <w:pageBreakBefore w:val="0"/>
        <w:widowControl/>
        <w:kinsoku w:val="0"/>
        <w:wordWrap/>
        <w:overflowPunct/>
        <w:topLinePunct/>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1.4</w:t>
      </w:r>
      <w:r>
        <w:rPr>
          <w:rFonts w:hint="eastAsia"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rPr>
        <w:t>本规范书未尽事宜，由招标人和投标人在合同技术谈判时双方协商确定。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0"/>
        <w:rPr>
          <w:rFonts w:hint="eastAsia" w:ascii="黑体" w:hAnsi="黑体" w:eastAsia="黑体" w:cs="黑体"/>
          <w:sz w:val="28"/>
          <w:szCs w:val="28"/>
          <w:lang w:val="en-US" w:eastAsia="zh-CN"/>
        </w:rPr>
      </w:pPr>
      <w:bookmarkStart w:id="25" w:name="_Toc1343"/>
      <w:r>
        <w:rPr>
          <w:rFonts w:hint="eastAsia" w:ascii="黑体" w:hAnsi="黑体" w:eastAsia="黑体" w:cs="黑体"/>
          <w:sz w:val="28"/>
          <w:szCs w:val="28"/>
          <w:lang w:val="en-US" w:eastAsia="zh-CN"/>
        </w:rPr>
        <w:t>二、项目概况</w:t>
      </w:r>
      <w:bookmarkEnd w:id="25"/>
    </w:p>
    <w:p>
      <w:pPr>
        <w:keepNext w:val="0"/>
        <w:keepLines w:val="0"/>
        <w:pageBreakBefore w:val="0"/>
        <w:widowControl/>
        <w:kinsoku w:val="0"/>
        <w:wordWrap/>
        <w:overflowPunct/>
        <w:topLinePunct/>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浙能台州1号海上风电项目</w:t>
      </w:r>
      <w:r>
        <w:rPr>
          <w:rFonts w:hint="default" w:ascii="Times New Roman" w:hAnsi="Times New Roman" w:eastAsia="宋体" w:cs="Times New Roman"/>
          <w:sz w:val="28"/>
          <w:szCs w:val="28"/>
        </w:rPr>
        <w:t>位于浙江省台州市临海市海域，场区呈四边形，场区中心离岸距离约为16.5km，东西向最宽约8.6km，南北向最长约4.3km，涉海面积23km</w:t>
      </w:r>
      <w:r>
        <w:rPr>
          <w:rFonts w:hint="eastAsia" w:ascii="微软雅黑" w:hAnsi="微软雅黑" w:eastAsia="微软雅黑" w:cs="微软雅黑"/>
          <w:sz w:val="28"/>
          <w:szCs w:val="28"/>
        </w:rPr>
        <w:t>²</w:t>
      </w:r>
      <w:r>
        <w:rPr>
          <w:rFonts w:hint="default" w:ascii="Times New Roman" w:hAnsi="Times New Roman" w:eastAsia="宋体" w:cs="Times New Roman"/>
          <w:sz w:val="28"/>
          <w:szCs w:val="28"/>
        </w:rPr>
        <w:t>。布置40台单机容量7.5MW的风电机组，总装机容量300MW，配套建设一座220kV海上升压站和一座陆上</w:t>
      </w:r>
      <w:r>
        <w:rPr>
          <w:rFonts w:hint="eastAsia" w:ascii="Times New Roman" w:hAnsi="Times New Roman" w:eastAsia="宋体" w:cs="Times New Roman"/>
          <w:sz w:val="28"/>
          <w:szCs w:val="28"/>
          <w:lang w:val="en-US" w:eastAsia="zh-CN"/>
        </w:rPr>
        <w:t>集控中心</w:t>
      </w:r>
      <w:r>
        <w:rPr>
          <w:rFonts w:hint="default" w:ascii="Times New Roman" w:hAnsi="Times New Roman" w:eastAsia="宋体" w:cs="Times New Roman"/>
          <w:sz w:val="28"/>
          <w:szCs w:val="28"/>
        </w:rPr>
        <w:t>。</w:t>
      </w:r>
    </w:p>
    <w:p>
      <w:pPr>
        <w:keepNext w:val="0"/>
        <w:keepLines w:val="0"/>
        <w:pageBreakBefore w:val="0"/>
        <w:widowControl/>
        <w:kinsoku w:val="0"/>
        <w:wordWrap/>
        <w:overflowPunct/>
        <w:topLinePunct/>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陆上集控中心主要采用天然地基和桩基础形式，布置集控楼、生产综合楼、附属楼、门卫室及室外主变区域等建（构）筑物。220kV海上升压站将35kV电压升压至220kV，以1回3×1000mm² 220kV海底电缆登陆，登陆点海侧海缆直埋约1km，登陆点海侧与陆侧之间的通道由定向钻穿越贯通，登陆后海缆在电缆沟内敷设约1km，最终引上铁塔T1，通过1回220kV架空线路接入系统变电站。</w:t>
      </w:r>
    </w:p>
    <w:p>
      <w:pPr>
        <w:spacing w:line="480" w:lineRule="auto"/>
        <w:jc w:val="center"/>
        <w:rPr>
          <w:rFonts w:hint="default" w:ascii="Times New Roman" w:hAnsi="Times New Roman" w:eastAsia="宋体" w:cs="Times New Roman"/>
          <w:sz w:val="24"/>
        </w:rPr>
      </w:pPr>
      <w:r>
        <w:rPr>
          <w:rFonts w:hint="eastAsia" w:ascii="华文仿宋" w:hAnsi="华文仿宋" w:eastAsia="华文仿宋" w:cs="华文仿宋"/>
          <w:spacing w:val="-8"/>
          <w:sz w:val="28"/>
          <w:szCs w:val="28"/>
          <w:lang w:val="en-US" w:eastAsia="zh-CN"/>
        </w:rPr>
        <w:drawing>
          <wp:inline distT="0" distB="0" distL="114300" distR="114300">
            <wp:extent cx="4434840" cy="2864485"/>
            <wp:effectExtent l="9525" t="9525" r="13335" b="2159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7"/>
                    <a:stretch>
                      <a:fillRect/>
                    </a:stretch>
                  </pic:blipFill>
                  <pic:spPr>
                    <a:xfrm>
                      <a:off x="0" y="0"/>
                      <a:ext cx="4434840" cy="2864485"/>
                    </a:xfrm>
                    <a:prstGeom prst="rect">
                      <a:avLst/>
                    </a:prstGeom>
                    <a:ln>
                      <a:solidFill>
                        <a:schemeClr val="accent1"/>
                      </a:solidFill>
                    </a:ln>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center"/>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图</w:t>
      </w:r>
      <w:r>
        <w:rPr>
          <w:rFonts w:hint="eastAsia"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rPr>
        <w:t>-1风电场布置图</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0"/>
        <w:rPr>
          <w:rFonts w:hint="eastAsia" w:ascii="黑体" w:hAnsi="黑体" w:eastAsia="黑体" w:cs="黑体"/>
          <w:sz w:val="28"/>
          <w:szCs w:val="28"/>
          <w:lang w:val="en-US" w:eastAsia="zh-CN"/>
        </w:rPr>
      </w:pPr>
      <w:bookmarkStart w:id="26" w:name="_Toc7487"/>
      <w:r>
        <w:rPr>
          <w:rFonts w:hint="eastAsia" w:ascii="黑体" w:hAnsi="黑体" w:eastAsia="黑体" w:cs="黑体"/>
          <w:sz w:val="28"/>
          <w:szCs w:val="28"/>
          <w:lang w:val="en-US" w:eastAsia="zh-CN"/>
        </w:rPr>
        <w:t>三、安全监测系统布置情况</w:t>
      </w:r>
      <w:bookmarkEnd w:id="26"/>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27" w:name="_Toc31684"/>
      <w:r>
        <w:rPr>
          <w:rFonts w:hint="eastAsia" w:ascii="黑体" w:hAnsi="黑体" w:eastAsia="黑体" w:cs="黑体"/>
          <w:sz w:val="28"/>
          <w:szCs w:val="28"/>
          <w:lang w:val="en-US" w:eastAsia="zh-CN"/>
        </w:rPr>
        <w:t>3.1 单桩基础风机监测</w:t>
      </w:r>
      <w:bookmarkEnd w:id="27"/>
      <w:r>
        <w:rPr>
          <w:rFonts w:hint="eastAsia" w:ascii="黑体" w:hAnsi="黑体" w:eastAsia="黑体" w:cs="黑体"/>
          <w:sz w:val="28"/>
          <w:szCs w:val="28"/>
          <w:lang w:val="en-US" w:eastAsia="zh-CN"/>
        </w:rPr>
        <w:t xml:space="preserve"> </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rPr>
      </w:pPr>
      <w:bookmarkStart w:id="28" w:name="_Toc10520"/>
      <w:r>
        <w:rPr>
          <w:rFonts w:hint="default" w:ascii="Times New Roman" w:hAnsi="Times New Roman" w:eastAsia="宋体" w:cs="Times New Roman"/>
          <w:sz w:val="28"/>
          <w:szCs w:val="28"/>
        </w:rPr>
        <w:t>在39台单桩基础风机中选取9台作为典型监测机位，其他30台作为普通监测机位。</w:t>
      </w:r>
      <w:bookmarkEnd w:id="28"/>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对于9台典型监测风机，设置的监测项目包括：倾斜监测、振动监测、钢板应力监测及腐蚀监测。对于30台普通监测机位，设置的监测项目包括风机基础倾斜监测和振动监测。</w:t>
      </w:r>
    </w:p>
    <w:p>
      <w:pPr>
        <w:keepNext w:val="0"/>
        <w:keepLines w:val="0"/>
        <w:pageBreakBefore w:val="0"/>
        <w:widowControl/>
        <w:kinsoku/>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典型监测风机和非典型监测单桩基础风机的监测项目汇总见表</w:t>
      </w:r>
      <w:r>
        <w:rPr>
          <w:rFonts w:hint="eastAsia" w:ascii="Times New Roman" w:hAnsi="Times New Roman" w:eastAsia="宋体" w:cs="Times New Roman"/>
          <w:sz w:val="28"/>
          <w:szCs w:val="28"/>
          <w:lang w:val="en-US" w:eastAsia="zh-CN"/>
        </w:rPr>
        <w:t>3.1-1、表3.1-2</w:t>
      </w:r>
      <w:r>
        <w:rPr>
          <w:rFonts w:hint="default" w:ascii="Times New Roman" w:hAnsi="Times New Roman" w:eastAsia="宋体" w:cs="Times New Roman"/>
          <w:sz w:val="28"/>
          <w:szCs w:val="28"/>
        </w:rPr>
        <w:t>。</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3.1.1 </w:t>
      </w:r>
      <w:r>
        <w:rPr>
          <w:rFonts w:hint="default" w:ascii="Times New Roman" w:hAnsi="Times New Roman" w:eastAsia="宋体" w:cs="Times New Roman"/>
          <w:sz w:val="28"/>
          <w:szCs w:val="28"/>
          <w:lang w:val="en-US" w:eastAsia="zh-CN"/>
        </w:rPr>
        <w:t>倾斜监测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在每台风机（包括所有典型、普通监测机位）的基础顶部和塔筒顶部各布置1套双轴倾角计（水平X、Y向），通过监测结构的倾角，推算出结构的变位，从而了解风机基础的倾斜情况，共计78套双轴倾角仪。</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3.1.2 </w:t>
      </w:r>
      <w:r>
        <w:rPr>
          <w:rFonts w:hint="default" w:ascii="Times New Roman" w:hAnsi="Times New Roman" w:eastAsia="宋体" w:cs="Times New Roman"/>
          <w:sz w:val="28"/>
          <w:szCs w:val="28"/>
          <w:lang w:val="en-US" w:eastAsia="zh-CN"/>
        </w:rPr>
        <w:t>振动监测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在每台普通监测机位的基础顶部布置1套二向加速度计，以监测风机基础的振动加速度情况，共计30套。</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在9台典型监测机位基础顶部和塔筒顶部布置5套二向加速度计，以监测塔筒整体的振动加速度情况，共计45套。</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以上共计布置75套二向加速度计。</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3.1.3 </w:t>
      </w:r>
      <w:r>
        <w:rPr>
          <w:rFonts w:hint="default" w:ascii="Times New Roman" w:hAnsi="Times New Roman" w:eastAsia="宋体" w:cs="Times New Roman"/>
          <w:sz w:val="28"/>
          <w:szCs w:val="28"/>
          <w:lang w:val="en-US" w:eastAsia="zh-CN"/>
        </w:rPr>
        <w:t>钢板应力监测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在9台典型监测机位单桩基础桩顶附近内表面对称布置4支钢板应力计，以监测桩基础顶关键节点处钢结构应力应变情况，共计布置36支钢板应力计。</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3.1.4 </w:t>
      </w:r>
      <w:r>
        <w:rPr>
          <w:rFonts w:hint="default" w:ascii="Times New Roman" w:hAnsi="Times New Roman" w:eastAsia="宋体" w:cs="Times New Roman"/>
          <w:sz w:val="28"/>
          <w:szCs w:val="28"/>
          <w:lang w:val="en-US" w:eastAsia="zh-CN"/>
        </w:rPr>
        <w:t>腐蚀电位监测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在9台典型机位的基础上各布置2个腐蚀电位测点，测点外套笼电缆管海平面-4.5米高程（1个测点）、外套笼电缆管海平面-1.5米高程（1个测点），共计18个腐蚀电位测点。</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color w:val="auto"/>
          <w:kern w:val="2"/>
          <w:sz w:val="28"/>
          <w:szCs w:val="28"/>
          <w:lang w:val="en-US" w:eastAsia="zh-CN" w:bidi="ar-SA"/>
        </w:rPr>
      </w:pPr>
      <w:r>
        <w:rPr>
          <w:rFonts w:hint="default" w:ascii="Times New Roman" w:hAnsi="Times New Roman" w:eastAsia="宋体" w:cs="Times New Roman"/>
          <w:snapToGrid/>
          <w:color w:val="auto"/>
          <w:kern w:val="2"/>
          <w:sz w:val="28"/>
          <w:szCs w:val="28"/>
          <w:lang w:val="en-US" w:eastAsia="zh-CN" w:bidi="ar-SA"/>
        </w:rPr>
        <w:t>表</w:t>
      </w:r>
      <w:r>
        <w:rPr>
          <w:rFonts w:hint="eastAsia" w:ascii="Times New Roman" w:hAnsi="Times New Roman" w:eastAsia="宋体" w:cs="Times New Roman"/>
          <w:snapToGrid/>
          <w:color w:val="auto"/>
          <w:kern w:val="2"/>
          <w:sz w:val="28"/>
          <w:szCs w:val="28"/>
          <w:lang w:val="en-US" w:eastAsia="zh-CN" w:bidi="ar-SA"/>
        </w:rPr>
        <w:t>3.1-</w:t>
      </w:r>
      <w:r>
        <w:rPr>
          <w:rFonts w:hint="default" w:ascii="Times New Roman" w:hAnsi="Times New Roman" w:eastAsia="宋体" w:cs="Times New Roman"/>
          <w:snapToGrid/>
          <w:color w:val="auto"/>
          <w:kern w:val="2"/>
          <w:sz w:val="28"/>
          <w:szCs w:val="28"/>
          <w:lang w:val="en-US" w:eastAsia="zh-CN" w:bidi="ar-SA"/>
        </w:rPr>
        <w:t>1</w:t>
      </w:r>
      <w:r>
        <w:rPr>
          <w:rFonts w:hint="eastAsia" w:ascii="Times New Roman" w:hAnsi="Times New Roman" w:eastAsia="宋体" w:cs="Times New Roman"/>
          <w:snapToGrid/>
          <w:color w:val="auto"/>
          <w:kern w:val="2"/>
          <w:sz w:val="28"/>
          <w:szCs w:val="28"/>
          <w:lang w:val="en-US" w:eastAsia="zh-CN" w:bidi="ar-SA"/>
        </w:rPr>
        <w:t xml:space="preserve"> </w:t>
      </w:r>
      <w:r>
        <w:rPr>
          <w:rFonts w:hint="default" w:ascii="Times New Roman" w:hAnsi="Times New Roman" w:eastAsia="宋体" w:cs="Times New Roman"/>
          <w:snapToGrid/>
          <w:color w:val="auto"/>
          <w:kern w:val="2"/>
          <w:sz w:val="28"/>
          <w:szCs w:val="28"/>
          <w:lang w:val="en-US" w:eastAsia="zh-CN" w:bidi="ar-SA"/>
        </w:rPr>
        <w:t>典型监测单桩基础风机监测项目</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7"/>
        <w:gridCol w:w="1312"/>
        <w:gridCol w:w="1403"/>
        <w:gridCol w:w="1311"/>
        <w:gridCol w:w="1594"/>
        <w:gridCol w:w="1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331"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监测项目</w:t>
            </w:r>
          </w:p>
        </w:tc>
        <w:tc>
          <w:tcPr>
            <w:tcW w:w="1326"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监测仪器</w:t>
            </w:r>
          </w:p>
        </w:tc>
        <w:tc>
          <w:tcPr>
            <w:tcW w:w="1343"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测点编号</w:t>
            </w:r>
          </w:p>
        </w:tc>
        <w:tc>
          <w:tcPr>
            <w:tcW w:w="1318"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测点数量</w:t>
            </w:r>
          </w:p>
        </w:tc>
        <w:tc>
          <w:tcPr>
            <w:tcW w:w="1600"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厂家型号</w:t>
            </w:r>
          </w:p>
        </w:tc>
        <w:tc>
          <w:tcPr>
            <w:tcW w:w="1600"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倾斜</w:t>
            </w:r>
          </w:p>
        </w:tc>
        <w:tc>
          <w:tcPr>
            <w:tcW w:w="1326"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双向倾角仪</w:t>
            </w:r>
          </w:p>
        </w:tc>
        <w:tc>
          <w:tcPr>
            <w:tcW w:w="1343"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CLx-1、CLx-2</w:t>
            </w:r>
          </w:p>
        </w:tc>
        <w:tc>
          <w:tcPr>
            <w:tcW w:w="1318"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2×9=18台</w:t>
            </w:r>
          </w:p>
        </w:tc>
        <w:tc>
          <w:tcPr>
            <w:tcW w:w="1600"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浙江华东HDCLB-02</w:t>
            </w:r>
          </w:p>
        </w:tc>
        <w:tc>
          <w:tcPr>
            <w:tcW w:w="1600"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振动</w:t>
            </w:r>
          </w:p>
        </w:tc>
        <w:tc>
          <w:tcPr>
            <w:tcW w:w="1326"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二向加速度计</w:t>
            </w:r>
          </w:p>
        </w:tc>
        <w:tc>
          <w:tcPr>
            <w:tcW w:w="1343"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ATx-1~ATx-5</w:t>
            </w:r>
          </w:p>
        </w:tc>
        <w:tc>
          <w:tcPr>
            <w:tcW w:w="1318"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5×9=45台</w:t>
            </w:r>
          </w:p>
        </w:tc>
        <w:tc>
          <w:tcPr>
            <w:tcW w:w="1600"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浙江华东HDATB-02</w:t>
            </w:r>
          </w:p>
        </w:tc>
        <w:tc>
          <w:tcPr>
            <w:tcW w:w="1600"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钢板应力</w:t>
            </w:r>
          </w:p>
        </w:tc>
        <w:tc>
          <w:tcPr>
            <w:tcW w:w="1326"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钢板应力计</w:t>
            </w:r>
          </w:p>
        </w:tc>
        <w:tc>
          <w:tcPr>
            <w:tcW w:w="1343"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Cx-1~Cx-4</w:t>
            </w:r>
          </w:p>
        </w:tc>
        <w:tc>
          <w:tcPr>
            <w:tcW w:w="1318"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4×9=36支</w:t>
            </w:r>
          </w:p>
        </w:tc>
        <w:tc>
          <w:tcPr>
            <w:tcW w:w="1600"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南京水文所SXB-15</w:t>
            </w:r>
          </w:p>
        </w:tc>
        <w:tc>
          <w:tcPr>
            <w:tcW w:w="1600"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腐蚀电位</w:t>
            </w:r>
          </w:p>
        </w:tc>
        <w:tc>
          <w:tcPr>
            <w:tcW w:w="1326"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参比电极</w:t>
            </w:r>
          </w:p>
        </w:tc>
        <w:tc>
          <w:tcPr>
            <w:tcW w:w="1343"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FSx-1~2</w:t>
            </w:r>
          </w:p>
        </w:tc>
        <w:tc>
          <w:tcPr>
            <w:tcW w:w="1318"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18个</w:t>
            </w:r>
          </w:p>
        </w:tc>
        <w:tc>
          <w:tcPr>
            <w:tcW w:w="1600"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上海辰建</w:t>
            </w:r>
          </w:p>
        </w:tc>
        <w:tc>
          <w:tcPr>
            <w:tcW w:w="1600"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1次/小时</w:t>
            </w:r>
          </w:p>
        </w:tc>
      </w:tr>
    </w:tbl>
    <w:p>
      <w:pPr>
        <w:pStyle w:val="13"/>
        <w:keepNext w:val="0"/>
        <w:keepLines w:val="0"/>
        <w:pageBreakBefore w:val="0"/>
        <w:widowControl/>
        <w:kinsoku/>
        <w:wordWrap/>
        <w:overflowPunct/>
        <w:topLinePunct w:val="0"/>
        <w:autoSpaceDE/>
        <w:autoSpaceDN/>
        <w:bidi w:val="0"/>
        <w:adjustRightInd/>
        <w:snapToGrid/>
        <w:spacing w:before="72" w:after="72" w:line="240" w:lineRule="exact"/>
        <w:jc w:val="left"/>
        <w:textAlignment w:val="auto"/>
        <w:rPr>
          <w:rFonts w:hint="default" w:ascii="Times New Roman" w:hAnsi="Times New Roman" w:eastAsia="宋体" w:cs="Times New Roman"/>
        </w:rPr>
      </w:pPr>
      <w:r>
        <w:rPr>
          <w:rFonts w:hint="default" w:ascii="Times New Roman" w:hAnsi="Times New Roman" w:eastAsia="宋体" w:cs="Times New Roman"/>
        </w:rPr>
        <w:t>注：1、9台典型监测风机具体为4#、8#、17#、18#、24#、31#、36#、39#、40#；</w:t>
      </w:r>
    </w:p>
    <w:p>
      <w:pPr>
        <w:pStyle w:val="13"/>
        <w:keepNext w:val="0"/>
        <w:keepLines w:val="0"/>
        <w:pageBreakBefore w:val="0"/>
        <w:widowControl/>
        <w:numPr>
          <w:ilvl w:val="0"/>
          <w:numId w:val="0"/>
        </w:numPr>
        <w:kinsoku/>
        <w:wordWrap/>
        <w:overflowPunct/>
        <w:topLinePunct w:val="0"/>
        <w:autoSpaceDE/>
        <w:autoSpaceDN/>
        <w:bidi w:val="0"/>
        <w:adjustRightInd/>
        <w:snapToGrid/>
        <w:spacing w:before="72" w:after="72" w:line="240" w:lineRule="exact"/>
        <w:ind w:firstLine="420" w:firstLineChars="200"/>
        <w:jc w:val="left"/>
        <w:textAlignment w:val="auto"/>
        <w:rPr>
          <w:rFonts w:hint="default" w:ascii="Times New Roman" w:hAnsi="Times New Roman" w:eastAsia="宋体" w:cs="Times New Roman"/>
          <w:spacing w:val="-9"/>
          <w:sz w:val="28"/>
          <w:szCs w:val="28"/>
        </w:rPr>
      </w:pPr>
      <w:r>
        <w:rPr>
          <w:rFonts w:hint="default" w:ascii="Times New Roman" w:hAnsi="Times New Roman" w:eastAsia="宋体" w:cs="Times New Roman"/>
          <w:kern w:val="2"/>
          <w:sz w:val="21"/>
          <w:szCs w:val="24"/>
          <w:lang w:val="en-US" w:eastAsia="zh-CN" w:bidi="ar-SA"/>
        </w:rPr>
        <w:t>2、</w:t>
      </w:r>
      <w:r>
        <w:rPr>
          <w:rFonts w:hint="default" w:ascii="Times New Roman" w:hAnsi="Times New Roman" w:eastAsia="宋体" w:cs="Times New Roman"/>
        </w:rPr>
        <w:t>测点编号中“x”为风机号。</w:t>
      </w:r>
    </w:p>
    <w:p>
      <w:pPr>
        <w:pStyle w:val="15"/>
        <w:keepNext w:val="0"/>
        <w:keepLines w:val="0"/>
        <w:pageBreakBefore w:val="0"/>
        <w:widowControl/>
        <w:kinsoku/>
        <w:wordWrap/>
        <w:overflowPunct/>
        <w:topLinePunct w:val="0"/>
        <w:autoSpaceDE/>
        <w:autoSpaceDN/>
        <w:bidi w:val="0"/>
        <w:adjustRightInd/>
        <w:snapToGrid/>
        <w:spacing w:before="156" w:after="156" w:line="560" w:lineRule="exact"/>
        <w:jc w:val="center"/>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表</w:t>
      </w:r>
      <w:r>
        <w:rPr>
          <w:rFonts w:hint="eastAsia" w:eastAsia="宋体" w:cs="Times New Roman"/>
          <w:sz w:val="28"/>
          <w:szCs w:val="28"/>
          <w:lang w:val="en-US" w:eastAsia="zh-CN"/>
        </w:rPr>
        <w:t>3.1-</w:t>
      </w:r>
      <w:r>
        <w:rPr>
          <w:rFonts w:hint="default" w:ascii="Times New Roman" w:hAnsi="Times New Roman" w:eastAsia="宋体" w:cs="Times New Roman"/>
          <w:sz w:val="28"/>
          <w:szCs w:val="28"/>
        </w:rPr>
        <w:t>2</w:t>
      </w:r>
      <w:r>
        <w:rPr>
          <w:rFonts w:hint="eastAsia" w:eastAsia="宋体" w:cs="Times New Roman"/>
          <w:sz w:val="28"/>
          <w:szCs w:val="28"/>
          <w:lang w:val="en-US" w:eastAsia="zh-CN"/>
        </w:rPr>
        <w:t xml:space="preserve"> </w:t>
      </w:r>
      <w:r>
        <w:rPr>
          <w:rFonts w:hint="default" w:ascii="Times New Roman" w:hAnsi="Times New Roman" w:eastAsia="宋体" w:cs="Times New Roman"/>
          <w:sz w:val="28"/>
          <w:szCs w:val="28"/>
        </w:rPr>
        <w:t>非典型监测单桩基础风机监测项目</w:t>
      </w:r>
    </w:p>
    <w:tbl>
      <w:tblPr>
        <w:tblStyle w:val="9"/>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2"/>
        <w:gridCol w:w="1332"/>
        <w:gridCol w:w="1348"/>
        <w:gridCol w:w="1324"/>
        <w:gridCol w:w="1607"/>
        <w:gridCol w:w="16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02"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监测项目</w:t>
            </w:r>
          </w:p>
        </w:tc>
        <w:tc>
          <w:tcPr>
            <w:tcW w:w="1332"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监测仪器</w:t>
            </w:r>
          </w:p>
        </w:tc>
        <w:tc>
          <w:tcPr>
            <w:tcW w:w="1348"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测点编号</w:t>
            </w:r>
          </w:p>
        </w:tc>
        <w:tc>
          <w:tcPr>
            <w:tcW w:w="1324"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测点数量</w:t>
            </w:r>
          </w:p>
        </w:tc>
        <w:tc>
          <w:tcPr>
            <w:tcW w:w="1607"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厂家型号</w:t>
            </w:r>
          </w:p>
        </w:tc>
        <w:tc>
          <w:tcPr>
            <w:tcW w:w="1607"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倾斜</w:t>
            </w:r>
          </w:p>
        </w:tc>
        <w:tc>
          <w:tcPr>
            <w:tcW w:w="133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倾角仪</w:t>
            </w:r>
          </w:p>
        </w:tc>
        <w:tc>
          <w:tcPr>
            <w:tcW w:w="1348"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CLx-1、CLx-2</w:t>
            </w:r>
          </w:p>
        </w:tc>
        <w:tc>
          <w:tcPr>
            <w:tcW w:w="1324"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2×30=60台</w:t>
            </w:r>
          </w:p>
        </w:tc>
        <w:tc>
          <w:tcPr>
            <w:tcW w:w="1607"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浙江华东HDCLB-02</w:t>
            </w:r>
          </w:p>
        </w:tc>
        <w:tc>
          <w:tcPr>
            <w:tcW w:w="160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振动</w:t>
            </w:r>
          </w:p>
        </w:tc>
        <w:tc>
          <w:tcPr>
            <w:tcW w:w="133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二向加速计</w:t>
            </w:r>
          </w:p>
        </w:tc>
        <w:tc>
          <w:tcPr>
            <w:tcW w:w="1348"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ATx-1</w:t>
            </w:r>
          </w:p>
        </w:tc>
        <w:tc>
          <w:tcPr>
            <w:tcW w:w="1324"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1×30=30台</w:t>
            </w:r>
          </w:p>
        </w:tc>
        <w:tc>
          <w:tcPr>
            <w:tcW w:w="1607"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浙江华东HDATB-02</w:t>
            </w:r>
          </w:p>
        </w:tc>
        <w:tc>
          <w:tcPr>
            <w:tcW w:w="160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50Hz</w:t>
            </w:r>
          </w:p>
        </w:tc>
      </w:tr>
    </w:tbl>
    <w:p>
      <w:pPr>
        <w:pStyle w:val="13"/>
        <w:keepNext w:val="0"/>
        <w:keepLines w:val="0"/>
        <w:pageBreakBefore w:val="0"/>
        <w:widowControl/>
        <w:kinsoku/>
        <w:wordWrap/>
        <w:overflowPunct/>
        <w:topLinePunct w:val="0"/>
        <w:autoSpaceDE/>
        <w:autoSpaceDN/>
        <w:bidi w:val="0"/>
        <w:adjustRightInd/>
        <w:snapToGrid/>
        <w:spacing w:before="72" w:after="72" w:line="240" w:lineRule="exact"/>
        <w:jc w:val="both"/>
        <w:textAlignment w:val="auto"/>
        <w:rPr>
          <w:rFonts w:hint="default" w:ascii="Times New Roman" w:hAnsi="Times New Roman" w:eastAsia="宋体" w:cs="Times New Roman"/>
        </w:rPr>
      </w:pPr>
      <w:r>
        <w:rPr>
          <w:rFonts w:hint="default" w:ascii="Times New Roman" w:hAnsi="Times New Roman" w:eastAsia="宋体" w:cs="Times New Roman"/>
        </w:rPr>
        <w:t>注：</w:t>
      </w:r>
      <w:r>
        <w:rPr>
          <w:rFonts w:hint="default" w:ascii="Times New Roman" w:hAnsi="Times New Roman" w:eastAsia="宋体" w:cs="Times New Roman"/>
          <w:lang w:val="en-US" w:eastAsia="zh-CN"/>
        </w:rPr>
        <w:t xml:space="preserve"> </w:t>
      </w:r>
      <w:r>
        <w:rPr>
          <w:rFonts w:hint="default" w:ascii="Times New Roman" w:hAnsi="Times New Roman" w:eastAsia="宋体" w:cs="Times New Roman"/>
        </w:rPr>
        <w:t>1、30台为非典型监测风机具体为1#~3#、5#~7#、9#、10#、12#~16#、19#~23#、25#~30#、32#~35#、37#、38#；</w:t>
      </w:r>
    </w:p>
    <w:p>
      <w:pPr>
        <w:pStyle w:val="13"/>
        <w:keepNext w:val="0"/>
        <w:keepLines w:val="0"/>
        <w:pageBreakBefore w:val="0"/>
        <w:widowControl/>
        <w:kinsoku/>
        <w:wordWrap/>
        <w:overflowPunct/>
        <w:topLinePunct w:val="0"/>
        <w:autoSpaceDE/>
        <w:autoSpaceDN/>
        <w:bidi w:val="0"/>
        <w:adjustRightInd/>
        <w:snapToGrid/>
        <w:spacing w:before="72" w:after="72" w:line="240" w:lineRule="exact"/>
        <w:ind w:firstLine="420" w:firstLineChars="200"/>
        <w:jc w:val="both"/>
        <w:textAlignment w:val="auto"/>
        <w:rPr>
          <w:rFonts w:hint="eastAsia" w:ascii="黑体" w:hAnsi="黑体" w:eastAsia="黑体" w:cs="黑体"/>
          <w:b w:val="0"/>
          <w:bCs w:val="0"/>
          <w:spacing w:val="-18"/>
          <w:sz w:val="28"/>
          <w:szCs w:val="28"/>
          <w:lang w:val="en-US" w:eastAsia="zh-CN"/>
        </w:rPr>
      </w:pPr>
      <w:r>
        <w:rPr>
          <w:rFonts w:hint="eastAsia" w:cs="Times New Roman"/>
          <w:lang w:val="en-US" w:eastAsia="zh-CN"/>
        </w:rPr>
        <w:t>2、</w:t>
      </w:r>
      <w:r>
        <w:rPr>
          <w:rFonts w:hint="default" w:ascii="Times New Roman" w:hAnsi="Times New Roman" w:eastAsia="宋体" w:cs="Times New Roman"/>
        </w:rPr>
        <w:t>测点编号中“x”为风机号。</w:t>
      </w:r>
      <w:bookmarkStart w:id="29" w:name="_Toc170900550"/>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30" w:name="_Toc20772"/>
      <w:bookmarkStart w:id="31" w:name="_Toc32185"/>
      <w:r>
        <w:rPr>
          <w:rFonts w:hint="eastAsia" w:ascii="黑体" w:hAnsi="黑体" w:eastAsia="黑体" w:cs="黑体"/>
          <w:sz w:val="28"/>
          <w:szCs w:val="28"/>
          <w:lang w:val="en-US" w:eastAsia="zh-CN"/>
        </w:rPr>
        <w:t>3.2 桩-桶复合基础风机监测</w:t>
      </w:r>
      <w:bookmarkEnd w:id="29"/>
      <w:bookmarkEnd w:id="30"/>
      <w:bookmarkEnd w:id="31"/>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将1台桩-桶复合基础风机作为典型监测机位。</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对于桩-桶复合基础风机，设置的监测项目包括：倾斜监测、振动监测、钢板应力监测及腐蚀监测。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具体的监测项目汇总见表</w:t>
      </w:r>
      <w:r>
        <w:rPr>
          <w:rFonts w:hint="eastAsia" w:ascii="Times New Roman" w:hAnsi="Times New Roman" w:eastAsia="宋体" w:cs="Times New Roman"/>
          <w:sz w:val="28"/>
          <w:szCs w:val="28"/>
          <w:lang w:val="en-US" w:eastAsia="zh-CN"/>
        </w:rPr>
        <w:t>3.2-1</w:t>
      </w:r>
      <w:r>
        <w:rPr>
          <w:rFonts w:hint="default" w:ascii="Times New Roman" w:hAnsi="Times New Roman" w:eastAsia="宋体" w:cs="Times New Roman"/>
          <w:sz w:val="28"/>
          <w:szCs w:val="28"/>
        </w:rPr>
        <w:t>。</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3.2.1 </w:t>
      </w:r>
      <w:r>
        <w:rPr>
          <w:rFonts w:hint="default" w:ascii="Times New Roman" w:hAnsi="Times New Roman" w:eastAsia="宋体" w:cs="Times New Roman"/>
          <w:sz w:val="28"/>
          <w:szCs w:val="28"/>
        </w:rPr>
        <w:t>倾斜监测</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在风机的基础顶部和塔筒顶部各布置1套双轴倾角计（水平X、Y向），通过监测结构的倾角，推算出结构的变位，从而了解风机基础的倾斜情况，共计2套双轴倾角仪。</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3.2.2 </w:t>
      </w:r>
      <w:r>
        <w:rPr>
          <w:rFonts w:hint="default" w:ascii="Times New Roman" w:hAnsi="Times New Roman" w:eastAsia="宋体" w:cs="Times New Roman"/>
          <w:sz w:val="28"/>
          <w:szCs w:val="28"/>
        </w:rPr>
        <w:t>振动监测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在1台典型监测机位基础顶部和塔筒顶部布置5套二向加速度计，以监测塔筒整体的振动加速度情况，共计5套。</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3.2.3 </w:t>
      </w:r>
      <w:r>
        <w:rPr>
          <w:rFonts w:hint="default" w:ascii="Times New Roman" w:hAnsi="Times New Roman" w:eastAsia="宋体" w:cs="Times New Roman"/>
          <w:sz w:val="28"/>
          <w:szCs w:val="28"/>
        </w:rPr>
        <w:t>钢板应力监测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在1台典型监测机位单桩基础桩顶附近内表面对称布置4支钢板应力计，以监测桩基础顶关键节点处钢结构应力应变情况，共计布置4支钢板应力计。</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3.2.4 </w:t>
      </w:r>
      <w:r>
        <w:rPr>
          <w:rFonts w:hint="default" w:ascii="Times New Roman" w:hAnsi="Times New Roman" w:eastAsia="宋体" w:cs="Times New Roman"/>
          <w:sz w:val="28"/>
          <w:szCs w:val="28"/>
        </w:rPr>
        <w:t>腐蚀电位监测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在1台典型机位的基础上各布置2个腐蚀电位测点，测点外套笼电缆管海平面-4.5米高程（1个测点）、外套笼电缆管海平面-1.5米高程（1个测点），共计2个腐蚀电位测点。</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表</w:t>
      </w:r>
      <w:r>
        <w:rPr>
          <w:rFonts w:hint="eastAsia" w:ascii="Times New Roman" w:hAnsi="Times New Roman" w:eastAsia="宋体" w:cs="Times New Roman"/>
          <w:sz w:val="28"/>
          <w:szCs w:val="28"/>
          <w:lang w:val="en-US" w:eastAsia="zh-CN"/>
        </w:rPr>
        <w:t xml:space="preserve">3.2-1 </w:t>
      </w:r>
      <w:r>
        <w:rPr>
          <w:rFonts w:hint="default" w:ascii="Times New Roman" w:hAnsi="Times New Roman" w:eastAsia="宋体" w:cs="Times New Roman"/>
          <w:sz w:val="28"/>
          <w:szCs w:val="28"/>
        </w:rPr>
        <w:t>桩-桶复合基础风机监测项目</w:t>
      </w:r>
    </w:p>
    <w:tbl>
      <w:tblPr>
        <w:tblStyle w:val="9"/>
        <w:tblW w:w="85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1"/>
        <w:gridCol w:w="1532"/>
        <w:gridCol w:w="1405"/>
        <w:gridCol w:w="1396"/>
        <w:gridCol w:w="1337"/>
        <w:gridCol w:w="13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511"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监测项目</w:t>
            </w:r>
          </w:p>
        </w:tc>
        <w:tc>
          <w:tcPr>
            <w:tcW w:w="1532"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监测仪器</w:t>
            </w:r>
          </w:p>
        </w:tc>
        <w:tc>
          <w:tcPr>
            <w:tcW w:w="1405"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测点编号</w:t>
            </w:r>
          </w:p>
        </w:tc>
        <w:tc>
          <w:tcPr>
            <w:tcW w:w="1396"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测点数量</w:t>
            </w:r>
          </w:p>
        </w:tc>
        <w:tc>
          <w:tcPr>
            <w:tcW w:w="1337"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厂家型号</w:t>
            </w:r>
          </w:p>
        </w:tc>
        <w:tc>
          <w:tcPr>
            <w:tcW w:w="1337" w:type="dxa"/>
            <w:noWrap w:val="0"/>
            <w:vAlign w:val="center"/>
          </w:tcPr>
          <w:p>
            <w:pPr>
              <w:pStyle w:val="13"/>
              <w:spacing w:line="480" w:lineRule="auto"/>
              <w:rPr>
                <w:rFonts w:hint="eastAsia" w:ascii="黑体" w:hAnsi="黑体" w:eastAsia="黑体" w:cs="黑体"/>
              </w:rPr>
            </w:pPr>
            <w:r>
              <w:rPr>
                <w:rFonts w:hint="eastAsia" w:ascii="黑体" w:hAnsi="黑体" w:eastAsia="黑体" w:cs="黑体"/>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1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倾斜</w:t>
            </w:r>
          </w:p>
        </w:tc>
        <w:tc>
          <w:tcPr>
            <w:tcW w:w="153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双向倾角仪</w:t>
            </w:r>
          </w:p>
        </w:tc>
        <w:tc>
          <w:tcPr>
            <w:tcW w:w="1405"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CLx-1、CLx-2</w:t>
            </w:r>
          </w:p>
        </w:tc>
        <w:tc>
          <w:tcPr>
            <w:tcW w:w="1396"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2×1=2台</w:t>
            </w:r>
          </w:p>
        </w:tc>
        <w:tc>
          <w:tcPr>
            <w:tcW w:w="1337"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浙江华东HDCLB-02</w:t>
            </w:r>
          </w:p>
        </w:tc>
        <w:tc>
          <w:tcPr>
            <w:tcW w:w="133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振动</w:t>
            </w:r>
          </w:p>
        </w:tc>
        <w:tc>
          <w:tcPr>
            <w:tcW w:w="153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二向加速度计</w:t>
            </w:r>
          </w:p>
        </w:tc>
        <w:tc>
          <w:tcPr>
            <w:tcW w:w="1405"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ATx-1~ATx-5</w:t>
            </w:r>
          </w:p>
        </w:tc>
        <w:tc>
          <w:tcPr>
            <w:tcW w:w="1396"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5×1=5台</w:t>
            </w:r>
          </w:p>
        </w:tc>
        <w:tc>
          <w:tcPr>
            <w:tcW w:w="1337"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浙江华东HDATB-02</w:t>
            </w:r>
          </w:p>
        </w:tc>
        <w:tc>
          <w:tcPr>
            <w:tcW w:w="133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钢板应力</w:t>
            </w:r>
          </w:p>
        </w:tc>
        <w:tc>
          <w:tcPr>
            <w:tcW w:w="153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钢板应力计</w:t>
            </w:r>
          </w:p>
        </w:tc>
        <w:tc>
          <w:tcPr>
            <w:tcW w:w="1405"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Cx-1~Cx-4</w:t>
            </w:r>
          </w:p>
        </w:tc>
        <w:tc>
          <w:tcPr>
            <w:tcW w:w="1396"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4×1=4支</w:t>
            </w:r>
          </w:p>
        </w:tc>
        <w:tc>
          <w:tcPr>
            <w:tcW w:w="1337" w:type="dxa"/>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rPr>
            </w:pPr>
            <w:r>
              <w:rPr>
                <w:rFonts w:hint="default" w:ascii="Times New Roman" w:hAnsi="Times New Roman" w:eastAsia="宋体" w:cs="Times New Roman"/>
              </w:rPr>
              <w:t>南京水文所SXB-15</w:t>
            </w:r>
          </w:p>
        </w:tc>
        <w:tc>
          <w:tcPr>
            <w:tcW w:w="133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1"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腐蚀电位</w:t>
            </w:r>
          </w:p>
        </w:tc>
        <w:tc>
          <w:tcPr>
            <w:tcW w:w="1532"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参比电极</w:t>
            </w:r>
          </w:p>
        </w:tc>
        <w:tc>
          <w:tcPr>
            <w:tcW w:w="1405"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FSx-1~2</w:t>
            </w:r>
          </w:p>
        </w:tc>
        <w:tc>
          <w:tcPr>
            <w:tcW w:w="1396"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2个</w:t>
            </w:r>
          </w:p>
        </w:tc>
        <w:tc>
          <w:tcPr>
            <w:tcW w:w="133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上海辰建</w:t>
            </w:r>
          </w:p>
        </w:tc>
        <w:tc>
          <w:tcPr>
            <w:tcW w:w="1337" w:type="dxa"/>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1次/小时</w:t>
            </w:r>
          </w:p>
        </w:tc>
      </w:tr>
    </w:tbl>
    <w:p>
      <w:pPr>
        <w:pStyle w:val="13"/>
        <w:keepNext w:val="0"/>
        <w:keepLines w:val="0"/>
        <w:pageBreakBefore w:val="0"/>
        <w:widowControl/>
        <w:kinsoku/>
        <w:wordWrap/>
        <w:overflowPunct/>
        <w:topLinePunct w:val="0"/>
        <w:autoSpaceDE/>
        <w:autoSpaceDN/>
        <w:bidi w:val="0"/>
        <w:adjustRightInd/>
        <w:snapToGrid/>
        <w:spacing w:before="72" w:after="72" w:line="240" w:lineRule="exact"/>
        <w:jc w:val="left"/>
        <w:textAlignment w:val="auto"/>
        <w:rPr>
          <w:rFonts w:hint="default" w:ascii="Times New Roman" w:hAnsi="Times New Roman" w:eastAsia="宋体" w:cs="Times New Roman"/>
        </w:rPr>
      </w:pPr>
      <w:r>
        <w:rPr>
          <w:rFonts w:hint="default" w:ascii="Times New Roman" w:hAnsi="Times New Roman" w:eastAsia="宋体" w:cs="Times New Roman"/>
        </w:rPr>
        <w:t>注：1、典型监测风机具体为11#；</w:t>
      </w:r>
    </w:p>
    <w:p>
      <w:pPr>
        <w:pStyle w:val="13"/>
        <w:keepNext w:val="0"/>
        <w:keepLines w:val="0"/>
        <w:pageBreakBefore w:val="0"/>
        <w:widowControl/>
        <w:kinsoku/>
        <w:wordWrap/>
        <w:overflowPunct/>
        <w:topLinePunct w:val="0"/>
        <w:autoSpaceDE/>
        <w:autoSpaceDN/>
        <w:bidi w:val="0"/>
        <w:adjustRightInd/>
        <w:snapToGrid/>
        <w:spacing w:before="72" w:after="72" w:line="240" w:lineRule="exact"/>
        <w:jc w:val="left"/>
        <w:textAlignment w:val="auto"/>
        <w:rPr>
          <w:rFonts w:hint="default" w:ascii="Times New Roman" w:hAnsi="Times New Roman" w:eastAsia="宋体" w:cs="Times New Roman"/>
          <w:sz w:val="28"/>
          <w:szCs w:val="28"/>
        </w:rPr>
      </w:pPr>
      <w:r>
        <w:rPr>
          <w:rFonts w:hint="default" w:ascii="Times New Roman" w:hAnsi="Times New Roman" w:eastAsia="宋体" w:cs="Times New Roman"/>
          <w:lang w:val="en-US" w:eastAsia="zh-CN"/>
        </w:rPr>
        <w:t>2、</w:t>
      </w:r>
      <w:r>
        <w:rPr>
          <w:rFonts w:hint="default" w:ascii="Times New Roman" w:hAnsi="Times New Roman" w:eastAsia="宋体" w:cs="Times New Roman"/>
        </w:rPr>
        <w:t>测点编号中“x”为风机号。</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32" w:name="_Toc170900551"/>
      <w:bookmarkStart w:id="33" w:name="_Toc26840"/>
      <w:bookmarkStart w:id="34" w:name="_Toc17988"/>
      <w:r>
        <w:rPr>
          <w:rFonts w:hint="eastAsia" w:ascii="黑体" w:hAnsi="黑体" w:eastAsia="黑体" w:cs="黑体"/>
          <w:sz w:val="28"/>
          <w:szCs w:val="28"/>
          <w:lang w:val="en-US" w:eastAsia="zh-CN"/>
        </w:rPr>
        <w:t>3.3 海上升压站监测</w:t>
      </w:r>
      <w:bookmarkEnd w:id="32"/>
      <w:bookmarkEnd w:id="33"/>
      <w:bookmarkEnd w:id="34"/>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本工程海上升压站基础为四桩导管架基础，设置的主要监测项目有：不均匀沉降、倾斜监测、振动监测、应力应变监测以及腐蚀监测等。海上升压站的监测项目汇总见表</w:t>
      </w:r>
      <w:r>
        <w:rPr>
          <w:rFonts w:hint="eastAsia" w:ascii="Times New Roman" w:hAnsi="Times New Roman" w:eastAsia="宋体" w:cs="Times New Roman"/>
          <w:sz w:val="28"/>
          <w:szCs w:val="28"/>
          <w:lang w:val="en-US" w:eastAsia="zh-CN"/>
        </w:rPr>
        <w:t>3.3-1</w:t>
      </w:r>
      <w:r>
        <w:rPr>
          <w:rFonts w:hint="default" w:ascii="Times New Roman" w:hAnsi="Times New Roman" w:eastAsia="宋体" w:cs="Times New Roman"/>
          <w:sz w:val="28"/>
          <w:szCs w:val="28"/>
        </w:rPr>
        <w:t>。</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3.3.1 </w:t>
      </w:r>
      <w:r>
        <w:rPr>
          <w:rFonts w:hint="default" w:ascii="Times New Roman" w:hAnsi="Times New Roman" w:eastAsia="宋体" w:cs="Times New Roman"/>
          <w:sz w:val="28"/>
          <w:szCs w:val="28"/>
        </w:rPr>
        <w:t>不均匀沉降监测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在海上升压站一层平台上布置4套静力水准点，以监测海上升压站整体结构不均匀沉降情况。</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3.3.2 </w:t>
      </w:r>
      <w:r>
        <w:rPr>
          <w:rFonts w:hint="default" w:ascii="Times New Roman" w:hAnsi="Times New Roman" w:eastAsia="宋体" w:cs="Times New Roman"/>
          <w:sz w:val="28"/>
          <w:szCs w:val="28"/>
        </w:rPr>
        <w:t>倾斜监测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在海上升压站上部组块的底层和三层平台各立柱上各布置4套双轴倾角仪，进行海上升压站运行期倾斜（水平X、Y向）监测，共计布置8套双轴倾角仪。</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3.3.3 </w:t>
      </w:r>
      <w:r>
        <w:rPr>
          <w:rFonts w:hint="default" w:ascii="Times New Roman" w:hAnsi="Times New Roman" w:eastAsia="宋体" w:cs="Times New Roman"/>
          <w:sz w:val="28"/>
          <w:szCs w:val="28"/>
        </w:rPr>
        <w:t>振动监测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在海上升压站上部组块的底层和三层平台各立柱上各布置4套三向加速度计，以监测升压站平台的振动加速度情况。以上共计布置8套三向加速度计。</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3.3.4 </w:t>
      </w:r>
      <w:r>
        <w:rPr>
          <w:rFonts w:hint="default" w:ascii="Times New Roman" w:hAnsi="Times New Roman" w:eastAsia="宋体" w:cs="Times New Roman"/>
          <w:sz w:val="28"/>
          <w:szCs w:val="28"/>
        </w:rPr>
        <w:t>钢板应力监测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在升压站导管架主要的斜撑、主腿、主立柱等部位设置钢板应力计，监测结构应力，共计布置钢板应力计16支。</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 xml:space="preserve">3.3.5 </w:t>
      </w:r>
      <w:r>
        <w:rPr>
          <w:rFonts w:hint="default" w:ascii="Times New Roman" w:hAnsi="Times New Roman" w:eastAsia="宋体" w:cs="Times New Roman"/>
          <w:sz w:val="28"/>
          <w:szCs w:val="28"/>
        </w:rPr>
        <w:t>腐蚀监测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在海上升压站导管架基础布置2个腐蚀电位测点。</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表</w:t>
      </w:r>
      <w:r>
        <w:rPr>
          <w:rFonts w:hint="eastAsia" w:ascii="Times New Roman" w:hAnsi="Times New Roman" w:eastAsia="宋体" w:cs="Times New Roman"/>
          <w:sz w:val="28"/>
          <w:szCs w:val="28"/>
          <w:lang w:val="en-US" w:eastAsia="zh-CN"/>
        </w:rPr>
        <w:t xml:space="preserve">3.3-1 </w:t>
      </w:r>
      <w:r>
        <w:rPr>
          <w:rFonts w:hint="default" w:ascii="Times New Roman" w:hAnsi="Times New Roman" w:eastAsia="宋体" w:cs="Times New Roman"/>
          <w:sz w:val="28"/>
          <w:szCs w:val="28"/>
        </w:rPr>
        <w:t>海上升压站监测项目</w:t>
      </w:r>
    </w:p>
    <w:tbl>
      <w:tblPr>
        <w:tblStyle w:val="9"/>
        <w:tblW w:w="50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6"/>
        <w:gridCol w:w="1455"/>
        <w:gridCol w:w="1590"/>
        <w:gridCol w:w="1015"/>
        <w:gridCol w:w="2072"/>
        <w:gridCol w:w="12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725" w:type="pct"/>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rPr>
              <w:t>监测项目</w:t>
            </w:r>
          </w:p>
        </w:tc>
        <w:tc>
          <w:tcPr>
            <w:tcW w:w="840" w:type="pct"/>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rPr>
              <w:t>监测仪器</w:t>
            </w:r>
          </w:p>
        </w:tc>
        <w:tc>
          <w:tcPr>
            <w:tcW w:w="918" w:type="pct"/>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rPr>
              <w:t>测点编号</w:t>
            </w:r>
          </w:p>
        </w:tc>
        <w:tc>
          <w:tcPr>
            <w:tcW w:w="586" w:type="pct"/>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rPr>
              <w:t>测点数量</w:t>
            </w:r>
          </w:p>
        </w:tc>
        <w:tc>
          <w:tcPr>
            <w:tcW w:w="1196" w:type="pct"/>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rPr>
              <w:t>厂家型号</w:t>
            </w:r>
          </w:p>
        </w:tc>
        <w:tc>
          <w:tcPr>
            <w:tcW w:w="731" w:type="pct"/>
            <w:noWrap w:val="0"/>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5"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不均匀降</w:t>
            </w:r>
          </w:p>
        </w:tc>
        <w:tc>
          <w:tcPr>
            <w:tcW w:w="840"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静力水准仪</w:t>
            </w:r>
          </w:p>
        </w:tc>
        <w:tc>
          <w:tcPr>
            <w:tcW w:w="918"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JLsy-1~JLsy-4</w:t>
            </w:r>
          </w:p>
        </w:tc>
        <w:tc>
          <w:tcPr>
            <w:tcW w:w="58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4个</w:t>
            </w:r>
          </w:p>
        </w:tc>
        <w:tc>
          <w:tcPr>
            <w:tcW w:w="119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南京水文所SYJ-150</w:t>
            </w:r>
          </w:p>
        </w:tc>
        <w:tc>
          <w:tcPr>
            <w:tcW w:w="731"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1次/1小时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5"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倾斜</w:t>
            </w:r>
          </w:p>
        </w:tc>
        <w:tc>
          <w:tcPr>
            <w:tcW w:w="840"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双向倾角仪</w:t>
            </w:r>
          </w:p>
        </w:tc>
        <w:tc>
          <w:tcPr>
            <w:tcW w:w="918"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CLsy-1~CLsy-8</w:t>
            </w:r>
          </w:p>
        </w:tc>
        <w:tc>
          <w:tcPr>
            <w:tcW w:w="58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8台</w:t>
            </w:r>
          </w:p>
        </w:tc>
        <w:tc>
          <w:tcPr>
            <w:tcW w:w="119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浙江华HDCLB-02</w:t>
            </w:r>
          </w:p>
        </w:tc>
        <w:tc>
          <w:tcPr>
            <w:tcW w:w="731"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725"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振动</w:t>
            </w:r>
          </w:p>
        </w:tc>
        <w:tc>
          <w:tcPr>
            <w:tcW w:w="840"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三向加速计</w:t>
            </w:r>
          </w:p>
        </w:tc>
        <w:tc>
          <w:tcPr>
            <w:tcW w:w="918"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ATsy-1~ATsy-8</w:t>
            </w:r>
          </w:p>
        </w:tc>
        <w:tc>
          <w:tcPr>
            <w:tcW w:w="58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8台</w:t>
            </w:r>
          </w:p>
        </w:tc>
        <w:tc>
          <w:tcPr>
            <w:tcW w:w="119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浙江华东HDATB-03</w:t>
            </w:r>
          </w:p>
        </w:tc>
        <w:tc>
          <w:tcPr>
            <w:tcW w:w="731"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5"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钢板应力</w:t>
            </w:r>
          </w:p>
        </w:tc>
        <w:tc>
          <w:tcPr>
            <w:tcW w:w="840"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钢板计</w:t>
            </w:r>
          </w:p>
        </w:tc>
        <w:tc>
          <w:tcPr>
            <w:tcW w:w="918"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Csy-1~Csy-16</w:t>
            </w:r>
          </w:p>
        </w:tc>
        <w:tc>
          <w:tcPr>
            <w:tcW w:w="58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16支</w:t>
            </w:r>
          </w:p>
        </w:tc>
        <w:tc>
          <w:tcPr>
            <w:tcW w:w="119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南京水文所SXB-15</w:t>
            </w:r>
          </w:p>
        </w:tc>
        <w:tc>
          <w:tcPr>
            <w:tcW w:w="731"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1次/1小时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5"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腐蚀电位</w:t>
            </w:r>
          </w:p>
        </w:tc>
        <w:tc>
          <w:tcPr>
            <w:tcW w:w="840"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参比电极</w:t>
            </w:r>
          </w:p>
        </w:tc>
        <w:tc>
          <w:tcPr>
            <w:tcW w:w="918"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FSsy-1~FSsy-2</w:t>
            </w:r>
          </w:p>
        </w:tc>
        <w:tc>
          <w:tcPr>
            <w:tcW w:w="58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2个</w:t>
            </w:r>
          </w:p>
        </w:tc>
        <w:tc>
          <w:tcPr>
            <w:tcW w:w="1196"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上海辰建</w:t>
            </w:r>
          </w:p>
        </w:tc>
        <w:tc>
          <w:tcPr>
            <w:tcW w:w="731" w:type="pct"/>
            <w:noWrap w:val="0"/>
            <w:vAlign w:val="center"/>
          </w:tcPr>
          <w:p>
            <w:pPr>
              <w:pStyle w:val="13"/>
              <w:spacing w:line="480" w:lineRule="auto"/>
              <w:rPr>
                <w:rFonts w:hint="default" w:ascii="Times New Roman" w:hAnsi="Times New Roman" w:eastAsia="宋体" w:cs="Times New Roman"/>
              </w:rPr>
            </w:pPr>
            <w:r>
              <w:rPr>
                <w:rFonts w:hint="default" w:ascii="Times New Roman" w:hAnsi="Times New Roman" w:eastAsia="宋体" w:cs="Times New Roman"/>
              </w:rPr>
              <w:t>1次/1小时</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35" w:name="_Toc8463"/>
      <w:bookmarkStart w:id="36" w:name="_Toc21085"/>
      <w:r>
        <w:rPr>
          <w:rFonts w:hint="eastAsia" w:ascii="黑体" w:hAnsi="黑体" w:eastAsia="黑体" w:cs="黑体"/>
          <w:sz w:val="28"/>
          <w:szCs w:val="28"/>
          <w:lang w:val="en-US" w:eastAsia="zh-CN"/>
        </w:rPr>
        <w:t>3.4 动态监测系统</w:t>
      </w:r>
      <w:bookmarkEnd w:id="35"/>
      <w:bookmarkEnd w:id="36"/>
    </w:p>
    <w:p>
      <w:pPr>
        <w:keepNext w:val="0"/>
        <w:keepLines w:val="0"/>
        <w:pageBreakBefore w:val="0"/>
        <w:widowControl/>
        <w:kinsoku w:val="0"/>
        <w:wordWrap/>
        <w:overflowPunct/>
        <w:topLinePunct w:val="0"/>
        <w:autoSpaceDE w:val="0"/>
        <w:autoSpaceDN w:val="0"/>
        <w:bidi w:val="0"/>
        <w:adjustRightInd w:val="0"/>
        <w:snapToGrid w:val="0"/>
        <w:spacing w:line="560" w:lineRule="exact"/>
        <w:ind w:left="559" w:leftChars="266" w:firstLine="0" w:firstLineChars="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rPr>
        <w:t>动态监测系统由加速度计、倾角仪及其采集器和监测软件组成。</w:t>
      </w:r>
      <w:r>
        <w:rPr>
          <w:rFonts w:hint="eastAsia" w:ascii="Times New Roman" w:hAnsi="Times New Roman" w:eastAsia="宋体" w:cs="Times New Roman"/>
          <w:sz w:val="28"/>
          <w:szCs w:val="28"/>
          <w:lang w:val="en-US" w:eastAsia="zh-CN"/>
        </w:rPr>
        <w:t xml:space="preserve">3.4.1 </w:t>
      </w:r>
      <w:r>
        <w:rPr>
          <w:rFonts w:hint="default" w:ascii="Times New Roman" w:hAnsi="Times New Roman" w:eastAsia="宋体" w:cs="Times New Roman"/>
          <w:sz w:val="28"/>
          <w:szCs w:val="28"/>
          <w:lang w:val="en-US" w:eastAsia="zh-CN"/>
        </w:rPr>
        <w:t>振动监测系统</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如图</w:t>
      </w:r>
      <w:r>
        <w:rPr>
          <w:rFonts w:hint="eastAsia" w:ascii="Times New Roman" w:hAnsi="Times New Roman" w:eastAsia="宋体" w:cs="Times New Roman"/>
          <w:sz w:val="28"/>
          <w:szCs w:val="28"/>
          <w:lang w:val="en-US" w:eastAsia="zh-CN"/>
        </w:rPr>
        <w:t>3.4-1</w:t>
      </w:r>
      <w:r>
        <w:rPr>
          <w:rFonts w:hint="default" w:ascii="Times New Roman" w:hAnsi="Times New Roman" w:eastAsia="宋体" w:cs="Times New Roman"/>
          <w:sz w:val="28"/>
          <w:szCs w:val="28"/>
        </w:rPr>
        <w:t>所示，振动监测系统由加速度计及其采集器组成，是用于监测风机和升压站结构振动频率及振动加速度的设备，通过此设备可实时监测风机和升压站结构振动频率和加速度大小以及螺栓松动情况，进而分析结构的刚度或约束条件的变化情况。振动监测系统可同时兼容两分量和三分量加速度传感器，采样速率可达到120Hz,可采用软件触发和可编程定时器触发采集，采样定时精度高，通过嵌入式系统软件开发，可以根据现场需要设置各种采集参数，具有在线多通道实时数据动态监测和脱机数据存储与分析等功能。</w:t>
      </w:r>
    </w:p>
    <w:p>
      <w:pPr>
        <w:keepNext w:val="0"/>
        <w:keepLines w:val="0"/>
        <w:pageBreakBefore w:val="0"/>
        <w:widowControl/>
        <w:kinsoku w:val="0"/>
        <w:wordWrap/>
        <w:overflowPunct/>
        <w:topLinePunct w:val="0"/>
        <w:autoSpaceDE w:val="0"/>
        <w:autoSpaceDN w:val="0"/>
        <w:bidi w:val="0"/>
        <w:adjustRightInd w:val="0"/>
        <w:snapToGrid w:val="0"/>
        <w:spacing w:before="255" w:line="480" w:lineRule="auto"/>
        <w:jc w:val="both"/>
        <w:textAlignment w:val="baseline"/>
        <w:outlineLvl w:val="9"/>
        <w:rPr>
          <w:rFonts w:hint="default" w:ascii="Times New Roman" w:hAnsi="Times New Roman" w:eastAsia="宋体" w:cs="Times New Roman"/>
          <w:b/>
          <w:bCs/>
          <w:spacing w:val="-18"/>
          <w:sz w:val="28"/>
          <w:szCs w:val="28"/>
          <w:lang w:val="en-US" w:eastAsia="zh-CN"/>
        </w:rPr>
      </w:pPr>
      <w:r>
        <w:rPr>
          <w:rFonts w:hint="default" w:ascii="Times New Roman" w:hAnsi="Times New Roman" w:eastAsia="宋体" w:cs="Times New Roman"/>
        </w:rPr>
        <w:drawing>
          <wp:inline distT="0" distB="0" distL="114300" distR="114300">
            <wp:extent cx="2268855" cy="1777365"/>
            <wp:effectExtent l="9525" t="9525" r="26670" b="22860"/>
            <wp:docPr id="4" name="图片 3" descr="8327d6de63a946ed6185d451822b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8327d6de63a946ed6185d451822b253"/>
                    <pic:cNvPicPr>
                      <a:picLocks noChangeAspect="1"/>
                    </pic:cNvPicPr>
                  </pic:nvPicPr>
                  <pic:blipFill>
                    <a:blip r:embed="rId8"/>
                    <a:stretch>
                      <a:fillRect/>
                    </a:stretch>
                  </pic:blipFill>
                  <pic:spPr>
                    <a:xfrm>
                      <a:off x="0" y="0"/>
                      <a:ext cx="2268855" cy="1777365"/>
                    </a:xfrm>
                    <a:prstGeom prst="rect">
                      <a:avLst/>
                    </a:prstGeom>
                    <a:ln>
                      <a:solidFill>
                        <a:schemeClr val="accent1"/>
                      </a:solidFill>
                    </a:ln>
                  </pic:spPr>
                </pic:pic>
              </a:graphicData>
            </a:graphic>
          </wp:inline>
        </w:drawing>
      </w:r>
      <w:r>
        <w:rPr>
          <w:rFonts w:hint="default" w:ascii="Times New Roman" w:hAnsi="Times New Roman" w:eastAsia="宋体" w:cs="Times New Roman"/>
        </w:rPr>
        <w:drawing>
          <wp:inline distT="0" distB="0" distL="114300" distR="114300">
            <wp:extent cx="2715895" cy="2002790"/>
            <wp:effectExtent l="9525" t="9525" r="17780" b="260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tretch>
                      <a:fillRect/>
                    </a:stretch>
                  </pic:blipFill>
                  <pic:spPr>
                    <a:xfrm>
                      <a:off x="0" y="0"/>
                      <a:ext cx="2715895" cy="2002790"/>
                    </a:xfrm>
                    <a:prstGeom prst="rect">
                      <a:avLst/>
                    </a:prstGeom>
                    <a:ln>
                      <a:solidFill>
                        <a:schemeClr val="accent1"/>
                      </a:solidFill>
                    </a:ln>
                  </pic:spPr>
                </pic:pic>
              </a:graphicData>
            </a:graphic>
          </wp:inline>
        </w:drawing>
      </w:r>
    </w:p>
    <w:p>
      <w:pPr>
        <w:pStyle w:val="14"/>
        <w:keepNext w:val="0"/>
        <w:keepLines w:val="0"/>
        <w:pageBreakBefore w:val="0"/>
        <w:widowControl/>
        <w:wordWrap/>
        <w:overflowPunct/>
        <w:topLinePunct w:val="0"/>
        <w:bidi w:val="0"/>
        <w:spacing w:line="560" w:lineRule="exact"/>
        <w:jc w:val="center"/>
        <w:rPr>
          <w:rFonts w:hint="default" w:ascii="Times New Roman" w:hAnsi="Times New Roman" w:eastAsia="宋体" w:cs="Times New Roman"/>
          <w:spacing w:val="-9"/>
          <w:sz w:val="28"/>
          <w:szCs w:val="28"/>
        </w:rPr>
      </w:pPr>
      <w:r>
        <w:rPr>
          <w:rFonts w:hint="default" w:ascii="Times New Roman" w:hAnsi="Times New Roman" w:eastAsia="宋体" w:cs="Times New Roman"/>
          <w:sz w:val="28"/>
          <w:szCs w:val="28"/>
        </w:rPr>
        <w:t>图</w:t>
      </w:r>
      <w:r>
        <w:rPr>
          <w:rFonts w:hint="eastAsia" w:eastAsia="宋体" w:cs="Times New Roman"/>
          <w:sz w:val="28"/>
          <w:szCs w:val="28"/>
          <w:lang w:val="en-US" w:eastAsia="zh-CN"/>
        </w:rPr>
        <w:t xml:space="preserve">3.4-1 </w:t>
      </w:r>
      <w:r>
        <w:rPr>
          <w:rFonts w:hint="default" w:ascii="Times New Roman" w:hAnsi="Times New Roman" w:eastAsia="宋体" w:cs="Times New Roman"/>
          <w:sz w:val="28"/>
          <w:szCs w:val="28"/>
        </w:rPr>
        <w:t>加速度计(左图)及采集器(右图)</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浙能台州1号海上风电项目</w:t>
      </w:r>
      <w:r>
        <w:rPr>
          <w:rFonts w:hint="default" w:ascii="Times New Roman" w:hAnsi="Times New Roman" w:eastAsia="宋体" w:cs="Times New Roman"/>
          <w:sz w:val="28"/>
          <w:szCs w:val="28"/>
          <w:lang w:val="en-US" w:eastAsia="zh-CN"/>
        </w:rPr>
        <w:t>使用的加速度计是浙江华东测绘与工程安全技术有限公司生产的</w:t>
      </w:r>
      <w:r>
        <w:rPr>
          <w:rFonts w:hint="default" w:ascii="Times New Roman" w:hAnsi="Times New Roman" w:eastAsia="宋体" w:cs="Times New Roman"/>
          <w:sz w:val="28"/>
          <w:szCs w:val="28"/>
          <w:lang w:eastAsia="zh-CN"/>
        </w:rPr>
        <w:t>HDATB</w:t>
      </w:r>
      <w:r>
        <w:rPr>
          <w:rFonts w:hint="default" w:ascii="Times New Roman" w:hAnsi="Times New Roman" w:eastAsia="宋体" w:cs="Times New Roman"/>
          <w:sz w:val="28"/>
          <w:szCs w:val="28"/>
          <w:lang w:val="en-US" w:eastAsia="zh-CN"/>
        </w:rPr>
        <w:t>型加速度计，使用的采集器是浙江华东测绘与工程安全技术有限公司生产的</w:t>
      </w:r>
      <w:r>
        <w:rPr>
          <w:rFonts w:hint="default" w:ascii="Times New Roman" w:hAnsi="Times New Roman" w:eastAsia="宋体" w:cs="Times New Roman"/>
          <w:sz w:val="28"/>
          <w:szCs w:val="28"/>
        </w:rPr>
        <w:t>HDDAB</w:t>
      </w:r>
      <w:r>
        <w:rPr>
          <w:rFonts w:hint="default" w:ascii="Times New Roman" w:hAnsi="Times New Roman" w:eastAsia="宋体" w:cs="Times New Roman"/>
          <w:sz w:val="28"/>
          <w:szCs w:val="28"/>
          <w:lang w:val="en-US" w:eastAsia="zh-CN"/>
        </w:rPr>
        <w:t>型动态传感器采集仪，传感器及采集器主要技术指标分别如表</w:t>
      </w:r>
      <w:r>
        <w:rPr>
          <w:rFonts w:hint="eastAsia" w:ascii="Times New Roman" w:hAnsi="Times New Roman" w:eastAsia="宋体" w:cs="Times New Roman"/>
          <w:sz w:val="28"/>
          <w:szCs w:val="28"/>
          <w:lang w:val="en-US" w:eastAsia="zh-CN"/>
        </w:rPr>
        <w:t>3.4-1</w:t>
      </w: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3.4-1</w:t>
      </w:r>
      <w:r>
        <w:rPr>
          <w:rFonts w:hint="default" w:ascii="Times New Roman" w:hAnsi="Times New Roman" w:eastAsia="宋体" w:cs="Times New Roman"/>
          <w:sz w:val="28"/>
          <w:szCs w:val="28"/>
          <w:lang w:val="en-US" w:eastAsia="zh-CN"/>
        </w:rPr>
        <w:t>所示。</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 xml:space="preserve">3.4-1 </w:t>
      </w:r>
      <w:r>
        <w:rPr>
          <w:rFonts w:hint="default" w:ascii="Times New Roman" w:hAnsi="Times New Roman" w:eastAsia="宋体" w:cs="Times New Roman"/>
          <w:sz w:val="28"/>
          <w:szCs w:val="28"/>
          <w:lang w:val="en-US" w:eastAsia="zh-CN"/>
        </w:rPr>
        <w:t>加速度计主要技术指标</w:t>
      </w:r>
    </w:p>
    <w:tbl>
      <w:tblPr>
        <w:tblStyle w:val="9"/>
        <w:tblW w:w="493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57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黑体" w:hAnsi="黑体" w:eastAsia="黑体" w:cs="黑体"/>
              </w:rPr>
            </w:pPr>
            <w:r>
              <w:rPr>
                <w:rFonts w:hint="default" w:ascii="黑体" w:hAnsi="黑体" w:eastAsia="黑体" w:cs="黑体"/>
              </w:rPr>
              <w:t>指标名称</w:t>
            </w:r>
          </w:p>
        </w:tc>
        <w:tc>
          <w:tcPr>
            <w:tcW w:w="3417" w:type="pct"/>
            <w:tcBorders>
              <w:top w:val="single" w:color="auto" w:sz="4" w:space="0"/>
            </w:tcBorders>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黑体" w:hAnsi="黑体" w:eastAsia="黑体" w:cs="黑体"/>
              </w:rPr>
            </w:pPr>
            <w:r>
              <w:rPr>
                <w:rFonts w:hint="default" w:ascii="黑体" w:hAnsi="黑体" w:eastAsia="黑体" w:cs="黑体"/>
              </w:rPr>
              <w:t>技术参数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测量范围</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±2.0g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传感器原理</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动圈换能式力平衡加速度计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满量程输出</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±4</w:t>
            </w:r>
            <w:r>
              <w:rPr>
                <w:rFonts w:hint="default" w:ascii="Times New Roman" w:hAnsi="Times New Roman" w:eastAsia="宋体" w:cs="Times New Roman"/>
                <w:szCs w:val="21"/>
                <w:lang w:eastAsia="zh-Hans"/>
              </w:rPr>
              <w:t>.5</w:t>
            </w:r>
            <w:r>
              <w:rPr>
                <w:rFonts w:hint="default" w:ascii="Times New Roman" w:hAnsi="Times New Roman" w:eastAsia="宋体" w:cs="Times New Roman"/>
                <w:szCs w:val="21"/>
              </w:rPr>
              <w:t>V；单端、差分可选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加速度分辨率</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0.000002g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灵敏度</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1～3V/g，其他可定制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频率响应</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0～200Hz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动态范围</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≥120dB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线性度误差</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横向灵敏度比</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≤1 %（包括角偏差）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噪声均方根值</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≤10</w:t>
            </w:r>
            <w:r>
              <w:rPr>
                <w:rFonts w:hint="default" w:ascii="Times New Roman" w:hAnsi="Times New Roman" w:eastAsia="宋体" w:cs="Times New Roman"/>
                <w:szCs w:val="21"/>
                <w:vertAlign w:val="superscript"/>
              </w:rPr>
              <w:t>-6</w:t>
            </w:r>
            <w:r>
              <w:rPr>
                <w:rFonts w:hint="default" w:ascii="Times New Roman" w:hAnsi="Times New Roman" w:eastAsia="宋体" w:cs="Times New Roman"/>
                <w:szCs w:val="21"/>
              </w:rPr>
              <w: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防护等级</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IP68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零点漂移</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≤500ug/℃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582"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运行环境</w:t>
            </w:r>
          </w:p>
        </w:tc>
        <w:tc>
          <w:tcPr>
            <w:tcW w:w="3417" w:type="pct"/>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温度-35～+75℃</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 xml:space="preserve">3.4-2 </w:t>
      </w:r>
      <w:r>
        <w:rPr>
          <w:rFonts w:hint="default" w:ascii="Times New Roman" w:hAnsi="Times New Roman" w:eastAsia="宋体" w:cs="Times New Roman"/>
          <w:sz w:val="28"/>
          <w:szCs w:val="28"/>
          <w:lang w:val="en-US" w:eastAsia="zh-CN"/>
        </w:rPr>
        <w:t>振动监测采集器主要技术指标</w:t>
      </w:r>
    </w:p>
    <w:tbl>
      <w:tblPr>
        <w:tblStyle w:val="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652"/>
        <w:gridCol w:w="58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lang w:val="en-US" w:eastAsia="zh-CN"/>
              </w:rPr>
              <w:t>指标名称</w:t>
            </w:r>
          </w:p>
        </w:tc>
        <w:tc>
          <w:tcPr>
            <w:tcW w:w="580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13"/>
              <w:keepNext w:val="0"/>
              <w:keepLines w:val="0"/>
              <w:pageBreakBefore w:val="0"/>
              <w:widowControl/>
              <w:kinsoku/>
              <w:wordWrap/>
              <w:overflowPunct/>
              <w:topLinePunct w:val="0"/>
              <w:autoSpaceDE/>
              <w:autoSpaceDN/>
              <w:bidi w:val="0"/>
              <w:adjustRightInd/>
              <w:snapToGrid/>
              <w:spacing w:line="240" w:lineRule="exact"/>
              <w:textAlignment w:val="auto"/>
              <w:rPr>
                <w:rFonts w:hint="eastAsia" w:ascii="黑体" w:hAnsi="黑体" w:eastAsia="黑体" w:cs="黑体"/>
              </w:rPr>
            </w:pPr>
            <w:r>
              <w:rPr>
                <w:rFonts w:hint="eastAsia" w:ascii="黑体" w:hAnsi="黑体" w:eastAsia="黑体" w:cs="黑体"/>
                <w:lang w:val="en-US" w:eastAsia="zh-CN"/>
              </w:rPr>
              <w:t>技术参数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型号</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HDDAB-08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模拟信号输入通道</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8</w:t>
            </w:r>
            <w:r>
              <w:rPr>
                <w:rFonts w:hint="eastAsia" w:ascii="宋体" w:hAnsi="宋体" w:eastAsia="宋体" w:cs="宋体"/>
                <w:i w:val="0"/>
                <w:iCs w:val="0"/>
                <w:snapToGrid w:val="0"/>
                <w:color w:val="000000"/>
                <w:kern w:val="0"/>
                <w:sz w:val="21"/>
                <w:szCs w:val="21"/>
                <w:u w:val="none"/>
                <w:lang w:val="en-US" w:eastAsia="zh-CN" w:bidi="ar"/>
              </w:rPr>
              <w:t>通道（默认单端输入、支持差分输入）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输入量程及分辨率</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-10~10V/0.005mV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数字量信号输入</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w:t>
            </w:r>
            <w:r>
              <w:rPr>
                <w:rFonts w:hint="eastAsia" w:ascii="宋体" w:hAnsi="宋体" w:eastAsia="宋体" w:cs="宋体"/>
                <w:i w:val="0"/>
                <w:iCs w:val="0"/>
                <w:snapToGrid w:val="0"/>
                <w:color w:val="000000"/>
                <w:kern w:val="0"/>
                <w:sz w:val="21"/>
                <w:szCs w:val="21"/>
                <w:u w:val="none"/>
                <w:lang w:val="en-US" w:eastAsia="zh-CN" w:bidi="ar"/>
              </w:rPr>
              <w:t>组</w:t>
            </w:r>
            <w:r>
              <w:rPr>
                <w:rFonts w:hint="default" w:ascii="Times New Roman" w:hAnsi="Times New Roman" w:eastAsia="宋体" w:cs="Times New Roman"/>
                <w:i w:val="0"/>
                <w:iCs w:val="0"/>
                <w:snapToGrid w:val="0"/>
                <w:color w:val="000000"/>
                <w:kern w:val="0"/>
                <w:sz w:val="21"/>
                <w:szCs w:val="21"/>
                <w:u w:val="none"/>
                <w:lang w:val="en-US" w:eastAsia="zh-CN" w:bidi="ar"/>
              </w:rPr>
              <w:t>485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数字接口参数</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9600bps</w:t>
            </w:r>
            <w:r>
              <w:rPr>
                <w:rFonts w:hint="eastAsia" w:ascii="宋体" w:hAnsi="宋体" w:eastAsia="宋体" w:cs="宋体"/>
                <w:i w:val="0"/>
                <w:iCs w:val="0"/>
                <w:snapToGrid w:val="0"/>
                <w:color w:val="000000"/>
                <w:kern w:val="0"/>
                <w:sz w:val="21"/>
                <w:szCs w:val="21"/>
                <w:u w:val="none"/>
                <w:lang w:val="en-US" w:eastAsia="zh-CN" w:bidi="ar"/>
              </w:rPr>
              <w:t>，无校验，</w:t>
            </w:r>
            <w:r>
              <w:rPr>
                <w:rFonts w:hint="default" w:ascii="Times New Roman" w:hAnsi="Times New Roman" w:eastAsia="宋体" w:cs="Times New Roman"/>
                <w:i w:val="0"/>
                <w:iCs w:val="0"/>
                <w:snapToGrid w:val="0"/>
                <w:color w:val="000000"/>
                <w:kern w:val="0"/>
                <w:sz w:val="21"/>
                <w:szCs w:val="21"/>
                <w:u w:val="none"/>
                <w:lang w:val="en-US" w:eastAsia="zh-CN" w:bidi="ar"/>
              </w:rPr>
              <w:t>8</w:t>
            </w:r>
            <w:r>
              <w:rPr>
                <w:rFonts w:hint="eastAsia" w:ascii="宋体" w:hAnsi="宋体" w:eastAsia="宋体" w:cs="宋体"/>
                <w:i w:val="0"/>
                <w:iCs w:val="0"/>
                <w:snapToGrid w:val="0"/>
                <w:color w:val="000000"/>
                <w:kern w:val="0"/>
                <w:sz w:val="21"/>
                <w:szCs w:val="21"/>
                <w:u w:val="none"/>
                <w:lang w:val="en-US" w:eastAsia="zh-CN" w:bidi="ar"/>
              </w:rPr>
              <w:t>位数据位，</w:t>
            </w:r>
            <w:r>
              <w:rPr>
                <w:rFonts w:hint="default" w:ascii="Times New Roman" w:hAnsi="Times New Roman" w:eastAsia="宋体" w:cs="Times New Roman"/>
                <w:i w:val="0"/>
                <w:iCs w:val="0"/>
                <w:snapToGrid w:val="0"/>
                <w:color w:val="000000"/>
                <w:kern w:val="0"/>
                <w:sz w:val="21"/>
                <w:szCs w:val="21"/>
                <w:u w:val="none"/>
                <w:lang w:val="en-US" w:eastAsia="zh-CN" w:bidi="ar"/>
              </w:rPr>
              <w:t>1</w:t>
            </w:r>
            <w:r>
              <w:rPr>
                <w:rFonts w:hint="eastAsia" w:ascii="宋体" w:hAnsi="宋体" w:eastAsia="宋体" w:cs="宋体"/>
                <w:i w:val="0"/>
                <w:iCs w:val="0"/>
                <w:snapToGrid w:val="0"/>
                <w:color w:val="000000"/>
                <w:kern w:val="0"/>
                <w:sz w:val="21"/>
                <w:szCs w:val="21"/>
                <w:u w:val="none"/>
                <w:lang w:val="en-US" w:eastAsia="zh-CN" w:bidi="ar"/>
              </w:rPr>
              <w:t>位停位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采样频率</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可设置为</w:t>
            </w:r>
            <w:r>
              <w:rPr>
                <w:rFonts w:hint="default" w:ascii="Times New Roman" w:hAnsi="Times New Roman" w:eastAsia="宋体" w:cs="Times New Roman"/>
                <w:i w:val="0"/>
                <w:iCs w:val="0"/>
                <w:snapToGrid w:val="0"/>
                <w:color w:val="000000"/>
                <w:kern w:val="0"/>
                <w:sz w:val="21"/>
                <w:szCs w:val="21"/>
                <w:u w:val="none"/>
                <w:lang w:val="en-US" w:eastAsia="zh-CN" w:bidi="ar"/>
              </w:rPr>
              <w:t xml:space="preserve">1~10547Hz </w:t>
            </w:r>
            <w:r>
              <w:rPr>
                <w:rFonts w:hint="eastAsia" w:ascii="宋体" w:hAnsi="宋体" w:eastAsia="宋体" w:cs="宋体"/>
                <w:i w:val="0"/>
                <w:iCs w:val="0"/>
                <w:snapToGrid w:val="0"/>
                <w:color w:val="000000"/>
                <w:kern w:val="0"/>
                <w:sz w:val="21"/>
                <w:szCs w:val="21"/>
                <w:u w:val="none"/>
                <w:lang w:val="en-US" w:eastAsia="zh-CN" w:bidi="ar"/>
              </w:rPr>
              <w:t>（各通道完全同步）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存储容量及存储格式</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存储容量：标配</w:t>
            </w:r>
            <w:r>
              <w:rPr>
                <w:rFonts w:hint="default" w:ascii="Times New Roman" w:hAnsi="Times New Roman" w:eastAsia="宋体" w:cs="Times New Roman"/>
                <w:i w:val="0"/>
                <w:iCs w:val="0"/>
                <w:snapToGrid w:val="0"/>
                <w:color w:val="000000"/>
                <w:kern w:val="0"/>
                <w:sz w:val="21"/>
                <w:szCs w:val="21"/>
                <w:u w:val="none"/>
                <w:lang w:val="en-US" w:eastAsia="zh-CN" w:bidi="ar"/>
              </w:rPr>
              <w:t>32G SD</w:t>
            </w:r>
            <w:r>
              <w:rPr>
                <w:rFonts w:hint="eastAsia" w:ascii="宋体" w:hAnsi="宋体" w:eastAsia="宋体" w:cs="宋体"/>
                <w:i w:val="0"/>
                <w:iCs w:val="0"/>
                <w:snapToGrid w:val="0"/>
                <w:color w:val="000000"/>
                <w:kern w:val="0"/>
                <w:sz w:val="21"/>
                <w:szCs w:val="21"/>
                <w:u w:val="none"/>
                <w:lang w:val="en-US" w:eastAsia="zh-CN" w:bidi="ar"/>
              </w:rPr>
              <w:t>卡，数据存储格式：二进制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数据远程传输</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支持</w:t>
            </w:r>
            <w:r>
              <w:rPr>
                <w:rFonts w:hint="default" w:ascii="Times New Roman" w:hAnsi="Times New Roman" w:eastAsia="宋体" w:cs="Times New Roman"/>
                <w:i w:val="0"/>
                <w:iCs w:val="0"/>
                <w:snapToGrid w:val="0"/>
                <w:color w:val="000000"/>
                <w:kern w:val="0"/>
                <w:sz w:val="21"/>
                <w:szCs w:val="21"/>
                <w:u w:val="none"/>
                <w:lang w:val="en-US" w:eastAsia="zh-CN" w:bidi="ar"/>
              </w:rPr>
              <w:t>UDP</w:t>
            </w:r>
            <w:r>
              <w:rPr>
                <w:rFonts w:hint="eastAsia" w:ascii="宋体" w:hAnsi="宋体" w:eastAsia="宋体" w:cs="宋体"/>
                <w:i w:val="0"/>
                <w:iCs w:val="0"/>
                <w:snapToGrid w:val="0"/>
                <w:color w:val="000000"/>
                <w:kern w:val="0"/>
                <w:sz w:val="21"/>
                <w:szCs w:val="21"/>
                <w:u w:val="none"/>
                <w:lang w:val="en-US" w:eastAsia="zh-CN" w:bidi="ar"/>
              </w:rPr>
              <w:t>、</w:t>
            </w:r>
            <w:r>
              <w:rPr>
                <w:rFonts w:hint="default" w:ascii="Times New Roman" w:hAnsi="Times New Roman" w:eastAsia="宋体" w:cs="Times New Roman"/>
                <w:i w:val="0"/>
                <w:iCs w:val="0"/>
                <w:snapToGrid w:val="0"/>
                <w:color w:val="000000"/>
                <w:kern w:val="0"/>
                <w:sz w:val="21"/>
                <w:szCs w:val="21"/>
                <w:u w:val="none"/>
                <w:lang w:val="en-US" w:eastAsia="zh-CN" w:bidi="ar"/>
              </w:rPr>
              <w:t>TCP\IP Client</w:t>
            </w:r>
            <w:r>
              <w:rPr>
                <w:rFonts w:hint="eastAsia" w:ascii="宋体" w:hAnsi="宋体" w:eastAsia="宋体" w:cs="宋体"/>
                <w:i w:val="0"/>
                <w:iCs w:val="0"/>
                <w:snapToGrid w:val="0"/>
                <w:color w:val="000000"/>
                <w:kern w:val="0"/>
                <w:sz w:val="21"/>
                <w:szCs w:val="21"/>
                <w:u w:val="none"/>
                <w:lang w:val="en-US" w:eastAsia="zh-CN" w:bidi="ar"/>
              </w:rPr>
              <w:t>、</w:t>
            </w:r>
            <w:r>
              <w:rPr>
                <w:rFonts w:hint="default" w:ascii="Times New Roman" w:hAnsi="Times New Roman" w:eastAsia="宋体" w:cs="Times New Roman"/>
                <w:i w:val="0"/>
                <w:iCs w:val="0"/>
                <w:snapToGrid w:val="0"/>
                <w:color w:val="000000"/>
                <w:kern w:val="0"/>
                <w:sz w:val="21"/>
                <w:szCs w:val="21"/>
                <w:u w:val="none"/>
                <w:lang w:val="en-US" w:eastAsia="zh-CN" w:bidi="ar"/>
              </w:rPr>
              <w:t>TCP\IP Server</w:t>
            </w:r>
            <w:r>
              <w:rPr>
                <w:rFonts w:hint="eastAsia" w:ascii="宋体" w:hAnsi="宋体" w:eastAsia="宋体" w:cs="宋体"/>
                <w:i w:val="0"/>
                <w:iCs w:val="0"/>
                <w:snapToGrid w:val="0"/>
                <w:color w:val="000000"/>
                <w:kern w:val="0"/>
                <w:sz w:val="21"/>
                <w:szCs w:val="21"/>
                <w:u w:val="none"/>
                <w:lang w:val="en-US" w:eastAsia="zh-CN" w:bidi="ar"/>
              </w:rPr>
              <w:t>三种通信方式；默认为</w:t>
            </w:r>
            <w:r>
              <w:rPr>
                <w:rFonts w:hint="default" w:ascii="Times New Roman" w:hAnsi="Times New Roman" w:eastAsia="宋体" w:cs="Times New Roman"/>
                <w:i w:val="0"/>
                <w:iCs w:val="0"/>
                <w:snapToGrid w:val="0"/>
                <w:color w:val="000000"/>
                <w:kern w:val="0"/>
                <w:sz w:val="21"/>
                <w:szCs w:val="21"/>
                <w:u w:val="none"/>
                <w:lang w:val="en-US" w:eastAsia="zh-CN" w:bidi="ar"/>
              </w:rPr>
              <w:t>TCP\IP Client</w:t>
            </w:r>
            <w:r>
              <w:rPr>
                <w:rFonts w:hint="eastAsia" w:ascii="宋体" w:hAnsi="宋体" w:eastAsia="宋体" w:cs="宋体"/>
                <w:i w:val="0"/>
                <w:iCs w:val="0"/>
                <w:snapToGrid w:val="0"/>
                <w:color w:val="000000"/>
                <w:kern w:val="0"/>
                <w:sz w:val="21"/>
                <w:szCs w:val="21"/>
                <w:u w:val="none"/>
                <w:lang w:val="en-US" w:eastAsia="zh-CN" w:bidi="ar"/>
              </w:rPr>
              <w:t>；上电后默认为连续传输。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传输数据类型</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原始数据实时传输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校时</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GPS</w:t>
            </w:r>
            <w:r>
              <w:rPr>
                <w:rFonts w:hint="eastAsia" w:ascii="宋体" w:hAnsi="宋体" w:eastAsia="宋体" w:cs="宋体"/>
                <w:i w:val="0"/>
                <w:iCs w:val="0"/>
                <w:snapToGrid w:val="0"/>
                <w:color w:val="000000"/>
                <w:kern w:val="0"/>
                <w:sz w:val="21"/>
                <w:szCs w:val="21"/>
                <w:u w:val="none"/>
                <w:lang w:val="en-US" w:eastAsia="zh-CN" w:bidi="ar"/>
              </w:rPr>
              <w:t>、北斗、上位机网络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动态范围</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≥120dB</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供电</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DC12V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功耗</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4.7W</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尺寸（</w:t>
            </w:r>
            <w:r>
              <w:rPr>
                <w:rFonts w:hint="default" w:ascii="Times New Roman" w:hAnsi="Times New Roman" w:eastAsia="宋体" w:cs="Times New Roman"/>
                <w:i w:val="0"/>
                <w:iCs w:val="0"/>
                <w:snapToGrid w:val="0"/>
                <w:color w:val="000000"/>
                <w:kern w:val="0"/>
                <w:sz w:val="21"/>
                <w:szCs w:val="21"/>
                <w:u w:val="none"/>
                <w:lang w:val="en-US" w:eastAsia="zh-CN" w:bidi="ar"/>
              </w:rPr>
              <w:t>L*W*H,mm</w:t>
            </w:r>
            <w:r>
              <w:rPr>
                <w:rFonts w:hint="eastAsia" w:ascii="宋体" w:hAnsi="宋体" w:eastAsia="宋体" w:cs="宋体"/>
                <w:i w:val="0"/>
                <w:iCs w:val="0"/>
                <w:snapToGrid w:val="0"/>
                <w:color w:val="000000"/>
                <w:kern w:val="0"/>
                <w:sz w:val="21"/>
                <w:szCs w:val="21"/>
                <w:u w:val="none"/>
                <w:lang w:val="en-US" w:eastAsia="zh-CN" w:bidi="ar"/>
              </w:rPr>
              <w:t>）</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238*144*59</w:t>
            </w:r>
            <w:r>
              <w:rPr>
                <w:rFonts w:hint="eastAsia" w:ascii="宋体" w:hAnsi="宋体" w:eastAsia="宋体" w:cs="宋体"/>
                <w:i w:val="0"/>
                <w:iCs w:val="0"/>
                <w:snapToGrid w:val="0"/>
                <w:color w:val="000000"/>
                <w:kern w:val="0"/>
                <w:sz w:val="21"/>
                <w:szCs w:val="21"/>
                <w:u w:val="none"/>
                <w:lang w:val="en-US" w:eastAsia="zh-CN" w:bidi="ar"/>
              </w:rPr>
              <w:t>（安装孔间距：</w:t>
            </w:r>
            <w:r>
              <w:rPr>
                <w:rFonts w:hint="default" w:ascii="Times New Roman" w:hAnsi="Times New Roman" w:eastAsia="宋体" w:cs="Times New Roman"/>
                <w:i w:val="0"/>
                <w:iCs w:val="0"/>
                <w:snapToGrid w:val="0"/>
                <w:color w:val="000000"/>
                <w:kern w:val="0"/>
                <w:sz w:val="21"/>
                <w:szCs w:val="21"/>
                <w:u w:val="none"/>
                <w:lang w:val="en-US" w:eastAsia="zh-CN" w:bidi="ar"/>
              </w:rPr>
              <w:t>218*124mm</w:t>
            </w:r>
            <w:r>
              <w:rPr>
                <w:rFonts w:hint="eastAsia" w:ascii="宋体" w:hAnsi="宋体" w:eastAsia="宋体" w:cs="宋体"/>
                <w:i w:val="0"/>
                <w:iCs w:val="0"/>
                <w:snapToGrid w:val="0"/>
                <w:color w:val="000000"/>
                <w:kern w:val="0"/>
                <w:sz w:val="21"/>
                <w:szCs w:val="21"/>
                <w:u w:val="none"/>
                <w:lang w:val="en-US" w:eastAsia="zh-CN" w:bidi="ar"/>
              </w:rPr>
              <w:t>建议使用尺寸为</w:t>
            </w:r>
            <w:r>
              <w:rPr>
                <w:rFonts w:hint="default" w:ascii="Times New Roman" w:hAnsi="Times New Roman" w:eastAsia="宋体" w:cs="Times New Roman"/>
                <w:i w:val="0"/>
                <w:iCs w:val="0"/>
                <w:snapToGrid w:val="0"/>
                <w:color w:val="000000"/>
                <w:kern w:val="0"/>
                <w:sz w:val="21"/>
                <w:szCs w:val="21"/>
                <w:u w:val="none"/>
                <w:lang w:val="en-US" w:eastAsia="zh-CN" w:bidi="ar"/>
              </w:rPr>
              <w:t>M5</w:t>
            </w:r>
            <w:r>
              <w:rPr>
                <w:rFonts w:hint="eastAsia" w:ascii="宋体" w:hAnsi="宋体" w:eastAsia="宋体" w:cs="宋体"/>
                <w:i w:val="0"/>
                <w:iCs w:val="0"/>
                <w:snapToGrid w:val="0"/>
                <w:color w:val="000000"/>
                <w:kern w:val="0"/>
                <w:sz w:val="21"/>
                <w:szCs w:val="21"/>
                <w:u w:val="none"/>
                <w:lang w:val="en-US" w:eastAsia="zh-CN" w:bidi="ar"/>
              </w:rPr>
              <w:t>螺母固定采集仪）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输入阻抗</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1MΩ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工作温度</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温度：</w:t>
            </w:r>
            <w:r>
              <w:rPr>
                <w:rFonts w:hint="default" w:ascii="Times New Roman" w:hAnsi="Times New Roman" w:eastAsia="宋体" w:cs="Times New Roman"/>
                <w:i w:val="0"/>
                <w:iCs w:val="0"/>
                <w:snapToGrid w:val="0"/>
                <w:color w:val="000000"/>
                <w:kern w:val="0"/>
                <w:sz w:val="21"/>
                <w:szCs w:val="21"/>
                <w:u w:val="none"/>
                <w:lang w:val="en-US" w:eastAsia="zh-CN" w:bidi="ar"/>
              </w:rPr>
              <w:t>-35℃</w:t>
            </w:r>
            <w:r>
              <w:rPr>
                <w:rFonts w:hint="eastAsia" w:ascii="宋体" w:hAnsi="宋体" w:eastAsia="宋体" w:cs="宋体"/>
                <w:i w:val="0"/>
                <w:iCs w:val="0"/>
                <w:snapToGrid w:val="0"/>
                <w:color w:val="000000"/>
                <w:kern w:val="0"/>
                <w:sz w:val="21"/>
                <w:szCs w:val="21"/>
                <w:u w:val="none"/>
                <w:lang w:val="en-US" w:eastAsia="zh-CN" w:bidi="ar"/>
              </w:rPr>
              <w:t>～</w:t>
            </w:r>
            <w:r>
              <w:rPr>
                <w:rFonts w:hint="default" w:ascii="Times New Roman" w:hAnsi="Times New Roman" w:eastAsia="宋体" w:cs="Times New Roman"/>
                <w:i w:val="0"/>
                <w:iCs w:val="0"/>
                <w:snapToGrid w:val="0"/>
                <w:color w:val="000000"/>
                <w:kern w:val="0"/>
                <w:sz w:val="21"/>
                <w:szCs w:val="21"/>
                <w:u w:val="none"/>
                <w:lang w:val="en-US" w:eastAsia="zh-CN" w:bidi="ar"/>
              </w:rPr>
              <w:t xml:space="preserve">+75℃ </w:t>
            </w:r>
            <w:r>
              <w:rPr>
                <w:rFonts w:hint="eastAsia" w:ascii="宋体" w:hAnsi="宋体" w:eastAsia="宋体" w:cs="宋体"/>
                <w:i w:val="0"/>
                <w:iCs w:val="0"/>
                <w:snapToGrid w:val="0"/>
                <w:color w:val="000000"/>
                <w:kern w:val="0"/>
                <w:sz w:val="21"/>
                <w:szCs w:val="21"/>
                <w:u w:val="none"/>
                <w:lang w:val="en-US" w:eastAsia="zh-CN" w:bidi="ar"/>
              </w:rPr>
              <w:t>湿度：</w:t>
            </w:r>
            <w:r>
              <w:rPr>
                <w:rFonts w:hint="default" w:ascii="Times New Roman" w:hAnsi="Times New Roman" w:eastAsia="宋体" w:cs="Times New Roman"/>
                <w:i w:val="0"/>
                <w:iCs w:val="0"/>
                <w:snapToGrid w:val="0"/>
                <w:color w:val="000000"/>
                <w:kern w:val="0"/>
                <w:sz w:val="21"/>
                <w:szCs w:val="21"/>
                <w:u w:val="none"/>
                <w:lang w:val="en-US" w:eastAsia="zh-CN" w:bidi="ar"/>
              </w:rPr>
              <w:t>≤90%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现场数据存储触发模式</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基于幅值触发</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数据采集软件在振动检测单元中的嵌入式控制器内运行，根据集控中心服务器设置的硬件采集参数、傅里叶变换参数、数据存储与显示参数，通过硬件中断的方式从高速采集卡的缓存中获取的数据，以曲线形式进行直观显示，根据传感器的标定参数和系统采集的传感器初始值对原始数据进行处理，计算出实际测得的加速度值，并对采集的数据进行消除直流分量、低通滤波等信号处理，然后进行快速傅里叶变换(FFT变换)计算出相应的功率谱，具有在线多通道实时数据动态监测功能，并在本地进行存储，本系统进行数据存储时具有两种模式，一种是定时、定长的数据存储，其中采集周期、采集时长、采样率可以通过集控中心服务器进行设置，如每间隔1h 存储5min,主要是长期连续存储，数据以指定长度进行保存。另外一种为超限存储，当检测到通道内加速度数值超过预设的阀值以后，系统自动存储当前时间点、当前通道内的加速度数据，并进行分析存储，主要用于记录风电基础的异常振动，尤其台风期间，机舱会随着风向的变化发生偏航事件，进而会产生强烈的振动信号，冲击振动的时间虽然较短但是由于振幅很大，因此冲击振动也是影响风机基础健康状况的主要因素之一，因此需要重点关注。</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488" w:firstLineChars="200"/>
        <w:jc w:val="both"/>
        <w:textAlignment w:val="baseline"/>
        <w:rPr>
          <w:rFonts w:hint="default" w:ascii="Times New Roman" w:hAnsi="Times New Roman" w:eastAsia="宋体" w:cs="Times New Roman"/>
          <w:b w:val="0"/>
          <w:bCs w:val="0"/>
          <w:spacing w:val="-18"/>
          <w:sz w:val="28"/>
          <w:szCs w:val="28"/>
          <w:lang w:val="en-US" w:eastAsia="zh-CN"/>
        </w:rPr>
      </w:pPr>
      <w:r>
        <w:rPr>
          <w:rFonts w:hint="eastAsia" w:ascii="Times New Roman" w:hAnsi="Times New Roman" w:eastAsia="宋体" w:cs="Times New Roman"/>
          <w:b w:val="0"/>
          <w:bCs w:val="0"/>
          <w:spacing w:val="-18"/>
          <w:sz w:val="28"/>
          <w:szCs w:val="28"/>
          <w:lang w:val="en-US" w:eastAsia="zh-CN"/>
        </w:rPr>
        <w:t>3.4.2</w:t>
      </w:r>
      <w:r>
        <w:rPr>
          <w:rFonts w:hint="default" w:ascii="Times New Roman" w:hAnsi="Times New Roman" w:eastAsia="宋体" w:cs="Times New Roman"/>
          <w:b w:val="0"/>
          <w:bCs w:val="0"/>
          <w:spacing w:val="-18"/>
          <w:sz w:val="28"/>
          <w:szCs w:val="28"/>
          <w:lang w:val="en-US" w:eastAsia="zh-CN"/>
        </w:rPr>
        <w:t xml:space="preserve"> 倾斜监测系统</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如图</w:t>
      </w:r>
      <w:r>
        <w:rPr>
          <w:rFonts w:hint="eastAsia" w:ascii="Times New Roman" w:hAnsi="Times New Roman" w:eastAsia="宋体" w:cs="Times New Roman"/>
          <w:sz w:val="28"/>
          <w:szCs w:val="28"/>
          <w:lang w:val="en-US" w:eastAsia="zh-CN"/>
        </w:rPr>
        <w:t>3.4-2</w:t>
      </w:r>
      <w:r>
        <w:rPr>
          <w:rFonts w:hint="default" w:ascii="Times New Roman" w:hAnsi="Times New Roman" w:eastAsia="宋体" w:cs="Times New Roman"/>
          <w:sz w:val="28"/>
          <w:szCs w:val="28"/>
          <w:lang w:val="en-US" w:eastAsia="zh-CN"/>
        </w:rPr>
        <w:t>所示，倾斜监测系统由倾角仪及其采集器组成，倾角仪为大量程、高精度的二分量倾斜度测试传感器，采用高精度的差动电容芯片作为感应器件，用于测试海上升压站及风机基础、塔筒等结构的二维动态倾斜度的监测。</w:t>
      </w:r>
    </w:p>
    <w:p>
      <w:pPr>
        <w:keepNext w:val="0"/>
        <w:keepLines w:val="0"/>
        <w:pageBreakBefore w:val="0"/>
        <w:widowControl/>
        <w:kinsoku w:val="0"/>
        <w:wordWrap/>
        <w:overflowPunct/>
        <w:topLinePunct w:val="0"/>
        <w:autoSpaceDE w:val="0"/>
        <w:autoSpaceDN w:val="0"/>
        <w:bidi w:val="0"/>
        <w:adjustRightInd w:val="0"/>
        <w:snapToGrid w:val="0"/>
        <w:spacing w:before="255" w:line="480" w:lineRule="auto"/>
        <w:jc w:val="center"/>
        <w:textAlignment w:val="baseline"/>
        <w:outlineLvl w:val="9"/>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1976755" cy="1990090"/>
            <wp:effectExtent l="9525" t="9525" r="13970" b="19685"/>
            <wp:docPr id="2" name="图片 1" descr="318703c7a988933f2de19334b6674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318703c7a988933f2de19334b6674f2"/>
                    <pic:cNvPicPr>
                      <a:picLocks noChangeAspect="1"/>
                    </pic:cNvPicPr>
                  </pic:nvPicPr>
                  <pic:blipFill>
                    <a:blip r:embed="rId10"/>
                    <a:stretch>
                      <a:fillRect/>
                    </a:stretch>
                  </pic:blipFill>
                  <pic:spPr>
                    <a:xfrm>
                      <a:off x="0" y="0"/>
                      <a:ext cx="1976755" cy="1990090"/>
                    </a:xfrm>
                    <a:prstGeom prst="rect">
                      <a:avLst/>
                    </a:prstGeom>
                    <a:ln>
                      <a:solidFill>
                        <a:schemeClr val="accent1"/>
                      </a:solidFill>
                    </a:ln>
                  </pic:spPr>
                </pic:pic>
              </a:graphicData>
            </a:graphic>
          </wp:inline>
        </w:drawing>
      </w:r>
      <w:r>
        <w:rPr>
          <w:rFonts w:hint="default" w:ascii="Times New Roman" w:hAnsi="Times New Roman" w:eastAsia="宋体" w:cs="Times New Roman"/>
        </w:rPr>
        <w:drawing>
          <wp:inline distT="0" distB="0" distL="114300" distR="114300">
            <wp:extent cx="3188970" cy="2351405"/>
            <wp:effectExtent l="9525" t="9525" r="20955" b="203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a:stretch>
                      <a:fillRect/>
                    </a:stretch>
                  </pic:blipFill>
                  <pic:spPr>
                    <a:xfrm>
                      <a:off x="0" y="0"/>
                      <a:ext cx="3188970" cy="2351405"/>
                    </a:xfrm>
                    <a:prstGeom prst="rect">
                      <a:avLst/>
                    </a:prstGeom>
                    <a:ln>
                      <a:solidFill>
                        <a:schemeClr val="accent1"/>
                      </a:solidFill>
                    </a:ln>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图</w:t>
      </w:r>
      <w:r>
        <w:rPr>
          <w:rFonts w:hint="eastAsia" w:ascii="Times New Roman" w:hAnsi="Times New Roman" w:eastAsia="宋体" w:cs="Times New Roman"/>
          <w:sz w:val="28"/>
          <w:szCs w:val="28"/>
          <w:lang w:val="en-US" w:eastAsia="zh-CN"/>
        </w:rPr>
        <w:t xml:space="preserve">3.4-2 </w:t>
      </w:r>
      <w:r>
        <w:rPr>
          <w:rFonts w:hint="default" w:ascii="Times New Roman" w:hAnsi="Times New Roman" w:eastAsia="宋体" w:cs="Times New Roman"/>
          <w:sz w:val="28"/>
          <w:szCs w:val="28"/>
          <w:lang w:val="en-US" w:eastAsia="zh-CN"/>
        </w:rPr>
        <w:t>倾角仪(左图)及采集器(右图)</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浙能台州1号海上风电场使用的加速度计是浙江华东测绘与工程安全技术有限公司生产的HDCLB型加速度计，使用的采集器是浙江华东测绘与工程安全技术有限公司生产的HDDAB型动态传感器采集仪，传感器及采集器主要技术指标分别如表</w:t>
      </w:r>
      <w:r>
        <w:rPr>
          <w:rFonts w:hint="eastAsia" w:ascii="Times New Roman" w:hAnsi="Times New Roman" w:eastAsia="宋体" w:cs="Times New Roman"/>
          <w:sz w:val="28"/>
          <w:szCs w:val="28"/>
          <w:lang w:val="en-US" w:eastAsia="zh-CN"/>
        </w:rPr>
        <w:t>3.4-3</w:t>
      </w: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3.4-4</w:t>
      </w:r>
      <w:r>
        <w:rPr>
          <w:rFonts w:hint="default" w:ascii="Times New Roman" w:hAnsi="Times New Roman" w:eastAsia="宋体" w:cs="Times New Roman"/>
          <w:sz w:val="28"/>
          <w:szCs w:val="28"/>
          <w:lang w:val="en-US" w:eastAsia="zh-CN"/>
        </w:rPr>
        <w:t>所示。</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3.4-3</w:t>
      </w:r>
      <w:r>
        <w:rPr>
          <w:rFonts w:hint="default" w:ascii="Times New Roman" w:hAnsi="Times New Roman" w:eastAsia="宋体" w:cs="Times New Roman"/>
          <w:sz w:val="28"/>
          <w:szCs w:val="28"/>
          <w:lang w:val="en-US" w:eastAsia="zh-CN"/>
        </w:rPr>
        <w:t xml:space="preserve"> 倾角仪主要技术指标</w:t>
      </w:r>
    </w:p>
    <w:tbl>
      <w:tblPr>
        <w:tblStyle w:val="9"/>
        <w:tblW w:w="825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81"/>
        <w:gridCol w:w="56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eastAsia" w:ascii="黑体" w:hAnsi="黑体" w:eastAsia="黑体" w:cs="黑体"/>
                <w:szCs w:val="21"/>
              </w:rPr>
            </w:pPr>
            <w:r>
              <w:rPr>
                <w:rFonts w:hint="eastAsia" w:ascii="黑体" w:hAnsi="黑体" w:eastAsia="黑体" w:cs="黑体"/>
                <w:szCs w:val="21"/>
              </w:rPr>
              <w:t>指标名称</w:t>
            </w:r>
          </w:p>
        </w:tc>
        <w:tc>
          <w:tcPr>
            <w:tcW w:w="5670" w:type="dxa"/>
            <w:shd w:val="clear" w:color="auto" w:fill="auto"/>
            <w:vAlign w:val="center"/>
          </w:tcPr>
          <w:p>
            <w:pPr>
              <w:adjustRightInd w:val="0"/>
              <w:spacing w:line="240" w:lineRule="auto"/>
              <w:jc w:val="center"/>
              <w:rPr>
                <w:rFonts w:hint="eastAsia" w:ascii="黑体" w:hAnsi="黑体" w:eastAsia="黑体" w:cs="黑体"/>
                <w:szCs w:val="21"/>
              </w:rPr>
            </w:pPr>
            <w:r>
              <w:rPr>
                <w:rFonts w:hint="eastAsia" w:ascii="黑体" w:hAnsi="黑体" w:eastAsia="黑体" w:cs="黑体"/>
                <w:szCs w:val="21"/>
              </w:rPr>
              <w:t>技术参数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灵敏度</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0.28V/°（其他灵敏度可定制）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带宽动态范围</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&gt;75dB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满量程</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±10度，可定制为±1度、±30度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分辨率</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0.001度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精度</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±0.1%F.S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带宽范围</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DC~8Hz</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工作电压</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DC12V</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工作温度</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 xml:space="preserve">温度：-35℃～+75℃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输出</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二分量输出，可定制为单分量输出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尺寸（L*W*H,mm）</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整体尺寸：129*102*97mm;孔间距115*85mm；孔径5mm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1"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防水等级</w:t>
            </w:r>
          </w:p>
        </w:tc>
        <w:tc>
          <w:tcPr>
            <w:tcW w:w="5670" w:type="dxa"/>
            <w:shd w:val="clear" w:color="auto" w:fill="auto"/>
            <w:vAlign w:val="center"/>
          </w:tcPr>
          <w:p>
            <w:pPr>
              <w:adjustRightIn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IP68</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3.4-4</w:t>
      </w:r>
      <w:r>
        <w:rPr>
          <w:rFonts w:hint="default" w:ascii="Times New Roman" w:hAnsi="Times New Roman" w:eastAsia="宋体" w:cs="Times New Roman"/>
          <w:sz w:val="28"/>
          <w:szCs w:val="28"/>
          <w:lang w:val="en-US" w:eastAsia="zh-CN"/>
        </w:rPr>
        <w:t xml:space="preserve"> 倾斜监测采集器主要技术指标</w:t>
      </w:r>
    </w:p>
    <w:tbl>
      <w:tblPr>
        <w:tblStyle w:val="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652"/>
        <w:gridCol w:w="58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黑体" w:hAnsi="黑体" w:eastAsia="黑体" w:cs="黑体"/>
                <w:i w:val="0"/>
                <w:iCs w:val="0"/>
                <w:color w:val="000000"/>
                <w:sz w:val="21"/>
                <w:szCs w:val="21"/>
                <w:u w:val="none"/>
              </w:rPr>
            </w:pPr>
            <w:r>
              <w:rPr>
                <w:rFonts w:hint="eastAsia" w:ascii="黑体" w:hAnsi="黑体" w:eastAsia="黑体" w:cs="黑体"/>
                <w:i w:val="0"/>
                <w:iCs w:val="0"/>
                <w:snapToGrid w:val="0"/>
                <w:color w:val="000000"/>
                <w:kern w:val="0"/>
                <w:sz w:val="21"/>
                <w:szCs w:val="21"/>
                <w:u w:val="none"/>
                <w:lang w:val="en-US" w:eastAsia="zh-CN" w:bidi="ar"/>
              </w:rPr>
              <w:t>指标名称</w:t>
            </w:r>
          </w:p>
        </w:tc>
        <w:tc>
          <w:tcPr>
            <w:tcW w:w="580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黑体" w:hAnsi="黑体" w:eastAsia="黑体" w:cs="黑体"/>
                <w:i w:val="0"/>
                <w:iCs w:val="0"/>
                <w:color w:val="000000"/>
                <w:sz w:val="21"/>
                <w:szCs w:val="21"/>
                <w:u w:val="none"/>
              </w:rPr>
            </w:pPr>
            <w:r>
              <w:rPr>
                <w:rFonts w:hint="eastAsia" w:ascii="黑体" w:hAnsi="黑体" w:eastAsia="黑体" w:cs="黑体"/>
                <w:i w:val="0"/>
                <w:iCs w:val="0"/>
                <w:snapToGrid w:val="0"/>
                <w:color w:val="000000"/>
                <w:kern w:val="0"/>
                <w:sz w:val="21"/>
                <w:szCs w:val="21"/>
                <w:u w:val="none"/>
                <w:lang w:val="en-US" w:eastAsia="zh-CN" w:bidi="ar"/>
              </w:rPr>
              <w:t>技术参数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型号</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HDDAB-08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模拟信号输入通道</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8</w:t>
            </w:r>
            <w:r>
              <w:rPr>
                <w:rFonts w:hint="eastAsia" w:ascii="宋体" w:hAnsi="宋体" w:eastAsia="宋体" w:cs="宋体"/>
                <w:i w:val="0"/>
                <w:iCs w:val="0"/>
                <w:snapToGrid w:val="0"/>
                <w:color w:val="000000"/>
                <w:kern w:val="0"/>
                <w:sz w:val="21"/>
                <w:szCs w:val="21"/>
                <w:u w:val="none"/>
                <w:lang w:val="en-US" w:eastAsia="zh-CN" w:bidi="ar"/>
              </w:rPr>
              <w:t>通道（默认单端输入、支持差分输入）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输入量程及分辨率</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-10~10V/0.005mV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数字量信号输入</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w:t>
            </w:r>
            <w:r>
              <w:rPr>
                <w:rFonts w:hint="eastAsia" w:ascii="宋体" w:hAnsi="宋体" w:eastAsia="宋体" w:cs="宋体"/>
                <w:i w:val="0"/>
                <w:iCs w:val="0"/>
                <w:snapToGrid w:val="0"/>
                <w:color w:val="000000"/>
                <w:kern w:val="0"/>
                <w:sz w:val="21"/>
                <w:szCs w:val="21"/>
                <w:u w:val="none"/>
                <w:lang w:val="en-US" w:eastAsia="zh-CN" w:bidi="ar"/>
              </w:rPr>
              <w:t>组</w:t>
            </w:r>
            <w:r>
              <w:rPr>
                <w:rFonts w:hint="default" w:ascii="Times New Roman" w:hAnsi="Times New Roman" w:eastAsia="宋体" w:cs="Times New Roman"/>
                <w:i w:val="0"/>
                <w:iCs w:val="0"/>
                <w:snapToGrid w:val="0"/>
                <w:color w:val="000000"/>
                <w:kern w:val="0"/>
                <w:sz w:val="21"/>
                <w:szCs w:val="21"/>
                <w:u w:val="none"/>
                <w:lang w:val="en-US" w:eastAsia="zh-CN" w:bidi="ar"/>
              </w:rPr>
              <w:t>485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数字接口参数</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9600bps</w:t>
            </w:r>
            <w:r>
              <w:rPr>
                <w:rFonts w:hint="eastAsia" w:ascii="宋体" w:hAnsi="宋体" w:eastAsia="宋体" w:cs="宋体"/>
                <w:i w:val="0"/>
                <w:iCs w:val="0"/>
                <w:snapToGrid w:val="0"/>
                <w:color w:val="000000"/>
                <w:kern w:val="0"/>
                <w:sz w:val="21"/>
                <w:szCs w:val="21"/>
                <w:u w:val="none"/>
                <w:lang w:val="en-US" w:eastAsia="zh-CN" w:bidi="ar"/>
              </w:rPr>
              <w:t>，无校验，</w:t>
            </w:r>
            <w:r>
              <w:rPr>
                <w:rFonts w:hint="default" w:ascii="Times New Roman" w:hAnsi="Times New Roman" w:eastAsia="宋体" w:cs="Times New Roman"/>
                <w:i w:val="0"/>
                <w:iCs w:val="0"/>
                <w:snapToGrid w:val="0"/>
                <w:color w:val="000000"/>
                <w:kern w:val="0"/>
                <w:sz w:val="21"/>
                <w:szCs w:val="21"/>
                <w:u w:val="none"/>
                <w:lang w:val="en-US" w:eastAsia="zh-CN" w:bidi="ar"/>
              </w:rPr>
              <w:t>8</w:t>
            </w:r>
            <w:r>
              <w:rPr>
                <w:rFonts w:hint="eastAsia" w:ascii="宋体" w:hAnsi="宋体" w:eastAsia="宋体" w:cs="宋体"/>
                <w:i w:val="0"/>
                <w:iCs w:val="0"/>
                <w:snapToGrid w:val="0"/>
                <w:color w:val="000000"/>
                <w:kern w:val="0"/>
                <w:sz w:val="21"/>
                <w:szCs w:val="21"/>
                <w:u w:val="none"/>
                <w:lang w:val="en-US" w:eastAsia="zh-CN" w:bidi="ar"/>
              </w:rPr>
              <w:t>位数据位，</w:t>
            </w:r>
            <w:r>
              <w:rPr>
                <w:rFonts w:hint="default" w:ascii="Times New Roman" w:hAnsi="Times New Roman" w:eastAsia="宋体" w:cs="Times New Roman"/>
                <w:i w:val="0"/>
                <w:iCs w:val="0"/>
                <w:snapToGrid w:val="0"/>
                <w:color w:val="000000"/>
                <w:kern w:val="0"/>
                <w:sz w:val="21"/>
                <w:szCs w:val="21"/>
                <w:u w:val="none"/>
                <w:lang w:val="en-US" w:eastAsia="zh-CN" w:bidi="ar"/>
              </w:rPr>
              <w:t>1</w:t>
            </w:r>
            <w:r>
              <w:rPr>
                <w:rFonts w:hint="eastAsia" w:ascii="宋体" w:hAnsi="宋体" w:eastAsia="宋体" w:cs="宋体"/>
                <w:i w:val="0"/>
                <w:iCs w:val="0"/>
                <w:snapToGrid w:val="0"/>
                <w:color w:val="000000"/>
                <w:kern w:val="0"/>
                <w:sz w:val="21"/>
                <w:szCs w:val="21"/>
                <w:u w:val="none"/>
                <w:lang w:val="en-US" w:eastAsia="zh-CN" w:bidi="ar"/>
              </w:rPr>
              <w:t>位停位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采样频率</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可设置为</w:t>
            </w:r>
            <w:r>
              <w:rPr>
                <w:rFonts w:hint="default" w:ascii="Times New Roman" w:hAnsi="Times New Roman" w:eastAsia="宋体" w:cs="Times New Roman"/>
                <w:i w:val="0"/>
                <w:iCs w:val="0"/>
                <w:snapToGrid w:val="0"/>
                <w:color w:val="000000"/>
                <w:kern w:val="0"/>
                <w:sz w:val="21"/>
                <w:szCs w:val="21"/>
                <w:u w:val="none"/>
                <w:lang w:val="en-US" w:eastAsia="zh-CN" w:bidi="ar"/>
              </w:rPr>
              <w:t xml:space="preserve">1~10547Hz </w:t>
            </w:r>
            <w:r>
              <w:rPr>
                <w:rFonts w:hint="eastAsia" w:ascii="宋体" w:hAnsi="宋体" w:eastAsia="宋体" w:cs="宋体"/>
                <w:i w:val="0"/>
                <w:iCs w:val="0"/>
                <w:snapToGrid w:val="0"/>
                <w:color w:val="000000"/>
                <w:kern w:val="0"/>
                <w:sz w:val="21"/>
                <w:szCs w:val="21"/>
                <w:u w:val="none"/>
                <w:lang w:val="en-US" w:eastAsia="zh-CN" w:bidi="ar"/>
              </w:rPr>
              <w:t>（各通道完全同步）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存储容量及存储格式</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存储容量：标配</w:t>
            </w:r>
            <w:r>
              <w:rPr>
                <w:rFonts w:hint="default" w:ascii="Times New Roman" w:hAnsi="Times New Roman" w:eastAsia="宋体" w:cs="Times New Roman"/>
                <w:i w:val="0"/>
                <w:iCs w:val="0"/>
                <w:snapToGrid w:val="0"/>
                <w:color w:val="000000"/>
                <w:kern w:val="0"/>
                <w:sz w:val="21"/>
                <w:szCs w:val="21"/>
                <w:u w:val="none"/>
                <w:lang w:val="en-US" w:eastAsia="zh-CN" w:bidi="ar"/>
              </w:rPr>
              <w:t>32G SD</w:t>
            </w:r>
            <w:r>
              <w:rPr>
                <w:rFonts w:hint="eastAsia" w:ascii="宋体" w:hAnsi="宋体" w:eastAsia="宋体" w:cs="宋体"/>
                <w:i w:val="0"/>
                <w:iCs w:val="0"/>
                <w:snapToGrid w:val="0"/>
                <w:color w:val="000000"/>
                <w:kern w:val="0"/>
                <w:sz w:val="21"/>
                <w:szCs w:val="21"/>
                <w:u w:val="none"/>
                <w:lang w:val="en-US" w:eastAsia="zh-CN" w:bidi="ar"/>
              </w:rPr>
              <w:t>卡，数据存储格式：二进制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数据远程传输</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支持</w:t>
            </w:r>
            <w:r>
              <w:rPr>
                <w:rFonts w:hint="default" w:ascii="Times New Roman" w:hAnsi="Times New Roman" w:eastAsia="宋体" w:cs="Times New Roman"/>
                <w:i w:val="0"/>
                <w:iCs w:val="0"/>
                <w:snapToGrid w:val="0"/>
                <w:color w:val="000000"/>
                <w:kern w:val="0"/>
                <w:sz w:val="21"/>
                <w:szCs w:val="21"/>
                <w:u w:val="none"/>
                <w:lang w:val="en-US" w:eastAsia="zh-CN" w:bidi="ar"/>
              </w:rPr>
              <w:t>UDP</w:t>
            </w:r>
            <w:r>
              <w:rPr>
                <w:rFonts w:hint="eastAsia" w:ascii="宋体" w:hAnsi="宋体" w:eastAsia="宋体" w:cs="宋体"/>
                <w:i w:val="0"/>
                <w:iCs w:val="0"/>
                <w:snapToGrid w:val="0"/>
                <w:color w:val="000000"/>
                <w:kern w:val="0"/>
                <w:sz w:val="21"/>
                <w:szCs w:val="21"/>
                <w:u w:val="none"/>
                <w:lang w:val="en-US" w:eastAsia="zh-CN" w:bidi="ar"/>
              </w:rPr>
              <w:t>、</w:t>
            </w:r>
            <w:r>
              <w:rPr>
                <w:rFonts w:hint="default" w:ascii="Times New Roman" w:hAnsi="Times New Roman" w:eastAsia="宋体" w:cs="Times New Roman"/>
                <w:i w:val="0"/>
                <w:iCs w:val="0"/>
                <w:snapToGrid w:val="0"/>
                <w:color w:val="000000"/>
                <w:kern w:val="0"/>
                <w:sz w:val="21"/>
                <w:szCs w:val="21"/>
                <w:u w:val="none"/>
                <w:lang w:val="en-US" w:eastAsia="zh-CN" w:bidi="ar"/>
              </w:rPr>
              <w:t>TCP\IP Client</w:t>
            </w:r>
            <w:r>
              <w:rPr>
                <w:rFonts w:hint="eastAsia" w:ascii="宋体" w:hAnsi="宋体" w:eastAsia="宋体" w:cs="宋体"/>
                <w:i w:val="0"/>
                <w:iCs w:val="0"/>
                <w:snapToGrid w:val="0"/>
                <w:color w:val="000000"/>
                <w:kern w:val="0"/>
                <w:sz w:val="21"/>
                <w:szCs w:val="21"/>
                <w:u w:val="none"/>
                <w:lang w:val="en-US" w:eastAsia="zh-CN" w:bidi="ar"/>
              </w:rPr>
              <w:t>、</w:t>
            </w:r>
            <w:r>
              <w:rPr>
                <w:rFonts w:hint="default" w:ascii="Times New Roman" w:hAnsi="Times New Roman" w:eastAsia="宋体" w:cs="Times New Roman"/>
                <w:i w:val="0"/>
                <w:iCs w:val="0"/>
                <w:snapToGrid w:val="0"/>
                <w:color w:val="000000"/>
                <w:kern w:val="0"/>
                <w:sz w:val="21"/>
                <w:szCs w:val="21"/>
                <w:u w:val="none"/>
                <w:lang w:val="en-US" w:eastAsia="zh-CN" w:bidi="ar"/>
              </w:rPr>
              <w:t>TCP\IP Server</w:t>
            </w:r>
            <w:r>
              <w:rPr>
                <w:rFonts w:hint="eastAsia" w:ascii="宋体" w:hAnsi="宋体" w:eastAsia="宋体" w:cs="宋体"/>
                <w:i w:val="0"/>
                <w:iCs w:val="0"/>
                <w:snapToGrid w:val="0"/>
                <w:color w:val="000000"/>
                <w:kern w:val="0"/>
                <w:sz w:val="21"/>
                <w:szCs w:val="21"/>
                <w:u w:val="none"/>
                <w:lang w:val="en-US" w:eastAsia="zh-CN" w:bidi="ar"/>
              </w:rPr>
              <w:t>三种通信方式；默认为</w:t>
            </w:r>
            <w:r>
              <w:rPr>
                <w:rFonts w:hint="default" w:ascii="Times New Roman" w:hAnsi="Times New Roman" w:eastAsia="宋体" w:cs="Times New Roman"/>
                <w:i w:val="0"/>
                <w:iCs w:val="0"/>
                <w:snapToGrid w:val="0"/>
                <w:color w:val="000000"/>
                <w:kern w:val="0"/>
                <w:sz w:val="21"/>
                <w:szCs w:val="21"/>
                <w:u w:val="none"/>
                <w:lang w:val="en-US" w:eastAsia="zh-CN" w:bidi="ar"/>
              </w:rPr>
              <w:t>TCP\IP Client</w:t>
            </w:r>
            <w:r>
              <w:rPr>
                <w:rFonts w:hint="eastAsia" w:ascii="宋体" w:hAnsi="宋体" w:eastAsia="宋体" w:cs="宋体"/>
                <w:i w:val="0"/>
                <w:iCs w:val="0"/>
                <w:snapToGrid w:val="0"/>
                <w:color w:val="000000"/>
                <w:kern w:val="0"/>
                <w:sz w:val="21"/>
                <w:szCs w:val="21"/>
                <w:u w:val="none"/>
                <w:lang w:val="en-US" w:eastAsia="zh-CN" w:bidi="ar"/>
              </w:rPr>
              <w:t>；上电后默认为连续传输。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传输数据类型</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原始数据实时传输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校时</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GPS</w:t>
            </w:r>
            <w:r>
              <w:rPr>
                <w:rFonts w:hint="eastAsia" w:ascii="宋体" w:hAnsi="宋体" w:eastAsia="宋体" w:cs="宋体"/>
                <w:i w:val="0"/>
                <w:iCs w:val="0"/>
                <w:snapToGrid w:val="0"/>
                <w:color w:val="000000"/>
                <w:kern w:val="0"/>
                <w:sz w:val="21"/>
                <w:szCs w:val="21"/>
                <w:u w:val="none"/>
                <w:lang w:val="en-US" w:eastAsia="zh-CN" w:bidi="ar"/>
              </w:rPr>
              <w:t>、北斗、上位机网络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动态范围</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≥120dB</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供电</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DC12V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功耗</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4.7W</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尺寸（</w:t>
            </w:r>
            <w:r>
              <w:rPr>
                <w:rFonts w:hint="default" w:ascii="Times New Roman" w:hAnsi="Times New Roman" w:eastAsia="宋体" w:cs="Times New Roman"/>
                <w:i w:val="0"/>
                <w:iCs w:val="0"/>
                <w:snapToGrid w:val="0"/>
                <w:color w:val="000000"/>
                <w:kern w:val="0"/>
                <w:sz w:val="21"/>
                <w:szCs w:val="21"/>
                <w:u w:val="none"/>
                <w:lang w:val="en-US" w:eastAsia="zh-CN" w:bidi="ar"/>
              </w:rPr>
              <w:t>L*W*H,mm</w:t>
            </w:r>
            <w:r>
              <w:rPr>
                <w:rFonts w:hint="eastAsia" w:ascii="宋体" w:hAnsi="宋体" w:eastAsia="宋体" w:cs="宋体"/>
                <w:i w:val="0"/>
                <w:iCs w:val="0"/>
                <w:snapToGrid w:val="0"/>
                <w:color w:val="000000"/>
                <w:kern w:val="0"/>
                <w:sz w:val="21"/>
                <w:szCs w:val="21"/>
                <w:u w:val="none"/>
                <w:lang w:val="en-US" w:eastAsia="zh-CN" w:bidi="ar"/>
              </w:rPr>
              <w:t>）</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238*144*59</w:t>
            </w:r>
            <w:r>
              <w:rPr>
                <w:rFonts w:hint="eastAsia" w:ascii="宋体" w:hAnsi="宋体" w:eastAsia="宋体" w:cs="宋体"/>
                <w:i w:val="0"/>
                <w:iCs w:val="0"/>
                <w:snapToGrid w:val="0"/>
                <w:color w:val="000000"/>
                <w:kern w:val="0"/>
                <w:sz w:val="21"/>
                <w:szCs w:val="21"/>
                <w:u w:val="none"/>
                <w:lang w:val="en-US" w:eastAsia="zh-CN" w:bidi="ar"/>
              </w:rPr>
              <w:t>（安装孔间距：</w:t>
            </w:r>
            <w:r>
              <w:rPr>
                <w:rFonts w:hint="default" w:ascii="Times New Roman" w:hAnsi="Times New Roman" w:eastAsia="宋体" w:cs="Times New Roman"/>
                <w:i w:val="0"/>
                <w:iCs w:val="0"/>
                <w:snapToGrid w:val="0"/>
                <w:color w:val="000000"/>
                <w:kern w:val="0"/>
                <w:sz w:val="21"/>
                <w:szCs w:val="21"/>
                <w:u w:val="none"/>
                <w:lang w:val="en-US" w:eastAsia="zh-CN" w:bidi="ar"/>
              </w:rPr>
              <w:t>218*124mm</w:t>
            </w:r>
            <w:r>
              <w:rPr>
                <w:rFonts w:hint="eastAsia" w:ascii="宋体" w:hAnsi="宋体" w:eastAsia="宋体" w:cs="宋体"/>
                <w:i w:val="0"/>
                <w:iCs w:val="0"/>
                <w:snapToGrid w:val="0"/>
                <w:color w:val="000000"/>
                <w:kern w:val="0"/>
                <w:sz w:val="21"/>
                <w:szCs w:val="21"/>
                <w:u w:val="none"/>
                <w:lang w:val="en-US" w:eastAsia="zh-CN" w:bidi="ar"/>
              </w:rPr>
              <w:t>建议使用尺寸为</w:t>
            </w:r>
            <w:r>
              <w:rPr>
                <w:rFonts w:hint="default" w:ascii="Times New Roman" w:hAnsi="Times New Roman" w:eastAsia="宋体" w:cs="Times New Roman"/>
                <w:i w:val="0"/>
                <w:iCs w:val="0"/>
                <w:snapToGrid w:val="0"/>
                <w:color w:val="000000"/>
                <w:kern w:val="0"/>
                <w:sz w:val="21"/>
                <w:szCs w:val="21"/>
                <w:u w:val="none"/>
                <w:lang w:val="en-US" w:eastAsia="zh-CN" w:bidi="ar"/>
              </w:rPr>
              <w:t>M5</w:t>
            </w:r>
            <w:r>
              <w:rPr>
                <w:rFonts w:hint="eastAsia" w:ascii="宋体" w:hAnsi="宋体" w:eastAsia="宋体" w:cs="宋体"/>
                <w:i w:val="0"/>
                <w:iCs w:val="0"/>
                <w:snapToGrid w:val="0"/>
                <w:color w:val="000000"/>
                <w:kern w:val="0"/>
                <w:sz w:val="21"/>
                <w:szCs w:val="21"/>
                <w:u w:val="none"/>
                <w:lang w:val="en-US" w:eastAsia="zh-CN" w:bidi="ar"/>
              </w:rPr>
              <w:t>螺母固定采集仪）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输入阻抗</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snapToGrid w:val="0"/>
                <w:color w:val="000000"/>
                <w:kern w:val="0"/>
                <w:sz w:val="21"/>
                <w:szCs w:val="21"/>
                <w:u w:val="none"/>
                <w:lang w:val="en-US" w:eastAsia="zh-CN" w:bidi="ar"/>
              </w:rPr>
              <w:t>1MΩ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工作温度</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温度：</w:t>
            </w:r>
            <w:r>
              <w:rPr>
                <w:rFonts w:hint="default" w:ascii="Times New Roman" w:hAnsi="Times New Roman" w:eastAsia="宋体" w:cs="Times New Roman"/>
                <w:i w:val="0"/>
                <w:iCs w:val="0"/>
                <w:snapToGrid w:val="0"/>
                <w:color w:val="000000"/>
                <w:kern w:val="0"/>
                <w:sz w:val="21"/>
                <w:szCs w:val="21"/>
                <w:u w:val="none"/>
                <w:lang w:val="en-US" w:eastAsia="zh-CN" w:bidi="ar"/>
              </w:rPr>
              <w:t>-35℃</w:t>
            </w:r>
            <w:r>
              <w:rPr>
                <w:rFonts w:hint="eastAsia" w:ascii="宋体" w:hAnsi="宋体" w:eastAsia="宋体" w:cs="宋体"/>
                <w:i w:val="0"/>
                <w:iCs w:val="0"/>
                <w:snapToGrid w:val="0"/>
                <w:color w:val="000000"/>
                <w:kern w:val="0"/>
                <w:sz w:val="21"/>
                <w:szCs w:val="21"/>
                <w:u w:val="none"/>
                <w:lang w:val="en-US" w:eastAsia="zh-CN" w:bidi="ar"/>
              </w:rPr>
              <w:t>～</w:t>
            </w:r>
            <w:r>
              <w:rPr>
                <w:rFonts w:hint="default" w:ascii="Times New Roman" w:hAnsi="Times New Roman" w:eastAsia="宋体" w:cs="Times New Roman"/>
                <w:i w:val="0"/>
                <w:iCs w:val="0"/>
                <w:snapToGrid w:val="0"/>
                <w:color w:val="000000"/>
                <w:kern w:val="0"/>
                <w:sz w:val="21"/>
                <w:szCs w:val="21"/>
                <w:u w:val="none"/>
                <w:lang w:val="en-US" w:eastAsia="zh-CN" w:bidi="ar"/>
              </w:rPr>
              <w:t xml:space="preserve">+75℃ </w:t>
            </w:r>
            <w:r>
              <w:rPr>
                <w:rFonts w:hint="eastAsia" w:ascii="宋体" w:hAnsi="宋体" w:eastAsia="宋体" w:cs="宋体"/>
                <w:i w:val="0"/>
                <w:iCs w:val="0"/>
                <w:snapToGrid w:val="0"/>
                <w:color w:val="000000"/>
                <w:kern w:val="0"/>
                <w:sz w:val="21"/>
                <w:szCs w:val="21"/>
                <w:u w:val="none"/>
                <w:lang w:val="en-US" w:eastAsia="zh-CN" w:bidi="ar"/>
              </w:rPr>
              <w:t>湿度：</w:t>
            </w:r>
            <w:r>
              <w:rPr>
                <w:rFonts w:hint="default" w:ascii="Times New Roman" w:hAnsi="Times New Roman" w:eastAsia="宋体" w:cs="Times New Roman"/>
                <w:i w:val="0"/>
                <w:iCs w:val="0"/>
                <w:snapToGrid w:val="0"/>
                <w:color w:val="000000"/>
                <w:kern w:val="0"/>
                <w:sz w:val="21"/>
                <w:szCs w:val="21"/>
                <w:u w:val="none"/>
                <w:lang w:val="en-US" w:eastAsia="zh-CN" w:bidi="ar"/>
              </w:rPr>
              <w:t>≤90%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652"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现场数据存储触发模式</w:t>
            </w:r>
          </w:p>
        </w:tc>
        <w:tc>
          <w:tcPr>
            <w:tcW w:w="580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基于幅值触发</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37" w:name="_Toc4379"/>
      <w:bookmarkStart w:id="38" w:name="_Toc9052"/>
      <w:r>
        <w:rPr>
          <w:rFonts w:hint="eastAsia" w:ascii="黑体" w:hAnsi="黑体" w:eastAsia="黑体" w:cs="黑体"/>
          <w:sz w:val="28"/>
          <w:szCs w:val="28"/>
          <w:lang w:val="en-US" w:eastAsia="zh-CN"/>
        </w:rPr>
        <w:t>3.5 静态监测系统</w:t>
      </w:r>
      <w:bookmarkEnd w:id="37"/>
      <w:bookmarkEnd w:id="38"/>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leftChars="0" w:firstLine="560" w:firstLineChars="200"/>
        <w:jc w:val="left"/>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静态监测系统由静力水准仪、钢板应力计及其采集器组成。静力水准仪用于监测海上升压站的不均匀沉降，钢板应力计用于监测海上升压站导管架与风机塔筒和钢管桩中钢板结构物的应力应变，安装于钢结构表面，钢结构的变形将通过固定于钢板上的夹具传递给仪器端块并引起仪器内钢弦发生应力变化，从而改变钢弦的振动频率。上述各项仪器主要技术指标分别如表</w:t>
      </w:r>
      <w:r>
        <w:rPr>
          <w:rFonts w:hint="eastAsia" w:ascii="Times New Roman" w:hAnsi="Times New Roman" w:eastAsia="宋体" w:cs="Times New Roman"/>
          <w:sz w:val="28"/>
          <w:szCs w:val="28"/>
          <w:lang w:val="en-US" w:eastAsia="zh-CN"/>
        </w:rPr>
        <w:t>3.5-1</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表3.5-2</w:t>
      </w:r>
      <w:r>
        <w:rPr>
          <w:rFonts w:hint="default" w:ascii="Times New Roman" w:hAnsi="Times New Roman" w:eastAsia="宋体" w:cs="Times New Roman"/>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3.5-1</w:t>
      </w:r>
      <w:r>
        <w:rPr>
          <w:rFonts w:hint="default" w:ascii="Times New Roman" w:hAnsi="Times New Roman" w:eastAsia="宋体" w:cs="Times New Roman"/>
          <w:sz w:val="28"/>
          <w:szCs w:val="28"/>
          <w:lang w:val="en-US" w:eastAsia="zh-CN"/>
        </w:rPr>
        <w:t xml:space="preserve"> 静力水准仪主要技术指标</w:t>
      </w:r>
    </w:p>
    <w:tbl>
      <w:tblPr>
        <w:tblStyle w:val="17"/>
        <w:tblW w:w="848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43"/>
        <w:gridCol w:w="65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943" w:type="dxa"/>
            <w:vAlign w:val="top"/>
          </w:tcPr>
          <w:p>
            <w:pPr>
              <w:pStyle w:val="16"/>
              <w:spacing w:before="183" w:line="240" w:lineRule="auto"/>
              <w:ind w:left="545"/>
              <w:rPr>
                <w:rFonts w:hint="eastAsia" w:ascii="黑体" w:hAnsi="黑体" w:eastAsia="黑体" w:cs="黑体"/>
                <w:sz w:val="21"/>
                <w:szCs w:val="21"/>
              </w:rPr>
            </w:pPr>
            <w:r>
              <w:rPr>
                <w:rFonts w:hint="eastAsia" w:ascii="黑体" w:hAnsi="黑体" w:eastAsia="黑体" w:cs="黑体"/>
                <w:spacing w:val="-2"/>
                <w:sz w:val="21"/>
                <w:szCs w:val="21"/>
              </w:rPr>
              <w:t>技术指标</w:t>
            </w:r>
          </w:p>
        </w:tc>
        <w:tc>
          <w:tcPr>
            <w:tcW w:w="6537" w:type="dxa"/>
            <w:vAlign w:val="top"/>
          </w:tcPr>
          <w:p>
            <w:pPr>
              <w:pStyle w:val="16"/>
              <w:spacing w:before="183" w:line="240" w:lineRule="auto"/>
              <w:ind w:left="3052"/>
              <w:rPr>
                <w:rFonts w:hint="eastAsia" w:ascii="黑体" w:hAnsi="黑体" w:eastAsia="黑体" w:cs="黑体"/>
                <w:sz w:val="21"/>
                <w:szCs w:val="21"/>
              </w:rPr>
            </w:pPr>
            <w:r>
              <w:rPr>
                <w:rFonts w:hint="eastAsia" w:ascii="黑体" w:hAnsi="黑体" w:eastAsia="黑体" w:cs="黑体"/>
                <w:spacing w:val="-3"/>
                <w:sz w:val="21"/>
                <w:szCs w:val="21"/>
              </w:rPr>
              <w:t>参数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943" w:type="dxa"/>
            <w:vAlign w:val="top"/>
          </w:tcPr>
          <w:p>
            <w:pPr>
              <w:pStyle w:val="16"/>
              <w:spacing w:before="191" w:line="240" w:lineRule="auto"/>
              <w:ind w:left="755"/>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量程</w:t>
            </w:r>
          </w:p>
        </w:tc>
        <w:tc>
          <w:tcPr>
            <w:tcW w:w="6537" w:type="dxa"/>
            <w:vAlign w:val="top"/>
          </w:tcPr>
          <w:p>
            <w:pPr>
              <w:pStyle w:val="16"/>
              <w:spacing w:before="243" w:line="240" w:lineRule="auto"/>
              <w:ind w:left="2992"/>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150mm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943" w:type="dxa"/>
            <w:vAlign w:val="top"/>
          </w:tcPr>
          <w:p>
            <w:pPr>
              <w:pStyle w:val="16"/>
              <w:spacing w:before="181" w:line="240" w:lineRule="auto"/>
              <w:ind w:left="755"/>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精度</w:t>
            </w:r>
          </w:p>
        </w:tc>
        <w:tc>
          <w:tcPr>
            <w:tcW w:w="6537" w:type="dxa"/>
            <w:vAlign w:val="top"/>
          </w:tcPr>
          <w:p>
            <w:pPr>
              <w:pStyle w:val="16"/>
              <w:spacing w:before="200" w:line="240" w:lineRule="auto"/>
              <w:ind w:left="2782"/>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±0.1%F.S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943" w:type="dxa"/>
            <w:vAlign w:val="top"/>
          </w:tcPr>
          <w:p>
            <w:pPr>
              <w:pStyle w:val="16"/>
              <w:spacing w:before="194" w:line="240" w:lineRule="auto"/>
              <w:ind w:left="645"/>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耐水压</w:t>
            </w:r>
          </w:p>
        </w:tc>
        <w:tc>
          <w:tcPr>
            <w:tcW w:w="6537" w:type="dxa"/>
            <w:vAlign w:val="top"/>
          </w:tcPr>
          <w:p>
            <w:pPr>
              <w:pStyle w:val="16"/>
              <w:spacing w:before="248" w:line="240" w:lineRule="auto"/>
              <w:ind w:left="2942"/>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0.5MPa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943" w:type="dxa"/>
            <w:vAlign w:val="top"/>
          </w:tcPr>
          <w:p>
            <w:pPr>
              <w:pStyle w:val="16"/>
              <w:spacing w:before="186" w:line="240" w:lineRule="auto"/>
              <w:ind w:left="755"/>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电缆</w:t>
            </w:r>
          </w:p>
        </w:tc>
        <w:tc>
          <w:tcPr>
            <w:tcW w:w="6537" w:type="dxa"/>
            <w:vAlign w:val="top"/>
          </w:tcPr>
          <w:p>
            <w:pPr>
              <w:pStyle w:val="16"/>
              <w:spacing w:before="186" w:line="240" w:lineRule="auto"/>
              <w:ind w:left="322"/>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与选用仪器相配套的屏蔽电缆，电缆具有耐海水腐蚀及阻燃性能</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表</w:t>
      </w:r>
      <w:r>
        <w:rPr>
          <w:rFonts w:hint="eastAsia" w:ascii="Times New Roman" w:hAnsi="Times New Roman" w:eastAsia="宋体" w:cs="Times New Roman"/>
          <w:sz w:val="28"/>
          <w:szCs w:val="28"/>
          <w:lang w:val="en-US" w:eastAsia="zh-CN"/>
        </w:rPr>
        <w:t>3.5-2</w:t>
      </w:r>
      <w:r>
        <w:rPr>
          <w:rFonts w:hint="default" w:ascii="Times New Roman" w:hAnsi="Times New Roman" w:eastAsia="宋体" w:cs="Times New Roman"/>
          <w:sz w:val="28"/>
          <w:szCs w:val="28"/>
          <w:lang w:val="en-US" w:eastAsia="zh-CN"/>
        </w:rPr>
        <w:t xml:space="preserve"> 钢板应力计主要技术指标</w:t>
      </w:r>
    </w:p>
    <w:tbl>
      <w:tblPr>
        <w:tblStyle w:val="17"/>
        <w:tblW w:w="85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3"/>
        <w:gridCol w:w="654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1953" w:type="dxa"/>
            <w:vAlign w:val="top"/>
          </w:tcPr>
          <w:p>
            <w:pPr>
              <w:pStyle w:val="16"/>
              <w:spacing w:before="183" w:line="240" w:lineRule="auto"/>
              <w:jc w:val="center"/>
              <w:rPr>
                <w:rFonts w:hint="eastAsia" w:ascii="黑体" w:hAnsi="黑体" w:eastAsia="黑体" w:cs="黑体"/>
                <w:spacing w:val="-2"/>
                <w:sz w:val="21"/>
                <w:szCs w:val="21"/>
              </w:rPr>
            </w:pPr>
            <w:r>
              <w:rPr>
                <w:rFonts w:hint="eastAsia" w:ascii="黑体" w:hAnsi="黑体" w:eastAsia="黑体" w:cs="黑体"/>
                <w:spacing w:val="-2"/>
                <w:sz w:val="21"/>
                <w:szCs w:val="21"/>
              </w:rPr>
              <w:t>技术指标</w:t>
            </w:r>
          </w:p>
        </w:tc>
        <w:tc>
          <w:tcPr>
            <w:tcW w:w="6547" w:type="dxa"/>
            <w:vAlign w:val="top"/>
          </w:tcPr>
          <w:p>
            <w:pPr>
              <w:pStyle w:val="16"/>
              <w:spacing w:before="183" w:line="240" w:lineRule="auto"/>
              <w:jc w:val="center"/>
              <w:rPr>
                <w:rFonts w:hint="eastAsia" w:ascii="黑体" w:hAnsi="黑体" w:eastAsia="黑体" w:cs="黑体"/>
                <w:spacing w:val="-2"/>
                <w:sz w:val="21"/>
                <w:szCs w:val="21"/>
              </w:rPr>
            </w:pPr>
            <w:r>
              <w:rPr>
                <w:rFonts w:hint="eastAsia" w:ascii="黑体" w:hAnsi="黑体" w:eastAsia="黑体" w:cs="黑体"/>
                <w:spacing w:val="-2"/>
                <w:sz w:val="21"/>
                <w:szCs w:val="21"/>
              </w:rPr>
              <w:t>参数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9"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量程</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拉伸1200μe;压缩1200μ 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标距</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150mm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精度</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±0.1%F.S.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分辨率</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±0.1%F.S.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8"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耐水压</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0.5MPa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工作温度</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-25℃~60℃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jc w:val="center"/>
        </w:trPr>
        <w:tc>
          <w:tcPr>
            <w:tcW w:w="1953"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电缆</w:t>
            </w:r>
          </w:p>
        </w:tc>
        <w:tc>
          <w:tcPr>
            <w:tcW w:w="6547" w:type="dxa"/>
            <w:vAlign w:val="top"/>
          </w:tcPr>
          <w:p>
            <w:pPr>
              <w:pStyle w:val="16"/>
              <w:spacing w:before="183" w:line="240" w:lineRule="auto"/>
              <w:jc w:val="center"/>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与选用仪器相配套的屏蔽电缆，电缆具有耐海水腐蚀及阻燃性能</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39" w:name="_Toc26986"/>
      <w:bookmarkStart w:id="40" w:name="_Toc9887"/>
      <w:r>
        <w:rPr>
          <w:rFonts w:hint="eastAsia" w:ascii="黑体" w:hAnsi="黑体" w:eastAsia="黑体" w:cs="黑体"/>
          <w:sz w:val="28"/>
          <w:szCs w:val="28"/>
          <w:lang w:val="en-US" w:eastAsia="zh-CN"/>
        </w:rPr>
        <w:t>3.6 腐蚀监测系统</w:t>
      </w:r>
      <w:bookmarkEnd w:id="39"/>
      <w:bookmarkEnd w:id="40"/>
    </w:p>
    <w:p>
      <w:pPr>
        <w:keepNext w:val="0"/>
        <w:keepLines w:val="0"/>
        <w:pageBreakBefore w:val="0"/>
        <w:widowControl/>
        <w:numPr>
          <w:ilvl w:val="0"/>
          <w:numId w:val="0"/>
        </w:numPr>
        <w:kinsoku/>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41" w:name="_Toc16456"/>
      <w:bookmarkStart w:id="42" w:name="_Toc6846"/>
      <w:bookmarkStart w:id="43" w:name="_Toc1808"/>
      <w:bookmarkStart w:id="44" w:name="_Toc1083"/>
      <w:bookmarkStart w:id="45" w:name="_Toc10723"/>
      <w:r>
        <w:rPr>
          <w:rFonts w:hint="eastAsia" w:ascii="Times New Roman" w:hAnsi="Times New Roman" w:eastAsia="宋体" w:cs="Times New Roman"/>
          <w:sz w:val="28"/>
          <w:szCs w:val="28"/>
          <w:lang w:val="en-US" w:eastAsia="zh-CN"/>
        </w:rPr>
        <w:t xml:space="preserve">3.6.1 </w:t>
      </w:r>
      <w:r>
        <w:rPr>
          <w:rFonts w:hint="default" w:ascii="Times New Roman" w:hAnsi="Times New Roman" w:eastAsia="宋体" w:cs="Times New Roman"/>
          <w:sz w:val="28"/>
          <w:szCs w:val="28"/>
          <w:lang w:val="en-US" w:eastAsia="zh-CN"/>
        </w:rPr>
        <w:t>海上风电阴极保护智能监测系统主要组成（由以下4大部分组成）：</w:t>
      </w:r>
      <w:bookmarkEnd w:id="41"/>
      <w:bookmarkEnd w:id="42"/>
      <w:bookmarkEnd w:id="43"/>
      <w:bookmarkEnd w:id="44"/>
      <w:bookmarkEnd w:id="45"/>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46" w:name="_Toc11674"/>
      <w:bookmarkStart w:id="47" w:name="_Toc1493"/>
      <w:bookmarkStart w:id="48" w:name="_Toc798"/>
      <w:bookmarkStart w:id="49" w:name="_Toc14809"/>
      <w:bookmarkStart w:id="50" w:name="_Toc19929"/>
      <w:r>
        <w:rPr>
          <w:rFonts w:hint="eastAsia" w:ascii="Times New Roman" w:hAnsi="Times New Roman" w:eastAsia="宋体" w:cs="Times New Roman"/>
          <w:sz w:val="28"/>
          <w:szCs w:val="28"/>
          <w:lang w:val="en-US" w:eastAsia="zh-CN"/>
        </w:rPr>
        <w:t xml:space="preserve">3.6.1.1 </w:t>
      </w:r>
      <w:r>
        <w:rPr>
          <w:rFonts w:hint="default" w:ascii="Times New Roman" w:hAnsi="Times New Roman" w:eastAsia="宋体" w:cs="Times New Roman"/>
          <w:sz w:val="28"/>
          <w:szCs w:val="28"/>
          <w:lang w:val="en-US" w:eastAsia="zh-CN"/>
        </w:rPr>
        <w:t>电位传感器（由高纯锌参比电极、耐海水高分子聚丙烯材料、防海生物附着结构、耐海水电缆等组成）</w:t>
      </w:r>
      <w:bookmarkEnd w:id="46"/>
      <w:bookmarkEnd w:id="47"/>
      <w:bookmarkEnd w:id="48"/>
      <w:bookmarkEnd w:id="49"/>
      <w:bookmarkEnd w:id="50"/>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51" w:name="_Toc20490"/>
      <w:bookmarkStart w:id="52" w:name="_Toc14029"/>
      <w:bookmarkStart w:id="53" w:name="_Toc3264"/>
      <w:bookmarkStart w:id="54" w:name="_Toc28631"/>
      <w:bookmarkStart w:id="55" w:name="_Toc21067"/>
      <w:r>
        <w:rPr>
          <w:rFonts w:hint="eastAsia" w:ascii="Times New Roman" w:hAnsi="Times New Roman" w:eastAsia="宋体" w:cs="Times New Roman"/>
          <w:sz w:val="28"/>
          <w:szCs w:val="28"/>
          <w:lang w:val="en-US" w:eastAsia="zh-CN"/>
        </w:rPr>
        <w:t xml:space="preserve">3.6.1.2 </w:t>
      </w:r>
      <w:r>
        <w:rPr>
          <w:rFonts w:hint="default" w:ascii="Times New Roman" w:hAnsi="Times New Roman" w:eastAsia="宋体" w:cs="Times New Roman"/>
          <w:sz w:val="28"/>
          <w:szCs w:val="28"/>
          <w:lang w:val="en-US" w:eastAsia="zh-CN"/>
        </w:rPr>
        <w:t>智能数据监测仪（数据采集、储存、远程传输等）</w:t>
      </w:r>
      <w:bookmarkEnd w:id="51"/>
      <w:bookmarkEnd w:id="52"/>
      <w:bookmarkEnd w:id="53"/>
      <w:bookmarkEnd w:id="54"/>
      <w:bookmarkEnd w:id="55"/>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56" w:name="_Toc28847"/>
      <w:bookmarkStart w:id="57" w:name="_Toc7145"/>
      <w:bookmarkStart w:id="58" w:name="_Toc18891"/>
      <w:bookmarkStart w:id="59" w:name="_Toc32500"/>
      <w:bookmarkStart w:id="60" w:name="_Toc8283"/>
      <w:r>
        <w:rPr>
          <w:rFonts w:hint="eastAsia" w:ascii="Times New Roman" w:hAnsi="Times New Roman" w:eastAsia="宋体" w:cs="Times New Roman"/>
          <w:sz w:val="28"/>
          <w:szCs w:val="28"/>
          <w:lang w:val="en-US" w:eastAsia="zh-CN"/>
        </w:rPr>
        <w:t xml:space="preserve">3.6.1.3 </w:t>
      </w:r>
      <w:r>
        <w:rPr>
          <w:rFonts w:hint="default" w:ascii="Times New Roman" w:hAnsi="Times New Roman" w:eastAsia="宋体" w:cs="Times New Roman"/>
          <w:sz w:val="28"/>
          <w:szCs w:val="28"/>
          <w:lang w:val="en-US" w:eastAsia="zh-CN"/>
        </w:rPr>
        <w:t>管控中心硬件平台</w:t>
      </w:r>
      <w:bookmarkEnd w:id="56"/>
      <w:bookmarkEnd w:id="57"/>
      <w:bookmarkEnd w:id="58"/>
      <w:bookmarkEnd w:id="59"/>
      <w:bookmarkEnd w:id="60"/>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61" w:name="_Toc17215"/>
      <w:bookmarkStart w:id="62" w:name="_Toc19245"/>
      <w:bookmarkStart w:id="63" w:name="_Toc17906"/>
      <w:bookmarkStart w:id="64" w:name="_Toc19229"/>
      <w:bookmarkStart w:id="65" w:name="_Toc8589"/>
      <w:r>
        <w:rPr>
          <w:rFonts w:hint="eastAsia" w:ascii="Times New Roman" w:hAnsi="Times New Roman" w:eastAsia="宋体" w:cs="Times New Roman"/>
          <w:sz w:val="28"/>
          <w:szCs w:val="28"/>
          <w:lang w:val="en-US" w:eastAsia="zh-CN"/>
        </w:rPr>
        <w:t xml:space="preserve">3.6.1.4 </w:t>
      </w:r>
      <w:r>
        <w:rPr>
          <w:rFonts w:hint="default" w:ascii="Times New Roman" w:hAnsi="Times New Roman" w:eastAsia="宋体" w:cs="Times New Roman"/>
          <w:sz w:val="28"/>
          <w:szCs w:val="28"/>
          <w:lang w:val="en-US" w:eastAsia="zh-CN"/>
        </w:rPr>
        <w:t>腐蚀防护专家分析评估软件系统。系统采用基于C/S和B/S相结合的架构设计。在管控中心硬件平台上，建立基于C/S结构的Server端，为风场内的监控风机基础的远程数据监测仪的网络通讯、数据的采集、传输和存储等提供服务，并建立基于B/S结构Web Server端，为Browser端的数据显示、查询、分析评估和设备管理提供服务。</w:t>
      </w:r>
      <w:bookmarkEnd w:id="61"/>
      <w:bookmarkEnd w:id="62"/>
      <w:bookmarkEnd w:id="63"/>
      <w:bookmarkEnd w:id="64"/>
      <w:bookmarkEnd w:id="65"/>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66" w:name="_Toc17509"/>
      <w:bookmarkStart w:id="67" w:name="_Toc6474"/>
      <w:bookmarkStart w:id="68" w:name="_Toc6210"/>
      <w:bookmarkStart w:id="69" w:name="_Toc31826"/>
      <w:bookmarkStart w:id="70" w:name="_Toc4016"/>
      <w:r>
        <w:rPr>
          <w:rFonts w:hint="default" w:ascii="Times New Roman" w:hAnsi="Times New Roman" w:eastAsia="宋体" w:cs="Times New Roman"/>
          <w:sz w:val="28"/>
          <w:szCs w:val="28"/>
          <w:lang w:val="en-US" w:eastAsia="zh-CN"/>
        </w:rPr>
        <w:t>腐蚀监测系统基于有线信号传输数据通信方式以实现远程数据采集，系统框架如图</w:t>
      </w:r>
      <w:r>
        <w:rPr>
          <w:rFonts w:hint="eastAsia" w:ascii="Times New Roman" w:hAnsi="Times New Roman" w:eastAsia="宋体" w:cs="Times New Roman"/>
          <w:sz w:val="28"/>
          <w:szCs w:val="28"/>
          <w:lang w:val="en-US" w:eastAsia="zh-CN"/>
        </w:rPr>
        <w:t>3.6-1</w:t>
      </w:r>
      <w:r>
        <w:rPr>
          <w:rFonts w:hint="default" w:ascii="Times New Roman" w:hAnsi="Times New Roman" w:eastAsia="宋体" w:cs="Times New Roman"/>
          <w:sz w:val="28"/>
          <w:szCs w:val="28"/>
          <w:lang w:val="en-US" w:eastAsia="zh-CN"/>
        </w:rPr>
        <w:t xml:space="preserve"> 所示。</w:t>
      </w:r>
      <w:bookmarkEnd w:id="66"/>
      <w:bookmarkEnd w:id="67"/>
      <w:bookmarkEnd w:id="68"/>
      <w:bookmarkEnd w:id="69"/>
      <w:bookmarkEnd w:id="70"/>
    </w:p>
    <w:p>
      <w:pPr>
        <w:spacing w:before="170" w:line="480" w:lineRule="auto"/>
        <w:jc w:val="center"/>
        <w:rPr>
          <w:rFonts w:hint="default" w:ascii="Times New Roman" w:hAnsi="Times New Roman" w:eastAsia="宋体" w:cs="Times New Roman"/>
        </w:rPr>
      </w:pPr>
      <w:r>
        <w:drawing>
          <wp:inline distT="0" distB="0" distL="114300" distR="114300">
            <wp:extent cx="4532630" cy="2415540"/>
            <wp:effectExtent l="9525" t="9525" r="10795" b="1333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1"/>
                    <a:stretch>
                      <a:fillRect/>
                    </a:stretch>
                  </pic:blipFill>
                  <pic:spPr>
                    <a:xfrm>
                      <a:off x="0" y="0"/>
                      <a:ext cx="4532630" cy="2415540"/>
                    </a:xfrm>
                    <a:prstGeom prst="rect">
                      <a:avLst/>
                    </a:prstGeom>
                    <a:ln>
                      <a:solidFill>
                        <a:schemeClr val="accent1"/>
                      </a:solid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jc w:val="center"/>
        <w:textAlignment w:val="baseline"/>
        <w:outlineLvl w:val="1"/>
        <w:rPr>
          <w:rFonts w:hint="default" w:ascii="Times New Roman" w:hAnsi="Times New Roman" w:eastAsia="宋体" w:cs="Times New Roman"/>
          <w:sz w:val="28"/>
          <w:szCs w:val="28"/>
          <w:lang w:val="en-US" w:eastAsia="zh-CN"/>
        </w:rPr>
      </w:pPr>
      <w:bookmarkStart w:id="71" w:name="_Toc8035"/>
      <w:bookmarkStart w:id="72" w:name="_Toc22984"/>
      <w:bookmarkStart w:id="73" w:name="_Toc14489"/>
      <w:r>
        <w:rPr>
          <w:rFonts w:hint="default" w:ascii="Times New Roman" w:hAnsi="Times New Roman" w:eastAsia="宋体" w:cs="Times New Roman"/>
          <w:sz w:val="28"/>
          <w:szCs w:val="28"/>
          <w:lang w:val="en-US" w:eastAsia="zh-CN"/>
        </w:rPr>
        <w:t>图</w:t>
      </w:r>
      <w:r>
        <w:rPr>
          <w:rFonts w:hint="eastAsia" w:ascii="Times New Roman" w:hAnsi="Times New Roman" w:eastAsia="宋体" w:cs="Times New Roman"/>
          <w:sz w:val="28"/>
          <w:szCs w:val="28"/>
          <w:lang w:val="en-US" w:eastAsia="zh-CN"/>
        </w:rPr>
        <w:t xml:space="preserve">3.6-1 </w:t>
      </w:r>
      <w:r>
        <w:rPr>
          <w:rFonts w:hint="default" w:ascii="Times New Roman" w:hAnsi="Times New Roman" w:eastAsia="宋体" w:cs="Times New Roman"/>
          <w:sz w:val="28"/>
          <w:szCs w:val="28"/>
          <w:lang w:val="en-US" w:eastAsia="zh-CN"/>
        </w:rPr>
        <w:t>腐蚀监测系统</w:t>
      </w:r>
      <w:bookmarkEnd w:id="71"/>
      <w:bookmarkEnd w:id="72"/>
      <w:bookmarkEnd w:id="73"/>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74" w:name="_Toc26469"/>
      <w:bookmarkStart w:id="75" w:name="_Toc6087"/>
      <w:bookmarkStart w:id="76" w:name="_Toc7576"/>
      <w:r>
        <w:rPr>
          <w:rFonts w:hint="eastAsia" w:ascii="Times New Roman" w:hAnsi="Times New Roman" w:eastAsia="宋体" w:cs="Times New Roman"/>
          <w:sz w:val="28"/>
          <w:szCs w:val="28"/>
          <w:lang w:val="en-US" w:eastAsia="zh-CN"/>
        </w:rPr>
        <w:t xml:space="preserve">3.6.2 </w:t>
      </w:r>
      <w:r>
        <w:rPr>
          <w:rFonts w:hint="default" w:ascii="Times New Roman" w:hAnsi="Times New Roman" w:eastAsia="宋体" w:cs="Times New Roman"/>
          <w:sz w:val="28"/>
          <w:szCs w:val="28"/>
          <w:lang w:val="en-US" w:eastAsia="zh-CN"/>
        </w:rPr>
        <w:t>自动化远程数据采集系统由以下部分组成：</w:t>
      </w:r>
      <w:bookmarkEnd w:id="74"/>
      <w:bookmarkEnd w:id="75"/>
      <w:bookmarkEnd w:id="76"/>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77" w:name="_Toc15249"/>
      <w:bookmarkStart w:id="78" w:name="_Toc14602"/>
      <w:bookmarkStart w:id="79" w:name="_Toc15769"/>
      <w:r>
        <w:rPr>
          <w:rFonts w:hint="eastAsia" w:ascii="Times New Roman" w:hAnsi="Times New Roman" w:eastAsia="宋体" w:cs="Times New Roman"/>
          <w:sz w:val="28"/>
          <w:szCs w:val="28"/>
          <w:lang w:val="en-US" w:eastAsia="zh-CN"/>
        </w:rPr>
        <w:t xml:space="preserve">3.6.2.1 </w:t>
      </w:r>
      <w:r>
        <w:rPr>
          <w:rFonts w:hint="default" w:ascii="Times New Roman" w:hAnsi="Times New Roman" w:eastAsia="宋体" w:cs="Times New Roman"/>
          <w:sz w:val="28"/>
          <w:szCs w:val="28"/>
          <w:lang w:val="en-US" w:eastAsia="zh-CN"/>
        </w:rPr>
        <w:t>自动化远程数据采集仪如图</w:t>
      </w:r>
      <w:r>
        <w:rPr>
          <w:rFonts w:hint="eastAsia" w:ascii="Times New Roman" w:hAnsi="Times New Roman" w:eastAsia="宋体" w:cs="Times New Roman"/>
          <w:sz w:val="28"/>
          <w:szCs w:val="28"/>
          <w:lang w:val="en-US" w:eastAsia="zh-CN"/>
        </w:rPr>
        <w:t>3.6-2</w:t>
      </w:r>
      <w:r>
        <w:rPr>
          <w:rFonts w:hint="default" w:ascii="Times New Roman" w:hAnsi="Times New Roman" w:eastAsia="宋体" w:cs="Times New Roman"/>
          <w:sz w:val="28"/>
          <w:szCs w:val="28"/>
          <w:lang w:val="en-US" w:eastAsia="zh-CN"/>
        </w:rPr>
        <w:t>所示，安装在风机上部工作平台上，主要应用于阴极保护参数远程检测和数据传输，对钢桩的保护电位、阳极输出电流等参数进行测量。智能电位采集仪采用GPRS的方式进行通讯，根据设定的时间进行阴极保护参数采集。</w:t>
      </w:r>
      <w:bookmarkEnd w:id="77"/>
      <w:bookmarkEnd w:id="78"/>
      <w:bookmarkEnd w:id="79"/>
    </w:p>
    <w:p>
      <w:pPr>
        <w:spacing w:line="480" w:lineRule="auto"/>
        <w:jc w:val="center"/>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2510155" cy="2860675"/>
            <wp:effectExtent l="9525" t="9525" r="13970" b="2540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2"/>
                    <a:stretch>
                      <a:fillRect/>
                    </a:stretch>
                  </pic:blipFill>
                  <pic:spPr>
                    <a:xfrm>
                      <a:off x="0" y="0"/>
                      <a:ext cx="2510155" cy="2860675"/>
                    </a:xfrm>
                    <a:prstGeom prst="rect">
                      <a:avLst/>
                    </a:prstGeom>
                    <a:noFill/>
                    <a:ln>
                      <a:solidFill>
                        <a:schemeClr val="accent1"/>
                      </a:solidFill>
                    </a:ln>
                  </pic:spPr>
                </pic:pic>
              </a:graphicData>
            </a:graphic>
          </wp:inline>
        </w:drawing>
      </w:r>
      <w:r>
        <w:rPr>
          <w:rFonts w:hint="default" w:ascii="Times New Roman" w:hAnsi="Times New Roman" w:eastAsia="宋体" w:cs="Times New Roman"/>
        </w:rPr>
        <w:drawing>
          <wp:inline distT="0" distB="0" distL="114300" distR="114300">
            <wp:extent cx="2110105" cy="2863215"/>
            <wp:effectExtent l="9525" t="9525" r="13970" b="2286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2110105" cy="2863215"/>
                    </a:xfrm>
                    <a:prstGeom prst="rect">
                      <a:avLst/>
                    </a:prstGeom>
                    <a:ln>
                      <a:solidFill>
                        <a:schemeClr val="accent1"/>
                      </a:solid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jc w:val="center"/>
        <w:textAlignment w:val="baseline"/>
        <w:outlineLvl w:val="1"/>
        <w:rPr>
          <w:rFonts w:hint="default" w:ascii="Times New Roman" w:hAnsi="Times New Roman" w:eastAsia="宋体" w:cs="Times New Roman"/>
          <w:sz w:val="28"/>
          <w:szCs w:val="28"/>
          <w:lang w:val="en-US" w:eastAsia="zh-CN"/>
        </w:rPr>
      </w:pPr>
      <w:bookmarkStart w:id="80" w:name="_Toc3542"/>
      <w:bookmarkStart w:id="81" w:name="_Toc17599"/>
      <w:bookmarkStart w:id="82" w:name="_Toc21524"/>
      <w:r>
        <w:rPr>
          <w:rFonts w:hint="default" w:ascii="Times New Roman" w:hAnsi="Times New Roman" w:eastAsia="宋体" w:cs="Times New Roman"/>
          <w:sz w:val="28"/>
          <w:szCs w:val="28"/>
          <w:lang w:val="en-US" w:eastAsia="zh-CN"/>
        </w:rPr>
        <w:t>图</w:t>
      </w:r>
      <w:r>
        <w:rPr>
          <w:rFonts w:hint="eastAsia" w:ascii="Times New Roman" w:hAnsi="Times New Roman" w:eastAsia="宋体" w:cs="Times New Roman"/>
          <w:sz w:val="28"/>
          <w:szCs w:val="28"/>
          <w:lang w:val="en-US" w:eastAsia="zh-CN"/>
        </w:rPr>
        <w:t>3.6-2</w:t>
      </w:r>
      <w:r>
        <w:rPr>
          <w:rFonts w:hint="default" w:ascii="Times New Roman" w:hAnsi="Times New Roman" w:eastAsia="宋体" w:cs="Times New Roman"/>
          <w:sz w:val="28"/>
          <w:szCs w:val="28"/>
          <w:lang w:val="en-US" w:eastAsia="zh-CN"/>
        </w:rPr>
        <w:t>腐蚀监测采集仪</w:t>
      </w:r>
      <w:bookmarkEnd w:id="80"/>
      <w:bookmarkEnd w:id="81"/>
      <w:bookmarkEnd w:id="82"/>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3.6.2.2 </w:t>
      </w:r>
      <w:r>
        <w:rPr>
          <w:rFonts w:hint="default" w:ascii="Times New Roman" w:hAnsi="Times New Roman" w:eastAsia="宋体" w:cs="Times New Roman"/>
          <w:sz w:val="28"/>
          <w:szCs w:val="28"/>
          <w:lang w:val="en-US" w:eastAsia="zh-CN"/>
        </w:rPr>
        <w:t>上位机集中处理软件系统：发送监控指令、接收遥测数据，进行数据分析处理，面向用户界面操作，安装在管理中心控制室内；</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3.6.2.3 </w:t>
      </w:r>
      <w:r>
        <w:rPr>
          <w:rFonts w:hint="default" w:ascii="Times New Roman" w:hAnsi="Times New Roman" w:eastAsia="宋体" w:cs="Times New Roman"/>
          <w:sz w:val="28"/>
          <w:szCs w:val="28"/>
          <w:lang w:val="en-US" w:eastAsia="zh-CN"/>
        </w:rPr>
        <w:t>监测探头及其配件：安装在钢管桩上，由参比电极、接线箱、阳极绝缘支架、电缆护管及卡具组成。</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83" w:name="_Toc26460"/>
      <w:bookmarkStart w:id="84" w:name="_Toc5307"/>
      <w:r>
        <w:rPr>
          <w:rFonts w:hint="eastAsia" w:ascii="黑体" w:hAnsi="黑体" w:eastAsia="黑体" w:cs="黑体"/>
          <w:sz w:val="28"/>
          <w:szCs w:val="28"/>
          <w:lang w:val="en-US" w:eastAsia="zh-CN"/>
        </w:rPr>
        <w:t>3.7 监测软件系统</w:t>
      </w:r>
      <w:bookmarkEnd w:id="83"/>
      <w:bookmarkEnd w:id="84"/>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监测系统辅助软件：参数修改软件，软件开发单位：浙江华东测绘与工程安全技术有限公司；</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动态监测系统软件：风机安全监测与预警系统，软件开发单位：浙江华东测绘与工程安全技术有限公司；</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静态监测：BGKLogger数据采集系统，软件开发单位：基康仪器股份有限公司；</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腐蚀监测：电位传送器监控界面管理系统，软件开发单位：上海辰建腐蚀防护有限公司。</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黑体" w:hAnsi="黑体" w:eastAsia="黑体" w:cs="黑体"/>
          <w:sz w:val="28"/>
          <w:szCs w:val="28"/>
          <w:lang w:val="en-US" w:eastAsia="zh-CN"/>
        </w:rPr>
      </w:pPr>
      <w:bookmarkStart w:id="85" w:name="_Toc7614"/>
      <w:bookmarkStart w:id="86" w:name="_Toc11374"/>
      <w:r>
        <w:rPr>
          <w:rFonts w:hint="eastAsia" w:ascii="黑体" w:hAnsi="黑体" w:eastAsia="黑体" w:cs="黑体"/>
          <w:sz w:val="28"/>
          <w:szCs w:val="28"/>
          <w:lang w:val="en-US" w:eastAsia="zh-CN"/>
        </w:rPr>
        <w:t>3.8 陆上集控中心沉降监测点、海缆登陆段电缆沟沉降观测监测点位及海上升压站不均匀沉降监测点布置</w:t>
      </w:r>
      <w:bookmarkEnd w:id="85"/>
      <w:bookmarkEnd w:id="86"/>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3.8.1陆上集控中心沉降监测点布置情况</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陆上集控中心位于浙江省临海市桃渚镇锅峙山，布置集控楼、生产综合楼、附属楼、门卫室及室外主变区域等建筑组成。</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1）</w:t>
      </w:r>
      <w:r>
        <w:rPr>
          <w:rFonts w:hint="default" w:ascii="Times New Roman" w:hAnsi="Times New Roman" w:eastAsia="宋体" w:cs="Times New Roman"/>
          <w:sz w:val="28"/>
          <w:szCs w:val="28"/>
          <w:lang w:val="en-US" w:eastAsia="zh-CN"/>
        </w:rPr>
        <w:t>集控楼位于南侧山体处，占地面积859.38㎡，建筑面积</w:t>
      </w:r>
      <w:r>
        <w:rPr>
          <w:rFonts w:hint="eastAsia"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val="en-US" w:eastAsia="zh-CN"/>
        </w:rPr>
        <w:t>476.55㎡，主体结构为框架结构，建筑高度12.450m（室外地面至主屋面）。</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val="en-US" w:eastAsia="zh-CN"/>
        </w:rPr>
        <w:t>生产综合楼占地面积1105.26㎡，建筑面积1609.06㎡，主体结构为框架结构，共2层，建筑高度13.05m（室外地坪至主屋面）。</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val="en-US" w:eastAsia="zh-CN"/>
        </w:rPr>
        <w:t>附属楼建筑面积356.67㎡，主体结构为框架结构，建筑高度4.95m（室外地坪至主屋面）。</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lang w:val="en-US" w:eastAsia="zh-CN"/>
        </w:rPr>
        <w:t>门卫室建筑面积36.80㎡，主体结构为框架结构，建筑高度3.75m</w:t>
      </w:r>
      <w:r>
        <w:rPr>
          <w:rFonts w:hint="eastAsia" w:ascii="Times New Roman" w:hAnsi="Times New Roman" w:eastAsia="宋体" w:cs="Times New Roman"/>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场区西北角远离测区设置基准点BM01，四边共布置基准点4个，</w:t>
      </w:r>
      <w:r>
        <w:rPr>
          <w:rFonts w:hint="default" w:ascii="Times New Roman" w:hAnsi="Times New Roman" w:eastAsia="宋体" w:cs="Times New Roman"/>
          <w:sz w:val="28"/>
          <w:szCs w:val="28"/>
          <w:lang w:val="en-US" w:eastAsia="zh-CN"/>
        </w:rPr>
        <w:t>点号为</w:t>
      </w:r>
      <w:r>
        <w:rPr>
          <w:rFonts w:hint="eastAsia" w:ascii="Times New Roman" w:hAnsi="Times New Roman" w:eastAsia="宋体" w:cs="Times New Roman"/>
          <w:sz w:val="28"/>
          <w:szCs w:val="28"/>
          <w:lang w:val="en-US" w:eastAsia="zh-CN"/>
        </w:rPr>
        <w:t>BM</w:t>
      </w:r>
      <w:r>
        <w:rPr>
          <w:rFonts w:hint="default" w:ascii="Times New Roman" w:hAnsi="Times New Roman" w:eastAsia="宋体" w:cs="Times New Roman"/>
          <w:sz w:val="28"/>
          <w:szCs w:val="28"/>
          <w:lang w:val="en-US" w:eastAsia="zh-CN"/>
        </w:rPr>
        <w:t>01</w:t>
      </w:r>
      <w:r>
        <w:rPr>
          <w:rFonts w:hint="eastAsia" w:ascii="Times New Roman" w:hAnsi="Times New Roman" w:eastAsia="宋体" w:cs="Times New Roman"/>
          <w:sz w:val="28"/>
          <w:szCs w:val="28"/>
          <w:lang w:val="en-US" w:eastAsia="zh-CN"/>
        </w:rPr>
        <w:t>~BM</w:t>
      </w:r>
      <w:r>
        <w:rPr>
          <w:rFonts w:hint="default" w:ascii="Times New Roman" w:hAnsi="Times New Roman" w:eastAsia="宋体" w:cs="Times New Roman"/>
          <w:sz w:val="28"/>
          <w:szCs w:val="28"/>
          <w:lang w:val="en-US" w:eastAsia="zh-CN"/>
        </w:rPr>
        <w:t>0</w:t>
      </w:r>
      <w:r>
        <w:rPr>
          <w:rFonts w:hint="eastAsia" w:ascii="Times New Roman" w:hAnsi="Times New Roman" w:eastAsia="宋体" w:cs="Times New Roman"/>
          <w:sz w:val="28"/>
          <w:szCs w:val="28"/>
          <w:lang w:val="en-US" w:eastAsia="zh-CN"/>
        </w:rPr>
        <w:t>4，集控楼楼体上共布设沉降点6个，点号为JK01～JK06；在生产综合楼楼体上共布设沉降点8个，点号为SC01～SC08；在附属楼楼体上共布设沉降点8个，点号为FS01～FS08；在室外工程设备基础上共布设沉降点12个，点号为SB01～SB12；在门卫室楼体上共布设沉降点4个，点号为MW01～MW04，共计42个点位。</w:t>
      </w:r>
    </w:p>
    <w:p>
      <w:pPr>
        <w:pStyle w:val="15"/>
        <w:spacing w:before="156"/>
        <w:rPr>
          <w:rFonts w:hint="eastAsia" w:eastAsia="黑体"/>
          <w:lang w:eastAsia="zh-CN"/>
        </w:rPr>
      </w:pPr>
      <w:r>
        <w:rPr>
          <w:rFonts w:hint="eastAsia" w:ascii="Times New Roman" w:hAnsi="Times New Roman" w:eastAsia="宋体" w:cs="Times New Roman"/>
          <w:snapToGrid w:val="0"/>
          <w:color w:val="000000"/>
          <w:kern w:val="0"/>
          <w:sz w:val="28"/>
          <w:szCs w:val="28"/>
          <w:lang w:val="en-US" w:eastAsia="zh-CN" w:bidi="ar-SA"/>
        </w:rPr>
        <w:t>表3.8</w:t>
      </w:r>
      <w:r>
        <w:rPr>
          <w:rFonts w:hint="default" w:ascii="Times New Roman" w:hAnsi="Times New Roman" w:eastAsia="宋体" w:cs="Times New Roman"/>
          <w:snapToGrid w:val="0"/>
          <w:color w:val="000000"/>
          <w:kern w:val="0"/>
          <w:sz w:val="28"/>
          <w:szCs w:val="28"/>
          <w:lang w:val="en-US" w:eastAsia="zh-CN" w:bidi="ar-SA"/>
        </w:rPr>
        <w:noBreakHyphen/>
      </w:r>
      <w:r>
        <w:rPr>
          <w:rFonts w:hint="eastAsia" w:ascii="Times New Roman" w:hAnsi="Times New Roman" w:eastAsia="宋体" w:cs="Times New Roman"/>
          <w:snapToGrid w:val="0"/>
          <w:color w:val="000000"/>
          <w:kern w:val="0"/>
          <w:sz w:val="28"/>
          <w:szCs w:val="28"/>
          <w:lang w:val="en-US" w:eastAsia="zh-CN" w:bidi="ar-SA"/>
        </w:rPr>
        <w:t>1陆上</w:t>
      </w:r>
      <w:r>
        <w:rPr>
          <w:rFonts w:hint="eastAsia" w:eastAsia="宋体" w:cs="Times New Roman"/>
          <w:snapToGrid w:val="0"/>
          <w:color w:val="000000"/>
          <w:kern w:val="0"/>
          <w:sz w:val="28"/>
          <w:szCs w:val="28"/>
          <w:lang w:val="en-US" w:eastAsia="zh-CN" w:bidi="ar-SA"/>
        </w:rPr>
        <w:t>集控中心</w:t>
      </w:r>
      <w:r>
        <w:rPr>
          <w:rFonts w:hint="eastAsia" w:ascii="Times New Roman" w:hAnsi="Times New Roman" w:eastAsia="宋体" w:cs="Times New Roman"/>
          <w:snapToGrid w:val="0"/>
          <w:color w:val="000000"/>
          <w:kern w:val="0"/>
          <w:sz w:val="28"/>
          <w:szCs w:val="28"/>
          <w:lang w:val="en-US" w:eastAsia="zh-CN" w:bidi="ar-SA"/>
        </w:rPr>
        <w:t>沉降监测点数量</w:t>
      </w:r>
    </w:p>
    <w:tbl>
      <w:tblPr>
        <w:tblStyle w:val="1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2"/>
        <w:gridCol w:w="2490"/>
        <w:gridCol w:w="1750"/>
        <w:gridCol w:w="2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（1）基准点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057"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点号</w:t>
            </w:r>
          </w:p>
        </w:tc>
        <w:tc>
          <w:tcPr>
            <w:tcW w:w="1460"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BM01~BM04</w:t>
            </w:r>
          </w:p>
        </w:tc>
        <w:tc>
          <w:tcPr>
            <w:tcW w:w="1026"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（2）集控楼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057"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点号</w:t>
            </w:r>
          </w:p>
        </w:tc>
        <w:tc>
          <w:tcPr>
            <w:tcW w:w="1460"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JK01~JK06</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（3）生产综合楼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057"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点号</w:t>
            </w: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SC01~SC08</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（4）附属楼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057"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点号</w:t>
            </w: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FS01~FS08</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5000" w:type="pct"/>
            <w:gridSpan w:val="4"/>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（5）门卫室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057"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点号</w:t>
            </w: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MW01~MW04</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数量（个）</w:t>
            </w:r>
          </w:p>
        </w:tc>
        <w:tc>
          <w:tcPr>
            <w:tcW w:w="1455"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（6）室外工程主变区域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057"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点号</w:t>
            </w: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SB01~SB12</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12</w:t>
            </w:r>
          </w:p>
        </w:tc>
      </w:tr>
    </w:tbl>
    <w:p>
      <w:pPr>
        <w:keepNext w:val="0"/>
        <w:keepLines w:val="0"/>
        <w:pageBreakBefore w:val="0"/>
        <w:widowControl/>
        <w:kinsoku w:val="0"/>
        <w:wordWrap/>
        <w:overflowPunct/>
        <w:topLinePunct w:val="0"/>
        <w:autoSpaceDE w:val="0"/>
        <w:autoSpaceDN w:val="0"/>
        <w:bidi w:val="0"/>
        <w:adjustRightInd w:val="0"/>
        <w:snapToGrid w:val="0"/>
        <w:spacing w:line="240" w:lineRule="auto"/>
        <w:jc w:val="both"/>
        <w:textAlignment w:val="baseline"/>
        <w:rPr>
          <w:rFonts w:hint="eastAsia" w:ascii="Times New Roman" w:hAnsi="Times New Roman" w:eastAsia="宋体" w:cs="Times New Roman"/>
          <w:sz w:val="28"/>
          <w:szCs w:val="28"/>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240" w:lineRule="auto"/>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drawing>
          <wp:inline distT="0" distB="0" distL="114300" distR="114300">
            <wp:extent cx="5271135" cy="3498215"/>
            <wp:effectExtent l="0" t="0" r="5715" b="6985"/>
            <wp:docPr id="8" name="图片 8" descr="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6.20"/>
                    <pic:cNvPicPr>
                      <a:picLocks noChangeAspect="1"/>
                    </pic:cNvPicPr>
                  </pic:nvPicPr>
                  <pic:blipFill>
                    <a:blip r:embed="rId14"/>
                    <a:stretch>
                      <a:fillRect/>
                    </a:stretch>
                  </pic:blipFill>
                  <pic:spPr>
                    <a:xfrm>
                      <a:off x="0" y="0"/>
                      <a:ext cx="5271135" cy="3498215"/>
                    </a:xfrm>
                    <a:prstGeom prst="rect">
                      <a:avLst/>
                    </a:prstGeom>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黑体" w:hAnsi="黑体" w:eastAsia="黑体" w:cs="黑体"/>
          <w:sz w:val="28"/>
          <w:szCs w:val="28"/>
          <w:lang w:val="en-US" w:eastAsia="zh-CN"/>
        </w:rPr>
      </w:pPr>
      <w:r>
        <w:rPr>
          <w:rFonts w:hint="default" w:ascii="Times New Roman" w:hAnsi="Times New Roman" w:eastAsia="宋体" w:cs="Times New Roman"/>
          <w:sz w:val="28"/>
          <w:szCs w:val="28"/>
          <w:lang w:val="en-US" w:eastAsia="zh-CN"/>
        </w:rPr>
        <w:t xml:space="preserve">图 </w:t>
      </w:r>
      <w:r>
        <w:rPr>
          <w:rFonts w:hint="eastAsia"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val="en-US" w:eastAsia="zh-CN"/>
        </w:rPr>
        <w:t>.8-1 陆上集控中心沉降</w:t>
      </w:r>
      <w:r>
        <w:rPr>
          <w:rFonts w:hint="eastAsia" w:ascii="Times New Roman" w:hAnsi="Times New Roman" w:eastAsia="宋体" w:cs="Times New Roman"/>
          <w:sz w:val="28"/>
          <w:szCs w:val="28"/>
          <w:lang w:val="en-US" w:eastAsia="zh-CN"/>
        </w:rPr>
        <w:t>监测</w:t>
      </w:r>
      <w:r>
        <w:rPr>
          <w:rFonts w:hint="default" w:ascii="Times New Roman" w:hAnsi="Times New Roman" w:eastAsia="宋体" w:cs="Times New Roman"/>
          <w:sz w:val="28"/>
          <w:szCs w:val="28"/>
          <w:lang w:val="en-US" w:eastAsia="zh-CN"/>
        </w:rPr>
        <w:t>图</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left"/>
        <w:textAlignment w:val="baseline"/>
        <w:rPr>
          <w:rFonts w:hint="eastAsia"/>
          <w:sz w:val="24"/>
          <w:szCs w:val="24"/>
          <w:lang w:val="en-US" w:eastAsia="zh-CN"/>
        </w:rPr>
      </w:pPr>
      <w:r>
        <w:rPr>
          <w:rFonts w:hint="eastAsia" w:ascii="Times New Roman" w:hAnsi="Times New Roman" w:eastAsia="宋体" w:cs="Times New Roman"/>
          <w:sz w:val="28"/>
          <w:szCs w:val="28"/>
          <w:lang w:val="en-US" w:eastAsia="zh-CN"/>
        </w:rPr>
        <w:t>3.8.2 海缆登陆段电缆沟沉降观测监测点布置情况</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left"/>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海缆登入后沿纱帽山西南侧道路敷设，在集控中心西侧围墙外约50米处转1回架空线，到围墙外转为1回220kV陆缆接入陆上集控中心，途中四组铁塔结构每组含4个测点，共计</w:t>
      </w:r>
      <w:r>
        <w:rPr>
          <w:rFonts w:hint="default" w:ascii="Times New Roman" w:hAnsi="Times New Roman" w:eastAsia="宋体" w:cs="Times New Roman"/>
          <w:sz w:val="28"/>
          <w:szCs w:val="28"/>
          <w:lang w:val="en-US" w:eastAsia="zh-CN"/>
        </w:rPr>
        <w:t>布设沉降点</w:t>
      </w:r>
      <w:r>
        <w:rPr>
          <w:rFonts w:hint="eastAsia" w:ascii="Times New Roman" w:hAnsi="Times New Roman" w:eastAsia="宋体" w:cs="Times New Roman"/>
          <w:sz w:val="28"/>
          <w:szCs w:val="28"/>
          <w:lang w:val="en-US" w:eastAsia="zh-CN"/>
        </w:rPr>
        <w:t>16</w:t>
      </w:r>
      <w:r>
        <w:rPr>
          <w:rFonts w:hint="default" w:ascii="Times New Roman" w:hAnsi="Times New Roman" w:eastAsia="宋体" w:cs="Times New Roman"/>
          <w:sz w:val="28"/>
          <w:szCs w:val="28"/>
          <w:lang w:val="en-US" w:eastAsia="zh-CN"/>
        </w:rPr>
        <w:t>个</w:t>
      </w:r>
      <w:r>
        <w:rPr>
          <w:rFonts w:hint="eastAsia" w:ascii="Times New Roman" w:hAnsi="Times New Roman" w:eastAsia="宋体" w:cs="Times New Roman"/>
          <w:sz w:val="28"/>
          <w:szCs w:val="28"/>
          <w:lang w:val="en-US" w:eastAsia="zh-CN"/>
        </w:rPr>
        <w:t>，电缆沟</w:t>
      </w:r>
      <w:r>
        <w:rPr>
          <w:rFonts w:hint="default" w:ascii="Times New Roman" w:hAnsi="Times New Roman" w:eastAsia="宋体" w:cs="Times New Roman"/>
          <w:sz w:val="28"/>
          <w:szCs w:val="28"/>
          <w:lang w:val="en-US" w:eastAsia="zh-CN"/>
        </w:rPr>
        <w:t>基础上共布设沉降点</w:t>
      </w:r>
      <w:r>
        <w:rPr>
          <w:rFonts w:hint="eastAsia" w:ascii="Times New Roman" w:hAnsi="Times New Roman" w:eastAsia="宋体" w:cs="Times New Roman"/>
          <w:sz w:val="28"/>
          <w:szCs w:val="28"/>
          <w:lang w:val="en-US" w:eastAsia="zh-CN"/>
        </w:rPr>
        <w:t>8</w:t>
      </w:r>
      <w:r>
        <w:rPr>
          <w:rFonts w:hint="default" w:ascii="Times New Roman" w:hAnsi="Times New Roman" w:eastAsia="宋体" w:cs="Times New Roman"/>
          <w:sz w:val="28"/>
          <w:szCs w:val="28"/>
          <w:lang w:val="en-US" w:eastAsia="zh-CN"/>
        </w:rPr>
        <w:t>个</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点号为</w:t>
      </w:r>
      <w:r>
        <w:rPr>
          <w:rFonts w:hint="eastAsia" w:ascii="Times New Roman" w:hAnsi="Times New Roman" w:eastAsia="宋体" w:cs="Times New Roman"/>
          <w:sz w:val="28"/>
          <w:szCs w:val="28"/>
          <w:lang w:val="en-US" w:eastAsia="zh-CN"/>
        </w:rPr>
        <w:t>DL01</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DL08，4号电塔点号DT402东北方向布置基准点BM01,2号电塔点号DT202东北方向布置基准点BM02，1号电塔点号DT101西北方向布置基准点BM03，共计27个点位。</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表3.8</w:t>
      </w:r>
      <w:r>
        <w:rPr>
          <w:rFonts w:hint="default" w:ascii="Times New Roman" w:hAnsi="Times New Roman" w:eastAsia="宋体" w:cs="Times New Roman"/>
          <w:sz w:val="28"/>
          <w:szCs w:val="28"/>
          <w:lang w:val="en-US" w:eastAsia="zh-CN"/>
        </w:rPr>
        <w:noBreakHyphen/>
      </w:r>
      <w:r>
        <w:rPr>
          <w:rFonts w:hint="eastAsia" w:ascii="Times New Roman" w:hAnsi="Times New Roman" w:eastAsia="宋体" w:cs="Times New Roman"/>
          <w:sz w:val="28"/>
          <w:szCs w:val="28"/>
          <w:lang w:val="en-US" w:eastAsia="zh-CN"/>
        </w:rPr>
        <w:t>2海缆登陆段电缆沟沉降观测监测点</w:t>
      </w:r>
    </w:p>
    <w:tbl>
      <w:tblPr>
        <w:tblStyle w:val="1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2"/>
        <w:gridCol w:w="2490"/>
        <w:gridCol w:w="1750"/>
        <w:gridCol w:w="2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（1）基准点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点号</w:t>
            </w:r>
          </w:p>
        </w:tc>
        <w:tc>
          <w:tcPr>
            <w:tcW w:w="1460"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BM</w:t>
            </w:r>
            <w:r>
              <w:rPr>
                <w:rFonts w:hint="default" w:ascii="Times New Roman" w:hAnsi="Times New Roman" w:eastAsia="宋体" w:cs="Times New Roman"/>
                <w:sz w:val="28"/>
                <w:szCs w:val="28"/>
                <w:vertAlign w:val="baseline"/>
                <w:lang w:val="en-US" w:eastAsia="zh-CN"/>
              </w:rPr>
              <w:t>01</w:t>
            </w:r>
            <w:r>
              <w:rPr>
                <w:rFonts w:hint="eastAsia" w:ascii="Times New Roman" w:hAnsi="Times New Roman" w:eastAsia="宋体" w:cs="Times New Roman"/>
                <w:sz w:val="28"/>
                <w:szCs w:val="28"/>
                <w:vertAlign w:val="baseline"/>
                <w:lang w:val="en-US" w:eastAsia="zh-CN"/>
              </w:rPr>
              <w:t>~BM</w:t>
            </w:r>
            <w:r>
              <w:rPr>
                <w:rFonts w:hint="default" w:ascii="Times New Roman" w:hAnsi="Times New Roman" w:eastAsia="宋体" w:cs="Times New Roman"/>
                <w:sz w:val="28"/>
                <w:szCs w:val="28"/>
                <w:vertAlign w:val="baseline"/>
                <w:lang w:val="en-US" w:eastAsia="zh-CN"/>
              </w:rPr>
              <w:t>0</w:t>
            </w:r>
            <w:r>
              <w:rPr>
                <w:rFonts w:hint="eastAsia" w:ascii="Times New Roman" w:hAnsi="Times New Roman" w:eastAsia="宋体" w:cs="Times New Roman"/>
                <w:sz w:val="28"/>
                <w:szCs w:val="28"/>
                <w:vertAlign w:val="baseline"/>
                <w:lang w:val="en-US" w:eastAsia="zh-CN"/>
              </w:rPr>
              <w:t>3</w:t>
            </w:r>
          </w:p>
        </w:tc>
        <w:tc>
          <w:tcPr>
            <w:tcW w:w="1026"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eastAsia="宋体"/>
                <w:lang w:val="en-US" w:eastAsia="zh-CN"/>
              </w:rPr>
            </w:pPr>
            <w:r>
              <w:rPr>
                <w:rFonts w:hint="eastAsia" w:ascii="Times New Roman" w:hAnsi="Times New Roman" w:eastAsia="宋体" w:cs="Times New Roman"/>
                <w:sz w:val="28"/>
                <w:szCs w:val="28"/>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（2）铁塔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057" w:type="pct"/>
            <w:vMerge w:val="restar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点号</w:t>
            </w:r>
          </w:p>
        </w:tc>
        <w:tc>
          <w:tcPr>
            <w:tcW w:w="1460"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lang w:val="en-US" w:eastAsia="zh-CN"/>
              </w:rPr>
              <w:t>DT101~DT104</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pct"/>
            <w:vMerge w:val="continue"/>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vertAlign w:val="baseline"/>
                <w:lang w:val="en-US" w:eastAsia="zh-CN"/>
              </w:rPr>
            </w:pP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lang w:val="en-US" w:eastAsia="zh-CN"/>
              </w:rPr>
              <w:t>DT201~DT204</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数量（个）</w:t>
            </w:r>
          </w:p>
        </w:tc>
        <w:tc>
          <w:tcPr>
            <w:tcW w:w="1455"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pct"/>
            <w:vMerge w:val="continue"/>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vertAlign w:val="baseline"/>
                <w:lang w:val="en-US" w:eastAsia="zh-CN"/>
              </w:rPr>
            </w:pP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lang w:val="en-US" w:eastAsia="zh-CN"/>
              </w:rPr>
              <w:t>DT301~DT304</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数量（个）</w:t>
            </w:r>
          </w:p>
        </w:tc>
        <w:tc>
          <w:tcPr>
            <w:tcW w:w="1455"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pct"/>
            <w:vMerge w:val="continue"/>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vertAlign w:val="baseline"/>
                <w:lang w:val="en-US" w:eastAsia="zh-CN"/>
              </w:rPr>
            </w:pP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lang w:val="en-US" w:eastAsia="zh-CN"/>
              </w:rPr>
              <w:t>DT401~DT404</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数量（个）</w:t>
            </w:r>
          </w:p>
        </w:tc>
        <w:tc>
          <w:tcPr>
            <w:tcW w:w="1455"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both"/>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（3）电缆沟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点号</w:t>
            </w:r>
          </w:p>
        </w:tc>
        <w:tc>
          <w:tcPr>
            <w:tcW w:w="1460"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DL</w:t>
            </w:r>
            <w:r>
              <w:rPr>
                <w:rFonts w:hint="default" w:ascii="Times New Roman" w:hAnsi="Times New Roman" w:eastAsia="宋体" w:cs="Times New Roman"/>
                <w:sz w:val="28"/>
                <w:szCs w:val="28"/>
                <w:vertAlign w:val="baseline"/>
                <w:lang w:val="en-US" w:eastAsia="zh-CN"/>
              </w:rPr>
              <w:t>01</w:t>
            </w:r>
            <w:r>
              <w:rPr>
                <w:rFonts w:hint="eastAsia" w:ascii="Times New Roman" w:hAnsi="Times New Roman" w:eastAsia="宋体" w:cs="Times New Roman"/>
                <w:sz w:val="28"/>
                <w:szCs w:val="28"/>
                <w:vertAlign w:val="baseline"/>
                <w:lang w:val="en-US" w:eastAsia="zh-CN"/>
              </w:rPr>
              <w:t>~DL08</w:t>
            </w:r>
          </w:p>
        </w:tc>
        <w:tc>
          <w:tcPr>
            <w:tcW w:w="1026" w:type="pct"/>
            <w:shd w:val="clear" w:color="auto" w:fill="auto"/>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napToGrid w:val="0"/>
                <w:color w:val="000000"/>
                <w:kern w:val="0"/>
                <w:sz w:val="28"/>
                <w:szCs w:val="28"/>
                <w:vertAlign w:val="baseline"/>
                <w:lang w:val="en-US" w:eastAsia="zh-CN" w:bidi="ar-SA"/>
              </w:rPr>
            </w:pPr>
            <w:r>
              <w:rPr>
                <w:rFonts w:hint="eastAsia" w:ascii="Times New Roman" w:hAnsi="Times New Roman" w:eastAsia="宋体" w:cs="Times New Roman"/>
                <w:sz w:val="28"/>
                <w:szCs w:val="28"/>
                <w:vertAlign w:val="baseline"/>
                <w:lang w:val="en-US" w:eastAsia="zh-CN"/>
              </w:rPr>
              <w:t>数量（个）</w:t>
            </w:r>
          </w:p>
        </w:tc>
        <w:tc>
          <w:tcPr>
            <w:tcW w:w="1455" w:type="pct"/>
            <w:vAlign w:val="center"/>
          </w:tcPr>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default" w:ascii="Times New Roman" w:hAnsi="Times New Roman" w:eastAsia="宋体" w:cs="Times New Roman"/>
                <w:sz w:val="28"/>
                <w:szCs w:val="28"/>
                <w:vertAlign w:val="baseline"/>
                <w:lang w:val="en-US" w:eastAsia="zh-CN"/>
              </w:rPr>
            </w:pPr>
            <w:r>
              <w:rPr>
                <w:rFonts w:hint="eastAsia" w:ascii="Times New Roman" w:hAnsi="Times New Roman" w:eastAsia="宋体" w:cs="Times New Roman"/>
                <w:sz w:val="28"/>
                <w:szCs w:val="28"/>
                <w:vertAlign w:val="baseline"/>
                <w:lang w:val="en-US" w:eastAsia="zh-CN"/>
              </w:rPr>
              <w:t>8</w:t>
            </w:r>
          </w:p>
        </w:tc>
      </w:tr>
    </w:tbl>
    <w:p>
      <w:pPr>
        <w:keepNext w:val="0"/>
        <w:keepLines w:val="0"/>
        <w:pageBreakBefore w:val="0"/>
        <w:widowControl/>
        <w:kinsoku w:val="0"/>
        <w:wordWrap/>
        <w:overflowPunct/>
        <w:topLinePunct w:val="0"/>
        <w:autoSpaceDE w:val="0"/>
        <w:autoSpaceDN w:val="0"/>
        <w:bidi w:val="0"/>
        <w:adjustRightInd w:val="0"/>
        <w:snapToGrid w:val="0"/>
        <w:spacing w:line="240" w:lineRule="auto"/>
        <w:jc w:val="both"/>
        <w:textAlignment w:val="baseline"/>
        <w:rPr>
          <w:rFonts w:hint="eastAsia" w:ascii="Times New Roman" w:hAnsi="Times New Roman" w:eastAsia="宋体" w:cs="Times New Roman"/>
          <w:sz w:val="28"/>
          <w:szCs w:val="28"/>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drawing>
          <wp:inline distT="0" distB="0" distL="114300" distR="114300">
            <wp:extent cx="4117340" cy="5908040"/>
            <wp:effectExtent l="0" t="0" r="16510" b="16510"/>
            <wp:docPr id="12" name="图片 12" descr="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20"/>
                    <pic:cNvPicPr>
                      <a:picLocks noChangeAspect="1"/>
                    </pic:cNvPicPr>
                  </pic:nvPicPr>
                  <pic:blipFill>
                    <a:blip r:embed="rId15"/>
                    <a:stretch>
                      <a:fillRect/>
                    </a:stretch>
                  </pic:blipFill>
                  <pic:spPr>
                    <a:xfrm>
                      <a:off x="0" y="0"/>
                      <a:ext cx="4117340" cy="5908040"/>
                    </a:xfrm>
                    <a:prstGeom prst="rect">
                      <a:avLst/>
                    </a:prstGeom>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图 3.8-2 海缆登陆段电缆沟沉降观测监测图</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left"/>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3.8.3海上升压站不均匀沉降监测点布置情况</w:t>
      </w:r>
    </w:p>
    <w:p>
      <w:pPr>
        <w:pStyle w:val="15"/>
        <w:keepNext w:val="0"/>
        <w:keepLines w:val="0"/>
        <w:pageBreakBefore w:val="0"/>
        <w:widowControl/>
        <w:wordWrap/>
        <w:overflowPunct/>
        <w:topLinePunct w:val="0"/>
        <w:bidi w:val="0"/>
        <w:spacing w:before="156" w:line="560" w:lineRule="exact"/>
        <w:ind w:firstLine="560" w:firstLineChars="200"/>
        <w:jc w:val="both"/>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对海上升压站进行不均匀沉降监测，升压站一层平台布置四个水准点，以水准点作为起始点BM1，以逆时针方向每90°选择一个点位，分别为BM2、BM3、BM4，通过测量各水准点间高差相对变化来判定不均匀沉降情况。</w:t>
      </w:r>
    </w:p>
    <w:p>
      <w:pPr>
        <w:pStyle w:val="15"/>
        <w:spacing w:before="156"/>
        <w:jc w:val="center"/>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drawing>
          <wp:inline distT="0" distB="0" distL="114300" distR="114300">
            <wp:extent cx="4229100" cy="4200525"/>
            <wp:effectExtent l="0" t="0" r="0" b="9525"/>
            <wp:docPr id="3" name="图片 3" descr="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21"/>
                    <pic:cNvPicPr>
                      <a:picLocks noChangeAspect="1"/>
                    </pic:cNvPicPr>
                  </pic:nvPicPr>
                  <pic:blipFill>
                    <a:blip r:embed="rId16"/>
                    <a:stretch>
                      <a:fillRect/>
                    </a:stretch>
                  </pic:blipFill>
                  <pic:spPr>
                    <a:xfrm>
                      <a:off x="0" y="0"/>
                      <a:ext cx="4229100" cy="4200525"/>
                    </a:xfrm>
                    <a:prstGeom prst="rect">
                      <a:avLst/>
                    </a:prstGeom>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图 3.8-3 升压站基准点现场照片</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0"/>
        <w:rPr>
          <w:rFonts w:hint="eastAsia" w:ascii="黑体" w:hAnsi="黑体" w:eastAsia="黑体" w:cs="黑体"/>
          <w:sz w:val="28"/>
          <w:szCs w:val="28"/>
          <w:lang w:val="en-US" w:eastAsia="zh-CN"/>
        </w:rPr>
      </w:pPr>
      <w:bookmarkStart w:id="87" w:name="_Toc21976"/>
      <w:r>
        <w:rPr>
          <w:rFonts w:hint="eastAsia" w:ascii="黑体" w:hAnsi="黑体" w:eastAsia="黑体" w:cs="黑体"/>
          <w:sz w:val="28"/>
          <w:szCs w:val="28"/>
          <w:lang w:val="en-US" w:eastAsia="zh-CN"/>
        </w:rPr>
        <w:t>四、工作内容(包括但不限于)</w:t>
      </w:r>
      <w:bookmarkEnd w:id="87"/>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left"/>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本次招标工作内容分为两大部分：</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left"/>
        <w:textAlignment w:val="baseline"/>
        <w:outlineLvl w:val="1"/>
        <w:rPr>
          <w:rFonts w:hint="eastAsia" w:ascii="楷体" w:hAnsi="楷体" w:eastAsia="楷体" w:cs="楷体"/>
          <w:sz w:val="28"/>
          <w:szCs w:val="28"/>
          <w:lang w:val="en-US" w:eastAsia="zh-CN"/>
        </w:rPr>
      </w:pPr>
      <w:bookmarkStart w:id="88" w:name="_Toc22518"/>
      <w:r>
        <w:rPr>
          <w:rFonts w:hint="eastAsia" w:ascii="黑体" w:hAnsi="黑体" w:eastAsia="黑体" w:cs="黑体"/>
          <w:sz w:val="28"/>
          <w:szCs w:val="28"/>
          <w:lang w:val="en-US" w:eastAsia="zh-CN"/>
        </w:rPr>
        <w:t>4.1 安全监测系统维护与数据分析服务工作内容</w:t>
      </w:r>
      <w:bookmarkEnd w:id="88"/>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left"/>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4.1.1 </w:t>
      </w:r>
      <w:r>
        <w:rPr>
          <w:rFonts w:hint="default" w:ascii="Times New Roman" w:hAnsi="Times New Roman" w:eastAsia="宋体" w:cs="Times New Roman"/>
          <w:sz w:val="28"/>
          <w:szCs w:val="28"/>
          <w:lang w:val="en-US" w:eastAsia="zh-CN"/>
        </w:rPr>
        <w:t>投标人在服务期内提供安全监测系统运行和维护服务工作，及时掌握了解海工建筑物在各种状态下的安全程度，为风</w:t>
      </w:r>
      <w:r>
        <w:rPr>
          <w:rFonts w:hint="eastAsia" w:ascii="Times New Roman" w:hAnsi="Times New Roman" w:eastAsia="宋体" w:cs="Times New Roman"/>
          <w:sz w:val="28"/>
          <w:szCs w:val="28"/>
          <w:lang w:val="en-US" w:eastAsia="zh-CN"/>
        </w:rPr>
        <w:t>电场</w:t>
      </w:r>
      <w:r>
        <w:rPr>
          <w:rFonts w:hint="default" w:ascii="Times New Roman" w:hAnsi="Times New Roman" w:eastAsia="宋体" w:cs="Times New Roman"/>
          <w:sz w:val="28"/>
          <w:szCs w:val="28"/>
          <w:lang w:val="en-US" w:eastAsia="zh-CN"/>
        </w:rPr>
        <w:t>正确运行提供依据。</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4.1.2 </w:t>
      </w:r>
      <w:r>
        <w:rPr>
          <w:rFonts w:hint="default" w:ascii="Times New Roman" w:hAnsi="Times New Roman" w:eastAsia="宋体" w:cs="Times New Roman"/>
          <w:sz w:val="28"/>
          <w:szCs w:val="28"/>
          <w:lang w:val="en-US" w:eastAsia="zh-CN"/>
        </w:rPr>
        <w:t>投标人应每月按时对监测数据进行分析，监视掌握风机、海上升压站及其基础设施的状态变化，及时发现不正常迹象，分析原因提出措施意见，防止发生破坏事故，确保风电场安全稳定运行。</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4.1.3 </w:t>
      </w:r>
      <w:r>
        <w:rPr>
          <w:rFonts w:hint="default" w:ascii="Times New Roman" w:hAnsi="Times New Roman" w:eastAsia="宋体" w:cs="Times New Roman"/>
          <w:sz w:val="28"/>
          <w:szCs w:val="28"/>
          <w:lang w:val="en-US" w:eastAsia="zh-CN"/>
        </w:rPr>
        <w:t>投标人应每周对安全监测系统进行巡视检查，确保安全监测系统正常运行，发现问题及时进行消缺。</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4.1.4 </w:t>
      </w:r>
      <w:r>
        <w:rPr>
          <w:rFonts w:hint="default" w:ascii="Times New Roman" w:hAnsi="Times New Roman" w:eastAsia="宋体" w:cs="Times New Roman"/>
          <w:sz w:val="28"/>
          <w:szCs w:val="28"/>
          <w:lang w:val="en-US" w:eastAsia="zh-CN"/>
        </w:rPr>
        <w:t>投标人发现安全监测系统存在问题时，应及时修复或更换软件系统、安全监测设备设施、线缆等，确保安全监测系统正常稳定运行。</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bookmarkStart w:id="89" w:name="_Toc11341"/>
      <w:bookmarkStart w:id="90" w:name="_Toc18586"/>
      <w:r>
        <w:rPr>
          <w:rFonts w:hint="eastAsia" w:ascii="Times New Roman" w:hAnsi="Times New Roman" w:eastAsia="宋体" w:cs="Times New Roman"/>
          <w:sz w:val="28"/>
          <w:szCs w:val="28"/>
          <w:lang w:val="en-US" w:eastAsia="zh-CN"/>
        </w:rPr>
        <w:t xml:space="preserve">4.1.5 </w:t>
      </w:r>
      <w:r>
        <w:rPr>
          <w:rFonts w:hint="default" w:ascii="Times New Roman" w:hAnsi="Times New Roman" w:eastAsia="宋体" w:cs="Times New Roman"/>
          <w:sz w:val="28"/>
          <w:szCs w:val="28"/>
          <w:lang w:val="en-US" w:eastAsia="zh-CN"/>
        </w:rPr>
        <w:t>协助招标人做好与安全监测相关的其他工作内容。</w:t>
      </w:r>
      <w:bookmarkEnd w:id="89"/>
      <w:bookmarkEnd w:id="90"/>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Times New Roman" w:hAnsi="Times New Roman" w:eastAsia="宋体" w:cs="Times New Roman"/>
          <w:sz w:val="28"/>
          <w:szCs w:val="28"/>
          <w:lang w:val="en-US" w:eastAsia="zh-CN"/>
        </w:rPr>
      </w:pPr>
      <w:bookmarkStart w:id="91" w:name="_Toc24008"/>
      <w:r>
        <w:rPr>
          <w:rFonts w:hint="eastAsia" w:ascii="黑体" w:hAnsi="黑体" w:eastAsia="黑体" w:cs="黑体"/>
          <w:sz w:val="28"/>
          <w:szCs w:val="28"/>
          <w:lang w:val="en-US" w:eastAsia="zh-CN"/>
        </w:rPr>
        <w:t>4.2 沉降监测工作内容</w:t>
      </w:r>
      <w:bookmarkEnd w:id="91"/>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4.2.1 投标人在服务期内应按时完成陆上集控中心沉降监测、海缆登陆段电缆沟沉降监测及海上升压站不均匀沉降监测工作（出海测量作业所需船只由招标人提供，每</w:t>
      </w:r>
      <w:r>
        <w:rPr>
          <w:rFonts w:hint="eastAsia"/>
          <w:sz w:val="24"/>
          <w:szCs w:val="24"/>
          <w:lang w:val="en-US" w:eastAsia="zh-CN"/>
        </w:rPr>
        <w:t>年</w:t>
      </w:r>
      <w:r>
        <w:rPr>
          <w:rFonts w:hint="eastAsia" w:ascii="Times New Roman" w:hAnsi="Times New Roman" w:eastAsia="宋体" w:cs="Times New Roman"/>
          <w:sz w:val="28"/>
          <w:szCs w:val="28"/>
          <w:lang w:val="en-US" w:eastAsia="zh-CN"/>
        </w:rPr>
        <w:t>监测2次）。</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4.2.2 投标人应对测量数据进行计算，并与往期数据进行对比、分析，及时监视掌握海上升压站、陆上集控中心建筑物基础设施的状态变化，发现不正常迹象，分析原因并提出措施意见，防止发生破坏事故，确保风电场安全稳定运行。</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4.2.3 投标人应及时完成监测报告的编制并上报招标人。</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4.2.4 协助招标人做好</w:t>
      </w:r>
      <w:r>
        <w:rPr>
          <w:rFonts w:hint="default" w:ascii="Times New Roman" w:hAnsi="Times New Roman" w:eastAsia="宋体" w:cs="Times New Roman"/>
          <w:sz w:val="28"/>
          <w:szCs w:val="28"/>
          <w:lang w:val="en-US" w:eastAsia="zh-CN"/>
        </w:rPr>
        <w:t>与</w:t>
      </w:r>
      <w:r>
        <w:rPr>
          <w:rFonts w:hint="eastAsia" w:ascii="Times New Roman" w:hAnsi="Times New Roman" w:eastAsia="宋体" w:cs="Times New Roman"/>
          <w:sz w:val="28"/>
          <w:szCs w:val="28"/>
          <w:lang w:val="en-US" w:eastAsia="zh-CN"/>
        </w:rPr>
        <w:t>监测项目</w:t>
      </w:r>
      <w:r>
        <w:rPr>
          <w:rFonts w:hint="default" w:ascii="Times New Roman" w:hAnsi="Times New Roman" w:eastAsia="宋体" w:cs="Times New Roman"/>
          <w:sz w:val="28"/>
          <w:szCs w:val="28"/>
          <w:lang w:val="en-US" w:eastAsia="zh-CN"/>
        </w:rPr>
        <w:t>相关的其他工作内容</w:t>
      </w:r>
      <w:r>
        <w:rPr>
          <w:rFonts w:hint="eastAsia" w:ascii="Times New Roman" w:hAnsi="Times New Roman" w:eastAsia="宋体" w:cs="Times New Roman"/>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jc w:val="center"/>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表 4.2-1海上升压站不均匀沉降、集控中心沉降工程量清单</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2591"/>
        <w:gridCol w:w="809"/>
        <w:gridCol w:w="851"/>
        <w:gridCol w:w="34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pPr>
              <w:pStyle w:val="13"/>
              <w:widowControl w:val="0"/>
              <w:rPr>
                <w:rFonts w:hint="eastAsia" w:ascii="黑体" w:hAnsi="黑体" w:eastAsia="黑体" w:cs="黑体"/>
                <w:sz w:val="24"/>
                <w:szCs w:val="24"/>
              </w:rPr>
            </w:pPr>
            <w:r>
              <w:rPr>
                <w:rFonts w:hint="eastAsia" w:ascii="黑体" w:hAnsi="黑体" w:eastAsia="黑体" w:cs="黑体"/>
                <w:sz w:val="24"/>
                <w:szCs w:val="24"/>
              </w:rPr>
              <w:t>序号</w:t>
            </w:r>
          </w:p>
        </w:tc>
        <w:tc>
          <w:tcPr>
            <w:tcW w:w="2591" w:type="dxa"/>
            <w:vAlign w:val="center"/>
          </w:tcPr>
          <w:p>
            <w:pPr>
              <w:pStyle w:val="13"/>
              <w:widowControl w:val="0"/>
              <w:rPr>
                <w:rFonts w:hint="eastAsia" w:ascii="黑体" w:hAnsi="黑体" w:eastAsia="黑体" w:cs="黑体"/>
                <w:sz w:val="24"/>
                <w:szCs w:val="24"/>
              </w:rPr>
            </w:pPr>
            <w:r>
              <w:rPr>
                <w:rFonts w:hint="eastAsia" w:ascii="黑体" w:hAnsi="黑体" w:eastAsia="黑体" w:cs="黑体"/>
                <w:sz w:val="24"/>
                <w:szCs w:val="24"/>
              </w:rPr>
              <w:t>工作内容</w:t>
            </w:r>
          </w:p>
        </w:tc>
        <w:tc>
          <w:tcPr>
            <w:tcW w:w="809" w:type="dxa"/>
            <w:vAlign w:val="center"/>
          </w:tcPr>
          <w:p>
            <w:pPr>
              <w:pStyle w:val="13"/>
              <w:widowControl w:val="0"/>
              <w:rPr>
                <w:rFonts w:hint="eastAsia" w:ascii="黑体" w:hAnsi="黑体" w:eastAsia="黑体" w:cs="黑体"/>
                <w:sz w:val="24"/>
                <w:szCs w:val="24"/>
              </w:rPr>
            </w:pPr>
            <w:r>
              <w:rPr>
                <w:rFonts w:hint="eastAsia" w:ascii="黑体" w:hAnsi="黑体" w:eastAsia="黑体" w:cs="黑体"/>
                <w:sz w:val="24"/>
                <w:szCs w:val="24"/>
              </w:rPr>
              <w:t>数量</w:t>
            </w:r>
          </w:p>
        </w:tc>
        <w:tc>
          <w:tcPr>
            <w:tcW w:w="851" w:type="dxa"/>
            <w:vAlign w:val="center"/>
          </w:tcPr>
          <w:p>
            <w:pPr>
              <w:pStyle w:val="13"/>
              <w:widowControl w:val="0"/>
              <w:rPr>
                <w:rFonts w:hint="eastAsia" w:ascii="黑体" w:hAnsi="黑体" w:eastAsia="黑体" w:cs="黑体"/>
                <w:sz w:val="24"/>
                <w:szCs w:val="24"/>
              </w:rPr>
            </w:pPr>
            <w:r>
              <w:rPr>
                <w:rFonts w:hint="eastAsia" w:ascii="黑体" w:hAnsi="黑体" w:eastAsia="黑体" w:cs="黑体"/>
                <w:sz w:val="24"/>
                <w:szCs w:val="24"/>
              </w:rPr>
              <w:t>单位</w:t>
            </w:r>
          </w:p>
        </w:tc>
        <w:tc>
          <w:tcPr>
            <w:tcW w:w="3455" w:type="dxa"/>
            <w:vAlign w:val="center"/>
          </w:tcPr>
          <w:p>
            <w:pPr>
              <w:pStyle w:val="13"/>
              <w:widowControl w:val="0"/>
              <w:rPr>
                <w:rFonts w:hint="eastAsia" w:ascii="黑体" w:hAnsi="黑体" w:eastAsia="黑体" w:cs="黑体"/>
                <w:sz w:val="24"/>
                <w:szCs w:val="24"/>
              </w:rPr>
            </w:pPr>
            <w:r>
              <w:rPr>
                <w:rFonts w:hint="eastAsia" w:ascii="黑体" w:hAnsi="黑体" w:eastAsia="黑体" w:cs="黑体"/>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pPr>
              <w:pStyle w:val="13"/>
              <w:widowControl w:val="0"/>
              <w:rPr>
                <w:rFonts w:hint="eastAsia" w:eastAsia="宋体"/>
                <w:sz w:val="24"/>
                <w:szCs w:val="24"/>
                <w:lang w:eastAsia="zh-CN"/>
              </w:rPr>
            </w:pPr>
            <w:r>
              <w:rPr>
                <w:rFonts w:hint="eastAsia"/>
                <w:sz w:val="24"/>
                <w:szCs w:val="24"/>
                <w:lang w:val="en-US" w:eastAsia="zh-CN"/>
              </w:rPr>
              <w:t>1</w:t>
            </w:r>
          </w:p>
        </w:tc>
        <w:tc>
          <w:tcPr>
            <w:tcW w:w="2591" w:type="dxa"/>
            <w:vAlign w:val="center"/>
          </w:tcPr>
          <w:p>
            <w:pPr>
              <w:pStyle w:val="13"/>
              <w:widowControl w:val="0"/>
              <w:rPr>
                <w:sz w:val="24"/>
                <w:szCs w:val="24"/>
              </w:rPr>
            </w:pPr>
            <w:r>
              <w:rPr>
                <w:rFonts w:hint="eastAsia"/>
                <w:sz w:val="24"/>
                <w:szCs w:val="24"/>
                <w:lang w:val="en-US" w:eastAsia="zh-CN"/>
              </w:rPr>
              <w:t>台州</w:t>
            </w:r>
            <w:r>
              <w:rPr>
                <w:rFonts w:hint="eastAsia"/>
                <w:sz w:val="24"/>
                <w:szCs w:val="24"/>
              </w:rPr>
              <w:t>1号海上升压站不均匀沉降监测</w:t>
            </w:r>
          </w:p>
        </w:tc>
        <w:tc>
          <w:tcPr>
            <w:tcW w:w="809" w:type="dxa"/>
            <w:vAlign w:val="center"/>
          </w:tcPr>
          <w:p>
            <w:pPr>
              <w:pStyle w:val="13"/>
              <w:widowControl w:val="0"/>
              <w:rPr>
                <w:rFonts w:hint="eastAsia" w:eastAsia="宋体"/>
                <w:sz w:val="24"/>
                <w:szCs w:val="24"/>
                <w:lang w:eastAsia="zh-CN"/>
              </w:rPr>
            </w:pPr>
            <w:r>
              <w:rPr>
                <w:rFonts w:hint="eastAsia"/>
                <w:sz w:val="24"/>
                <w:szCs w:val="24"/>
                <w:lang w:val="en-US" w:eastAsia="zh-CN"/>
              </w:rPr>
              <w:t>4</w:t>
            </w:r>
          </w:p>
        </w:tc>
        <w:tc>
          <w:tcPr>
            <w:tcW w:w="851" w:type="dxa"/>
            <w:vAlign w:val="center"/>
          </w:tcPr>
          <w:p>
            <w:pPr>
              <w:pStyle w:val="13"/>
              <w:widowControl w:val="0"/>
              <w:rPr>
                <w:sz w:val="24"/>
                <w:szCs w:val="24"/>
              </w:rPr>
            </w:pPr>
            <w:r>
              <w:rPr>
                <w:rFonts w:hint="eastAsia"/>
                <w:sz w:val="24"/>
                <w:szCs w:val="24"/>
              </w:rPr>
              <w:t>次</w:t>
            </w:r>
          </w:p>
        </w:tc>
        <w:tc>
          <w:tcPr>
            <w:tcW w:w="3455" w:type="dxa"/>
            <w:vAlign w:val="center"/>
          </w:tcPr>
          <w:p>
            <w:pPr>
              <w:pStyle w:val="13"/>
              <w:widowControl w:val="0"/>
              <w:jc w:val="left"/>
              <w:rPr>
                <w:rFonts w:hint="default" w:eastAsia="宋体"/>
                <w:sz w:val="24"/>
                <w:szCs w:val="24"/>
                <w:lang w:val="en-US" w:eastAsia="zh-CN"/>
              </w:rPr>
            </w:pPr>
            <w:r>
              <w:rPr>
                <w:sz w:val="24"/>
                <w:szCs w:val="24"/>
              </w:rPr>
              <w:t>共计</w:t>
            </w:r>
            <w:r>
              <w:rPr>
                <w:rFonts w:hint="eastAsia"/>
                <w:sz w:val="24"/>
                <w:szCs w:val="24"/>
              </w:rPr>
              <w:t>1座海上升压站，</w:t>
            </w:r>
            <w:r>
              <w:rPr>
                <w:rFonts w:hint="eastAsia"/>
                <w:sz w:val="24"/>
                <w:szCs w:val="24"/>
                <w:lang w:val="en-US" w:eastAsia="zh-CN"/>
              </w:rPr>
              <w:t>1座海上升压站含4个水准点位</w:t>
            </w:r>
            <w:r>
              <w:rPr>
                <w:rFonts w:hint="eastAsia"/>
                <w:sz w:val="24"/>
                <w:szCs w:val="24"/>
              </w:rPr>
              <w:t>，每</w:t>
            </w:r>
            <w:r>
              <w:rPr>
                <w:rFonts w:hint="eastAsia"/>
                <w:sz w:val="24"/>
                <w:szCs w:val="24"/>
                <w:lang w:val="en-US" w:eastAsia="zh-CN"/>
              </w:rPr>
              <w:t>年</w:t>
            </w:r>
            <w:r>
              <w:rPr>
                <w:rFonts w:hint="eastAsia"/>
                <w:sz w:val="24"/>
                <w:szCs w:val="24"/>
              </w:rPr>
              <w:t>按二等水准测量标准</w:t>
            </w:r>
            <w:r>
              <w:rPr>
                <w:rFonts w:hint="eastAsia"/>
                <w:sz w:val="24"/>
                <w:szCs w:val="24"/>
                <w:lang w:val="en-US" w:eastAsia="zh-CN"/>
              </w:rPr>
              <w:t>完成2次，共计4次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pPr>
              <w:pStyle w:val="13"/>
              <w:widowControl w:val="0"/>
              <w:rPr>
                <w:rFonts w:hint="eastAsia" w:eastAsia="宋体"/>
                <w:sz w:val="24"/>
                <w:szCs w:val="24"/>
                <w:lang w:eastAsia="zh-CN"/>
              </w:rPr>
            </w:pPr>
            <w:r>
              <w:rPr>
                <w:rFonts w:hint="eastAsia"/>
                <w:sz w:val="24"/>
                <w:szCs w:val="24"/>
                <w:lang w:val="en-US" w:eastAsia="zh-CN"/>
              </w:rPr>
              <w:t>2</w:t>
            </w:r>
          </w:p>
        </w:tc>
        <w:tc>
          <w:tcPr>
            <w:tcW w:w="2591" w:type="dxa"/>
            <w:vAlign w:val="center"/>
          </w:tcPr>
          <w:p>
            <w:pPr>
              <w:pStyle w:val="13"/>
              <w:widowControl w:val="0"/>
              <w:rPr>
                <w:sz w:val="24"/>
                <w:szCs w:val="24"/>
              </w:rPr>
            </w:pPr>
            <w:r>
              <w:rPr>
                <w:sz w:val="24"/>
                <w:szCs w:val="24"/>
              </w:rPr>
              <w:t>陆上</w:t>
            </w:r>
            <w:r>
              <w:rPr>
                <w:rFonts w:hint="eastAsia"/>
                <w:sz w:val="24"/>
                <w:szCs w:val="24"/>
                <w:lang w:val="en-US" w:eastAsia="zh-CN"/>
              </w:rPr>
              <w:t>集控中心</w:t>
            </w:r>
            <w:r>
              <w:rPr>
                <w:sz w:val="24"/>
                <w:szCs w:val="24"/>
              </w:rPr>
              <w:t>监测基准点联测</w:t>
            </w:r>
          </w:p>
        </w:tc>
        <w:tc>
          <w:tcPr>
            <w:tcW w:w="809" w:type="dxa"/>
            <w:vAlign w:val="center"/>
          </w:tcPr>
          <w:p>
            <w:pPr>
              <w:pStyle w:val="13"/>
              <w:widowControl w:val="0"/>
              <w:rPr>
                <w:rFonts w:hint="eastAsia" w:eastAsia="宋体"/>
                <w:sz w:val="24"/>
                <w:szCs w:val="24"/>
                <w:lang w:eastAsia="zh-CN"/>
              </w:rPr>
            </w:pPr>
            <w:r>
              <w:rPr>
                <w:rFonts w:hint="eastAsia"/>
                <w:sz w:val="24"/>
                <w:szCs w:val="24"/>
                <w:lang w:val="en-US" w:eastAsia="zh-CN"/>
              </w:rPr>
              <w:t>4</w:t>
            </w:r>
          </w:p>
        </w:tc>
        <w:tc>
          <w:tcPr>
            <w:tcW w:w="851" w:type="dxa"/>
            <w:vAlign w:val="center"/>
          </w:tcPr>
          <w:p>
            <w:pPr>
              <w:pStyle w:val="13"/>
              <w:widowControl w:val="0"/>
              <w:rPr>
                <w:sz w:val="24"/>
                <w:szCs w:val="24"/>
              </w:rPr>
            </w:pPr>
            <w:r>
              <w:rPr>
                <w:rFonts w:hint="eastAsia"/>
                <w:sz w:val="24"/>
                <w:szCs w:val="24"/>
              </w:rPr>
              <w:t>次</w:t>
            </w:r>
          </w:p>
        </w:tc>
        <w:tc>
          <w:tcPr>
            <w:tcW w:w="3455" w:type="dxa"/>
            <w:vAlign w:val="center"/>
          </w:tcPr>
          <w:p>
            <w:pPr>
              <w:pStyle w:val="13"/>
              <w:widowControl w:val="0"/>
              <w:rPr>
                <w:rFonts w:hint="default" w:eastAsia="宋体"/>
                <w:sz w:val="24"/>
                <w:szCs w:val="24"/>
                <w:lang w:val="en-US" w:eastAsia="zh-CN"/>
              </w:rPr>
            </w:pPr>
            <w:r>
              <w:rPr>
                <w:sz w:val="24"/>
                <w:szCs w:val="24"/>
              </w:rPr>
              <w:t>共计</w:t>
            </w:r>
            <w:r>
              <w:rPr>
                <w:rFonts w:hint="eastAsia"/>
                <w:sz w:val="24"/>
                <w:szCs w:val="24"/>
                <w:lang w:val="en-US" w:eastAsia="zh-CN"/>
              </w:rPr>
              <w:t>7</w:t>
            </w:r>
            <w:r>
              <w:rPr>
                <w:rFonts w:hint="eastAsia"/>
                <w:sz w:val="24"/>
                <w:szCs w:val="24"/>
              </w:rPr>
              <w:t>个</w:t>
            </w:r>
            <w:r>
              <w:rPr>
                <w:rFonts w:hint="eastAsia"/>
                <w:sz w:val="24"/>
                <w:szCs w:val="24"/>
                <w:lang w:val="en-US" w:eastAsia="zh-CN"/>
              </w:rPr>
              <w:t>陆上监测基准</w:t>
            </w:r>
            <w:r>
              <w:rPr>
                <w:rFonts w:hint="eastAsia"/>
                <w:sz w:val="24"/>
                <w:szCs w:val="24"/>
              </w:rPr>
              <w:t>点位，每</w:t>
            </w:r>
            <w:r>
              <w:rPr>
                <w:rFonts w:hint="eastAsia"/>
                <w:sz w:val="24"/>
                <w:szCs w:val="24"/>
                <w:lang w:val="en-US" w:eastAsia="zh-CN"/>
              </w:rPr>
              <w:t>年</w:t>
            </w:r>
            <w:r>
              <w:rPr>
                <w:rFonts w:hint="eastAsia"/>
                <w:sz w:val="24"/>
                <w:szCs w:val="24"/>
              </w:rPr>
              <w:t>进行基础监测前按一等水准测量标准与提供的国家水准点联测</w:t>
            </w:r>
            <w:r>
              <w:rPr>
                <w:rFonts w:hint="eastAsia"/>
                <w:sz w:val="24"/>
                <w:szCs w:val="24"/>
                <w:lang w:val="en-US" w:eastAsia="zh-CN"/>
              </w:rPr>
              <w:t>1</w:t>
            </w:r>
            <w:r>
              <w:rPr>
                <w:rFonts w:hint="eastAsia"/>
                <w:sz w:val="24"/>
                <w:szCs w:val="24"/>
              </w:rPr>
              <w:t>次</w:t>
            </w:r>
            <w:r>
              <w:rPr>
                <w:rFonts w:hint="eastAsia"/>
                <w:sz w:val="24"/>
                <w:szCs w:val="24"/>
                <w:lang w:eastAsia="zh-CN"/>
              </w:rPr>
              <w:t>，</w:t>
            </w:r>
            <w:r>
              <w:rPr>
                <w:rFonts w:hint="eastAsia"/>
                <w:sz w:val="24"/>
                <w:szCs w:val="24"/>
                <w:lang w:val="en-US" w:eastAsia="zh-CN"/>
              </w:rPr>
              <w:t>共计2次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pPr>
              <w:pStyle w:val="13"/>
              <w:widowControl w:val="0"/>
              <w:rPr>
                <w:rFonts w:hint="eastAsia" w:eastAsia="宋体"/>
                <w:sz w:val="24"/>
                <w:szCs w:val="24"/>
                <w:lang w:val="en-US" w:eastAsia="zh-CN"/>
              </w:rPr>
            </w:pPr>
            <w:r>
              <w:rPr>
                <w:rFonts w:hint="eastAsia"/>
                <w:sz w:val="24"/>
                <w:szCs w:val="24"/>
                <w:lang w:val="en-US" w:eastAsia="zh-CN"/>
              </w:rPr>
              <w:t>3</w:t>
            </w:r>
          </w:p>
        </w:tc>
        <w:tc>
          <w:tcPr>
            <w:tcW w:w="2591" w:type="dxa"/>
            <w:vAlign w:val="center"/>
          </w:tcPr>
          <w:p>
            <w:pPr>
              <w:pStyle w:val="13"/>
              <w:widowControl w:val="0"/>
              <w:rPr>
                <w:sz w:val="24"/>
                <w:szCs w:val="24"/>
              </w:rPr>
            </w:pPr>
            <w:r>
              <w:rPr>
                <w:sz w:val="24"/>
                <w:szCs w:val="24"/>
              </w:rPr>
              <w:t>陆上</w:t>
            </w:r>
            <w:r>
              <w:rPr>
                <w:rFonts w:hint="eastAsia"/>
                <w:sz w:val="24"/>
                <w:szCs w:val="24"/>
                <w:lang w:val="en-US" w:eastAsia="zh-CN"/>
              </w:rPr>
              <w:t>集控中心</w:t>
            </w:r>
            <w:r>
              <w:rPr>
                <w:sz w:val="24"/>
                <w:szCs w:val="24"/>
              </w:rPr>
              <w:t>建筑物基础沉降监测</w:t>
            </w:r>
          </w:p>
        </w:tc>
        <w:tc>
          <w:tcPr>
            <w:tcW w:w="809" w:type="dxa"/>
            <w:vAlign w:val="center"/>
          </w:tcPr>
          <w:p>
            <w:pPr>
              <w:pStyle w:val="13"/>
              <w:widowControl w:val="0"/>
              <w:rPr>
                <w:rFonts w:hint="default" w:eastAsia="宋体"/>
                <w:sz w:val="24"/>
                <w:szCs w:val="24"/>
                <w:lang w:val="en-US" w:eastAsia="zh-CN"/>
              </w:rPr>
            </w:pPr>
            <w:r>
              <w:rPr>
                <w:rFonts w:hint="eastAsia"/>
                <w:sz w:val="24"/>
                <w:szCs w:val="24"/>
                <w:lang w:val="en-US" w:eastAsia="zh-CN"/>
              </w:rPr>
              <w:t>4</w:t>
            </w:r>
          </w:p>
        </w:tc>
        <w:tc>
          <w:tcPr>
            <w:tcW w:w="851" w:type="dxa"/>
            <w:vAlign w:val="center"/>
          </w:tcPr>
          <w:p>
            <w:pPr>
              <w:pStyle w:val="13"/>
              <w:widowControl w:val="0"/>
              <w:rPr>
                <w:sz w:val="24"/>
                <w:szCs w:val="24"/>
              </w:rPr>
            </w:pPr>
            <w:r>
              <w:rPr>
                <w:rFonts w:hint="eastAsia"/>
                <w:sz w:val="24"/>
                <w:szCs w:val="24"/>
              </w:rPr>
              <w:t>次</w:t>
            </w:r>
          </w:p>
        </w:tc>
        <w:tc>
          <w:tcPr>
            <w:tcW w:w="3455" w:type="dxa"/>
            <w:vAlign w:val="center"/>
          </w:tcPr>
          <w:p>
            <w:pPr>
              <w:pStyle w:val="13"/>
              <w:widowControl w:val="0"/>
              <w:rPr>
                <w:rFonts w:hint="eastAsia" w:eastAsia="宋体"/>
                <w:sz w:val="24"/>
                <w:szCs w:val="24"/>
                <w:lang w:eastAsia="zh-CN"/>
              </w:rPr>
            </w:pPr>
            <w:r>
              <w:rPr>
                <w:sz w:val="24"/>
                <w:szCs w:val="24"/>
              </w:rPr>
              <w:t>共计</w:t>
            </w:r>
            <w:r>
              <w:rPr>
                <w:rFonts w:hint="eastAsia"/>
                <w:sz w:val="24"/>
                <w:szCs w:val="24"/>
                <w:lang w:val="en-US" w:eastAsia="zh-CN"/>
              </w:rPr>
              <w:t>38</w:t>
            </w:r>
            <w:r>
              <w:rPr>
                <w:rFonts w:hint="eastAsia"/>
                <w:sz w:val="24"/>
                <w:szCs w:val="24"/>
              </w:rPr>
              <w:t>个监测点位，每</w:t>
            </w:r>
            <w:r>
              <w:rPr>
                <w:rFonts w:hint="eastAsia"/>
                <w:sz w:val="24"/>
                <w:szCs w:val="24"/>
                <w:lang w:val="en-US" w:eastAsia="zh-CN"/>
              </w:rPr>
              <w:t>年</w:t>
            </w:r>
            <w:r>
              <w:rPr>
                <w:rFonts w:hint="eastAsia"/>
                <w:sz w:val="24"/>
                <w:szCs w:val="24"/>
              </w:rPr>
              <w:t>按二等水准测量标准测量</w:t>
            </w:r>
            <w:r>
              <w:rPr>
                <w:rFonts w:hint="eastAsia"/>
                <w:sz w:val="24"/>
                <w:szCs w:val="24"/>
                <w:lang w:val="en-US" w:eastAsia="zh-CN"/>
              </w:rPr>
              <w:t>2</w:t>
            </w:r>
            <w:r>
              <w:rPr>
                <w:rFonts w:hint="eastAsia"/>
                <w:sz w:val="24"/>
                <w:szCs w:val="24"/>
              </w:rPr>
              <w:t>次</w:t>
            </w:r>
            <w:r>
              <w:rPr>
                <w:rFonts w:hint="eastAsia"/>
                <w:sz w:val="24"/>
                <w:szCs w:val="24"/>
                <w:lang w:eastAsia="zh-CN"/>
              </w:rPr>
              <w:t>，</w:t>
            </w:r>
            <w:r>
              <w:rPr>
                <w:rFonts w:hint="eastAsia"/>
                <w:sz w:val="24"/>
                <w:szCs w:val="24"/>
                <w:lang w:val="en-US" w:eastAsia="zh-CN"/>
              </w:rPr>
              <w:t>共计4次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shd w:val="clear" w:color="auto" w:fill="auto"/>
            <w:vAlign w:val="center"/>
          </w:tcPr>
          <w:p>
            <w:pPr>
              <w:pStyle w:val="13"/>
              <w:widowControl w:val="0"/>
              <w:rPr>
                <w:rFonts w:hint="eastAsia" w:ascii="Times New Roman" w:hAnsi="Times New Roman" w:eastAsia="宋体" w:cs="Times New Roman"/>
                <w:kern w:val="2"/>
                <w:sz w:val="24"/>
                <w:szCs w:val="24"/>
                <w:lang w:val="en-US" w:eastAsia="zh-CN" w:bidi="ar-SA"/>
              </w:rPr>
            </w:pPr>
            <w:r>
              <w:rPr>
                <w:rFonts w:hint="eastAsia"/>
                <w:sz w:val="24"/>
                <w:szCs w:val="24"/>
                <w:lang w:val="en-US" w:eastAsia="zh-CN"/>
              </w:rPr>
              <w:t>4</w:t>
            </w:r>
          </w:p>
        </w:tc>
        <w:tc>
          <w:tcPr>
            <w:tcW w:w="2591" w:type="dxa"/>
            <w:shd w:val="clear" w:color="auto" w:fill="auto"/>
            <w:vAlign w:val="center"/>
          </w:tcPr>
          <w:p>
            <w:pPr>
              <w:pStyle w:val="13"/>
              <w:widowControl w:val="0"/>
              <w:rPr>
                <w:rFonts w:ascii="Times New Roman" w:hAnsi="Times New Roman" w:eastAsia="宋体" w:cs="Times New Roman"/>
                <w:kern w:val="2"/>
                <w:sz w:val="24"/>
                <w:szCs w:val="24"/>
                <w:lang w:val="en-US" w:eastAsia="zh-CN" w:bidi="ar-SA"/>
              </w:rPr>
            </w:pPr>
            <w:r>
              <w:rPr>
                <w:rFonts w:hint="eastAsia"/>
                <w:sz w:val="24"/>
                <w:szCs w:val="24"/>
              </w:rPr>
              <w:t>海缆登陆段电缆沟</w:t>
            </w:r>
            <w:r>
              <w:rPr>
                <w:sz w:val="24"/>
                <w:szCs w:val="24"/>
              </w:rPr>
              <w:t>基础</w:t>
            </w:r>
            <w:r>
              <w:rPr>
                <w:rFonts w:hint="eastAsia"/>
                <w:sz w:val="24"/>
                <w:szCs w:val="24"/>
              </w:rPr>
              <w:t>沉降观测监测</w:t>
            </w:r>
          </w:p>
        </w:tc>
        <w:tc>
          <w:tcPr>
            <w:tcW w:w="809" w:type="dxa"/>
            <w:vAlign w:val="center"/>
          </w:tcPr>
          <w:p>
            <w:pPr>
              <w:pStyle w:val="13"/>
              <w:widowControl w:val="0"/>
              <w:rPr>
                <w:rFonts w:hint="default"/>
                <w:sz w:val="24"/>
                <w:szCs w:val="24"/>
                <w:lang w:val="en-US" w:eastAsia="zh-CN"/>
              </w:rPr>
            </w:pPr>
            <w:r>
              <w:rPr>
                <w:rFonts w:hint="eastAsia"/>
                <w:sz w:val="24"/>
                <w:szCs w:val="24"/>
                <w:lang w:val="en-US" w:eastAsia="zh-CN"/>
              </w:rPr>
              <w:t>4</w:t>
            </w:r>
          </w:p>
        </w:tc>
        <w:tc>
          <w:tcPr>
            <w:tcW w:w="851" w:type="dxa"/>
            <w:vAlign w:val="center"/>
          </w:tcPr>
          <w:p>
            <w:pPr>
              <w:pStyle w:val="13"/>
              <w:widowControl w:val="0"/>
              <w:rPr>
                <w:sz w:val="24"/>
                <w:szCs w:val="24"/>
              </w:rPr>
            </w:pPr>
            <w:r>
              <w:rPr>
                <w:rFonts w:hint="eastAsia"/>
                <w:sz w:val="24"/>
                <w:szCs w:val="24"/>
              </w:rPr>
              <w:t>次</w:t>
            </w:r>
          </w:p>
        </w:tc>
        <w:tc>
          <w:tcPr>
            <w:tcW w:w="3455" w:type="dxa"/>
            <w:vAlign w:val="center"/>
          </w:tcPr>
          <w:p>
            <w:pPr>
              <w:pStyle w:val="13"/>
              <w:widowControl w:val="0"/>
              <w:rPr>
                <w:rFonts w:hint="eastAsia" w:eastAsia="宋体"/>
                <w:sz w:val="24"/>
                <w:szCs w:val="24"/>
                <w:lang w:eastAsia="zh-CN"/>
              </w:rPr>
            </w:pPr>
            <w:r>
              <w:rPr>
                <w:sz w:val="24"/>
                <w:szCs w:val="24"/>
              </w:rPr>
              <w:t>共计</w:t>
            </w:r>
            <w:r>
              <w:rPr>
                <w:rFonts w:hint="eastAsia"/>
                <w:sz w:val="24"/>
                <w:szCs w:val="24"/>
                <w:lang w:val="en-US" w:eastAsia="zh-CN"/>
              </w:rPr>
              <w:t>24</w:t>
            </w:r>
            <w:r>
              <w:rPr>
                <w:rFonts w:hint="eastAsia"/>
                <w:sz w:val="24"/>
                <w:szCs w:val="24"/>
              </w:rPr>
              <w:t>个监测点位，每</w:t>
            </w:r>
            <w:r>
              <w:rPr>
                <w:rFonts w:hint="eastAsia"/>
                <w:sz w:val="24"/>
                <w:szCs w:val="24"/>
                <w:lang w:val="en-US" w:eastAsia="zh-CN"/>
              </w:rPr>
              <w:t>年</w:t>
            </w:r>
            <w:r>
              <w:rPr>
                <w:rFonts w:hint="eastAsia"/>
                <w:sz w:val="24"/>
                <w:szCs w:val="24"/>
              </w:rPr>
              <w:t>按二等水准测量标准测量</w:t>
            </w:r>
            <w:r>
              <w:rPr>
                <w:rFonts w:hint="eastAsia"/>
                <w:sz w:val="24"/>
                <w:szCs w:val="24"/>
                <w:lang w:val="en-US" w:eastAsia="zh-CN"/>
              </w:rPr>
              <w:t>2</w:t>
            </w:r>
            <w:r>
              <w:rPr>
                <w:rFonts w:hint="eastAsia"/>
                <w:sz w:val="24"/>
                <w:szCs w:val="24"/>
              </w:rPr>
              <w:t>次</w:t>
            </w:r>
            <w:r>
              <w:rPr>
                <w:rFonts w:hint="eastAsia"/>
                <w:sz w:val="24"/>
                <w:szCs w:val="24"/>
                <w:lang w:eastAsia="zh-CN"/>
              </w:rPr>
              <w:t>，</w:t>
            </w:r>
            <w:r>
              <w:rPr>
                <w:rFonts w:hint="eastAsia"/>
                <w:sz w:val="24"/>
                <w:szCs w:val="24"/>
                <w:lang w:val="en-US" w:eastAsia="zh-CN"/>
              </w:rPr>
              <w:t>共计4次</w:t>
            </w:r>
          </w:p>
        </w:tc>
      </w:tr>
    </w:tbl>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0"/>
        <w:rPr>
          <w:rFonts w:hint="default" w:ascii="黑体" w:hAnsi="黑体" w:eastAsia="黑体" w:cs="黑体"/>
          <w:sz w:val="28"/>
          <w:szCs w:val="28"/>
          <w:lang w:val="en-US" w:eastAsia="zh-CN"/>
        </w:rPr>
      </w:pPr>
      <w:bookmarkStart w:id="92" w:name="_Toc17791"/>
      <w:r>
        <w:rPr>
          <w:rFonts w:hint="eastAsia" w:ascii="黑体" w:hAnsi="黑体" w:eastAsia="黑体" w:cs="黑体"/>
          <w:sz w:val="28"/>
          <w:szCs w:val="28"/>
          <w:lang w:val="en-US" w:eastAsia="zh-CN"/>
        </w:rPr>
        <w:t>五、安全监测系统维护与数据分析服务要求</w:t>
      </w:r>
      <w:bookmarkEnd w:id="92"/>
      <w:r>
        <w:rPr>
          <w:rFonts w:hint="default" w:ascii="黑体" w:hAnsi="黑体" w:eastAsia="黑体" w:cs="黑体"/>
          <w:sz w:val="28"/>
          <w:szCs w:val="28"/>
          <w:lang w:val="en-US" w:eastAsia="zh-CN"/>
        </w:rPr>
        <w:t xml:space="preserve"> </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楷体" w:hAnsi="楷体" w:eastAsia="楷体" w:cs="楷体"/>
          <w:sz w:val="28"/>
          <w:szCs w:val="28"/>
          <w:lang w:val="en-US" w:eastAsia="zh-CN"/>
        </w:rPr>
      </w:pPr>
      <w:bookmarkStart w:id="93" w:name="_Toc26252"/>
      <w:bookmarkStart w:id="94" w:name="_Toc2500"/>
      <w:r>
        <w:rPr>
          <w:rFonts w:hint="eastAsia" w:ascii="黑体" w:hAnsi="黑体" w:eastAsia="黑体" w:cs="黑体"/>
          <w:sz w:val="28"/>
          <w:szCs w:val="28"/>
          <w:lang w:val="en-US" w:eastAsia="zh-CN"/>
        </w:rPr>
        <w:t>5.1 遵循的规范标准</w:t>
      </w:r>
      <w:bookmarkEnd w:id="93"/>
      <w:bookmarkEnd w:id="94"/>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投标人应严格执行本文件所列法规、标准、规范、规程，若招标人提出的法规、标准、规范、规程等与本文件所列不一致时，应按较高法规、标准、规范、规程要求执行。</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下列文件对于本文件的应用是必不可少的，凡是注日期的引用文件，仅注日期的版本适用于本文件，凡是不注日期的引用文件，其最新版本(包括所有的修改单)适用于本文件。</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1、</w:t>
      </w:r>
      <w:r>
        <w:rPr>
          <w:rFonts w:hint="default" w:ascii="Times New Roman" w:hAnsi="Times New Roman" w:eastAsia="宋体" w:cs="Times New Roman"/>
          <w:sz w:val="28"/>
          <w:szCs w:val="28"/>
          <w:lang w:val="en-US" w:eastAsia="zh-CN"/>
        </w:rPr>
        <w:t>《海上风电场工程结构安全监测建设规范》;</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2、《国家一、二等水准测量规范》;</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3、《建筑变形测量规范》;</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4、《大坝安全监测自动化技术规范》;</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5、《混凝土坝安全监测资料整编规程》;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6、《海上风电场钢结构防腐蚀技术标准》;</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7</w:t>
      </w:r>
      <w:r>
        <w:rPr>
          <w:rFonts w:hint="default" w:ascii="Times New Roman" w:hAnsi="Times New Roman" w:eastAsia="宋体" w:cs="Times New Roman"/>
          <w:sz w:val="28"/>
          <w:szCs w:val="28"/>
          <w:lang w:val="en-US" w:eastAsia="zh-CN"/>
        </w:rPr>
        <w:t>、《中华人民共和国海上交通安全法》;</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8</w:t>
      </w:r>
      <w:r>
        <w:rPr>
          <w:rFonts w:hint="default" w:ascii="Times New Roman" w:hAnsi="Times New Roman" w:eastAsia="宋体" w:cs="Times New Roman"/>
          <w:sz w:val="28"/>
          <w:szCs w:val="28"/>
          <w:lang w:val="en-US" w:eastAsia="zh-CN"/>
        </w:rPr>
        <w:t>、《大坝安全监测仪器安装标准》;</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95" w:name="_Toc21995"/>
      <w:bookmarkStart w:id="96" w:name="_Toc11263"/>
      <w:r>
        <w:rPr>
          <w:rFonts w:hint="eastAsia" w:ascii="黑体" w:hAnsi="黑体" w:eastAsia="黑体" w:cs="黑体"/>
          <w:sz w:val="28"/>
          <w:szCs w:val="28"/>
          <w:lang w:val="en-US" w:eastAsia="zh-CN"/>
        </w:rPr>
        <w:t>5.2 服务期限要求</w:t>
      </w:r>
      <w:bookmarkEnd w:id="95"/>
      <w:bookmarkEnd w:id="96"/>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服务期限：202</w:t>
      </w:r>
      <w:r>
        <w:rPr>
          <w:rFonts w:hint="eastAsia" w:ascii="Times New Roman" w:hAnsi="Times New Roman" w:eastAsia="宋体" w:cs="Times New Roman"/>
          <w:sz w:val="28"/>
          <w:szCs w:val="28"/>
          <w:lang w:val="en-US" w:eastAsia="zh-CN"/>
        </w:rPr>
        <w:t>6</w:t>
      </w:r>
      <w:r>
        <w:rPr>
          <w:rFonts w:hint="default" w:ascii="Times New Roman" w:hAnsi="Times New Roman" w:eastAsia="宋体" w:cs="Times New Roman"/>
          <w:sz w:val="28"/>
          <w:szCs w:val="28"/>
          <w:lang w:val="en-US" w:eastAsia="zh-CN"/>
        </w:rPr>
        <w:t>年</w:t>
      </w:r>
      <w:r>
        <w:rPr>
          <w:rFonts w:hint="eastAsia" w:ascii="Times New Roman" w:hAnsi="Times New Roman" w:eastAsia="宋体" w:cs="Times New Roman"/>
          <w:sz w:val="28"/>
          <w:szCs w:val="28"/>
          <w:lang w:val="en-US" w:eastAsia="zh-CN"/>
        </w:rPr>
        <w:t>1</w:t>
      </w:r>
      <w:r>
        <w:rPr>
          <w:rFonts w:hint="default" w:ascii="Times New Roman" w:hAnsi="Times New Roman" w:eastAsia="宋体" w:cs="Times New Roman"/>
          <w:sz w:val="28"/>
          <w:szCs w:val="28"/>
          <w:lang w:val="en-US" w:eastAsia="zh-CN"/>
        </w:rPr>
        <w:t>月</w:t>
      </w:r>
      <w:r>
        <w:rPr>
          <w:rFonts w:hint="eastAsia" w:ascii="Times New Roman" w:hAnsi="Times New Roman" w:eastAsia="宋体" w:cs="Times New Roman"/>
          <w:sz w:val="28"/>
          <w:szCs w:val="28"/>
          <w:lang w:val="en-US" w:eastAsia="zh-CN"/>
        </w:rPr>
        <w:t>25</w:t>
      </w:r>
      <w:r>
        <w:rPr>
          <w:rFonts w:hint="default" w:ascii="Times New Roman" w:hAnsi="Times New Roman" w:eastAsia="宋体" w:cs="Times New Roman"/>
          <w:sz w:val="28"/>
          <w:szCs w:val="28"/>
          <w:lang w:val="en-US" w:eastAsia="zh-CN"/>
        </w:rPr>
        <w:t>日至202</w:t>
      </w:r>
      <w:r>
        <w:rPr>
          <w:rFonts w:hint="eastAsia" w:ascii="Times New Roman" w:hAnsi="Times New Roman" w:eastAsia="宋体" w:cs="Times New Roman"/>
          <w:sz w:val="28"/>
          <w:szCs w:val="28"/>
          <w:lang w:val="en-US" w:eastAsia="zh-CN"/>
        </w:rPr>
        <w:t>7</w:t>
      </w:r>
      <w:r>
        <w:rPr>
          <w:rFonts w:hint="default" w:ascii="Times New Roman" w:hAnsi="Times New Roman" w:eastAsia="宋体" w:cs="Times New Roman"/>
          <w:sz w:val="28"/>
          <w:szCs w:val="28"/>
          <w:lang w:val="en-US" w:eastAsia="zh-CN"/>
        </w:rPr>
        <w:t>年</w:t>
      </w:r>
      <w:r>
        <w:rPr>
          <w:rFonts w:hint="eastAsia" w:ascii="Times New Roman" w:hAnsi="Times New Roman" w:eastAsia="宋体" w:cs="Times New Roman"/>
          <w:sz w:val="28"/>
          <w:szCs w:val="28"/>
          <w:lang w:val="en-US" w:eastAsia="zh-CN"/>
        </w:rPr>
        <w:t>9</w:t>
      </w:r>
      <w:r>
        <w:rPr>
          <w:rFonts w:hint="default" w:ascii="Times New Roman" w:hAnsi="Times New Roman" w:eastAsia="宋体" w:cs="Times New Roman"/>
          <w:sz w:val="28"/>
          <w:szCs w:val="28"/>
          <w:lang w:val="en-US" w:eastAsia="zh-CN"/>
        </w:rPr>
        <w:t>月3</w:t>
      </w:r>
      <w:r>
        <w:rPr>
          <w:rFonts w:hint="eastAsia" w:ascii="Times New Roman" w:hAnsi="Times New Roman" w:eastAsia="宋体" w:cs="Times New Roman"/>
          <w:sz w:val="28"/>
          <w:szCs w:val="28"/>
          <w:lang w:val="en-US" w:eastAsia="zh-CN"/>
        </w:rPr>
        <w:t>0</w:t>
      </w:r>
      <w:r>
        <w:rPr>
          <w:rFonts w:hint="default" w:ascii="Times New Roman" w:hAnsi="Times New Roman" w:eastAsia="宋体" w:cs="Times New Roman"/>
          <w:sz w:val="28"/>
          <w:szCs w:val="28"/>
          <w:lang w:val="en-US" w:eastAsia="zh-CN"/>
        </w:rPr>
        <w:t>日。</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97" w:name="_Toc17671"/>
      <w:bookmarkStart w:id="98" w:name="_Toc23030"/>
      <w:r>
        <w:rPr>
          <w:rFonts w:hint="eastAsia" w:ascii="黑体" w:hAnsi="黑体" w:eastAsia="黑体" w:cs="黑体"/>
          <w:sz w:val="28"/>
          <w:szCs w:val="28"/>
          <w:lang w:val="en-US" w:eastAsia="zh-CN"/>
        </w:rPr>
        <w:t>5.3 安全监测系统维护及服务要求</w:t>
      </w:r>
      <w:bookmarkEnd w:id="97"/>
      <w:bookmarkEnd w:id="98"/>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 </w:t>
      </w:r>
      <w:r>
        <w:rPr>
          <w:rFonts w:hint="default" w:ascii="Times New Roman" w:hAnsi="Times New Roman" w:eastAsia="宋体" w:cs="Times New Roman"/>
          <w:sz w:val="28"/>
          <w:szCs w:val="28"/>
          <w:lang w:val="en-US" w:eastAsia="zh-CN"/>
        </w:rPr>
        <w:t>维护及服务技术要求</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5.3.1.1 </w:t>
      </w:r>
      <w:r>
        <w:rPr>
          <w:rFonts w:hint="default" w:ascii="Times New Roman" w:hAnsi="Times New Roman" w:eastAsia="宋体" w:cs="Times New Roman"/>
          <w:sz w:val="28"/>
          <w:szCs w:val="28"/>
          <w:lang w:val="en-US" w:eastAsia="zh-CN"/>
        </w:rPr>
        <w:t>投标人在服务期内应确保招标人安全监测系统安全可靠运行，安全监测设备设施及软件系统发生故障应及时进行修复。</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5.3.1.2 </w:t>
      </w:r>
      <w:r>
        <w:rPr>
          <w:rFonts w:hint="default" w:ascii="Times New Roman" w:hAnsi="Times New Roman" w:eastAsia="宋体" w:cs="Times New Roman"/>
          <w:sz w:val="28"/>
          <w:szCs w:val="28"/>
          <w:lang w:val="en-US" w:eastAsia="zh-CN"/>
        </w:rPr>
        <w:t>投标人应及时对安全监测数据进行整理、检查和分析并及时提供安全监测月报、年报等报告资料。</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5.3.1.3 </w:t>
      </w:r>
      <w:r>
        <w:rPr>
          <w:rFonts w:hint="default" w:ascii="Times New Roman" w:hAnsi="Times New Roman" w:eastAsia="宋体" w:cs="Times New Roman"/>
          <w:sz w:val="28"/>
          <w:szCs w:val="28"/>
          <w:lang w:val="en-US" w:eastAsia="zh-CN"/>
        </w:rPr>
        <w:t>投标人应自备满足安全监测维护与数据分析服务所需的专业人员、设备及工器具。</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5.3.1.4 安全监测运行期风机及海上升压站维护工作</w:t>
      </w:r>
      <w:r>
        <w:rPr>
          <w:rFonts w:hint="default" w:ascii="Times New Roman" w:hAnsi="Times New Roman" w:eastAsia="宋体" w:cs="Times New Roman"/>
          <w:sz w:val="28"/>
          <w:szCs w:val="28"/>
          <w:lang w:val="en-US" w:eastAsia="zh-CN"/>
        </w:rPr>
        <w:t>出海船舶由招标人提供</w:t>
      </w:r>
      <w:r>
        <w:rPr>
          <w:rFonts w:hint="eastAsia" w:ascii="Times New Roman" w:hAnsi="Times New Roman" w:eastAsia="宋体" w:cs="Times New Roman"/>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5.3.1.5 </w:t>
      </w:r>
      <w:r>
        <w:rPr>
          <w:rFonts w:hint="default" w:ascii="Times New Roman" w:hAnsi="Times New Roman" w:eastAsia="宋体" w:cs="Times New Roman"/>
          <w:sz w:val="28"/>
          <w:szCs w:val="28"/>
          <w:lang w:val="en-US" w:eastAsia="zh-CN"/>
        </w:rPr>
        <w:t>投标人应及时开展设备日常巡视检查工作，发现问题应及时进行修复或更换，安全监测设备设施及配件、线缆的采购、更换、安装等费用均包含在投标总报价内。</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5.3.1.6 </w:t>
      </w:r>
      <w:r>
        <w:rPr>
          <w:rFonts w:hint="default" w:ascii="Times New Roman" w:hAnsi="Times New Roman" w:eastAsia="宋体" w:cs="Times New Roman"/>
          <w:sz w:val="28"/>
          <w:szCs w:val="28"/>
          <w:lang w:val="en-US" w:eastAsia="zh-CN"/>
        </w:rPr>
        <w:t>投标人在服务期间发现不正常情况或安全监测数据异常，应及时上报招标人，并密切关注，加强监测，分析原因提出改善措施及意见。</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highlight w:val="none"/>
          <w:lang w:val="en-US" w:eastAsia="zh-CN"/>
        </w:rPr>
      </w:pPr>
      <w:r>
        <w:rPr>
          <w:rFonts w:hint="eastAsia" w:ascii="Times New Roman" w:hAnsi="Times New Roman" w:eastAsia="宋体" w:cs="Times New Roman"/>
          <w:sz w:val="28"/>
          <w:szCs w:val="28"/>
          <w:lang w:val="en-US" w:eastAsia="zh-CN"/>
        </w:rPr>
        <w:t xml:space="preserve">5.3.1.7 </w:t>
      </w:r>
      <w:r>
        <w:rPr>
          <w:rFonts w:hint="eastAsia" w:ascii="Times New Roman" w:hAnsi="Times New Roman" w:eastAsia="宋体" w:cs="Times New Roman"/>
          <w:sz w:val="28"/>
          <w:szCs w:val="28"/>
          <w:highlight w:val="none"/>
          <w:lang w:val="en-US" w:eastAsia="zh-CN"/>
        </w:rPr>
        <w:t>投标人应每月2次对安全监测系统进行巡视检查，确保安全监测系统正常运行，发现问题及时进行消缺。</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5.3.1.8 </w:t>
      </w:r>
      <w:r>
        <w:rPr>
          <w:rFonts w:hint="default" w:ascii="Times New Roman" w:hAnsi="Times New Roman" w:eastAsia="宋体" w:cs="Times New Roman"/>
          <w:sz w:val="28"/>
          <w:szCs w:val="28"/>
          <w:lang w:val="en-US" w:eastAsia="zh-CN"/>
        </w:rPr>
        <w:t>投标人应做好安全监测系统备品备件的管理工作，备品备件定期进行检查保养，使其保持良好的技术状态，已动用了的应及时补充，以保持规定的储备数量。(备品备件由投标人提供)</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5.3.1.9 </w:t>
      </w:r>
      <w:r>
        <w:rPr>
          <w:rFonts w:hint="default" w:ascii="Times New Roman" w:hAnsi="Times New Roman" w:eastAsia="宋体" w:cs="Times New Roman"/>
          <w:sz w:val="28"/>
          <w:szCs w:val="28"/>
          <w:lang w:val="en-US" w:eastAsia="zh-CN"/>
        </w:rPr>
        <w:t>若遇到特殊情况，如台风、大暴雨、大浪潮、强地震以及结构出现异常或损坏等情况，应及时对海上安全监测设施进行一次全面检查，及时修复损坏的设备。</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5.3.2 成果报告</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要求投标人每月编制月度安全监测报告，内容包括安全监测系统运行情况，监测数据的整理、检查，并绘制相应的图表，对监测数据进行初步分析和判断，并提出海工建(构)筑物的变化趋势、更换设备情况，巡视巡检、维护过程的影像资料以及故障部件更换清单等，在当月监测数据采集完成后于下月10日前编写完成报告并上报给招标人。年度安全监测报告应在月度报告的基础上进行资料分析，对年度数据与历年数据进行对比计算和分析，评估风电场建构筑物安全状态，发现不正常现象或确认的异常值，应立即向招标人报告，并提出应采取的相应对策，年度安全检查报告应在本年度监测结束后1个月内完成编写并上报给招标人。报告应为单位盖章纸质版，并提供相应的电子版资料。</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 </w:t>
      </w:r>
      <w:r>
        <w:rPr>
          <w:rFonts w:hint="default" w:ascii="Times New Roman" w:hAnsi="Times New Roman" w:eastAsia="宋体" w:cs="Times New Roman"/>
          <w:sz w:val="28"/>
          <w:szCs w:val="28"/>
          <w:lang w:val="en-US" w:eastAsia="zh-CN"/>
        </w:rPr>
        <w:t>其它要求</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5.3.3.1 </w:t>
      </w:r>
      <w:r>
        <w:rPr>
          <w:rFonts w:hint="default" w:ascii="Times New Roman" w:hAnsi="Times New Roman" w:eastAsia="宋体" w:cs="Times New Roman"/>
          <w:sz w:val="28"/>
          <w:szCs w:val="28"/>
          <w:lang w:val="en-US" w:eastAsia="zh-CN"/>
        </w:rPr>
        <w:t>投标人应对安全监测数据资料保密，除需上报给招标人外，不得将安全监测数据资料提供给其他单位和个人，否则应对由此造成的后果承担责任。</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5.3.3.2 </w:t>
      </w:r>
      <w:r>
        <w:rPr>
          <w:rFonts w:hint="default" w:ascii="Times New Roman" w:hAnsi="Times New Roman" w:eastAsia="宋体" w:cs="Times New Roman"/>
          <w:sz w:val="28"/>
          <w:szCs w:val="28"/>
          <w:lang w:val="en-US" w:eastAsia="zh-CN"/>
        </w:rPr>
        <w:t>投标人在进入海上升压站、风机进行监测作业时，应按照招标人相关规章制度办理相关许可手续后方可进行监测作业。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5.3.3.3 </w:t>
      </w:r>
      <w:r>
        <w:rPr>
          <w:rFonts w:hint="default" w:ascii="Times New Roman" w:hAnsi="Times New Roman" w:eastAsia="宋体" w:cs="Times New Roman"/>
          <w:sz w:val="28"/>
          <w:szCs w:val="28"/>
          <w:lang w:val="en-US" w:eastAsia="zh-CN"/>
        </w:rPr>
        <w:t>投标人应为出海测量作业人员办理好相关的手续及证书，保证符合海事等主管部门出海、维护作业的相关要求。</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5.3.3.4 </w:t>
      </w:r>
      <w:r>
        <w:rPr>
          <w:rFonts w:hint="default" w:ascii="Times New Roman" w:hAnsi="Times New Roman" w:eastAsia="宋体" w:cs="Times New Roman"/>
          <w:sz w:val="28"/>
          <w:szCs w:val="28"/>
          <w:lang w:val="en-US" w:eastAsia="zh-CN"/>
        </w:rPr>
        <w:t>投标人如需登风机进行测量作业时，应提前3天上报招标人，待招标人许可后方能登风机进行作业。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5.3.3.5 </w:t>
      </w:r>
      <w:r>
        <w:rPr>
          <w:rFonts w:hint="default" w:ascii="Times New Roman" w:hAnsi="Times New Roman" w:eastAsia="宋体" w:cs="Times New Roman"/>
          <w:sz w:val="28"/>
          <w:szCs w:val="28"/>
          <w:lang w:val="en-US" w:eastAsia="zh-CN"/>
        </w:rPr>
        <w:t>投标人如需船只进行测量作业时，应提前在招标人船只管理部门进行报备，待允许后方可按要求出海作业。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5.3.3.6 </w:t>
      </w:r>
      <w:r>
        <w:rPr>
          <w:rFonts w:hint="default" w:ascii="Times New Roman" w:hAnsi="Times New Roman" w:eastAsia="宋体" w:cs="Times New Roman"/>
          <w:sz w:val="28"/>
          <w:szCs w:val="28"/>
          <w:lang w:val="en-US" w:eastAsia="zh-CN"/>
        </w:rPr>
        <w:t>投标人应协助做好上级单位和相关主管单位进行的安全监测 相关的检查、检测等工作。</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eastAsia" w:ascii="黑体" w:hAnsi="黑体" w:eastAsia="黑体" w:cs="黑体"/>
          <w:sz w:val="28"/>
          <w:szCs w:val="28"/>
          <w:lang w:val="en-US" w:eastAsia="zh-CN"/>
        </w:rPr>
      </w:pPr>
      <w:bookmarkStart w:id="99" w:name="_Toc25005"/>
      <w:r>
        <w:rPr>
          <w:rFonts w:hint="eastAsia" w:ascii="黑体" w:hAnsi="黑体" w:eastAsia="黑体" w:cs="黑体"/>
          <w:sz w:val="28"/>
          <w:szCs w:val="28"/>
          <w:lang w:val="en-US" w:eastAsia="zh-CN"/>
        </w:rPr>
        <w:t>5.4 沉降监测服务要求</w:t>
      </w:r>
      <w:bookmarkEnd w:id="99"/>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5.4.1技术要求</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5.4.1.1 投标人在服务期内应确保所使用的仪器设备准确可靠，并且仪器设备应在有效检定期内，相关资料上报招标人。</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5.4.1.2 投标人应自备满足项目工作内容所需的专业人员、设备及工器具（出海船舶由招标人提供）。若监测点遭到损坏，投标人应及时进行修复或更换，所需</w:t>
      </w:r>
      <w:r>
        <w:rPr>
          <w:rFonts w:hint="default" w:ascii="Times New Roman" w:hAnsi="Times New Roman" w:eastAsia="宋体" w:cs="Times New Roman"/>
          <w:sz w:val="28"/>
          <w:szCs w:val="28"/>
          <w:lang w:val="en-US" w:eastAsia="zh-CN"/>
        </w:rPr>
        <w:t>费用均包含在投标总报价内</w:t>
      </w:r>
      <w:r>
        <w:rPr>
          <w:rFonts w:hint="eastAsia" w:ascii="Times New Roman" w:hAnsi="Times New Roman" w:eastAsia="宋体" w:cs="Times New Roman"/>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5.4.1.3 投标人应及时对监测数据进行整理、检查和分析并及时提供监测报告资料。</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5.4.1.4 投标人在服务期间发现不正常情况或安全监测数据异常，应及时上报招标人，并密切关注，分析原因提出改善措施及意见。</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5.4.2 成果报告</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要求投标人每次完成陆上集控中心沉降监测、海缆登陆段电缆沟沉降观测监测及海上升压站不均匀沉降工作内容后15日内编制完成监测报告，监测数据的整理、检查，并绘制相应的图表，对监测数据进行初步分析和判断，并提出监测建（构）筑物的变化趋势等内容，发现不正常现象或确认的异常值，应立即向招标人报告，并应提出所需采取的相应对策建议。报告应为纸质版，并提供相应的电子版资料。</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100" w:name="_Toc24503"/>
      <w:r>
        <w:rPr>
          <w:rFonts w:hint="eastAsia" w:ascii="黑体" w:hAnsi="黑体" w:eastAsia="黑体" w:cs="黑体"/>
          <w:sz w:val="28"/>
          <w:szCs w:val="28"/>
          <w:lang w:val="en-US" w:eastAsia="zh-CN"/>
        </w:rPr>
        <w:t xml:space="preserve">5.5 </w:t>
      </w:r>
      <w:r>
        <w:rPr>
          <w:rFonts w:hint="default" w:ascii="黑体" w:hAnsi="黑体" w:eastAsia="黑体" w:cs="黑体"/>
          <w:sz w:val="28"/>
          <w:szCs w:val="28"/>
          <w:lang w:val="en-US" w:eastAsia="zh-CN"/>
        </w:rPr>
        <w:t>其它要求</w:t>
      </w:r>
      <w:bookmarkEnd w:id="100"/>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5.5.1 </w:t>
      </w:r>
      <w:r>
        <w:rPr>
          <w:rFonts w:hint="default" w:ascii="Times New Roman" w:hAnsi="Times New Roman" w:eastAsia="宋体" w:cs="Times New Roman"/>
          <w:sz w:val="28"/>
          <w:szCs w:val="28"/>
          <w:lang w:val="en-US" w:eastAsia="zh-CN"/>
        </w:rPr>
        <w:t>投标人应对安全监测数据资料保密，除需上报给招标人外，不得将安全监测数据资料提供给其他单位和个人，否则应对由此造成的后果承担责任。</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5.5.2 </w:t>
      </w:r>
      <w:r>
        <w:rPr>
          <w:rFonts w:hint="default" w:ascii="Times New Roman" w:hAnsi="Times New Roman" w:eastAsia="宋体" w:cs="Times New Roman"/>
          <w:sz w:val="28"/>
          <w:szCs w:val="28"/>
          <w:lang w:val="en-US" w:eastAsia="zh-CN"/>
        </w:rPr>
        <w:t>投标人在进入海上升压站、风机进行监测作业时，应按照招标人相关规章制度办理相关许可手续后方可进行监测作业。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5.5.3 </w:t>
      </w:r>
      <w:r>
        <w:rPr>
          <w:rFonts w:hint="default" w:ascii="Times New Roman" w:hAnsi="Times New Roman" w:eastAsia="宋体" w:cs="Times New Roman"/>
          <w:sz w:val="28"/>
          <w:szCs w:val="28"/>
          <w:lang w:val="en-US" w:eastAsia="zh-CN"/>
        </w:rPr>
        <w:t>投标人应为出海测量作业人员办理好相关的手续及证书，保证符合海事等主管部门出海、维护作业的相关要求。</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5.5.4 </w:t>
      </w:r>
      <w:r>
        <w:rPr>
          <w:rFonts w:hint="default" w:ascii="Times New Roman" w:hAnsi="Times New Roman" w:eastAsia="宋体" w:cs="Times New Roman"/>
          <w:sz w:val="28"/>
          <w:szCs w:val="28"/>
          <w:lang w:val="en-US" w:eastAsia="zh-CN"/>
        </w:rPr>
        <w:t>投标人如需登风机进行测量作业时，应提前3天上报招标人，待招标人许可后方能登风机进行作业。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5.5.5 </w:t>
      </w:r>
      <w:r>
        <w:rPr>
          <w:rFonts w:hint="default" w:ascii="Times New Roman" w:hAnsi="Times New Roman" w:eastAsia="宋体" w:cs="Times New Roman"/>
          <w:sz w:val="28"/>
          <w:szCs w:val="28"/>
          <w:lang w:val="en-US" w:eastAsia="zh-CN"/>
        </w:rPr>
        <w:t>投标人如需船只进行测量作业时，应提前在招标人船只管理部门进行报备，待允许后方可按要求出海作业。</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黑体" w:hAnsi="黑体" w:eastAsia="黑体" w:cs="黑体"/>
          <w:sz w:val="28"/>
          <w:szCs w:val="28"/>
          <w:lang w:val="en-US" w:eastAsia="zh-CN"/>
        </w:rPr>
      </w:pPr>
      <w:r>
        <w:rPr>
          <w:rFonts w:hint="eastAsia" w:ascii="Times New Roman" w:hAnsi="Times New Roman" w:eastAsia="宋体" w:cs="Times New Roman"/>
          <w:sz w:val="28"/>
          <w:szCs w:val="28"/>
          <w:lang w:val="en-US" w:eastAsia="zh-CN"/>
        </w:rPr>
        <w:t xml:space="preserve">5.5.6 </w:t>
      </w:r>
      <w:r>
        <w:rPr>
          <w:rFonts w:hint="default" w:ascii="Times New Roman" w:hAnsi="Times New Roman" w:eastAsia="宋体" w:cs="Times New Roman"/>
          <w:sz w:val="28"/>
          <w:szCs w:val="28"/>
          <w:lang w:val="en-US" w:eastAsia="zh-CN"/>
        </w:rPr>
        <w:t>投标人应协助做好上级单位和相关主管单位进行的安全监测相关的检查、检测等工作。</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0"/>
        <w:rPr>
          <w:rFonts w:hint="eastAsia" w:ascii="黑体" w:hAnsi="黑体" w:eastAsia="黑体" w:cs="黑体"/>
          <w:sz w:val="28"/>
          <w:szCs w:val="28"/>
          <w:lang w:val="en-US" w:eastAsia="zh-CN"/>
        </w:rPr>
      </w:pPr>
      <w:bookmarkStart w:id="101" w:name="_Toc11841"/>
      <w:r>
        <w:rPr>
          <w:rFonts w:hint="eastAsia" w:ascii="黑体" w:hAnsi="黑体" w:eastAsia="黑体" w:cs="黑体"/>
          <w:sz w:val="28"/>
          <w:szCs w:val="28"/>
          <w:lang w:val="en-US" w:eastAsia="zh-CN"/>
        </w:rPr>
        <w:t>六</w:t>
      </w:r>
      <w:bookmarkStart w:id="104" w:name="_GoBack"/>
      <w:bookmarkEnd w:id="104"/>
      <w:r>
        <w:rPr>
          <w:rFonts w:hint="eastAsia" w:ascii="黑体" w:hAnsi="黑体" w:eastAsia="黑体" w:cs="黑体"/>
          <w:sz w:val="28"/>
          <w:szCs w:val="28"/>
          <w:lang w:val="en-US" w:eastAsia="zh-CN"/>
        </w:rPr>
        <w:t>、考核要求</w:t>
      </w:r>
      <w:bookmarkEnd w:id="101"/>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7.</w:t>
      </w:r>
      <w:r>
        <w:rPr>
          <w:rFonts w:hint="default" w:ascii="Times New Roman" w:hAnsi="Times New Roman" w:eastAsia="宋体" w:cs="Times New Roman"/>
          <w:sz w:val="28"/>
          <w:szCs w:val="28"/>
          <w:lang w:val="en-US" w:eastAsia="zh-CN"/>
        </w:rPr>
        <w:t>1</w:t>
      </w:r>
      <w:r>
        <w:rPr>
          <w:rFonts w:hint="eastAsia" w:ascii="Times New Roman" w:hAnsi="Times New Roman" w:eastAsia="宋体" w:cs="Times New Roman"/>
          <w:sz w:val="28"/>
          <w:szCs w:val="28"/>
          <w:lang w:val="en-US" w:eastAsia="zh-CN"/>
        </w:rPr>
        <w:t xml:space="preserve"> </w:t>
      </w:r>
      <w:r>
        <w:rPr>
          <w:rFonts w:hint="default" w:ascii="Times New Roman" w:hAnsi="Times New Roman" w:eastAsia="宋体" w:cs="Times New Roman"/>
          <w:sz w:val="28"/>
          <w:szCs w:val="28"/>
          <w:lang w:val="en-US" w:eastAsia="zh-CN"/>
        </w:rPr>
        <w:t>因投标人工作错误造成的损失，投标人除负责采取补救措施外，免收受损失部分的服务费，并根据损失程度向招标人赔偿实际损失。</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7.2 </w:t>
      </w:r>
      <w:r>
        <w:rPr>
          <w:rFonts w:hint="default" w:ascii="Times New Roman" w:hAnsi="Times New Roman" w:eastAsia="宋体" w:cs="Times New Roman"/>
          <w:sz w:val="28"/>
          <w:szCs w:val="28"/>
          <w:lang w:val="en-US" w:eastAsia="zh-CN"/>
        </w:rPr>
        <w:t>由于投标人自身的原因，延误了按本技术规范书规定的报告文件交付时间，</w:t>
      </w:r>
      <w:r>
        <w:rPr>
          <w:rFonts w:hint="eastAsia" w:ascii="Times New Roman" w:hAnsi="Times New Roman" w:eastAsia="宋体" w:cs="Times New Roman"/>
          <w:sz w:val="28"/>
          <w:szCs w:val="28"/>
          <w:lang w:val="en-US" w:eastAsia="zh-CN"/>
        </w:rPr>
        <w:t>考核1000元/每期</w:t>
      </w:r>
      <w:r>
        <w:rPr>
          <w:rFonts w:hint="default" w:ascii="Times New Roman" w:hAnsi="Times New Roman" w:eastAsia="宋体" w:cs="Times New Roman"/>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7.3 安全监测设备发生缺陷，投标人15日内未出海消缺的，考核500元/每次。</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560" w:firstLineChars="200"/>
        <w:jc w:val="both"/>
        <w:textAlignment w:val="baseline"/>
        <w:outlineLvl w:val="1"/>
        <w:rPr>
          <w:rFonts w:hint="default" w:ascii="Times New Roman" w:hAnsi="Times New Roman" w:eastAsia="宋体" w:cs="Times New Roman"/>
          <w:sz w:val="28"/>
          <w:szCs w:val="28"/>
          <w:lang w:val="en-US" w:eastAsia="zh-CN"/>
        </w:rPr>
      </w:pPr>
      <w:bookmarkStart w:id="102" w:name="_Toc2065"/>
      <w:bookmarkStart w:id="103" w:name="_Toc30304"/>
      <w:r>
        <w:rPr>
          <w:rFonts w:hint="eastAsia" w:ascii="Times New Roman" w:hAnsi="Times New Roman" w:eastAsia="宋体" w:cs="Times New Roman"/>
          <w:sz w:val="28"/>
          <w:szCs w:val="28"/>
          <w:lang w:val="en-US" w:eastAsia="zh-CN"/>
        </w:rPr>
        <w:t>7.4 招标人对监测报告提出意见后，本月内投标人未答复或整改的，考核1000元/次。</w:t>
      </w:r>
      <w:bookmarkEnd w:id="102"/>
      <w:bookmarkEnd w:id="103"/>
    </w:p>
    <w:sectPr>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E558524-7353-4B9B-A020-F5B978E5EDD7}"/>
  </w:font>
  <w:font w:name="黑体">
    <w:panose1 w:val="02010609060101010101"/>
    <w:charset w:val="86"/>
    <w:family w:val="auto"/>
    <w:pitch w:val="default"/>
    <w:sig w:usb0="800002BF" w:usb1="38CF7CFA" w:usb2="00000016" w:usb3="00000000" w:csb0="00040001" w:csb1="00000000"/>
    <w:embedRegular r:id="rId2" w:fontKey="{974A73F2-BD3E-42A7-930C-72D9B7436DF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embedRegular r:id="rId3" w:fontKey="{FFA88083-E3AE-40FD-929E-8DF56544E87D}"/>
  </w:font>
  <w:font w:name="华文仿宋">
    <w:panose1 w:val="02010600040101010101"/>
    <w:charset w:val="86"/>
    <w:family w:val="auto"/>
    <w:pitch w:val="default"/>
    <w:sig w:usb0="00000287" w:usb1="080F0000" w:usb2="00000000" w:usb3="00000000" w:csb0="0004009F" w:csb1="DFD70000"/>
    <w:embedRegular r:id="rId4" w:fontKey="{7B8E2AF4-0C88-4D6E-949A-C55EDDCE01FF}"/>
  </w:font>
  <w:font w:name="楷体">
    <w:panose1 w:val="02010609060101010101"/>
    <w:charset w:val="86"/>
    <w:family w:val="auto"/>
    <w:pitch w:val="default"/>
    <w:sig w:usb0="800002BF" w:usb1="38CF7CFA" w:usb2="00000016" w:usb3="00000000" w:csb0="00040001" w:csb1="00000000"/>
    <w:embedRegular r:id="rId5" w:fontKey="{EFA49DBD-413F-407D-B653-152377BC31CC}"/>
  </w:font>
  <w:font w:name="微软雅黑">
    <w:panose1 w:val="020B0503020204020204"/>
    <w:charset w:val="86"/>
    <w:family w:val="auto"/>
    <w:pitch w:val="default"/>
    <w:sig w:usb0="80000287" w:usb1="2ACF3C50" w:usb2="00000016" w:usb3="00000000" w:csb0="0004001F" w:csb1="00000000"/>
    <w:embedRegular r:id="rId6" w:fontKey="{23E35DF8-193E-4B24-BEF2-CC4D797F16A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E3557FC"/>
    <w:multiLevelType w:val="multilevel"/>
    <w:tmpl w:val="2E3557FC"/>
    <w:lvl w:ilvl="0" w:tentative="0">
      <w:start w:val="1"/>
      <w:numFmt w:val="decimal"/>
      <w:pStyle w:val="2"/>
      <w:suff w:val="space"/>
      <w:lvlText w:val="%1"/>
      <w:lvlJc w:val="left"/>
      <w:pPr>
        <w:ind w:left="425" w:hanging="425"/>
      </w:pPr>
      <w:rPr>
        <w:rFonts w:hint="eastAsia"/>
      </w:rPr>
    </w:lvl>
    <w:lvl w:ilvl="1" w:tentative="0">
      <w:start w:val="1"/>
      <w:numFmt w:val="decimal"/>
      <w:pStyle w:val="3"/>
      <w:suff w:val="space"/>
      <w:lvlText w:val="%1.%2"/>
      <w:lvlJc w:val="left"/>
      <w:pPr>
        <w:ind w:left="567" w:hanging="567"/>
      </w:pPr>
      <w:rPr>
        <w:rFonts w:hint="eastAsia"/>
      </w:rPr>
    </w:lvl>
    <w:lvl w:ilvl="2" w:tentative="0">
      <w:start w:val="1"/>
      <w:numFmt w:val="decimal"/>
      <w:suff w:val="space"/>
      <w:lvlText w:val="%1.%2.%3"/>
      <w:lvlJc w:val="left"/>
      <w:pPr>
        <w:ind w:left="709" w:hanging="709"/>
      </w:pPr>
      <w:rPr>
        <w:rFonts w:hint="eastAsia"/>
      </w:rPr>
    </w:lvl>
    <w:lvl w:ilvl="3" w:tentative="0">
      <w:start w:val="1"/>
      <w:numFmt w:val="decimal"/>
      <w:suff w:val="space"/>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M1ZmJmNGZmMTdiZjI4ODI4ZGMzNTcyMWJlM2NkMDYifQ=="/>
  </w:docVars>
  <w:rsids>
    <w:rsidRoot w:val="00000000"/>
    <w:rsid w:val="00DF6C2F"/>
    <w:rsid w:val="0104033C"/>
    <w:rsid w:val="02E2244A"/>
    <w:rsid w:val="031C456F"/>
    <w:rsid w:val="049B0B31"/>
    <w:rsid w:val="07B56DEE"/>
    <w:rsid w:val="08DB43C6"/>
    <w:rsid w:val="08FB181D"/>
    <w:rsid w:val="09984252"/>
    <w:rsid w:val="09DF3483"/>
    <w:rsid w:val="13AD6247"/>
    <w:rsid w:val="144547B3"/>
    <w:rsid w:val="15F21DD7"/>
    <w:rsid w:val="16CF3AFE"/>
    <w:rsid w:val="181D4210"/>
    <w:rsid w:val="18E84B6B"/>
    <w:rsid w:val="1A037BA3"/>
    <w:rsid w:val="1CA70FC7"/>
    <w:rsid w:val="1D513437"/>
    <w:rsid w:val="1FD02B9B"/>
    <w:rsid w:val="1FD72C61"/>
    <w:rsid w:val="21311A73"/>
    <w:rsid w:val="215A276C"/>
    <w:rsid w:val="21FC5776"/>
    <w:rsid w:val="23CF0442"/>
    <w:rsid w:val="25413D06"/>
    <w:rsid w:val="270B565A"/>
    <w:rsid w:val="28553C8E"/>
    <w:rsid w:val="28646CD1"/>
    <w:rsid w:val="29812174"/>
    <w:rsid w:val="2A460026"/>
    <w:rsid w:val="2A801FC9"/>
    <w:rsid w:val="2BCF2A3B"/>
    <w:rsid w:val="2BF829B9"/>
    <w:rsid w:val="2D4647F2"/>
    <w:rsid w:val="2D8A0EF3"/>
    <w:rsid w:val="306B49A7"/>
    <w:rsid w:val="31D125D7"/>
    <w:rsid w:val="332B7DFB"/>
    <w:rsid w:val="341E492E"/>
    <w:rsid w:val="34EF3395"/>
    <w:rsid w:val="369104C6"/>
    <w:rsid w:val="38395716"/>
    <w:rsid w:val="387E2E48"/>
    <w:rsid w:val="3BE610FE"/>
    <w:rsid w:val="3EF441AF"/>
    <w:rsid w:val="422376B0"/>
    <w:rsid w:val="423050F8"/>
    <w:rsid w:val="43127FC2"/>
    <w:rsid w:val="437B20D2"/>
    <w:rsid w:val="43AF05D6"/>
    <w:rsid w:val="45B241F6"/>
    <w:rsid w:val="47BA43C9"/>
    <w:rsid w:val="4B49547C"/>
    <w:rsid w:val="4E543F59"/>
    <w:rsid w:val="51B36CFC"/>
    <w:rsid w:val="534722A1"/>
    <w:rsid w:val="53C31BAF"/>
    <w:rsid w:val="540002C4"/>
    <w:rsid w:val="56E1139E"/>
    <w:rsid w:val="57EF5A0D"/>
    <w:rsid w:val="590672E7"/>
    <w:rsid w:val="592D1F39"/>
    <w:rsid w:val="5B2C074D"/>
    <w:rsid w:val="5B437CBF"/>
    <w:rsid w:val="5CC71DD7"/>
    <w:rsid w:val="5DA84029"/>
    <w:rsid w:val="5E663419"/>
    <w:rsid w:val="601B55F9"/>
    <w:rsid w:val="618C372F"/>
    <w:rsid w:val="619168F2"/>
    <w:rsid w:val="621153D4"/>
    <w:rsid w:val="644D3C91"/>
    <w:rsid w:val="66C448FE"/>
    <w:rsid w:val="683D2C81"/>
    <w:rsid w:val="6848469A"/>
    <w:rsid w:val="686B60AA"/>
    <w:rsid w:val="69EC2081"/>
    <w:rsid w:val="6A046B86"/>
    <w:rsid w:val="6A970C0D"/>
    <w:rsid w:val="6B58704A"/>
    <w:rsid w:val="6B78282E"/>
    <w:rsid w:val="6C805ED8"/>
    <w:rsid w:val="6E7A6903"/>
    <w:rsid w:val="6E7F035A"/>
    <w:rsid w:val="6FF23495"/>
    <w:rsid w:val="70B044F3"/>
    <w:rsid w:val="71F32BCF"/>
    <w:rsid w:val="73622476"/>
    <w:rsid w:val="74F87697"/>
    <w:rsid w:val="77C96E79"/>
    <w:rsid w:val="781E07ED"/>
    <w:rsid w:val="78462DED"/>
    <w:rsid w:val="78CC11EF"/>
    <w:rsid w:val="78DA2881"/>
    <w:rsid w:val="7B356D2D"/>
    <w:rsid w:val="7CD51416"/>
    <w:rsid w:val="7D3946F9"/>
    <w:rsid w:val="7EB776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1"/>
    <w:next w:val="1"/>
    <w:qFormat/>
    <w:uiPriority w:val="0"/>
    <w:pPr>
      <w:keepNext/>
      <w:keepLines/>
      <w:numPr>
        <w:ilvl w:val="0"/>
        <w:numId w:val="1"/>
      </w:numPr>
      <w:spacing w:before="50" w:beforeLines="50" w:after="30" w:afterLines="30"/>
      <w:outlineLvl w:val="0"/>
    </w:pPr>
    <w:rPr>
      <w:rFonts w:ascii="Times New Roman" w:hAnsi="Times New Roman" w:eastAsia="黑体" w:cs="Times New Roman"/>
      <w:bCs/>
      <w:kern w:val="44"/>
      <w:sz w:val="32"/>
      <w:szCs w:val="44"/>
      <w:lang w:val="en-US" w:eastAsia="zh-CN" w:bidi="ar-SA"/>
    </w:rPr>
  </w:style>
  <w:style w:type="paragraph" w:styleId="3">
    <w:name w:val="heading 2"/>
    <w:next w:val="1"/>
    <w:qFormat/>
    <w:uiPriority w:val="0"/>
    <w:pPr>
      <w:keepNext/>
      <w:keepLines/>
      <w:numPr>
        <w:ilvl w:val="1"/>
        <w:numId w:val="1"/>
      </w:numPr>
      <w:spacing w:before="50" w:beforeLines="50" w:after="30" w:afterLines="30"/>
      <w:outlineLvl w:val="1"/>
    </w:pPr>
    <w:rPr>
      <w:rFonts w:ascii="Times New Roman" w:hAnsi="Times New Roman" w:eastAsia="黑体" w:cs="Times New Roman"/>
      <w:bCs/>
      <w:kern w:val="2"/>
      <w:sz w:val="30"/>
      <w:szCs w:val="32"/>
      <w:lang w:val="en-US" w:eastAsia="zh-CN" w:bidi="ar-SA"/>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Body Text"/>
    <w:basedOn w:val="1"/>
    <w:semiHidden/>
    <w:qFormat/>
    <w:uiPriority w:val="0"/>
    <w:rPr>
      <w:rFonts w:ascii="Arial" w:hAnsi="Arial" w:eastAsia="Arial" w:cs="Arial"/>
      <w:sz w:val="21"/>
      <w:szCs w:val="21"/>
      <w:lang w:val="en-US" w:eastAsia="en-US" w:bidi="ar-SA"/>
    </w:r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图"/>
    <w:basedOn w:val="13"/>
    <w:qFormat/>
    <w:uiPriority w:val="0"/>
    <w:pPr>
      <w:snapToGrid w:val="0"/>
    </w:pPr>
  </w:style>
  <w:style w:type="paragraph" w:customStyle="1" w:styleId="13">
    <w:name w:val="表格"/>
    <w:qFormat/>
    <w:uiPriority w:val="0"/>
    <w:pPr>
      <w:jc w:val="center"/>
    </w:pPr>
    <w:rPr>
      <w:rFonts w:ascii="Times New Roman" w:hAnsi="Times New Roman" w:eastAsia="宋体" w:cs="Times New Roman"/>
      <w:kern w:val="2"/>
      <w:sz w:val="21"/>
      <w:szCs w:val="24"/>
      <w:lang w:val="en-US" w:eastAsia="zh-CN" w:bidi="ar-SA"/>
    </w:rPr>
  </w:style>
  <w:style w:type="paragraph" w:customStyle="1" w:styleId="14">
    <w:name w:val="图名"/>
    <w:qFormat/>
    <w:uiPriority w:val="0"/>
    <w:pPr>
      <w:spacing w:line="360" w:lineRule="auto"/>
      <w:jc w:val="center"/>
    </w:pPr>
    <w:rPr>
      <w:rFonts w:ascii="Times New Roman" w:hAnsi="Times New Roman" w:eastAsia="黑体" w:cs="Times New Roman"/>
      <w:kern w:val="2"/>
      <w:sz w:val="24"/>
      <w:szCs w:val="24"/>
      <w:lang w:val="en-US" w:eastAsia="zh-CN" w:bidi="ar-SA"/>
    </w:rPr>
  </w:style>
  <w:style w:type="paragraph" w:customStyle="1" w:styleId="15">
    <w:name w:val="表名"/>
    <w:qFormat/>
    <w:uiPriority w:val="0"/>
    <w:pPr>
      <w:spacing w:before="50" w:beforeLines="50" w:after="50" w:afterLines="50"/>
      <w:jc w:val="center"/>
    </w:pPr>
    <w:rPr>
      <w:rFonts w:ascii="Times New Roman" w:hAnsi="Times New Roman" w:eastAsia="黑体" w:cs="Times New Roman"/>
      <w:kern w:val="2"/>
      <w:sz w:val="24"/>
      <w:szCs w:val="24"/>
      <w:lang w:val="en-US" w:eastAsia="zh-CN" w:bidi="ar-SA"/>
    </w:rPr>
  </w:style>
  <w:style w:type="paragraph" w:customStyle="1" w:styleId="16">
    <w:name w:val="Table Text"/>
    <w:basedOn w:val="1"/>
    <w:semiHidden/>
    <w:qFormat/>
    <w:uiPriority w:val="0"/>
    <w:rPr>
      <w:rFonts w:ascii="宋体" w:hAnsi="宋体" w:eastAsia="宋体" w:cs="宋体"/>
      <w:sz w:val="23"/>
      <w:szCs w:val="23"/>
      <w:lang w:val="en-US" w:eastAsia="en-US" w:bidi="ar-SA"/>
    </w:rPr>
  </w:style>
  <w:style w:type="table" w:customStyle="1" w:styleId="17">
    <w:name w:val="Table Normal"/>
    <w:semiHidden/>
    <w:unhideWhenUsed/>
    <w:qFormat/>
    <w:uiPriority w:val="0"/>
    <w:tblPr>
      <w:tblCellMar>
        <w:top w:w="0" w:type="dxa"/>
        <w:left w:w="0" w:type="dxa"/>
        <w:bottom w:w="0" w:type="dxa"/>
        <w:right w:w="0" w:type="dxa"/>
      </w:tblCellMar>
    </w:tblPr>
  </w:style>
  <w:style w:type="character" w:customStyle="1" w:styleId="18">
    <w:name w:val="font11"/>
    <w:basedOn w:val="11"/>
    <w:qFormat/>
    <w:uiPriority w:val="0"/>
    <w:rPr>
      <w:rFonts w:hint="eastAsia" w:ascii="宋体" w:hAnsi="宋体" w:eastAsia="宋体" w:cs="宋体"/>
      <w:color w:val="000000"/>
      <w:sz w:val="21"/>
      <w:szCs w:val="21"/>
      <w:u w:val="none"/>
    </w:rPr>
  </w:style>
  <w:style w:type="character" w:customStyle="1" w:styleId="19">
    <w:name w:val="font21"/>
    <w:basedOn w:val="11"/>
    <w:qFormat/>
    <w:uiPriority w:val="0"/>
    <w:rPr>
      <w:rFonts w:hint="default" w:ascii="Times New Roman" w:hAnsi="Times New Roman" w:cs="Times New Roman"/>
      <w:color w:val="000000"/>
      <w:sz w:val="21"/>
      <w:szCs w:val="21"/>
      <w:u w:val="none"/>
    </w:rPr>
  </w:style>
  <w:style w:type="paragraph" w:customStyle="1" w:styleId="20">
    <w:name w:val="WPSOffice手动目录 1"/>
    <w:qFormat/>
    <w:uiPriority w:val="0"/>
    <w:pPr>
      <w:ind w:leftChars="0"/>
    </w:pPr>
    <w:rPr>
      <w:rFonts w:ascii="Times New Roman" w:hAnsi="Times New Roman" w:eastAsia="宋体" w:cs="Times New Roman"/>
      <w:sz w:val="20"/>
      <w:szCs w:val="20"/>
    </w:rPr>
  </w:style>
  <w:style w:type="paragraph" w:customStyle="1" w:styleId="21">
    <w:name w:val="WPSOffice手动目录 2"/>
    <w:qFormat/>
    <w:uiPriority w:val="0"/>
    <w:pPr>
      <w:ind w:leftChars="200"/>
    </w:pPr>
    <w:rPr>
      <w:rFonts w:ascii="Times New Roman" w:hAnsi="Times New Roman" w:eastAsia="宋体" w:cs="Times New Roman"/>
      <w:sz w:val="20"/>
      <w:szCs w:val="20"/>
    </w:rPr>
  </w:style>
  <w:style w:type="paragraph" w:styleId="22">
    <w:name w:val="List Paragraph"/>
    <w:basedOn w:val="1"/>
    <w:qFormat/>
    <w:uiPriority w:val="0"/>
    <w:rPr>
      <w:rFonts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27</Pages>
  <Words>2489</Words>
  <Characters>2950</Characters>
  <Lines>0</Lines>
  <Paragraphs>0</Paragraphs>
  <TotalTime>38</TotalTime>
  <ScaleCrop>false</ScaleCrop>
  <LinksUpToDate>false</LinksUpToDate>
  <CharactersWithSpaces>3062</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2024-08-09T03:17:00Z</dcterms:created>
  <dc:creator>FYK</dc:creator>
  <cp:lastModifiedBy>JXFD-LYJ</cp:lastModifiedBy>
  <cp:lastPrinted>2025-06-26T00:48:00Z</cp:lastPrinted>
  <dcterms:modified xsi:type="dcterms:W3CDTF">2025-07-16T03:13:21Z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3AE7E0A5EBB34ADD9E66938E3EB6CF2E_12</vt:lpwstr>
  </property>
  <property fmtid="{D5CDD505-2E9C-101B-9397-08002B2CF9AE}" pid="4" name="KSOTemplateDocerSaveRecord">
    <vt:lpwstr>eyJoZGlkIjoiNGY5MGUwOGUwOWU4OGFjYTZlMWUxZTM5Yjk1ODcxNzciLCJ1c2VySWQiOiIyODc5NDEwNzcifQ==</vt:lpwstr>
  </property>
</Properties>
</file>