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97E25">
      <w:pPr>
        <w:ind w:right="480" w:rightChars="200" w:firstLine="5355" w:firstLineChars="1905"/>
        <w:rPr>
          <w:rFonts w:ascii="黑体" w:hAnsi="黑体" w:eastAsia="黑体" w:cs="黑体"/>
          <w:b/>
          <w:color w:val="000000"/>
          <w:sz w:val="28"/>
          <w:szCs w:val="28"/>
        </w:rPr>
      </w:pPr>
      <w:r>
        <w:rPr>
          <w:rFonts w:hint="eastAsia" w:ascii="黑体" w:hAnsi="黑体" w:eastAsia="黑体" w:cs="黑体"/>
          <w:b/>
          <w:color w:val="000000"/>
          <w:sz w:val="28"/>
          <w:szCs w:val="28"/>
        </w:rPr>
        <w:t>合同编号：</w:t>
      </w:r>
      <w:r>
        <w:rPr>
          <w:rFonts w:hint="eastAsia" w:ascii="黑体" w:hAnsi="黑体" w:eastAsia="黑体" w:cs="黑体"/>
          <w:b/>
          <w:color w:val="000000"/>
          <w:sz w:val="28"/>
          <w:szCs w:val="28"/>
          <w:u w:val="single"/>
        </w:rPr>
        <w:t xml:space="preserve">        </w:t>
      </w:r>
    </w:p>
    <w:p w14:paraId="257929A2">
      <w:pPr>
        <w:ind w:firstLine="480"/>
        <w:rPr>
          <w:rFonts w:ascii="微软雅黑" w:hAnsi="微软雅黑" w:eastAsia="微软雅黑"/>
        </w:rPr>
      </w:pPr>
    </w:p>
    <w:p w14:paraId="343EFDAD">
      <w:pPr>
        <w:ind w:firstLine="0" w:firstLineChars="0"/>
        <w:rPr>
          <w:rFonts w:ascii="微软雅黑" w:hAnsi="微软雅黑" w:eastAsia="微软雅黑"/>
        </w:rPr>
      </w:pPr>
    </w:p>
    <w:p w14:paraId="6F9696CF">
      <w:pPr>
        <w:ind w:firstLine="480"/>
        <w:rPr>
          <w:rFonts w:ascii="微软雅黑" w:hAnsi="微软雅黑" w:eastAsia="微软雅黑"/>
        </w:rPr>
      </w:pPr>
    </w:p>
    <w:p w14:paraId="7F246F8B">
      <w:pPr>
        <w:ind w:firstLine="480"/>
        <w:rPr>
          <w:rFonts w:ascii="微软雅黑" w:hAnsi="微软雅黑" w:eastAsia="微软雅黑"/>
        </w:rPr>
      </w:pPr>
    </w:p>
    <w:p w14:paraId="33D81A83">
      <w:pPr>
        <w:ind w:firstLine="480"/>
        <w:rPr>
          <w:rFonts w:ascii="微软雅黑" w:hAnsi="微软雅黑" w:eastAsia="微软雅黑"/>
        </w:rPr>
      </w:pPr>
    </w:p>
    <w:p w14:paraId="047DE68A">
      <w:pPr>
        <w:ind w:firstLine="480"/>
        <w:rPr>
          <w:rFonts w:ascii="微软雅黑" w:hAnsi="微软雅黑" w:eastAsia="微软雅黑"/>
        </w:rPr>
      </w:pPr>
    </w:p>
    <w:p w14:paraId="6D01F287">
      <w:pPr>
        <w:ind w:firstLine="883"/>
        <w:jc w:val="center"/>
        <w:rPr>
          <w:rFonts w:ascii="黑体" w:hAnsi="黑体" w:eastAsia="黑体"/>
          <w:b/>
          <w:bCs/>
          <w:sz w:val="44"/>
          <w:szCs w:val="44"/>
        </w:rPr>
      </w:pPr>
      <w:r>
        <w:rPr>
          <w:rFonts w:hint="eastAsia" w:ascii="黑体" w:hAnsi="黑体" w:eastAsia="黑体"/>
          <w:b/>
          <w:bCs/>
          <w:sz w:val="44"/>
          <w:szCs w:val="44"/>
        </w:rPr>
        <w:t>浙石油X</w:t>
      </w:r>
      <w:r>
        <w:rPr>
          <w:rFonts w:ascii="黑体" w:hAnsi="黑体" w:eastAsia="黑体"/>
          <w:b/>
          <w:bCs/>
          <w:sz w:val="44"/>
          <w:szCs w:val="44"/>
        </w:rPr>
        <w:t>XX</w:t>
      </w:r>
      <w:r>
        <w:rPr>
          <w:rFonts w:hint="eastAsia" w:ascii="黑体" w:hAnsi="黑体" w:eastAsia="黑体"/>
          <w:b/>
          <w:bCs/>
          <w:sz w:val="44"/>
          <w:szCs w:val="44"/>
        </w:rPr>
        <w:t>充电站项目</w:t>
      </w:r>
    </w:p>
    <w:p w14:paraId="7EC2204C">
      <w:pPr>
        <w:ind w:firstLine="883"/>
        <w:jc w:val="center"/>
        <w:rPr>
          <w:rFonts w:ascii="黑体" w:hAnsi="黑体" w:eastAsia="黑体"/>
          <w:b/>
          <w:bCs/>
          <w:sz w:val="44"/>
          <w:szCs w:val="44"/>
        </w:rPr>
      </w:pPr>
      <w:r>
        <w:rPr>
          <w:rFonts w:hint="eastAsia" w:ascii="黑体" w:hAnsi="黑体" w:eastAsia="黑体"/>
          <w:b/>
          <w:bCs/>
          <w:sz w:val="44"/>
          <w:szCs w:val="44"/>
        </w:rPr>
        <w:t>委托运营合同</w:t>
      </w:r>
    </w:p>
    <w:p w14:paraId="785DFC2A">
      <w:pPr>
        <w:ind w:firstLine="480"/>
        <w:rPr>
          <w:rFonts w:ascii="微软雅黑" w:hAnsi="微软雅黑" w:eastAsia="微软雅黑"/>
        </w:rPr>
      </w:pPr>
    </w:p>
    <w:p w14:paraId="489FE180">
      <w:pPr>
        <w:ind w:firstLine="480"/>
        <w:rPr>
          <w:rFonts w:ascii="微软雅黑" w:hAnsi="微软雅黑" w:eastAsia="微软雅黑"/>
        </w:rPr>
      </w:pPr>
    </w:p>
    <w:p w14:paraId="389ACA49">
      <w:pPr>
        <w:ind w:firstLine="480"/>
        <w:rPr>
          <w:rFonts w:ascii="微软雅黑" w:hAnsi="微软雅黑" w:eastAsia="微软雅黑"/>
        </w:rPr>
      </w:pPr>
    </w:p>
    <w:p w14:paraId="254F23BE">
      <w:pPr>
        <w:ind w:firstLine="0" w:firstLineChars="0"/>
        <w:rPr>
          <w:rFonts w:ascii="微软雅黑" w:hAnsi="微软雅黑" w:eastAsia="微软雅黑"/>
        </w:rPr>
      </w:pPr>
    </w:p>
    <w:p w14:paraId="681B05F7">
      <w:pPr>
        <w:ind w:firstLine="0" w:firstLineChars="0"/>
        <w:rPr>
          <w:rFonts w:ascii="微软雅黑" w:hAnsi="微软雅黑" w:eastAsia="微软雅黑"/>
        </w:rPr>
      </w:pPr>
    </w:p>
    <w:p w14:paraId="6FC0BBAE">
      <w:pPr>
        <w:ind w:firstLine="0" w:firstLineChars="0"/>
        <w:rPr>
          <w:rFonts w:ascii="微软雅黑" w:hAnsi="微软雅黑" w:eastAsia="微软雅黑"/>
        </w:rPr>
      </w:pPr>
    </w:p>
    <w:p w14:paraId="4FECF214">
      <w:pPr>
        <w:spacing w:line="360" w:lineRule="auto"/>
        <w:ind w:firstLine="281" w:firstLineChars="100"/>
        <w:jc w:val="center"/>
        <w:rPr>
          <w:rFonts w:ascii="黑体" w:hAnsi="黑体" w:eastAsia="黑体" w:cs="黑体"/>
          <w:b/>
          <w:color w:val="000000"/>
          <w:sz w:val="28"/>
          <w:szCs w:val="28"/>
          <w:u w:val="single"/>
        </w:rPr>
      </w:pPr>
      <w:r>
        <w:rPr>
          <w:rFonts w:hint="eastAsia" w:ascii="黑体" w:hAnsi="黑体" w:eastAsia="黑体" w:cs="黑体"/>
          <w:b/>
          <w:color w:val="000000"/>
          <w:sz w:val="28"/>
          <w:szCs w:val="28"/>
        </w:rPr>
        <w:t>甲方（全称）：</w:t>
      </w:r>
      <w:r>
        <w:rPr>
          <w:rFonts w:hint="eastAsia" w:ascii="黑体" w:hAnsi="黑体" w:eastAsia="黑体" w:cs="黑体"/>
          <w:b/>
          <w:color w:val="000000"/>
          <w:sz w:val="28"/>
          <w:szCs w:val="28"/>
          <w:u w:val="single"/>
        </w:rPr>
        <w:t xml:space="preserve"> </w:t>
      </w:r>
      <w:r>
        <w:rPr>
          <w:rFonts w:ascii="黑体" w:hAnsi="黑体" w:eastAsia="黑体" w:cs="黑体"/>
          <w:b/>
          <w:color w:val="000000"/>
          <w:sz w:val="28"/>
          <w:szCs w:val="28"/>
          <w:u w:val="single"/>
        </w:rPr>
        <w:t xml:space="preserve">           </w:t>
      </w:r>
      <w:r>
        <w:rPr>
          <w:rFonts w:hint="eastAsia" w:ascii="黑体" w:hAnsi="黑体" w:eastAsia="黑体" w:cs="黑体"/>
          <w:b/>
          <w:color w:val="000000"/>
          <w:sz w:val="28"/>
          <w:szCs w:val="28"/>
          <w:u w:val="single"/>
        </w:rPr>
        <w:t></w:t>
      </w:r>
    </w:p>
    <w:p w14:paraId="500FCA72">
      <w:pPr>
        <w:spacing w:line="360" w:lineRule="auto"/>
        <w:ind w:firstLine="281" w:firstLineChars="100"/>
        <w:jc w:val="center"/>
        <w:rPr>
          <w:rFonts w:ascii="黑体" w:hAnsi="黑体" w:eastAsia="黑体" w:cs="黑体"/>
          <w:b/>
          <w:color w:val="000000"/>
          <w:sz w:val="28"/>
          <w:szCs w:val="28"/>
          <w:u w:val="single"/>
        </w:rPr>
      </w:pPr>
      <w:r>
        <w:rPr>
          <w:rFonts w:hint="eastAsia" w:ascii="黑体" w:hAnsi="黑体" w:eastAsia="黑体" w:cs="黑体"/>
          <w:b/>
          <w:color w:val="000000"/>
          <w:sz w:val="28"/>
          <w:szCs w:val="28"/>
        </w:rPr>
        <w:t>乙方（全称）：</w:t>
      </w:r>
      <w:r>
        <w:rPr>
          <w:rFonts w:hint="eastAsia" w:ascii="黑体" w:hAnsi="黑体" w:eastAsia="黑体" w:cs="黑体"/>
          <w:b/>
          <w:color w:val="000000"/>
          <w:sz w:val="28"/>
          <w:szCs w:val="28"/>
          <w:u w:val="single"/>
        </w:rPr>
        <w:t>            </w:t>
      </w:r>
    </w:p>
    <w:p w14:paraId="08D667CF">
      <w:pPr>
        <w:spacing w:line="360" w:lineRule="auto"/>
        <w:ind w:firstLine="281" w:firstLineChars="100"/>
        <w:rPr>
          <w:rFonts w:ascii="黑体" w:hAnsi="黑体" w:eastAsia="黑体" w:cs="黑体"/>
          <w:b/>
          <w:color w:val="000000"/>
          <w:sz w:val="28"/>
          <w:szCs w:val="28"/>
          <w:u w:val="single"/>
        </w:rPr>
      </w:pPr>
    </w:p>
    <w:p w14:paraId="2459355C">
      <w:pPr>
        <w:spacing w:line="360" w:lineRule="auto"/>
        <w:ind w:firstLine="281" w:firstLineChars="100"/>
        <w:rPr>
          <w:rFonts w:ascii="黑体" w:hAnsi="黑体" w:eastAsia="黑体" w:cs="黑体"/>
          <w:b/>
          <w:color w:val="000000"/>
          <w:sz w:val="28"/>
          <w:szCs w:val="28"/>
          <w:u w:val="single"/>
        </w:rPr>
      </w:pPr>
    </w:p>
    <w:p w14:paraId="0D60D701">
      <w:pPr>
        <w:spacing w:line="360" w:lineRule="auto"/>
        <w:ind w:firstLine="562"/>
        <w:jc w:val="center"/>
        <w:rPr>
          <w:rFonts w:ascii="黑体" w:hAnsi="黑体" w:eastAsia="黑体" w:cs="黑体"/>
          <w:b/>
          <w:bCs/>
          <w:sz w:val="28"/>
          <w:szCs w:val="28"/>
        </w:rPr>
      </w:pPr>
      <w:r>
        <w:rPr>
          <w:rFonts w:ascii="黑体" w:hAnsi="黑体" w:eastAsia="黑体" w:cs="黑体"/>
          <w:b/>
          <w:bCs/>
          <w:sz w:val="28"/>
          <w:szCs w:val="28"/>
          <w:u w:val="single"/>
        </w:rPr>
        <w:t>202</w:t>
      </w:r>
      <w:r>
        <w:rPr>
          <w:rFonts w:hint="eastAsia" w:ascii="黑体" w:hAnsi="黑体" w:eastAsia="黑体" w:cs="黑体"/>
          <w:b/>
          <w:bCs/>
          <w:sz w:val="28"/>
          <w:szCs w:val="28"/>
          <w:u w:val="single"/>
          <w:lang w:val="en-US" w:eastAsia="zh-CN"/>
        </w:rPr>
        <w:t>5</w:t>
      </w:r>
      <w:r>
        <w:rPr>
          <w:rFonts w:hint="eastAsia" w:ascii="黑体" w:hAnsi="黑体" w:eastAsia="黑体" w:cs="黑体"/>
          <w:b/>
          <w:bCs/>
          <w:sz w:val="28"/>
          <w:szCs w:val="28"/>
        </w:rPr>
        <w:t>年</w:t>
      </w:r>
      <w:r>
        <w:rPr>
          <w:rFonts w:hint="eastAsia" w:ascii="黑体" w:hAnsi="黑体" w:eastAsia="黑体" w:cs="黑体"/>
          <w:b/>
          <w:bCs/>
          <w:sz w:val="28"/>
          <w:szCs w:val="28"/>
          <w:u w:val="single"/>
        </w:rPr>
        <w:t xml:space="preserve">    </w:t>
      </w:r>
      <w:r>
        <w:rPr>
          <w:rFonts w:hint="eastAsia" w:ascii="黑体" w:hAnsi="黑体" w:eastAsia="黑体" w:cs="黑体"/>
          <w:b/>
          <w:bCs/>
          <w:sz w:val="28"/>
          <w:szCs w:val="28"/>
        </w:rPr>
        <w:t>月</w:t>
      </w:r>
    </w:p>
    <w:p w14:paraId="5724E6E7">
      <w:pPr>
        <w:spacing w:line="360" w:lineRule="auto"/>
        <w:ind w:firstLine="3654" w:firstLineChars="1300"/>
        <w:rPr>
          <w:rFonts w:ascii="黑体" w:hAnsi="黑体" w:eastAsia="黑体" w:cs="黑体"/>
          <w:b/>
          <w:bCs/>
          <w:sz w:val="28"/>
          <w:szCs w:val="28"/>
          <w:u w:val="single"/>
        </w:rPr>
      </w:pPr>
      <w:r>
        <w:rPr>
          <w:rFonts w:hint="eastAsia" w:ascii="黑体" w:hAnsi="黑体" w:eastAsia="黑体" w:cs="黑体"/>
          <w:b/>
          <w:bCs/>
          <w:sz w:val="28"/>
          <w:szCs w:val="28"/>
        </w:rPr>
        <w:t>签订于</w:t>
      </w:r>
      <w:r>
        <w:rPr>
          <w:rFonts w:hint="eastAsia" w:ascii="黑体" w:hAnsi="黑体" w:eastAsia="黑体" w:cs="黑体"/>
          <w:b/>
          <w:bCs/>
          <w:sz w:val="28"/>
          <w:szCs w:val="28"/>
          <w:u w:val="single"/>
        </w:rPr>
        <w:t xml:space="preserve"> </w:t>
      </w:r>
      <w:r>
        <w:rPr>
          <w:rFonts w:ascii="黑体" w:hAnsi="黑体" w:eastAsia="黑体" w:cs="黑体"/>
          <w:b/>
          <w:bCs/>
          <w:sz w:val="28"/>
          <w:szCs w:val="28"/>
          <w:u w:val="single"/>
        </w:rPr>
        <w:t xml:space="preserve">   </w:t>
      </w:r>
    </w:p>
    <w:p w14:paraId="3DBB05D5">
      <w:pPr>
        <w:spacing w:line="360" w:lineRule="auto"/>
        <w:ind w:firstLine="3654" w:firstLineChars="1300"/>
        <w:rPr>
          <w:rFonts w:ascii="黑体" w:hAnsi="黑体" w:eastAsia="黑体" w:cs="黑体"/>
          <w:b/>
          <w:bCs/>
          <w:sz w:val="28"/>
          <w:szCs w:val="28"/>
          <w:u w:val="single"/>
        </w:rPr>
      </w:pPr>
    </w:p>
    <w:p w14:paraId="5C34E7AF">
      <w:pPr>
        <w:spacing w:before="156" w:beforeLines="50" w:line="380" w:lineRule="exact"/>
        <w:ind w:firstLine="440"/>
        <w:rPr>
          <w:rFonts w:ascii="微软雅黑" w:hAnsi="微软雅黑" w:eastAsia="微软雅黑"/>
          <w:sz w:val="22"/>
          <w:szCs w:val="22"/>
        </w:rPr>
      </w:pPr>
      <w:ins w:id="0" w:author="郭炜炜" w:date="2025-09-09T09:41:54Z">
        <w:r>
          <w:rPr>
            <w:rFonts w:hint="eastAsia" w:ascii="微软雅黑" w:hAnsi="微软雅黑" w:eastAsia="微软雅黑"/>
            <w:sz w:val="22"/>
            <w:szCs w:val="22"/>
            <w:lang w:val="en-US" w:eastAsia="zh-CN"/>
          </w:rPr>
          <w:t>鉴于</w:t>
        </w:r>
      </w:ins>
      <w:ins w:id="1" w:author="郭炜炜" w:date="2025-09-09T09:42:08Z">
        <w:r>
          <w:rPr>
            <w:rFonts w:hint="eastAsia" w:ascii="微软雅黑" w:hAnsi="微软雅黑" w:eastAsia="微软雅黑"/>
            <w:sz w:val="22"/>
            <w:szCs w:val="22"/>
            <w:lang w:val="en-US" w:eastAsia="zh-CN"/>
          </w:rPr>
          <w:t>浙江</w:t>
        </w:r>
      </w:ins>
      <w:ins w:id="2" w:author="郭炜炜" w:date="2025-09-09T09:42:13Z">
        <w:r>
          <w:rPr>
            <w:rFonts w:hint="eastAsia" w:ascii="微软雅黑" w:hAnsi="微软雅黑" w:eastAsia="微软雅黑"/>
            <w:sz w:val="22"/>
            <w:szCs w:val="22"/>
            <w:lang w:val="en-US" w:eastAsia="zh-CN"/>
          </w:rPr>
          <w:t>浙</w:t>
        </w:r>
      </w:ins>
      <w:ins w:id="3" w:author="郭炜炜" w:date="2025-09-09T09:42:14Z">
        <w:r>
          <w:rPr>
            <w:rFonts w:hint="eastAsia" w:ascii="微软雅黑" w:hAnsi="微软雅黑" w:eastAsia="微软雅黑"/>
            <w:sz w:val="22"/>
            <w:szCs w:val="22"/>
            <w:lang w:val="en-US" w:eastAsia="zh-CN"/>
          </w:rPr>
          <w:t>石油</w:t>
        </w:r>
      </w:ins>
      <w:ins w:id="4" w:author="郭炜炜" w:date="2025-09-09T09:42:16Z">
        <w:r>
          <w:rPr>
            <w:rFonts w:hint="eastAsia" w:ascii="微软雅黑" w:hAnsi="微软雅黑" w:eastAsia="微软雅黑"/>
            <w:sz w:val="22"/>
            <w:szCs w:val="22"/>
            <w:lang w:val="en-US" w:eastAsia="zh-CN"/>
          </w:rPr>
          <w:t>综合</w:t>
        </w:r>
      </w:ins>
      <w:ins w:id="5" w:author="郭炜炜" w:date="2025-09-09T09:42:18Z">
        <w:r>
          <w:rPr>
            <w:rFonts w:hint="eastAsia" w:ascii="微软雅黑" w:hAnsi="微软雅黑" w:eastAsia="微软雅黑"/>
            <w:sz w:val="22"/>
            <w:szCs w:val="22"/>
            <w:lang w:val="en-US" w:eastAsia="zh-CN"/>
          </w:rPr>
          <w:t>能源</w:t>
        </w:r>
      </w:ins>
      <w:ins w:id="6" w:author="郭炜炜" w:date="2025-09-09T09:42:19Z">
        <w:r>
          <w:rPr>
            <w:rFonts w:hint="eastAsia" w:ascii="微软雅黑" w:hAnsi="微软雅黑" w:eastAsia="微软雅黑"/>
            <w:sz w:val="22"/>
            <w:szCs w:val="22"/>
            <w:lang w:val="en-US" w:eastAsia="zh-CN"/>
          </w:rPr>
          <w:t>销售</w:t>
        </w:r>
      </w:ins>
      <w:ins w:id="7" w:author="郭炜炜" w:date="2025-09-09T09:42:21Z">
        <w:r>
          <w:rPr>
            <w:rFonts w:hint="eastAsia" w:ascii="微软雅黑" w:hAnsi="微软雅黑" w:eastAsia="微软雅黑"/>
            <w:sz w:val="22"/>
            <w:szCs w:val="22"/>
            <w:lang w:val="en-US" w:eastAsia="zh-CN"/>
          </w:rPr>
          <w:t>有限</w:t>
        </w:r>
      </w:ins>
      <w:ins w:id="8" w:author="郭炜炜" w:date="2025-09-09T09:42:22Z">
        <w:r>
          <w:rPr>
            <w:rFonts w:hint="eastAsia" w:ascii="微软雅黑" w:hAnsi="微软雅黑" w:eastAsia="微软雅黑"/>
            <w:sz w:val="22"/>
            <w:szCs w:val="22"/>
            <w:lang w:val="en-US" w:eastAsia="zh-CN"/>
          </w:rPr>
          <w:t>公司</w:t>
        </w:r>
      </w:ins>
      <w:ins w:id="9" w:author="郭炜炜" w:date="2025-09-09T09:42:23Z">
        <w:r>
          <w:rPr>
            <w:rFonts w:hint="eastAsia" w:ascii="微软雅黑" w:hAnsi="微软雅黑" w:eastAsia="微软雅黑"/>
            <w:sz w:val="22"/>
            <w:szCs w:val="22"/>
            <w:lang w:val="en-US" w:eastAsia="zh-CN"/>
          </w:rPr>
          <w:t>已</w:t>
        </w:r>
      </w:ins>
      <w:ins w:id="10" w:author="郭炜炜" w:date="2025-09-09T09:42:24Z">
        <w:r>
          <w:rPr>
            <w:rFonts w:hint="eastAsia" w:ascii="微软雅黑" w:hAnsi="微软雅黑" w:eastAsia="微软雅黑"/>
            <w:sz w:val="22"/>
            <w:szCs w:val="22"/>
            <w:lang w:val="en-US" w:eastAsia="zh-CN"/>
          </w:rPr>
          <w:t>与</w:t>
        </w:r>
      </w:ins>
      <w:ins w:id="11" w:author="郭炜炜" w:date="2025-09-09T09:42:28Z">
        <w:r>
          <w:rPr>
            <w:rFonts w:hint="eastAsia" w:ascii="微软雅黑" w:hAnsi="微软雅黑" w:eastAsia="微软雅黑"/>
            <w:sz w:val="22"/>
            <w:szCs w:val="22"/>
            <w:lang w:val="en-US" w:eastAsia="zh-CN"/>
          </w:rPr>
          <w:t>乙方</w:t>
        </w:r>
      </w:ins>
      <w:ins w:id="12" w:author="郭炜炜" w:date="2025-09-09T09:42:29Z">
        <w:r>
          <w:rPr>
            <w:rFonts w:hint="eastAsia" w:ascii="微软雅黑" w:hAnsi="微软雅黑" w:eastAsia="微软雅黑"/>
            <w:sz w:val="22"/>
            <w:szCs w:val="22"/>
            <w:lang w:val="en-US" w:eastAsia="zh-CN"/>
          </w:rPr>
          <w:t>签署《</w:t>
        </w:r>
      </w:ins>
      <w:ins w:id="13" w:author="郭炜炜" w:date="2025-09-09T09:42:34Z">
        <w:r>
          <w:rPr>
            <w:rFonts w:hint="eastAsia" w:ascii="微软雅黑" w:hAnsi="微软雅黑" w:eastAsia="微软雅黑"/>
            <w:sz w:val="22"/>
            <w:szCs w:val="22"/>
          </w:rPr>
          <w:t>浙石油充电站项目委托运营框架合同</w:t>
        </w:r>
      </w:ins>
      <w:ins w:id="14" w:author="郭炜炜" w:date="2025-09-09T09:42:30Z">
        <w:r>
          <w:rPr>
            <w:rFonts w:hint="eastAsia" w:ascii="微软雅黑" w:hAnsi="微软雅黑" w:eastAsia="微软雅黑"/>
            <w:sz w:val="22"/>
            <w:szCs w:val="22"/>
            <w:lang w:val="en-US" w:eastAsia="zh-CN"/>
          </w:rPr>
          <w:t>》</w:t>
        </w:r>
      </w:ins>
      <w:ins w:id="15" w:author="郭炜炜" w:date="2025-09-09T09:42:49Z">
        <w:r>
          <w:rPr>
            <w:rFonts w:hint="eastAsia" w:ascii="微软雅黑" w:hAnsi="微软雅黑" w:eastAsia="微软雅黑"/>
            <w:sz w:val="22"/>
            <w:szCs w:val="22"/>
            <w:lang w:val="en-US" w:eastAsia="zh-CN"/>
          </w:rPr>
          <w:t>，</w:t>
        </w:r>
      </w:ins>
      <w:ins w:id="16" w:author="郭炜炜" w:date="2025-09-09T09:42:59Z">
        <w:r>
          <w:rPr>
            <w:rFonts w:hint="eastAsia" w:ascii="微软雅黑" w:hAnsi="微软雅黑" w:eastAsia="微软雅黑"/>
            <w:sz w:val="22"/>
            <w:szCs w:val="22"/>
            <w:lang w:val="en-US" w:eastAsia="zh-CN"/>
          </w:rPr>
          <w:t>现</w:t>
        </w:r>
      </w:ins>
      <w:ins w:id="17" w:author="郭炜炜" w:date="2025-09-09T09:43:01Z">
        <w:r>
          <w:rPr>
            <w:rFonts w:hint="eastAsia" w:ascii="微软雅黑" w:hAnsi="微软雅黑" w:eastAsia="微软雅黑"/>
            <w:sz w:val="22"/>
            <w:szCs w:val="22"/>
            <w:lang w:val="en-US" w:eastAsia="zh-CN"/>
          </w:rPr>
          <w:t>甲乙</w:t>
        </w:r>
      </w:ins>
      <w:del w:id="18" w:author="郭炜炜" w:date="2025-09-09T09:42:58Z">
        <w:r>
          <w:rPr>
            <w:rFonts w:hint="eastAsia" w:ascii="微软雅黑" w:hAnsi="微软雅黑" w:eastAsia="微软雅黑"/>
            <w:sz w:val="22"/>
            <w:szCs w:val="22"/>
          </w:rPr>
          <w:delText>经</w:delText>
        </w:r>
      </w:del>
      <w:r>
        <w:rPr>
          <w:rFonts w:hint="eastAsia" w:ascii="微软雅黑" w:hAnsi="微软雅黑" w:eastAsia="微软雅黑"/>
          <w:sz w:val="22"/>
          <w:szCs w:val="22"/>
        </w:rPr>
        <w:t>双方平等友好协商，就甲方的充电场站委托乙方运营管理事宜，一致达成如下协议，并由双方共同恪守。</w:t>
      </w:r>
    </w:p>
    <w:p w14:paraId="64F0B615">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第一条 委托运营管理范围</w:t>
      </w:r>
    </w:p>
    <w:p w14:paraId="01863899">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1.1</w:t>
      </w:r>
      <w:r>
        <w:rPr>
          <w:rFonts w:hint="eastAsia" w:ascii="微软雅黑" w:hAnsi="微软雅黑" w:eastAsia="微软雅黑"/>
          <w:sz w:val="22"/>
          <w:szCs w:val="22"/>
        </w:rPr>
        <w:t>甲方将其投资建设的充电场站及充电设备委托给乙方运营，由乙方全面负责营销推广、用户服务、场站管理、设备运维、数据统计日常管理工作。</w:t>
      </w:r>
    </w:p>
    <w:p w14:paraId="1535E774">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1</w:t>
      </w:r>
      <w:r>
        <w:rPr>
          <w:rFonts w:hint="eastAsia" w:ascii="微软雅黑" w:hAnsi="微软雅黑" w:eastAsia="微软雅黑"/>
          <w:sz w:val="22"/>
          <w:szCs w:val="22"/>
        </w:rPr>
        <w:t>.2乙方应严格执行甲方对充电站的管理制度和相关规定，委托运营管理工作主要包括以下内容：</w:t>
      </w:r>
    </w:p>
    <w:p w14:paraId="4FFD0483">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充电站营销推广：方案策划、信息推送、活动组织。</w:t>
      </w:r>
    </w:p>
    <w:p w14:paraId="38A303D9">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充电站运营服务：告知与指引、充电服务规范、费用结算、投诉与处理、场站卫生</w:t>
      </w:r>
      <w:ins w:id="19" w:author="许婧瑶" w:date="2025-09-10T09:22:16Z">
        <w:r>
          <w:rPr>
            <w:rFonts w:hint="eastAsia" w:ascii="微软雅黑" w:hAnsi="微软雅黑" w:eastAsia="微软雅黑"/>
            <w:sz w:val="22"/>
            <w:szCs w:val="22"/>
            <w:lang w:eastAsia="zh-CN"/>
          </w:rPr>
          <w:t>（</w:t>
        </w:r>
      </w:ins>
      <w:ins w:id="20" w:author="许婧瑶" w:date="2025-09-10T09:22:16Z">
        <w:r>
          <w:rPr>
            <w:rFonts w:hint="eastAsia" w:ascii="微软雅黑" w:hAnsi="微软雅黑" w:eastAsia="微软雅黑"/>
            <w:sz w:val="22"/>
            <w:szCs w:val="22"/>
            <w:lang w:val="en-US" w:eastAsia="zh-CN"/>
          </w:rPr>
          <w:t>甲</w:t>
        </w:r>
      </w:ins>
      <w:ins w:id="21" w:author="许婧瑶" w:date="2025-09-10T09:22:16Z">
        <w:r>
          <w:rPr>
            <w:rFonts w:hint="eastAsia" w:ascii="微软雅黑" w:hAnsi="微软雅黑" w:eastAsia="微软雅黑"/>
            <w:sz w:val="22"/>
            <w:szCs w:val="22"/>
          </w:rPr>
          <w:t>方</w:t>
        </w:r>
      </w:ins>
      <w:ins w:id="22" w:author="许婧瑶" w:date="2025-09-10T09:22:16Z">
        <w:r>
          <w:rPr>
            <w:rFonts w:hint="eastAsia" w:ascii="微软雅黑" w:hAnsi="微软雅黑" w:eastAsia="微软雅黑"/>
            <w:sz w:val="22"/>
            <w:szCs w:val="22"/>
            <w:lang w:val="en-US" w:eastAsia="zh-CN"/>
          </w:rPr>
          <w:t>自行负责卫生</w:t>
        </w:r>
      </w:ins>
      <w:ins w:id="23" w:author="许婧瑶" w:date="2025-09-10T09:22:16Z">
        <w:r>
          <w:rPr>
            <w:rFonts w:hint="eastAsia" w:ascii="微软雅黑" w:hAnsi="微软雅黑" w:eastAsia="微软雅黑"/>
            <w:sz w:val="22"/>
            <w:szCs w:val="22"/>
          </w:rPr>
          <w:t>人员及耗材等环境卫生费用</w:t>
        </w:r>
      </w:ins>
      <w:ins w:id="24" w:author="许婧瑶" w:date="2025-09-10T09:22:16Z">
        <w:r>
          <w:rPr>
            <w:rFonts w:hint="eastAsia" w:ascii="微软雅黑" w:hAnsi="微软雅黑" w:eastAsia="微软雅黑"/>
            <w:sz w:val="22"/>
            <w:szCs w:val="22"/>
            <w:lang w:eastAsia="zh-CN"/>
          </w:rPr>
          <w:t>）</w:t>
        </w:r>
      </w:ins>
      <w:r>
        <w:rPr>
          <w:rFonts w:hint="eastAsia" w:ascii="微软雅黑" w:hAnsi="微软雅黑" w:eastAsia="微软雅黑"/>
          <w:sz w:val="22"/>
          <w:szCs w:val="22"/>
        </w:rPr>
        <w:t>。</w:t>
      </w:r>
    </w:p>
    <w:p w14:paraId="60D76D5A">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充电站运维管理：场站巡检、故障处理。</w:t>
      </w:r>
    </w:p>
    <w:p w14:paraId="438B0783">
      <w:pPr>
        <w:pStyle w:val="21"/>
        <w:spacing w:before="156" w:beforeLines="50" w:line="380" w:lineRule="exact"/>
        <w:ind w:firstLine="440"/>
        <w:jc w:val="both"/>
        <w:rPr>
          <w:rFonts w:ascii="微软雅黑" w:hAnsi="微软雅黑" w:eastAsia="微软雅黑"/>
          <w:sz w:val="22"/>
          <w:szCs w:val="22"/>
        </w:rPr>
      </w:pPr>
      <w:r>
        <w:rPr>
          <w:rFonts w:hint="eastAsia" w:ascii="微软雅黑" w:hAnsi="微软雅黑" w:eastAsia="微软雅黑"/>
          <w:sz w:val="22"/>
          <w:szCs w:val="22"/>
        </w:rPr>
        <w:t>充电站安全管理：设备安全、车辆安全、消防安全、应急处置。甲乙双方约定安全协议，作为附件2，参照协议进行管理。</w:t>
      </w:r>
    </w:p>
    <w:p w14:paraId="47AC030F">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1</w:t>
      </w:r>
      <w:r>
        <w:rPr>
          <w:rFonts w:hint="eastAsia" w:ascii="微软雅黑" w:hAnsi="微软雅黑" w:eastAsia="微软雅黑"/>
          <w:sz w:val="22"/>
          <w:szCs w:val="22"/>
        </w:rPr>
        <w:t>.3乙方提供专业平台服务，具体内容明细详见合同附件</w:t>
      </w:r>
      <w:r>
        <w:rPr>
          <w:rFonts w:ascii="微软雅黑" w:hAnsi="微软雅黑" w:eastAsia="微软雅黑"/>
          <w:sz w:val="22"/>
          <w:szCs w:val="22"/>
        </w:rPr>
        <w:t>1</w:t>
      </w:r>
      <w:ins w:id="25" w:author="许婧瑶" w:date="2025-09-10T10:53:01Z">
        <w:r>
          <w:rPr>
            <w:rFonts w:hint="eastAsia" w:ascii="微软雅黑" w:hAnsi="微软雅黑" w:eastAsia="微软雅黑"/>
            <w:sz w:val="22"/>
            <w:szCs w:val="22"/>
          </w:rPr>
          <w:t>独立充电站委托运营管理细则</w:t>
        </w:r>
      </w:ins>
      <w:del w:id="26" w:author="许婧瑶" w:date="2025-09-10T10:53:01Z">
        <w:r>
          <w:rPr>
            <w:rFonts w:hint="eastAsia" w:ascii="微软雅黑" w:hAnsi="微软雅黑" w:eastAsia="微软雅黑"/>
            <w:sz w:val="22"/>
            <w:szCs w:val="22"/>
          </w:rPr>
          <w:delText>委托运营服务细则</w:delText>
        </w:r>
      </w:del>
      <w:r>
        <w:rPr>
          <w:rFonts w:hint="eastAsia" w:ascii="微软雅黑" w:hAnsi="微软雅黑" w:eastAsia="微软雅黑"/>
          <w:sz w:val="22"/>
          <w:szCs w:val="22"/>
        </w:rPr>
        <w:t>。</w:t>
      </w:r>
    </w:p>
    <w:p w14:paraId="2CFE2174">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1.</w:t>
      </w:r>
      <w:r>
        <w:rPr>
          <w:rFonts w:hint="eastAsia" w:ascii="微软雅黑" w:hAnsi="微软雅黑" w:eastAsia="微软雅黑"/>
          <w:sz w:val="22"/>
          <w:szCs w:val="22"/>
        </w:rPr>
        <w:t>4充电场站及充电设备信息</w:t>
      </w:r>
    </w:p>
    <w:p w14:paraId="2C56322A">
      <w:pPr>
        <w:pStyle w:val="21"/>
        <w:spacing w:before="156" w:beforeLines="50" w:line="380" w:lineRule="exact"/>
        <w:ind w:firstLine="550" w:firstLineChars="250"/>
        <w:jc w:val="both"/>
        <w:rPr>
          <w:rFonts w:ascii="微软雅黑" w:hAnsi="微软雅黑" w:eastAsia="微软雅黑"/>
          <w:sz w:val="22"/>
          <w:szCs w:val="22"/>
        </w:rPr>
      </w:pPr>
      <w:r>
        <w:rPr>
          <w:rFonts w:hint="eastAsia" w:ascii="微软雅黑" w:hAnsi="微软雅黑" w:eastAsia="微软雅黑"/>
          <w:sz w:val="22"/>
          <w:szCs w:val="22"/>
        </w:rPr>
        <w:t>场站名称：</w:t>
      </w:r>
    </w:p>
    <w:p w14:paraId="01CF32A1">
      <w:pPr>
        <w:pStyle w:val="21"/>
        <w:spacing w:before="156" w:beforeLines="50" w:line="380" w:lineRule="exact"/>
        <w:ind w:firstLine="550" w:firstLineChars="250"/>
        <w:jc w:val="both"/>
        <w:rPr>
          <w:rFonts w:ascii="微软雅黑" w:hAnsi="微软雅黑" w:eastAsia="微软雅黑"/>
          <w:sz w:val="22"/>
          <w:szCs w:val="22"/>
        </w:rPr>
      </w:pPr>
      <w:r>
        <w:rPr>
          <w:rFonts w:hint="eastAsia" w:ascii="微软雅黑" w:hAnsi="微软雅黑" w:eastAsia="微软雅黑"/>
          <w:sz w:val="22"/>
          <w:szCs w:val="22"/>
        </w:rPr>
        <w:t>场站地址：</w:t>
      </w:r>
    </w:p>
    <w:p w14:paraId="04D5F4E7">
      <w:pPr>
        <w:pStyle w:val="21"/>
        <w:spacing w:before="156" w:beforeLines="50" w:line="380" w:lineRule="exact"/>
        <w:ind w:firstLine="550" w:firstLineChars="250"/>
        <w:jc w:val="both"/>
        <w:rPr>
          <w:rFonts w:ascii="微软雅黑" w:hAnsi="微软雅黑" w:eastAsia="微软雅黑"/>
          <w:sz w:val="22"/>
          <w:szCs w:val="22"/>
        </w:rPr>
      </w:pPr>
      <w:r>
        <w:rPr>
          <w:rFonts w:hint="eastAsia" w:ascii="微软雅黑" w:hAnsi="微软雅黑" w:eastAsia="微软雅黑"/>
          <w:sz w:val="22"/>
          <w:szCs w:val="22"/>
        </w:rPr>
        <w:t>项目总功率：</w:t>
      </w:r>
    </w:p>
    <w:p w14:paraId="1F20EE0E">
      <w:pPr>
        <w:pStyle w:val="21"/>
        <w:spacing w:before="156" w:beforeLines="50" w:line="380" w:lineRule="exact"/>
        <w:ind w:firstLine="550" w:firstLineChars="250"/>
        <w:jc w:val="both"/>
        <w:rPr>
          <w:rFonts w:ascii="微软雅黑" w:hAnsi="微软雅黑" w:eastAsia="微软雅黑"/>
          <w:sz w:val="22"/>
          <w:szCs w:val="22"/>
        </w:rPr>
      </w:pPr>
      <w:r>
        <w:rPr>
          <w:rFonts w:hint="eastAsia" w:ascii="微软雅黑" w:hAnsi="微软雅黑" w:eastAsia="微软雅黑"/>
          <w:sz w:val="22"/>
          <w:szCs w:val="22"/>
        </w:rPr>
        <w:t>充电设备清单：</w:t>
      </w:r>
    </w:p>
    <w:tbl>
      <w:tblPr>
        <w:tblStyle w:val="14"/>
        <w:tblW w:w="8625" w:type="dxa"/>
        <w:tblInd w:w="6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2580"/>
        <w:gridCol w:w="2050"/>
        <w:gridCol w:w="1987"/>
      </w:tblGrid>
      <w:tr w14:paraId="3530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8" w:type="dxa"/>
            <w:vAlign w:val="center"/>
          </w:tcPr>
          <w:p w14:paraId="4D595908">
            <w:pPr>
              <w:pStyle w:val="21"/>
              <w:spacing w:before="156" w:beforeLines="50" w:line="380" w:lineRule="exact"/>
              <w:ind w:firstLine="0" w:firstLineChars="0"/>
              <w:jc w:val="center"/>
              <w:rPr>
                <w:rFonts w:ascii="微软雅黑" w:hAnsi="微软雅黑" w:eastAsia="微软雅黑"/>
                <w:sz w:val="22"/>
                <w:szCs w:val="22"/>
              </w:rPr>
            </w:pPr>
            <w:r>
              <w:rPr>
                <w:rFonts w:hint="eastAsia" w:ascii="微软雅黑" w:hAnsi="微软雅黑" w:eastAsia="微软雅黑"/>
                <w:sz w:val="22"/>
                <w:szCs w:val="22"/>
              </w:rPr>
              <w:t>设备名称</w:t>
            </w:r>
          </w:p>
        </w:tc>
        <w:tc>
          <w:tcPr>
            <w:tcW w:w="2580" w:type="dxa"/>
            <w:vAlign w:val="center"/>
          </w:tcPr>
          <w:p w14:paraId="77B95D36">
            <w:pPr>
              <w:pStyle w:val="21"/>
              <w:spacing w:before="156" w:beforeLines="50" w:line="380" w:lineRule="exact"/>
              <w:ind w:firstLine="0" w:firstLineChars="0"/>
              <w:jc w:val="center"/>
              <w:rPr>
                <w:rFonts w:ascii="微软雅黑" w:hAnsi="微软雅黑" w:eastAsia="微软雅黑"/>
                <w:sz w:val="22"/>
                <w:szCs w:val="22"/>
              </w:rPr>
            </w:pPr>
            <w:r>
              <w:rPr>
                <w:rFonts w:hint="eastAsia" w:ascii="微软雅黑" w:hAnsi="微软雅黑" w:eastAsia="微软雅黑"/>
                <w:sz w:val="22"/>
                <w:szCs w:val="22"/>
              </w:rPr>
              <w:t>型号</w:t>
            </w:r>
          </w:p>
        </w:tc>
        <w:tc>
          <w:tcPr>
            <w:tcW w:w="2050" w:type="dxa"/>
            <w:vAlign w:val="center"/>
          </w:tcPr>
          <w:p w14:paraId="1D39C5EC">
            <w:pPr>
              <w:pStyle w:val="21"/>
              <w:spacing w:before="156" w:beforeLines="50" w:line="380" w:lineRule="exact"/>
              <w:ind w:firstLine="0" w:firstLineChars="0"/>
              <w:jc w:val="center"/>
              <w:rPr>
                <w:rFonts w:ascii="微软雅黑" w:hAnsi="微软雅黑" w:eastAsia="微软雅黑"/>
                <w:sz w:val="22"/>
                <w:szCs w:val="22"/>
              </w:rPr>
            </w:pPr>
            <w:r>
              <w:rPr>
                <w:rFonts w:hint="eastAsia" w:ascii="微软雅黑" w:hAnsi="微软雅黑" w:eastAsia="微软雅黑"/>
                <w:sz w:val="22"/>
                <w:szCs w:val="22"/>
              </w:rPr>
              <w:t>功率</w:t>
            </w:r>
          </w:p>
        </w:tc>
        <w:tc>
          <w:tcPr>
            <w:tcW w:w="1987" w:type="dxa"/>
            <w:vAlign w:val="center"/>
          </w:tcPr>
          <w:p w14:paraId="4C6AB863">
            <w:pPr>
              <w:pStyle w:val="21"/>
              <w:spacing w:before="156" w:beforeLines="50" w:line="380" w:lineRule="exact"/>
              <w:ind w:firstLine="0" w:firstLineChars="0"/>
              <w:jc w:val="center"/>
              <w:rPr>
                <w:rFonts w:ascii="微软雅黑" w:hAnsi="微软雅黑" w:eastAsia="微软雅黑"/>
                <w:sz w:val="22"/>
                <w:szCs w:val="22"/>
              </w:rPr>
            </w:pPr>
            <w:r>
              <w:rPr>
                <w:rFonts w:hint="eastAsia" w:ascii="微软雅黑" w:hAnsi="微软雅黑" w:eastAsia="微软雅黑"/>
                <w:sz w:val="22"/>
                <w:szCs w:val="22"/>
              </w:rPr>
              <w:t>数量</w:t>
            </w:r>
          </w:p>
        </w:tc>
      </w:tr>
      <w:tr w14:paraId="6414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8" w:type="dxa"/>
          </w:tcPr>
          <w:p w14:paraId="250436E9">
            <w:pPr>
              <w:pStyle w:val="21"/>
              <w:spacing w:before="156" w:beforeLines="50" w:line="380" w:lineRule="exact"/>
              <w:ind w:firstLine="0" w:firstLineChars="0"/>
              <w:rPr>
                <w:rFonts w:ascii="微软雅黑" w:hAnsi="微软雅黑" w:eastAsia="微软雅黑"/>
                <w:sz w:val="22"/>
                <w:szCs w:val="22"/>
              </w:rPr>
            </w:pPr>
          </w:p>
        </w:tc>
        <w:tc>
          <w:tcPr>
            <w:tcW w:w="2580" w:type="dxa"/>
          </w:tcPr>
          <w:p w14:paraId="2DBB52AD">
            <w:pPr>
              <w:pStyle w:val="21"/>
              <w:spacing w:before="156" w:beforeLines="50" w:line="380" w:lineRule="exact"/>
              <w:ind w:firstLine="0" w:firstLineChars="0"/>
              <w:rPr>
                <w:rFonts w:ascii="微软雅黑" w:hAnsi="微软雅黑" w:eastAsia="微软雅黑"/>
                <w:sz w:val="22"/>
                <w:szCs w:val="22"/>
              </w:rPr>
            </w:pPr>
          </w:p>
        </w:tc>
        <w:tc>
          <w:tcPr>
            <w:tcW w:w="2050" w:type="dxa"/>
          </w:tcPr>
          <w:p w14:paraId="065F7C03">
            <w:pPr>
              <w:pStyle w:val="21"/>
              <w:spacing w:before="156" w:beforeLines="50" w:line="380" w:lineRule="exact"/>
              <w:ind w:firstLine="0" w:firstLineChars="0"/>
              <w:rPr>
                <w:rFonts w:ascii="微软雅黑" w:hAnsi="微软雅黑" w:eastAsia="微软雅黑"/>
                <w:sz w:val="22"/>
                <w:szCs w:val="22"/>
              </w:rPr>
            </w:pPr>
          </w:p>
        </w:tc>
        <w:tc>
          <w:tcPr>
            <w:tcW w:w="1987" w:type="dxa"/>
          </w:tcPr>
          <w:p w14:paraId="1825254E">
            <w:pPr>
              <w:pStyle w:val="21"/>
              <w:spacing w:before="156" w:beforeLines="50" w:line="380" w:lineRule="exact"/>
              <w:ind w:firstLine="0" w:firstLineChars="0"/>
              <w:rPr>
                <w:rFonts w:ascii="微软雅黑" w:hAnsi="微软雅黑" w:eastAsia="微软雅黑"/>
                <w:sz w:val="22"/>
                <w:szCs w:val="22"/>
              </w:rPr>
            </w:pPr>
          </w:p>
        </w:tc>
      </w:tr>
      <w:tr w14:paraId="7886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008" w:type="dxa"/>
          </w:tcPr>
          <w:p w14:paraId="11DE1714">
            <w:pPr>
              <w:pStyle w:val="21"/>
              <w:spacing w:before="156" w:beforeLines="50" w:line="380" w:lineRule="exact"/>
              <w:ind w:firstLine="0" w:firstLineChars="0"/>
              <w:rPr>
                <w:rFonts w:ascii="微软雅黑" w:hAnsi="微软雅黑" w:eastAsia="微软雅黑"/>
                <w:sz w:val="22"/>
                <w:szCs w:val="22"/>
              </w:rPr>
            </w:pPr>
          </w:p>
        </w:tc>
        <w:tc>
          <w:tcPr>
            <w:tcW w:w="2580" w:type="dxa"/>
          </w:tcPr>
          <w:p w14:paraId="10280C8C">
            <w:pPr>
              <w:pStyle w:val="21"/>
              <w:spacing w:before="156" w:beforeLines="50" w:line="380" w:lineRule="exact"/>
              <w:ind w:firstLine="0" w:firstLineChars="0"/>
              <w:rPr>
                <w:rFonts w:ascii="微软雅黑" w:hAnsi="微软雅黑" w:eastAsia="微软雅黑"/>
                <w:sz w:val="22"/>
                <w:szCs w:val="22"/>
              </w:rPr>
            </w:pPr>
          </w:p>
        </w:tc>
        <w:tc>
          <w:tcPr>
            <w:tcW w:w="2050" w:type="dxa"/>
          </w:tcPr>
          <w:p w14:paraId="6B7605C3">
            <w:pPr>
              <w:pStyle w:val="21"/>
              <w:spacing w:before="156" w:beforeLines="50" w:line="380" w:lineRule="exact"/>
              <w:ind w:firstLine="0" w:firstLineChars="0"/>
              <w:rPr>
                <w:rFonts w:ascii="微软雅黑" w:hAnsi="微软雅黑" w:eastAsia="微软雅黑"/>
                <w:sz w:val="22"/>
                <w:szCs w:val="22"/>
              </w:rPr>
            </w:pPr>
          </w:p>
        </w:tc>
        <w:tc>
          <w:tcPr>
            <w:tcW w:w="1987" w:type="dxa"/>
          </w:tcPr>
          <w:p w14:paraId="29C7FECE">
            <w:pPr>
              <w:pStyle w:val="21"/>
              <w:spacing w:before="156" w:beforeLines="50" w:line="380" w:lineRule="exact"/>
              <w:ind w:firstLine="0" w:firstLineChars="0"/>
              <w:rPr>
                <w:rFonts w:ascii="微软雅黑" w:hAnsi="微软雅黑" w:eastAsia="微软雅黑"/>
                <w:sz w:val="22"/>
                <w:szCs w:val="22"/>
              </w:rPr>
            </w:pPr>
          </w:p>
        </w:tc>
      </w:tr>
    </w:tbl>
    <w:p w14:paraId="6B4462C8">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b/>
          <w:bCs/>
          <w:sz w:val="36"/>
          <w:szCs w:val="36"/>
        </w:rPr>
        <w:t>第二条 委托运营要求</w:t>
      </w:r>
    </w:p>
    <w:p w14:paraId="398E714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.1委托运营目标</w:t>
      </w:r>
    </w:p>
    <w:p w14:paraId="289D0D9C">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.1.1 充电站的安全和可靠性：确保充电站的设备设施正常工作、安全可靠，并符合相关的法规、标准和规范要求，不发生因充电设备设施安全可靠性原因造成的人员伤亡、环境污染事故。</w:t>
      </w:r>
    </w:p>
    <w:p w14:paraId="2C1FD877">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.1.2 用户服务：提供高效、便捷的充电服务，以满足用户的充电需求，并提升用户满意度。</w:t>
      </w:r>
    </w:p>
    <w:p w14:paraId="5CC008F2">
      <w:pPr>
        <w:pStyle w:val="21"/>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.1.3 营销推广：通过各种途径进行营销推广，提升充电站的知名度和美誉度，建立和维护良好的“浙石油”品牌形象。</w:t>
      </w:r>
    </w:p>
    <w:p w14:paraId="4E242333">
      <w:pPr>
        <w:pStyle w:val="21"/>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.2委托运营要求</w:t>
      </w:r>
    </w:p>
    <w:p w14:paraId="5B673BF5">
      <w:pPr>
        <w:spacing w:before="156"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2.2.1</w:t>
      </w:r>
      <w:r>
        <w:rPr>
          <w:rFonts w:hint="eastAsia" w:ascii="微软雅黑" w:hAnsi="微软雅黑" w:eastAsia="微软雅黑"/>
          <w:sz w:val="22"/>
          <w:szCs w:val="22"/>
        </w:rPr>
        <w:t>乙方应向甲方提供单站委托运营方案、运营人员配置和资质等情况，并接受甲方的检查和监督。</w:t>
      </w:r>
    </w:p>
    <w:p w14:paraId="22741D71">
      <w:pPr>
        <w:spacing w:before="156"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2.2.2</w:t>
      </w:r>
      <w:r>
        <w:rPr>
          <w:rFonts w:hint="eastAsia" w:ascii="微软雅黑" w:hAnsi="微软雅黑" w:eastAsia="微软雅黑"/>
          <w:sz w:val="22"/>
          <w:szCs w:val="22"/>
        </w:rPr>
        <w:t>乙方需要确保充电设备的正常运行，包括检查设备状态、维护和保养设备、及时修复故障等，以确保充电设备能够提供可靠的充电服务。</w:t>
      </w:r>
    </w:p>
    <w:p w14:paraId="5B9A400E">
      <w:pPr>
        <w:pStyle w:val="21"/>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.2.3乙方应确保为用户提供高质量的充电服务，包括提供快速充电、提供各种充电接口、提供安全可靠的充电环境等，以满足用户的充电需求。</w:t>
      </w:r>
    </w:p>
    <w:p w14:paraId="47984848">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.2.4乙方需要进行充电站的运营管理，包括制定充电站的运营计划、管理充电设备的使用和调度，以实现资源的合理利用和充电站的经济效益最大化。</w:t>
      </w:r>
    </w:p>
    <w:p w14:paraId="3819BAEA">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.2.5乙方需要提供优质的用户服务，包括解答用户咨询、处理用户投诉、提供技术支持等，以提升用户的满意度和忠诚度。</w:t>
      </w:r>
    </w:p>
    <w:p w14:paraId="4E2464C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.2.6乙方应建立并执行充电站的安全管理措施，包括确保充电设备的安全性能、防止事故和火灾等安全风险，并积极参与环境保护工作，减少充电站对环境的影响。</w:t>
      </w:r>
    </w:p>
    <w:p w14:paraId="653BAC04">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2</w:t>
      </w:r>
      <w:r>
        <w:rPr>
          <w:rFonts w:hint="eastAsia" w:ascii="微软雅黑" w:hAnsi="微软雅黑" w:eastAsia="微软雅黑"/>
          <w:sz w:val="22"/>
          <w:szCs w:val="22"/>
        </w:rPr>
        <w:t>.2.7乙方需要按月向甲方提供充电站的数据统计和经营报告，包括充电量、收益情况、用户数量等，以便甲方进行经营分析和决策。</w:t>
      </w:r>
    </w:p>
    <w:p w14:paraId="3D43015A">
      <w:pPr>
        <w:pStyle w:val="21"/>
        <w:spacing w:before="156" w:beforeLines="50" w:line="380" w:lineRule="exact"/>
        <w:ind w:firstLine="0" w:firstLineChars="0"/>
        <w:rPr>
          <w:rFonts w:ascii="微软雅黑" w:hAnsi="微软雅黑" w:eastAsia="微软雅黑"/>
          <w:b/>
          <w:bCs/>
          <w:sz w:val="36"/>
          <w:szCs w:val="36"/>
        </w:rPr>
      </w:pPr>
      <w:r>
        <w:rPr>
          <w:rFonts w:hint="eastAsia" w:ascii="微软雅黑" w:hAnsi="微软雅黑" w:eastAsia="微软雅黑"/>
          <w:b/>
          <w:bCs/>
          <w:sz w:val="36"/>
          <w:szCs w:val="36"/>
        </w:rPr>
        <w:t>第三条 委托运营服务期限及服务费用结算</w:t>
      </w:r>
    </w:p>
    <w:p w14:paraId="4E97A2C0">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1委托运营服务期三年：自</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年</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月</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日起至</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年</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月</w:t>
      </w:r>
      <w:r>
        <w:rPr>
          <w:rFonts w:hint="eastAsia" w:ascii="微软雅黑" w:hAnsi="微软雅黑" w:eastAsia="微软雅黑"/>
          <w:sz w:val="22"/>
          <w:szCs w:val="22"/>
          <w:u w:val="single"/>
        </w:rPr>
        <w:t xml:space="preserve">      </w:t>
      </w:r>
      <w:r>
        <w:rPr>
          <w:rFonts w:hint="eastAsia" w:ascii="微软雅黑" w:hAnsi="微软雅黑" w:eastAsia="微软雅黑"/>
          <w:sz w:val="22"/>
          <w:szCs w:val="22"/>
        </w:rPr>
        <w:t>日，</w:t>
      </w:r>
      <w:r>
        <w:rPr>
          <w:rFonts w:ascii="微软雅黑" w:hAnsi="微软雅黑" w:eastAsia="微软雅黑"/>
          <w:sz w:val="22"/>
          <w:szCs w:val="22"/>
        </w:rPr>
        <w:t>到期后，如双方无异议，</w:t>
      </w:r>
      <w:ins w:id="27" w:author="许婧瑶" w:date="2025-08-28T19:24:38Z">
        <w:r>
          <w:rPr>
            <w:rFonts w:hint="eastAsia" w:ascii="微软雅黑" w:hAnsi="微软雅黑" w:eastAsia="微软雅黑"/>
            <w:sz w:val="22"/>
            <w:szCs w:val="22"/>
          </w:rPr>
          <w:t>可协商续签事宜</w:t>
        </w:r>
      </w:ins>
      <w:del w:id="28" w:author="许婧瑶" w:date="2025-08-28T19:24:38Z">
        <w:r>
          <w:rPr>
            <w:rFonts w:hint="eastAsia" w:ascii="微软雅黑" w:hAnsi="微软雅黑" w:eastAsia="微软雅黑"/>
            <w:sz w:val="22"/>
            <w:szCs w:val="22"/>
          </w:rPr>
          <w:delText>本合同可自动延续3年，延续次数不超过2次</w:delText>
        </w:r>
      </w:del>
      <w:r>
        <w:rPr>
          <w:rFonts w:ascii="微软雅黑" w:hAnsi="微软雅黑" w:eastAsia="微软雅黑"/>
          <w:sz w:val="22"/>
          <w:szCs w:val="22"/>
        </w:rPr>
        <w:t>。</w:t>
      </w:r>
      <w:r>
        <w:rPr>
          <w:rFonts w:hint="eastAsia" w:ascii="微软雅黑" w:hAnsi="微软雅黑" w:eastAsia="微软雅黑"/>
          <w:sz w:val="22"/>
          <w:szCs w:val="22"/>
        </w:rPr>
        <w:t>如甲方统筹调整充电桩委托运营平台，甲方可提前一个月通知乙方</w:t>
      </w:r>
      <w:r>
        <w:rPr>
          <w:rFonts w:hint="eastAsia" w:ascii="微软雅黑" w:hAnsi="微软雅黑" w:eastAsia="微软雅黑"/>
          <w:sz w:val="22"/>
          <w:szCs w:val="22"/>
          <w:lang w:val="en-US" w:eastAsia="zh-CN"/>
        </w:rPr>
        <w:t>关于本合同的</w:t>
      </w:r>
      <w:r>
        <w:rPr>
          <w:rFonts w:hint="eastAsia" w:ascii="微软雅黑" w:hAnsi="微软雅黑" w:eastAsia="微软雅黑"/>
          <w:sz w:val="22"/>
          <w:szCs w:val="22"/>
        </w:rPr>
        <w:t xml:space="preserve">终止事项，乙方不得视为甲方违约，双方按本协议约定进行末次结算。  </w:t>
      </w:r>
      <w:r>
        <w:rPr>
          <w:rFonts w:hint="eastAsia" w:ascii="微软雅黑" w:hAnsi="微软雅黑" w:eastAsia="微软雅黑"/>
          <w:color w:val="000000"/>
          <w:sz w:val="22"/>
          <w:szCs w:val="22"/>
          <w:u w:val="single"/>
        </w:rPr>
        <w:t xml:space="preserve">  </w:t>
      </w:r>
      <w:r>
        <w:rPr>
          <w:rFonts w:ascii="微软雅黑" w:hAnsi="微软雅黑" w:eastAsia="微软雅黑"/>
          <w:color w:val="000000"/>
          <w:sz w:val="22"/>
          <w:szCs w:val="22"/>
          <w:u w:val="single"/>
        </w:rPr>
        <w:t xml:space="preserve"> </w:t>
      </w:r>
      <w:r>
        <w:rPr>
          <w:rFonts w:hint="eastAsia" w:ascii="微软雅黑" w:hAnsi="微软雅黑" w:eastAsia="微软雅黑"/>
          <w:color w:val="000000"/>
          <w:sz w:val="22"/>
          <w:szCs w:val="22"/>
        </w:rPr>
        <w:t xml:space="preserve">       </w:t>
      </w:r>
      <w:r>
        <w:rPr>
          <w:rFonts w:ascii="微软雅黑" w:hAnsi="微软雅黑" w:eastAsia="微软雅黑"/>
          <w:color w:val="000000"/>
          <w:sz w:val="22"/>
          <w:szCs w:val="22"/>
        </w:rPr>
        <w:t xml:space="preserve"> </w:t>
      </w:r>
      <w:r>
        <w:rPr>
          <w:rFonts w:hint="eastAsia" w:ascii="微软雅黑" w:hAnsi="微软雅黑" w:eastAsia="微软雅黑"/>
          <w:color w:val="000000"/>
          <w:sz w:val="22"/>
          <w:szCs w:val="22"/>
        </w:rPr>
        <w:t xml:space="preserve">                  </w:t>
      </w:r>
      <w:r>
        <w:rPr>
          <w:rFonts w:hint="eastAsia" w:ascii="微软雅黑" w:hAnsi="微软雅黑" w:eastAsia="微软雅黑"/>
          <w:color w:val="000000"/>
          <w:sz w:val="22"/>
          <w:szCs w:val="22"/>
          <w:u w:val="single"/>
        </w:rPr>
        <w:t xml:space="preserve">                             </w:t>
      </w:r>
    </w:p>
    <w:p w14:paraId="2A4B7D69">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1</w:t>
      </w:r>
      <w:r>
        <w:rPr>
          <w:rFonts w:ascii="微软雅黑" w:hAnsi="微软雅黑" w:eastAsia="微软雅黑"/>
          <w:sz w:val="22"/>
          <w:szCs w:val="22"/>
        </w:rPr>
        <w:t>.1</w:t>
      </w:r>
      <w:r>
        <w:rPr>
          <w:rFonts w:hint="eastAsia" w:ascii="微软雅黑" w:hAnsi="微软雅黑" w:eastAsia="微软雅黑"/>
          <w:sz w:val="22"/>
          <w:szCs w:val="22"/>
        </w:rPr>
        <w:t>委托运营期满，甲方有权收回委托运营的场站和充电设备，乙方应如期归还。</w:t>
      </w:r>
    </w:p>
    <w:p w14:paraId="2D1700EF">
      <w:pPr>
        <w:spacing w:before="156" w:beforeLines="50" w:line="360" w:lineRule="exact"/>
        <w:ind w:firstLine="0" w:firstLineChars="0"/>
        <w:jc w:val="both"/>
        <w:rPr>
          <w:rFonts w:ascii="微软雅黑" w:hAnsi="微软雅黑" w:eastAsia="微软雅黑"/>
          <w:sz w:val="22"/>
          <w:szCs w:val="22"/>
        </w:rPr>
      </w:pPr>
      <w:r>
        <w:rPr>
          <w:rFonts w:ascii="微软雅黑" w:hAnsi="微软雅黑" w:eastAsia="微软雅黑"/>
          <w:sz w:val="22"/>
          <w:szCs w:val="22"/>
        </w:rPr>
        <w:t>3.1.2</w:t>
      </w:r>
      <w:r>
        <w:rPr>
          <w:rFonts w:hint="eastAsia" w:ascii="微软雅黑" w:hAnsi="微软雅黑" w:eastAsia="微软雅黑"/>
          <w:sz w:val="22"/>
          <w:szCs w:val="22"/>
        </w:rPr>
        <w:t>在委托运营时段内甲方负责监督、指导场站的运营工作，由乙方负责充电场站的运营管理工作，对于基准电价以上的充电价格自主确定，涉及充电服务费优惠的需报甲方共同协商审批。乙方对充电场站拥有运营管理权，在不影响甲方权益的前提下，甲方不干涉充电场站的运营。</w:t>
      </w:r>
    </w:p>
    <w:p w14:paraId="668B97DB">
      <w:pPr>
        <w:pStyle w:val="21"/>
        <w:spacing w:before="156" w:beforeLines="50" w:line="380" w:lineRule="exact"/>
        <w:ind w:firstLine="0" w:firstLineChars="0"/>
        <w:jc w:val="both"/>
        <w:rPr>
          <w:rFonts w:ascii="微软雅黑" w:hAnsi="微软雅黑" w:eastAsia="微软雅黑" w:cs="等线 Light"/>
          <w:color w:val="000000"/>
          <w:sz w:val="22"/>
          <w:szCs w:val="22"/>
        </w:rPr>
      </w:pPr>
      <w:r>
        <w:rPr>
          <w:rFonts w:ascii="微软雅黑" w:hAnsi="微软雅黑" w:eastAsia="微软雅黑"/>
          <w:sz w:val="22"/>
          <w:szCs w:val="22"/>
        </w:rPr>
        <w:t>3.</w:t>
      </w:r>
      <w:r>
        <w:rPr>
          <w:rFonts w:hint="eastAsia" w:ascii="微软雅黑" w:hAnsi="微软雅黑" w:eastAsia="微软雅黑"/>
          <w:sz w:val="22"/>
          <w:szCs w:val="22"/>
        </w:rPr>
        <w:t>2委托运营服务费用及结算</w:t>
      </w:r>
    </w:p>
    <w:p w14:paraId="144D8DE5">
      <w:pPr>
        <w:pStyle w:val="21"/>
        <w:spacing w:before="156" w:beforeLines="50" w:line="380" w:lineRule="exact"/>
        <w:ind w:left="480" w:hanging="479" w:hangingChars="218"/>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.1</w:t>
      </w:r>
      <w:r>
        <w:rPr>
          <w:rFonts w:hint="eastAsia" w:ascii="微软雅黑" w:hAnsi="微软雅黑" w:eastAsia="微软雅黑"/>
          <w:sz w:val="22"/>
          <w:szCs w:val="22"/>
        </w:rPr>
        <w:t>委托运营服务费用：按照如下阶梯式抽成方式进行结算：</w:t>
      </w:r>
    </w:p>
    <w:p w14:paraId="7E493BCA">
      <w:pPr>
        <w:pStyle w:val="21"/>
        <w:spacing w:before="156" w:beforeLines="50" w:line="380" w:lineRule="exact"/>
        <w:ind w:left="519" w:leftChars="200" w:hanging="39" w:hangingChars="18"/>
        <w:jc w:val="both"/>
        <w:rPr>
          <w:rFonts w:ascii="微软雅黑" w:hAnsi="微软雅黑" w:eastAsia="微软雅黑"/>
          <w:sz w:val="22"/>
          <w:szCs w:val="22"/>
        </w:rPr>
      </w:pPr>
      <w:r>
        <w:rPr>
          <w:rFonts w:hint="eastAsia" w:ascii="微软雅黑" w:hAnsi="微软雅黑" w:eastAsia="微软雅黑"/>
          <w:sz w:val="22"/>
          <w:szCs w:val="22"/>
        </w:rPr>
        <w:t>抽成计算公式</w:t>
      </w:r>
      <w:r>
        <w:rPr>
          <w:rFonts w:ascii="微软雅黑" w:hAnsi="微软雅黑" w:eastAsia="微软雅黑"/>
          <w:sz w:val="22"/>
          <w:szCs w:val="22"/>
        </w:rPr>
        <w:t>=月度服务费收益×对应阶梯抽佣比例。</w:t>
      </w:r>
    </w:p>
    <w:p w14:paraId="5A87BE06">
      <w:pPr>
        <w:pStyle w:val="21"/>
        <w:spacing w:before="156" w:beforeLines="50" w:line="380" w:lineRule="exact"/>
        <w:ind w:left="480" w:hanging="479" w:hangingChars="218"/>
        <w:jc w:val="both"/>
        <w:rPr>
          <w:rFonts w:ascii="微软雅黑" w:hAnsi="微软雅黑" w:eastAsia="微软雅黑"/>
          <w:sz w:val="22"/>
          <w:szCs w:val="22"/>
        </w:rPr>
      </w:pPr>
      <w:r>
        <w:rPr>
          <w:rFonts w:ascii="微软雅黑" w:hAnsi="微软雅黑" w:eastAsia="微软雅黑"/>
          <w:sz w:val="22"/>
          <w:szCs w:val="22"/>
        </w:rPr>
        <w:t>3.2.1.1月度服务费收益为月度实收服务费</w:t>
      </w:r>
      <w:r>
        <w:rPr>
          <w:rFonts w:hint="eastAsia" w:ascii="微软雅黑" w:hAnsi="微软雅黑" w:eastAsia="微软雅黑"/>
          <w:sz w:val="22"/>
          <w:szCs w:val="22"/>
        </w:rPr>
        <w:t>（充电服务费的月累计金额）</w:t>
      </w:r>
      <w:r>
        <w:rPr>
          <w:rFonts w:ascii="微软雅黑" w:hAnsi="微软雅黑" w:eastAsia="微软雅黑"/>
          <w:sz w:val="22"/>
          <w:szCs w:val="22"/>
        </w:rPr>
        <w:t>的除税金额，运营补贴不在抽成范围内。</w:t>
      </w:r>
    </w:p>
    <w:p w14:paraId="2491DFF2">
      <w:pPr>
        <w:pStyle w:val="21"/>
        <w:spacing w:before="156" w:beforeLines="50" w:line="380" w:lineRule="exact"/>
        <w:ind w:left="480" w:hanging="479" w:hangingChars="218"/>
        <w:jc w:val="both"/>
        <w:rPr>
          <w:rFonts w:ascii="微软雅黑" w:hAnsi="微软雅黑" w:eastAsia="微软雅黑"/>
          <w:sz w:val="22"/>
          <w:szCs w:val="22"/>
        </w:rPr>
      </w:pPr>
      <w:r>
        <w:rPr>
          <w:rFonts w:ascii="微软雅黑" w:hAnsi="微软雅黑" w:eastAsia="微软雅黑"/>
          <w:sz w:val="22"/>
          <w:szCs w:val="22"/>
        </w:rPr>
        <w:t>3.2.1.2对应阶梯抽佣比例</w:t>
      </w:r>
    </w:p>
    <w:p w14:paraId="0B4912BF">
      <w:pPr>
        <w:pStyle w:val="21"/>
        <w:spacing w:before="156" w:beforeLines="50" w:line="380" w:lineRule="exact"/>
        <w:ind w:left="920" w:leftChars="200" w:hanging="440" w:hangingChars="200"/>
        <w:jc w:val="both"/>
        <w:rPr>
          <w:rFonts w:ascii="微软雅黑" w:hAnsi="微软雅黑" w:eastAsia="微软雅黑"/>
          <w:sz w:val="22"/>
          <w:szCs w:val="22"/>
        </w:rPr>
      </w:pPr>
      <w:r>
        <w:rPr>
          <w:rFonts w:ascii="微软雅黑" w:hAnsi="微软雅黑" w:eastAsia="微软雅黑"/>
          <w:sz w:val="22"/>
          <w:szCs w:val="22"/>
        </w:rPr>
        <w:t>a、站点投营后前三个月为市场培育期，固定抽佣比例为8%</w:t>
      </w:r>
    </w:p>
    <w:p w14:paraId="0D60D5F9">
      <w:pPr>
        <w:pStyle w:val="21"/>
        <w:spacing w:before="156" w:beforeLines="50" w:line="380" w:lineRule="exact"/>
        <w:ind w:left="920" w:leftChars="200" w:hanging="440" w:hangingChars="200"/>
        <w:jc w:val="both"/>
        <w:rPr>
          <w:rFonts w:ascii="微软雅黑" w:hAnsi="微软雅黑" w:eastAsia="微软雅黑"/>
          <w:sz w:val="22"/>
          <w:szCs w:val="22"/>
        </w:rPr>
      </w:pPr>
      <w:r>
        <w:rPr>
          <w:rFonts w:ascii="微软雅黑" w:hAnsi="微软雅黑" w:eastAsia="微软雅黑"/>
          <w:sz w:val="22"/>
          <w:szCs w:val="22"/>
        </w:rPr>
        <w:t>b、投营后第四个月开始进入常态化运营，以阶梯抽佣比例进行；</w:t>
      </w:r>
    </w:p>
    <w:p w14:paraId="56FD67DB">
      <w:pPr>
        <w:pStyle w:val="21"/>
        <w:spacing w:before="156" w:beforeLines="50" w:line="380" w:lineRule="exact"/>
        <w:ind w:firstLine="0" w:firstLineChars="0"/>
        <w:jc w:val="both"/>
        <w:rPr>
          <w:rFonts w:ascii="微软雅黑" w:hAnsi="微软雅黑" w:eastAsia="微软雅黑"/>
          <w:sz w:val="22"/>
          <w:szCs w:val="22"/>
        </w:rPr>
      </w:pPr>
      <w:r>
        <w:rPr>
          <w:rFonts w:hint="eastAsia" w:ascii="微软雅黑" w:hAnsi="微软雅黑" w:eastAsia="微软雅黑"/>
          <w:sz w:val="22"/>
          <w:szCs w:val="22"/>
        </w:rPr>
        <w:t>以单站投资回报基准金额</w:t>
      </w:r>
      <w:r>
        <w:rPr>
          <w:rFonts w:ascii="微软雅黑" w:hAnsi="微软雅黑" w:eastAsia="微软雅黑"/>
          <w:sz w:val="22"/>
          <w:szCs w:val="22"/>
        </w:rPr>
        <w:t>X为基准值，X=</w:t>
      </w:r>
      <w:r>
        <w:rPr>
          <w:rFonts w:ascii="微软雅黑" w:hAnsi="微软雅黑" w:eastAsia="微软雅黑"/>
          <w:sz w:val="22"/>
          <w:szCs w:val="22"/>
          <w:u w:val="single"/>
        </w:rPr>
        <w:t xml:space="preserve">       </w:t>
      </w:r>
      <w:r>
        <w:rPr>
          <w:rFonts w:hint="eastAsia" w:ascii="微软雅黑" w:hAnsi="微软雅黑" w:eastAsia="微软雅黑"/>
          <w:sz w:val="22"/>
          <w:szCs w:val="22"/>
        </w:rPr>
        <w:t>【</w:t>
      </w:r>
      <w:r>
        <w:rPr>
          <w:rFonts w:ascii="微软雅黑" w:hAnsi="微软雅黑" w:eastAsia="微软雅黑"/>
          <w:sz w:val="22"/>
          <w:szCs w:val="22"/>
        </w:rPr>
        <w:t>投资总额/投资回收期（投资总额=高压</w:t>
      </w:r>
      <w:r>
        <w:rPr>
          <w:rFonts w:hint="eastAsia" w:ascii="微软雅黑" w:hAnsi="微软雅黑" w:eastAsia="微软雅黑"/>
          <w:sz w:val="22"/>
          <w:szCs w:val="22"/>
        </w:rPr>
        <w:t>侧相关合同暂定总价金额</w:t>
      </w:r>
      <w:r>
        <w:rPr>
          <w:rFonts w:hint="eastAsia" w:ascii="微软雅黑" w:hAnsi="微软雅黑" w:eastAsia="微软雅黑"/>
          <w:sz w:val="22"/>
          <w:szCs w:val="22"/>
          <w:highlight w:val="yellow"/>
          <w:lang w:eastAsia="zh-CN"/>
        </w:rPr>
        <w:t>【</w:t>
      </w:r>
      <w:r>
        <w:rPr>
          <w:rFonts w:hint="eastAsia" w:ascii="微软雅黑" w:hAnsi="微软雅黑" w:eastAsia="微软雅黑"/>
          <w:sz w:val="22"/>
          <w:szCs w:val="22"/>
          <w:highlight w:val="yellow"/>
          <w:lang w:val="en-US" w:eastAsia="zh-CN"/>
        </w:rPr>
        <w:t>含高压侧租赁合同金额</w:t>
      </w:r>
      <w:r>
        <w:rPr>
          <w:rFonts w:hint="eastAsia" w:ascii="微软雅黑" w:hAnsi="微软雅黑" w:eastAsia="微软雅黑"/>
          <w:sz w:val="22"/>
          <w:szCs w:val="22"/>
          <w:highlight w:val="yellow"/>
          <w:lang w:eastAsia="zh-CN"/>
        </w:rPr>
        <w:t>】</w:t>
      </w:r>
      <w:r>
        <w:rPr>
          <w:rFonts w:ascii="微软雅黑" w:hAnsi="微软雅黑" w:eastAsia="微软雅黑"/>
          <w:sz w:val="22"/>
          <w:szCs w:val="22"/>
        </w:rPr>
        <w:t>+</w:t>
      </w:r>
      <w:r>
        <w:rPr>
          <w:rFonts w:hint="eastAsia" w:ascii="微软雅黑" w:hAnsi="微软雅黑" w:eastAsia="微软雅黑"/>
          <w:sz w:val="22"/>
          <w:szCs w:val="22"/>
        </w:rPr>
        <w:t>工程设备采购及配套安装施工合同暂定总价金额</w:t>
      </w:r>
      <w:r>
        <w:rPr>
          <w:rFonts w:ascii="微软雅黑" w:hAnsi="微软雅黑" w:eastAsia="微软雅黑"/>
          <w:sz w:val="22"/>
          <w:szCs w:val="22"/>
        </w:rPr>
        <w:t>，均以签订合同金额数为准）（</w:t>
      </w:r>
      <w:r>
        <w:rPr>
          <w:rFonts w:hint="eastAsia" w:ascii="微软雅黑" w:hAnsi="微软雅黑" w:eastAsia="微软雅黑"/>
          <w:sz w:val="22"/>
          <w:szCs w:val="22"/>
        </w:rPr>
        <w:t>投资回报期</w:t>
      </w:r>
      <w:r>
        <w:rPr>
          <w:rFonts w:ascii="微软雅黑" w:hAnsi="微软雅黑" w:eastAsia="微软雅黑"/>
          <w:sz w:val="22"/>
          <w:szCs w:val="22"/>
        </w:rPr>
        <w:t>固定</w:t>
      </w:r>
      <w:r>
        <w:rPr>
          <w:rFonts w:hint="eastAsia" w:ascii="微软雅黑" w:hAnsi="微软雅黑" w:eastAsia="微软雅黑"/>
          <w:sz w:val="22"/>
          <w:szCs w:val="22"/>
        </w:rPr>
        <w:t>按</w:t>
      </w:r>
      <w:r>
        <w:rPr>
          <w:rFonts w:ascii="微软雅黑" w:hAnsi="微软雅黑" w:eastAsia="微软雅黑"/>
          <w:sz w:val="22"/>
          <w:szCs w:val="22"/>
        </w:rPr>
        <w:t>60个月计算）</w:t>
      </w:r>
      <w:r>
        <w:rPr>
          <w:rFonts w:hint="eastAsia" w:ascii="微软雅黑" w:hAnsi="微软雅黑" w:eastAsia="微软雅黑"/>
          <w:sz w:val="22"/>
          <w:szCs w:val="22"/>
        </w:rPr>
        <w:t>】</w:t>
      </w:r>
    </w:p>
    <w:p w14:paraId="52861174">
      <w:pPr>
        <w:pStyle w:val="21"/>
        <w:spacing w:before="156" w:beforeLines="50" w:line="380" w:lineRule="exact"/>
        <w:ind w:left="480" w:hanging="479" w:hangingChars="218"/>
        <w:jc w:val="both"/>
        <w:rPr>
          <w:rFonts w:ascii="微软雅黑" w:hAnsi="微软雅黑" w:eastAsia="微软雅黑"/>
          <w:sz w:val="22"/>
          <w:szCs w:val="22"/>
        </w:rPr>
      </w:pPr>
      <w:r>
        <w:rPr>
          <w:rFonts w:hint="eastAsia" w:ascii="微软雅黑" w:hAnsi="微软雅黑" w:eastAsia="微软雅黑"/>
          <w:sz w:val="22"/>
          <w:szCs w:val="22"/>
        </w:rPr>
        <w:t>阶梯抽佣规则：</w:t>
      </w:r>
      <w:r>
        <w:rPr>
          <w:rFonts w:ascii="微软雅黑" w:hAnsi="微软雅黑" w:eastAsia="微软雅黑"/>
          <w:sz w:val="22"/>
          <w:szCs w:val="22"/>
        </w:rPr>
        <w:t xml:space="preserve"> 全额累进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2"/>
        <w:gridCol w:w="3320"/>
      </w:tblGrid>
      <w:tr w14:paraId="18B0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202" w:type="dxa"/>
            <w:shd w:val="clear" w:color="auto" w:fill="auto"/>
          </w:tcPr>
          <w:p w14:paraId="7C586142">
            <w:pPr>
              <w:pStyle w:val="21"/>
              <w:spacing w:before="156" w:beforeLines="50" w:line="380" w:lineRule="exact"/>
              <w:ind w:firstLine="440"/>
              <w:jc w:val="center"/>
              <w:rPr>
                <w:rFonts w:ascii="微软雅黑" w:hAnsi="微软雅黑" w:eastAsia="微软雅黑"/>
                <w:sz w:val="22"/>
                <w:szCs w:val="22"/>
              </w:rPr>
            </w:pPr>
            <w:r>
              <w:rPr>
                <w:rFonts w:hint="eastAsia" w:ascii="微软雅黑" w:hAnsi="微软雅黑" w:eastAsia="微软雅黑"/>
                <w:sz w:val="22"/>
                <w:szCs w:val="22"/>
              </w:rPr>
              <w:t>阶梯</w:t>
            </w:r>
          </w:p>
        </w:tc>
        <w:tc>
          <w:tcPr>
            <w:tcW w:w="3320" w:type="dxa"/>
            <w:shd w:val="clear" w:color="auto" w:fill="auto"/>
          </w:tcPr>
          <w:p w14:paraId="6598242D">
            <w:pPr>
              <w:pStyle w:val="21"/>
              <w:spacing w:before="156" w:beforeLines="50" w:line="380" w:lineRule="exact"/>
              <w:ind w:firstLine="440"/>
              <w:jc w:val="center"/>
              <w:rPr>
                <w:rFonts w:ascii="微软雅黑" w:hAnsi="微软雅黑" w:eastAsia="微软雅黑"/>
                <w:sz w:val="22"/>
                <w:szCs w:val="22"/>
              </w:rPr>
            </w:pPr>
            <w:r>
              <w:rPr>
                <w:rFonts w:hint="eastAsia" w:ascii="微软雅黑" w:hAnsi="微软雅黑" w:eastAsia="微软雅黑"/>
                <w:sz w:val="22"/>
                <w:szCs w:val="22"/>
              </w:rPr>
              <w:t>阶梯抽佣比例</w:t>
            </w:r>
          </w:p>
        </w:tc>
      </w:tr>
      <w:tr w14:paraId="600E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trPr>
        <w:tc>
          <w:tcPr>
            <w:tcW w:w="5202" w:type="dxa"/>
            <w:shd w:val="clear" w:color="auto" w:fill="auto"/>
          </w:tcPr>
          <w:p w14:paraId="4D1AFB7D">
            <w:pPr>
              <w:pStyle w:val="21"/>
              <w:spacing w:before="156" w:beforeLines="50" w:line="380" w:lineRule="exact"/>
              <w:ind w:firstLine="440"/>
              <w:jc w:val="center"/>
              <w:rPr>
                <w:rFonts w:ascii="微软雅黑" w:hAnsi="微软雅黑" w:eastAsia="微软雅黑"/>
                <w:sz w:val="22"/>
                <w:szCs w:val="22"/>
              </w:rPr>
            </w:pPr>
            <w:r>
              <w:rPr>
                <w:rFonts w:hint="eastAsia" w:ascii="微软雅黑" w:hAnsi="微软雅黑" w:eastAsia="微软雅黑"/>
                <w:sz w:val="22"/>
                <w:szCs w:val="22"/>
              </w:rPr>
              <w:t>月度服务费收益≤</w:t>
            </w:r>
            <w:r>
              <w:rPr>
                <w:rFonts w:ascii="微软雅黑" w:hAnsi="微软雅黑" w:eastAsia="微软雅黑"/>
                <w:sz w:val="22"/>
                <w:szCs w:val="22"/>
              </w:rPr>
              <w:t>0.6X</w:t>
            </w:r>
          </w:p>
        </w:tc>
        <w:tc>
          <w:tcPr>
            <w:tcW w:w="3320" w:type="dxa"/>
            <w:shd w:val="clear" w:color="auto" w:fill="auto"/>
          </w:tcPr>
          <w:p w14:paraId="1F2EC381">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0</w:t>
            </w:r>
          </w:p>
        </w:tc>
      </w:tr>
      <w:tr w14:paraId="4C2F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356FC038">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0.6X</w:t>
            </w:r>
            <w:r>
              <w:rPr>
                <w:rFonts w:hint="eastAsia" w:ascii="微软雅黑" w:hAnsi="微软雅黑" w:eastAsia="微软雅黑"/>
                <w:sz w:val="22"/>
                <w:szCs w:val="22"/>
              </w:rPr>
              <w:t>＜月度服务费收益≤</w:t>
            </w:r>
            <w:r>
              <w:rPr>
                <w:rFonts w:ascii="微软雅黑" w:hAnsi="微软雅黑" w:eastAsia="微软雅黑"/>
                <w:sz w:val="22"/>
                <w:szCs w:val="22"/>
              </w:rPr>
              <w:t>X</w:t>
            </w:r>
          </w:p>
        </w:tc>
        <w:tc>
          <w:tcPr>
            <w:tcW w:w="3320" w:type="dxa"/>
            <w:shd w:val="clear" w:color="auto" w:fill="auto"/>
          </w:tcPr>
          <w:p w14:paraId="1B2DEED3">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5%</w:t>
            </w:r>
          </w:p>
        </w:tc>
      </w:tr>
      <w:tr w14:paraId="48B9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63480730">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X＜月度服务费收益≤1.5X</w:t>
            </w:r>
          </w:p>
        </w:tc>
        <w:tc>
          <w:tcPr>
            <w:tcW w:w="3320" w:type="dxa"/>
            <w:shd w:val="clear" w:color="auto" w:fill="auto"/>
          </w:tcPr>
          <w:p w14:paraId="5D48B0F3">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10%</w:t>
            </w:r>
          </w:p>
        </w:tc>
      </w:tr>
      <w:tr w14:paraId="4919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06A936B3">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1.5X＜月度服务费收益≤2.0X</w:t>
            </w:r>
          </w:p>
        </w:tc>
        <w:tc>
          <w:tcPr>
            <w:tcW w:w="3320" w:type="dxa"/>
            <w:shd w:val="clear" w:color="auto" w:fill="auto"/>
          </w:tcPr>
          <w:p w14:paraId="24A42B2C">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12%</w:t>
            </w:r>
          </w:p>
        </w:tc>
      </w:tr>
      <w:tr w14:paraId="4B90E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202" w:type="dxa"/>
            <w:shd w:val="clear" w:color="auto" w:fill="auto"/>
          </w:tcPr>
          <w:p w14:paraId="6162436D">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2.0X＜月度服务费收益</w:t>
            </w:r>
          </w:p>
        </w:tc>
        <w:tc>
          <w:tcPr>
            <w:tcW w:w="3320" w:type="dxa"/>
            <w:shd w:val="clear" w:color="auto" w:fill="auto"/>
          </w:tcPr>
          <w:p w14:paraId="11C19C2B">
            <w:pPr>
              <w:pStyle w:val="21"/>
              <w:spacing w:before="156" w:beforeLines="50" w:line="380" w:lineRule="exact"/>
              <w:ind w:firstLine="440"/>
              <w:jc w:val="center"/>
              <w:rPr>
                <w:rFonts w:ascii="微软雅黑" w:hAnsi="微软雅黑" w:eastAsia="微软雅黑"/>
                <w:sz w:val="22"/>
                <w:szCs w:val="22"/>
              </w:rPr>
            </w:pPr>
            <w:r>
              <w:rPr>
                <w:rFonts w:ascii="微软雅黑" w:hAnsi="微软雅黑" w:eastAsia="微软雅黑"/>
                <w:sz w:val="22"/>
                <w:szCs w:val="22"/>
              </w:rPr>
              <w:t>15%</w:t>
            </w:r>
          </w:p>
        </w:tc>
      </w:tr>
    </w:tbl>
    <w:p w14:paraId="105BBF1B">
      <w:pPr>
        <w:pStyle w:val="21"/>
        <w:spacing w:before="156" w:beforeLines="50" w:line="380" w:lineRule="exact"/>
        <w:ind w:firstLine="0" w:firstLineChars="0"/>
        <w:jc w:val="both"/>
        <w:rPr>
          <w:rFonts w:ascii="微软雅黑" w:hAnsi="微软雅黑" w:eastAsia="微软雅黑" w:cstheme="majorEastAsia"/>
          <w:color w:val="000000" w:themeColor="text1"/>
          <w:sz w:val="22"/>
          <w:szCs w:val="22"/>
          <w14:textFill>
            <w14:solidFill>
              <w14:schemeClr w14:val="tx1"/>
            </w14:solidFill>
          </w14:textFill>
        </w:rPr>
      </w:pPr>
      <w:r>
        <w:rPr>
          <w:rFonts w:ascii="微软雅黑" w:hAnsi="微软雅黑" w:eastAsia="微软雅黑"/>
          <w:sz w:val="22"/>
          <w:szCs w:val="22"/>
        </w:rPr>
        <w:t>3</w:t>
      </w:r>
      <w:r>
        <w:rPr>
          <w:rFonts w:ascii="微软雅黑" w:hAnsi="微软雅黑" w:eastAsia="微软雅黑" w:cs="等线 Light"/>
          <w:color w:val="000000" w:themeColor="text1"/>
          <w:sz w:val="22"/>
          <w:szCs w:val="22"/>
          <w14:textFill>
            <w14:solidFill>
              <w14:schemeClr w14:val="tx1"/>
            </w14:solidFill>
          </w14:textFill>
        </w:rPr>
        <w:t>.2.3</w:t>
      </w:r>
      <w:r>
        <w:rPr>
          <w:rFonts w:hint="eastAsia" w:ascii="微软雅黑" w:hAnsi="微软雅黑" w:eastAsia="微软雅黑" w:cstheme="majorEastAsia"/>
          <w:color w:val="000000" w:themeColor="text1"/>
          <w:sz w:val="22"/>
          <w:szCs w:val="22"/>
          <w14:textFill>
            <w14:solidFill>
              <w14:schemeClr w14:val="tx1"/>
            </w14:solidFill>
          </w14:textFill>
        </w:rPr>
        <w:t>双方根据乙方平台计量的应收充电电费、充电服务费进行结算。</w:t>
      </w:r>
    </w:p>
    <w:p w14:paraId="2ABF3697">
      <w:pPr>
        <w:pStyle w:val="21"/>
        <w:spacing w:before="156" w:beforeLines="50" w:line="380" w:lineRule="exact"/>
        <w:ind w:firstLine="0" w:firstLineChars="0"/>
        <w:jc w:val="both"/>
        <w:rPr>
          <w:rFonts w:ascii="微软雅黑" w:hAnsi="微软雅黑" w:eastAsia="微软雅黑" w:cstheme="majorEastAsia"/>
          <w:color w:val="000000" w:themeColor="text1"/>
          <w:sz w:val="22"/>
          <w:szCs w:val="22"/>
          <w14:textFill>
            <w14:solidFill>
              <w14:schemeClr w14:val="tx1"/>
            </w14:solidFill>
          </w14:textFill>
        </w:rPr>
      </w:pPr>
      <w:r>
        <w:rPr>
          <w:rFonts w:ascii="微软雅黑" w:hAnsi="微软雅黑" w:eastAsia="微软雅黑" w:cstheme="majorEastAsia"/>
          <w:color w:val="000000" w:themeColor="text1"/>
          <w:sz w:val="22"/>
          <w:szCs w:val="22"/>
          <w14:textFill>
            <w14:solidFill>
              <w14:schemeClr w14:val="tx1"/>
            </w14:solidFill>
          </w14:textFill>
        </w:rPr>
        <w:t>3.2.3.1</w:t>
      </w:r>
      <w:r>
        <w:rPr>
          <w:rFonts w:hint="eastAsia" w:ascii="微软雅黑" w:hAnsi="微软雅黑" w:eastAsia="微软雅黑" w:cstheme="majorEastAsia"/>
          <w:color w:val="000000" w:themeColor="text1"/>
          <w:sz w:val="22"/>
          <w:szCs w:val="22"/>
          <w14:textFill>
            <w14:solidFill>
              <w14:schemeClr w14:val="tx1"/>
            </w14:solidFill>
          </w14:textFill>
        </w:rPr>
        <w:t>除</w:t>
      </w:r>
      <w:r>
        <w:rPr>
          <w:rFonts w:ascii="微软雅黑" w:hAnsi="微软雅黑" w:eastAsia="微软雅黑" w:cstheme="majorEastAsia"/>
          <w:color w:val="000000" w:themeColor="text1"/>
          <w:sz w:val="22"/>
          <w:szCs w:val="22"/>
          <w14:textFill>
            <w14:solidFill>
              <w14:schemeClr w14:val="tx1"/>
            </w14:solidFill>
          </w14:textFill>
        </w:rPr>
        <w:t>3.2.5.3</w:t>
      </w:r>
      <w:r>
        <w:rPr>
          <w:rFonts w:hint="eastAsia" w:ascii="微软雅黑" w:hAnsi="微软雅黑" w:eastAsia="微软雅黑" w:cstheme="majorEastAsia"/>
          <w:color w:val="000000" w:themeColor="text1"/>
          <w:sz w:val="22"/>
          <w:szCs w:val="22"/>
          <w14:textFill>
            <w14:solidFill>
              <w14:schemeClr w14:val="tx1"/>
            </w14:solidFill>
          </w14:textFill>
        </w:rPr>
        <w:t>项服务内容约定的特定订单结算金额之外，乙方按照</w:t>
      </w:r>
      <w:r>
        <w:rPr>
          <w:rFonts w:ascii="微软雅黑" w:hAnsi="微软雅黑" w:eastAsia="微软雅黑" w:cstheme="majorEastAsia"/>
          <w:color w:val="000000" w:themeColor="text1"/>
          <w:sz w:val="22"/>
          <w:szCs w:val="22"/>
          <w14:textFill>
            <w14:solidFill>
              <w14:schemeClr w14:val="tx1"/>
            </w14:solidFill>
          </w14:textFill>
        </w:rPr>
        <w:t>T+</w:t>
      </w:r>
      <w:r>
        <w:rPr>
          <w:rFonts w:ascii="微软雅黑" w:hAnsi="微软雅黑" w:eastAsia="微软雅黑" w:cstheme="majorEastAsia"/>
          <w:color w:val="000000" w:themeColor="text1"/>
          <w:sz w:val="22"/>
          <w:szCs w:val="22"/>
          <w:u w:val="thick"/>
          <w14:textFill>
            <w14:solidFill>
              <w14:schemeClr w14:val="tx1"/>
            </w14:solidFill>
          </w14:textFill>
        </w:rPr>
        <w:t xml:space="preserve"> 1  </w:t>
      </w:r>
      <w:r>
        <w:rPr>
          <w:rFonts w:hint="eastAsia" w:ascii="微软雅黑" w:hAnsi="微软雅黑" w:eastAsia="微软雅黑" w:cstheme="majorEastAsia"/>
          <w:color w:val="000000" w:themeColor="text1"/>
          <w:sz w:val="22"/>
          <w:szCs w:val="22"/>
          <w14:textFill>
            <w14:solidFill>
              <w14:schemeClr w14:val="tx1"/>
            </w14:solidFill>
          </w14:textFill>
        </w:rPr>
        <w:t>的周期将结算提现金额（应收充电电费加充电服务费后扣除第三方支付通道手续费的金额，第三方支付通道手续费费率统一为</w:t>
      </w:r>
      <w:r>
        <w:rPr>
          <w:rFonts w:ascii="微软雅黑" w:hAnsi="微软雅黑" w:eastAsia="微软雅黑" w:cstheme="majorEastAsia"/>
          <w:color w:val="000000" w:themeColor="text1"/>
          <w:sz w:val="22"/>
          <w:szCs w:val="22"/>
          <w14:textFill>
            <w14:solidFill>
              <w14:schemeClr w14:val="tx1"/>
            </w14:solidFill>
          </w14:textFill>
        </w:rPr>
        <w:t>2.5‰</w:t>
      </w:r>
      <w:r>
        <w:rPr>
          <w:rFonts w:hint="eastAsia" w:ascii="微软雅黑" w:hAnsi="微软雅黑" w:eastAsia="微软雅黑" w:cstheme="majorEastAsia"/>
          <w:color w:val="000000" w:themeColor="text1"/>
          <w:sz w:val="22"/>
          <w:szCs w:val="22"/>
          <w14:textFill>
            <w14:solidFill>
              <w14:schemeClr w14:val="tx1"/>
            </w14:solidFill>
          </w14:textFill>
        </w:rPr>
        <w:t>）款项转账至甲方指定的银行账户。</w:t>
      </w:r>
      <w:r>
        <w:rPr>
          <w:rFonts w:hint="eastAsia" w:ascii="微软雅黑" w:hAnsi="微软雅黑" w:eastAsia="微软雅黑" w:cstheme="majorEastAsia"/>
          <w:sz w:val="22"/>
          <w:szCs w:val="22"/>
        </w:rPr>
        <w:t>双方</w:t>
      </w:r>
      <w:r>
        <w:rPr>
          <w:rFonts w:hint="eastAsia" w:ascii="微软雅黑" w:hAnsi="微软雅黑" w:eastAsia="微软雅黑"/>
          <w:sz w:val="22"/>
          <w:szCs w:val="22"/>
        </w:rPr>
        <w:t>每月</w:t>
      </w:r>
      <w:r>
        <w:rPr>
          <w:rFonts w:ascii="微软雅黑" w:hAnsi="微软雅黑" w:eastAsia="微软雅黑"/>
          <w:sz w:val="22"/>
          <w:szCs w:val="22"/>
          <w:u w:val="single"/>
        </w:rPr>
        <w:t xml:space="preserve"> 5</w:t>
      </w:r>
      <w:r>
        <w:rPr>
          <w:rFonts w:hint="eastAsia" w:ascii="微软雅黑" w:hAnsi="微软雅黑" w:eastAsia="微软雅黑"/>
          <w:sz w:val="22"/>
          <w:szCs w:val="22"/>
        </w:rPr>
        <w:t>日前对上月度充电订单明细金额（应收充电电费加充电服务费的月累计金额）进行核对确认。</w:t>
      </w:r>
    </w:p>
    <w:p w14:paraId="049E1926">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3.2.3.2</w:t>
      </w:r>
      <w:r>
        <w:rPr>
          <w:rFonts w:hint="eastAsia" w:ascii="微软雅黑" w:hAnsi="微软雅黑" w:eastAsia="微软雅黑"/>
          <w:sz w:val="22"/>
          <w:szCs w:val="22"/>
        </w:rPr>
        <w:t>以自然月为一个结算周期，双方每月5日前对上月度充电订单明细金额（应收充电电费加充电服务费的月累计金额）进行核对确认，并按3</w:t>
      </w:r>
      <w:r>
        <w:rPr>
          <w:rFonts w:ascii="微软雅黑" w:hAnsi="微软雅黑" w:eastAsia="微软雅黑"/>
          <w:sz w:val="22"/>
          <w:szCs w:val="22"/>
        </w:rPr>
        <w:t>.2.1.2</w:t>
      </w:r>
      <w:r>
        <w:rPr>
          <w:rFonts w:hint="eastAsia" w:ascii="微软雅黑" w:hAnsi="微软雅黑" w:eastAsia="微软雅黑"/>
          <w:sz w:val="22"/>
          <w:szCs w:val="22"/>
        </w:rPr>
        <w:t>约定的抽佣比例核算委托运营费用，</w:t>
      </w:r>
      <w:r>
        <w:rPr>
          <w:rFonts w:ascii="微软雅黑" w:hAnsi="微软雅黑" w:eastAsia="微软雅黑"/>
          <w:sz w:val="22"/>
          <w:szCs w:val="22"/>
        </w:rPr>
        <w:t>双方确认</w:t>
      </w:r>
      <w:r>
        <w:rPr>
          <w:rFonts w:hint="eastAsia" w:ascii="微软雅黑" w:hAnsi="微软雅黑" w:eastAsia="微软雅黑"/>
          <w:sz w:val="22"/>
          <w:szCs w:val="22"/>
        </w:rPr>
        <w:t>无误</w:t>
      </w:r>
      <w:r>
        <w:rPr>
          <w:rFonts w:ascii="微软雅黑" w:hAnsi="微软雅黑" w:eastAsia="微软雅黑"/>
          <w:sz w:val="22"/>
          <w:szCs w:val="22"/>
        </w:rPr>
        <w:t>后</w:t>
      </w:r>
      <w:r>
        <w:rPr>
          <w:rFonts w:hint="eastAsia" w:ascii="微软雅黑" w:hAnsi="微软雅黑" w:eastAsia="微软雅黑" w:cstheme="majorEastAsia"/>
          <w:sz w:val="22"/>
          <w:szCs w:val="22"/>
        </w:rPr>
        <w:t>，</w:t>
      </w:r>
      <w:r>
        <w:rPr>
          <w:rFonts w:hint="eastAsia" w:ascii="微软雅黑" w:hAnsi="微软雅黑" w:eastAsia="微软雅黑"/>
          <w:sz w:val="22"/>
          <w:szCs w:val="22"/>
        </w:rPr>
        <w:t>乙方按照委托运营服务费金额提供6%的增值税专用发票（税率随国家政策调整而随之调整）</w:t>
      </w:r>
      <w:r>
        <w:rPr>
          <w:rFonts w:hint="eastAsia" w:ascii="微软雅黑" w:hAnsi="微软雅黑" w:eastAsia="微软雅黑" w:cstheme="majorEastAsia"/>
          <w:sz w:val="22"/>
          <w:szCs w:val="22"/>
        </w:rPr>
        <w:t>，甲方在收到发票后于</w:t>
      </w:r>
      <w:r>
        <w:rPr>
          <w:rFonts w:ascii="微软雅黑" w:hAnsi="微软雅黑" w:eastAsia="微软雅黑" w:cstheme="majorEastAsia"/>
          <w:sz w:val="22"/>
          <w:szCs w:val="22"/>
        </w:rPr>
        <w:t>10</w:t>
      </w:r>
      <w:r>
        <w:rPr>
          <w:rFonts w:hint="eastAsia" w:ascii="微软雅黑" w:hAnsi="微软雅黑" w:eastAsia="微软雅黑" w:cstheme="majorEastAsia"/>
          <w:sz w:val="22"/>
          <w:szCs w:val="22"/>
        </w:rPr>
        <w:t>个工作日内将款项转账至乙方指定的银行账户。</w:t>
      </w:r>
    </w:p>
    <w:p w14:paraId="4037758F">
      <w:pPr>
        <w:pStyle w:val="21"/>
        <w:spacing w:before="156" w:beforeLines="50" w:line="380" w:lineRule="exact"/>
        <w:ind w:firstLine="0" w:firstLineChars="0"/>
        <w:jc w:val="both"/>
        <w:rPr>
          <w:rFonts w:ascii="微软雅黑" w:hAnsi="微软雅黑" w:eastAsia="微软雅黑" w:cs="等线 Light"/>
          <w:color w:val="000000"/>
          <w:sz w:val="22"/>
          <w:szCs w:val="22"/>
        </w:rPr>
      </w:pPr>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.4</w:t>
      </w:r>
      <w:r>
        <w:rPr>
          <w:rFonts w:hint="eastAsia" w:ascii="微软雅黑" w:hAnsi="微软雅黑" w:eastAsia="微软雅黑"/>
          <w:sz w:val="22"/>
          <w:szCs w:val="22"/>
        </w:rPr>
        <w:t>除本协议另有约定外，委托运营期间，用户充电服务发票由乙方以甲方名义在乙方平台开具，开票平台相应服务费由甲方承担。</w:t>
      </w:r>
    </w:p>
    <w:p w14:paraId="2AA5D5FA">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w:t>
      </w:r>
      <w:r>
        <w:rPr>
          <w:rFonts w:hint="eastAsia" w:ascii="微软雅黑" w:hAnsi="微软雅黑" w:eastAsia="微软雅黑"/>
          <w:sz w:val="22"/>
          <w:szCs w:val="22"/>
        </w:rPr>
        <w:t>5大客户服务基于甲方运营需求，甲方</w:t>
      </w:r>
      <w:r>
        <w:rPr>
          <w:rFonts w:hint="eastAsia" w:ascii="微软雅黑" w:hAnsi="微软雅黑" w:eastAsia="微软雅黑"/>
          <w:sz w:val="22"/>
          <w:szCs w:val="22"/>
          <w:u w:val="single"/>
        </w:rPr>
        <w:t xml:space="preserve"> </w:t>
      </w:r>
      <w:r>
        <w:rPr>
          <w:rFonts w:ascii="微软雅黑" w:hAnsi="微软雅黑" w:eastAsia="微软雅黑"/>
          <w:sz w:val="22"/>
          <w:szCs w:val="22"/>
          <w:u w:val="single"/>
        </w:rPr>
        <w:t xml:space="preserve"> </w:t>
      </w:r>
      <w:r>
        <w:rPr>
          <w:rFonts w:hint="eastAsia" w:ascii="微软雅黑" w:hAnsi="微软雅黑" w:eastAsia="微软雅黑"/>
          <w:sz w:val="22"/>
          <w:szCs w:val="22"/>
          <w:u w:val="single"/>
        </w:rPr>
        <w:t xml:space="preserve">开通  </w:t>
      </w:r>
      <w:r>
        <w:rPr>
          <w:rFonts w:hint="eastAsia" w:ascii="微软雅黑" w:hAnsi="微软雅黑" w:eastAsia="微软雅黑"/>
          <w:sz w:val="22"/>
          <w:szCs w:val="22"/>
        </w:rPr>
        <w:t>第三方平台互联互通等大客户流量合作。</w:t>
      </w:r>
      <w:r>
        <w:rPr>
          <w:rFonts w:hint="eastAsia" w:ascii="微软雅黑" w:hAnsi="微软雅黑" w:eastAsia="微软雅黑"/>
          <w:sz w:val="22"/>
          <w:szCs w:val="22"/>
        </w:rPr>
        <w:br w:type="textWrapping"/>
      </w:r>
      <w:r>
        <w:rPr>
          <w:rFonts w:hint="eastAsia" w:ascii="微软雅黑" w:hAnsi="微软雅黑" w:eastAsia="微软雅黑"/>
          <w:sz w:val="22"/>
          <w:szCs w:val="22"/>
        </w:rPr>
        <w:t>如果开通上述大客户流量合作，甲方同意以乙方与第三方平台客户签署的折扣优惠（最低不超过八折优惠力度）同步提供给相应用户，双方于次月5日以实际订单收取的费用及乙方应收的委托运营服务费金额进行核对确认后结算。乙方平台发起第三方客户的优惠促销活动时，应提前通知甲方。</w:t>
      </w:r>
    </w:p>
    <w:p w14:paraId="370EA84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.2.5.1因开通上述流量合作后产生的订单，乙方平台应进行打标，并提供甲方订单明细及相应的结算金额等。</w:t>
      </w:r>
    </w:p>
    <w:p w14:paraId="485B223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.2.5.2上述订单均由乙方统一向第三方平台客户开具相应的发票。</w:t>
      </w:r>
    </w:p>
    <w:p w14:paraId="6B3D1B3B">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.2.5.3需由乙方统一开具发票的大客户订单结算金额，乙方按照T+</w:t>
      </w:r>
      <w:r>
        <w:rPr>
          <w:rFonts w:hint="eastAsia" w:ascii="微软雅黑" w:hAnsi="微软雅黑" w:eastAsia="微软雅黑"/>
          <w:sz w:val="22"/>
          <w:szCs w:val="22"/>
          <w:u w:val="single"/>
        </w:rPr>
        <w:t>1</w:t>
      </w:r>
      <w:r>
        <w:rPr>
          <w:rFonts w:hint="eastAsia" w:ascii="微软雅黑" w:hAnsi="微软雅黑" w:eastAsia="微软雅黑"/>
          <w:sz w:val="22"/>
          <w:szCs w:val="22"/>
        </w:rPr>
        <w:t>周期将结算提现金额推送至甲方平台账户，双方于次月 5日对上月度充电订单明细金额进行核对，甲方将结算金额相对应的增值税专用发票按月开具给乙方（税率随国家相应政策调整而实时修正）。</w:t>
      </w:r>
    </w:p>
    <w:p w14:paraId="224A928F">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.2.5.4甲方需要停止上述大客户服务的，应提前15天书面与乙方沟通，获得乙方认可后可停止该服务。并且在该服务停止后6个月之内不得再开通此项服务。</w:t>
      </w:r>
    </w:p>
    <w:p w14:paraId="21E52FA0">
      <w:pPr>
        <w:pStyle w:val="21"/>
        <w:spacing w:before="156" w:beforeLines="50" w:line="380" w:lineRule="exact"/>
        <w:ind w:left="18" w:hanging="17" w:hangingChars="8"/>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2</w:t>
      </w:r>
      <w:r>
        <w:rPr>
          <w:rFonts w:ascii="微软雅黑" w:hAnsi="微软雅黑" w:eastAsia="微软雅黑"/>
          <w:sz w:val="22"/>
          <w:szCs w:val="22"/>
        </w:rPr>
        <w:t>.</w:t>
      </w:r>
      <w:r>
        <w:rPr>
          <w:rFonts w:hint="eastAsia" w:ascii="微软雅黑" w:hAnsi="微软雅黑" w:eastAsia="微软雅黑"/>
          <w:sz w:val="22"/>
          <w:szCs w:val="22"/>
        </w:rPr>
        <w:t>6第三方支付通道手续费</w:t>
      </w:r>
      <w:r>
        <w:rPr>
          <w:rFonts w:hint="eastAsia" w:ascii="微软雅黑" w:hAnsi="微软雅黑" w:eastAsia="微软雅黑"/>
          <w:sz w:val="22"/>
          <w:szCs w:val="22"/>
        </w:rPr>
        <w:br w:type="textWrapping"/>
      </w:r>
      <w:r>
        <w:rPr>
          <w:rFonts w:ascii="微软雅黑" w:hAnsi="微软雅黑" w:eastAsia="微软雅黑"/>
          <w:sz w:val="22"/>
          <w:szCs w:val="22"/>
        </w:rPr>
        <w:t>3</w:t>
      </w:r>
      <w:r>
        <w:rPr>
          <w:rFonts w:hint="eastAsia" w:ascii="微软雅黑" w:hAnsi="微软雅黑" w:eastAsia="微软雅黑"/>
          <w:sz w:val="22"/>
          <w:szCs w:val="22"/>
        </w:rPr>
        <w:t>.2.6.1指用户支付相关费用时，所采用第三方支付通道产生的手续费用，包括但不限于央行数字货币、微信、支付宝、银联、云闪付等第三方支付通道。</w:t>
      </w:r>
    </w:p>
    <w:p w14:paraId="7060BF06">
      <w:pPr>
        <w:pStyle w:val="21"/>
        <w:spacing w:before="156" w:beforeLines="50" w:line="380" w:lineRule="exact"/>
        <w:ind w:left="480" w:hanging="479" w:hangingChars="218"/>
        <w:jc w:val="both"/>
        <w:rPr>
          <w:rFonts w:ascii="微软雅黑" w:hAnsi="微软雅黑" w:eastAsia="微软雅黑" w:cs="等线 Light"/>
          <w:color w:val="000000"/>
          <w:sz w:val="22"/>
          <w:szCs w:val="22"/>
        </w:rPr>
      </w:pPr>
      <w:r>
        <w:rPr>
          <w:rFonts w:ascii="微软雅黑" w:hAnsi="微软雅黑" w:eastAsia="微软雅黑" w:cs="等线 Light"/>
          <w:color w:val="000000"/>
          <w:sz w:val="22"/>
          <w:szCs w:val="22"/>
        </w:rPr>
        <w:t>3.</w:t>
      </w:r>
      <w:r>
        <w:rPr>
          <w:rFonts w:hint="eastAsia" w:ascii="微软雅黑" w:hAnsi="微软雅黑" w:eastAsia="微软雅黑" w:cs="等线 Light"/>
          <w:color w:val="000000"/>
          <w:sz w:val="22"/>
          <w:szCs w:val="22"/>
        </w:rPr>
        <w:t>2</w:t>
      </w:r>
      <w:r>
        <w:rPr>
          <w:rFonts w:ascii="微软雅黑" w:hAnsi="微软雅黑" w:eastAsia="微软雅黑" w:cs="等线 Light"/>
          <w:color w:val="000000"/>
          <w:sz w:val="22"/>
          <w:szCs w:val="22"/>
        </w:rPr>
        <w:t>.</w:t>
      </w:r>
      <w:r>
        <w:rPr>
          <w:rFonts w:hint="eastAsia" w:ascii="微软雅黑" w:hAnsi="微软雅黑" w:eastAsia="微软雅黑" w:cs="等线 Light"/>
          <w:color w:val="000000"/>
          <w:sz w:val="22"/>
          <w:szCs w:val="22"/>
        </w:rPr>
        <w:t>7甲乙双方企业开票信息及指定银行账户</w:t>
      </w:r>
    </w:p>
    <w:p w14:paraId="4A8D4855">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甲方企业：</w:t>
      </w:r>
      <w:r>
        <w:rPr>
          <w:rFonts w:hint="eastAsia" w:ascii="微软雅黑" w:hAnsi="微软雅黑" w:eastAsia="微软雅黑" w:cs="等线 Light"/>
          <w:color w:val="000000"/>
          <w:sz w:val="22"/>
          <w:szCs w:val="22"/>
          <w:u w:val="single"/>
        </w:rPr>
        <w:t xml:space="preserve"> </w:t>
      </w:r>
      <w:r>
        <w:rPr>
          <w:rFonts w:ascii="微软雅黑" w:hAnsi="微软雅黑" w:eastAsia="微软雅黑" w:cs="等线 Light"/>
          <w:color w:val="000000"/>
          <w:sz w:val="22"/>
          <w:szCs w:val="22"/>
          <w:u w:val="single"/>
        </w:rPr>
        <w:t xml:space="preserve">                         </w:t>
      </w:r>
      <w:r>
        <w:rPr>
          <w:rFonts w:ascii="微软雅黑" w:hAnsi="微软雅黑" w:eastAsia="微软雅黑" w:cs="等线 Light"/>
          <w:color w:val="000000"/>
          <w:sz w:val="22"/>
          <w:szCs w:val="22"/>
        </w:rPr>
        <w:t xml:space="preserve">   </w:t>
      </w:r>
    </w:p>
    <w:p w14:paraId="291CC829">
      <w:pPr>
        <w:spacing w:before="156" w:beforeLines="50" w:line="380" w:lineRule="exact"/>
        <w:ind w:left="847" w:leftChars="233" w:hanging="288" w:hangingChars="131"/>
        <w:jc w:val="both"/>
        <w:rPr>
          <w:rFonts w:ascii="微软雅黑" w:hAnsi="微软雅黑" w:eastAsia="微软雅黑" w:cs="等线 Light"/>
          <w:color w:val="000000"/>
          <w:sz w:val="22"/>
          <w:szCs w:val="22"/>
          <w:u w:val="single"/>
        </w:rPr>
      </w:pPr>
      <w:r>
        <w:rPr>
          <w:rFonts w:hint="eastAsia" w:ascii="微软雅黑" w:hAnsi="微软雅黑" w:eastAsia="微软雅黑" w:cs="等线 Light"/>
          <w:color w:val="000000"/>
          <w:sz w:val="22"/>
          <w:szCs w:val="22"/>
        </w:rPr>
        <w:t>税号：</w:t>
      </w:r>
      <w:r>
        <w:rPr>
          <w:rFonts w:ascii="微软雅黑" w:hAnsi="微软雅黑" w:eastAsia="微软雅黑" w:cs="等线 Light"/>
          <w:color w:val="000000"/>
          <w:sz w:val="22"/>
          <w:szCs w:val="22"/>
          <w:u w:val="single"/>
        </w:rPr>
        <w:t xml:space="preserve">                          </w:t>
      </w:r>
    </w:p>
    <w:p w14:paraId="50379A38">
      <w:pPr>
        <w:spacing w:before="156" w:beforeLines="50" w:line="380" w:lineRule="exact"/>
        <w:ind w:left="847" w:leftChars="233" w:hanging="288" w:hangingChars="131"/>
        <w:jc w:val="both"/>
        <w:rPr>
          <w:rFonts w:ascii="微软雅黑" w:hAnsi="微软雅黑" w:eastAsia="微软雅黑" w:cs="等线 Light"/>
          <w:color w:val="000000"/>
          <w:sz w:val="22"/>
          <w:szCs w:val="22"/>
          <w:u w:val="single"/>
        </w:rPr>
      </w:pPr>
      <w:r>
        <w:rPr>
          <w:rFonts w:hint="eastAsia" w:ascii="微软雅黑" w:hAnsi="微软雅黑" w:eastAsia="微软雅黑" w:cs="等线 Light"/>
          <w:color w:val="000000"/>
          <w:sz w:val="22"/>
          <w:szCs w:val="22"/>
        </w:rPr>
        <w:t>地址：</w:t>
      </w:r>
      <w:r>
        <w:rPr>
          <w:rFonts w:hint="eastAsia" w:ascii="微软雅黑" w:hAnsi="微软雅黑" w:eastAsia="微软雅黑" w:cs="等线 Light"/>
          <w:color w:val="000000"/>
          <w:sz w:val="22"/>
          <w:szCs w:val="22"/>
          <w:u w:val="single"/>
        </w:rPr>
        <w:t xml:space="preserve"> </w:t>
      </w:r>
      <w:r>
        <w:rPr>
          <w:rFonts w:ascii="微软雅黑" w:hAnsi="微软雅黑" w:eastAsia="微软雅黑" w:cs="等线 Light"/>
          <w:color w:val="000000"/>
          <w:sz w:val="22"/>
          <w:szCs w:val="22"/>
          <w:u w:val="single"/>
        </w:rPr>
        <w:t xml:space="preserve">                                 </w:t>
      </w:r>
    </w:p>
    <w:p w14:paraId="00244192">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开户行：</w:t>
      </w:r>
      <w:r>
        <w:rPr>
          <w:rFonts w:hint="eastAsia" w:ascii="微软雅黑" w:hAnsi="微软雅黑" w:eastAsia="微软雅黑" w:cs="等线 Light"/>
          <w:color w:val="000000"/>
          <w:sz w:val="22"/>
          <w:szCs w:val="22"/>
          <w:u w:val="single"/>
        </w:rPr>
        <w:t xml:space="preserve"> </w:t>
      </w:r>
      <w:r>
        <w:rPr>
          <w:rFonts w:ascii="微软雅黑" w:hAnsi="微软雅黑" w:eastAsia="微软雅黑" w:cs="等线 Light"/>
          <w:color w:val="000000"/>
          <w:sz w:val="22"/>
          <w:szCs w:val="22"/>
          <w:u w:val="single"/>
        </w:rPr>
        <w:t xml:space="preserve">                         </w:t>
      </w:r>
      <w:r>
        <w:rPr>
          <w:rFonts w:ascii="微软雅黑" w:hAnsi="微软雅黑" w:eastAsia="微软雅黑" w:cs="等线 Light"/>
          <w:color w:val="000000"/>
          <w:sz w:val="22"/>
          <w:szCs w:val="22"/>
        </w:rPr>
        <w:t xml:space="preserve"> </w:t>
      </w:r>
    </w:p>
    <w:p w14:paraId="09F42EBF">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账号：</w:t>
      </w:r>
      <w:r>
        <w:rPr>
          <w:rFonts w:ascii="微软雅黑" w:hAnsi="微软雅黑" w:eastAsia="微软雅黑" w:cs="等线 Light"/>
          <w:color w:val="000000"/>
          <w:sz w:val="22"/>
          <w:szCs w:val="22"/>
          <w:u w:val="single"/>
        </w:rPr>
        <w:t xml:space="preserve">                            </w:t>
      </w:r>
      <w:r>
        <w:rPr>
          <w:rFonts w:hint="eastAsia" w:ascii="微软雅黑" w:hAnsi="微软雅黑" w:eastAsia="微软雅黑" w:cs="等线 Light"/>
          <w:color w:val="000000"/>
          <w:sz w:val="22"/>
          <w:szCs w:val="22"/>
          <w:u w:val="single"/>
        </w:rPr>
        <w:t xml:space="preserve"> </w:t>
      </w:r>
      <w:r>
        <w:rPr>
          <w:rFonts w:ascii="微软雅黑" w:hAnsi="微软雅黑" w:eastAsia="微软雅黑" w:cs="等线 Light"/>
          <w:color w:val="000000"/>
          <w:sz w:val="22"/>
          <w:szCs w:val="22"/>
          <w:u w:val="single"/>
        </w:rPr>
        <w:t xml:space="preserve">                       </w:t>
      </w:r>
      <w:r>
        <w:rPr>
          <w:rFonts w:ascii="微软雅黑" w:hAnsi="微软雅黑" w:eastAsia="微软雅黑" w:cs="等线 Light"/>
          <w:color w:val="000000"/>
          <w:sz w:val="22"/>
          <w:szCs w:val="22"/>
        </w:rPr>
        <w:t xml:space="preserve"> </w:t>
      </w:r>
    </w:p>
    <w:p w14:paraId="77B20B69">
      <w:pPr>
        <w:spacing w:before="156" w:beforeLines="50" w:line="380" w:lineRule="exact"/>
        <w:ind w:left="847" w:leftChars="233" w:hanging="288" w:hangingChars="131"/>
        <w:jc w:val="both"/>
        <w:rPr>
          <w:rFonts w:ascii="微软雅黑" w:hAnsi="微软雅黑" w:eastAsia="微软雅黑" w:cs="等线 Light"/>
          <w:color w:val="000000"/>
          <w:sz w:val="22"/>
          <w:szCs w:val="22"/>
        </w:rPr>
      </w:pPr>
    </w:p>
    <w:p w14:paraId="046CA1F1">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 xml:space="preserve">乙方企业： </w:t>
      </w:r>
    </w:p>
    <w:p w14:paraId="568D46FB">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税号：</w:t>
      </w:r>
    </w:p>
    <w:p w14:paraId="04E90060">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 xml:space="preserve">地址： </w:t>
      </w:r>
    </w:p>
    <w:p w14:paraId="79C019A5">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 xml:space="preserve">开户行： </w:t>
      </w:r>
    </w:p>
    <w:p w14:paraId="59A4C6AD">
      <w:pPr>
        <w:spacing w:before="156" w:beforeLines="50" w:line="380" w:lineRule="exact"/>
        <w:ind w:left="847" w:leftChars="233" w:hanging="288" w:hangingChars="131"/>
        <w:jc w:val="both"/>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账号：</w:t>
      </w:r>
    </w:p>
    <w:p w14:paraId="2166BEE1">
      <w:pPr>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3电费结算</w:t>
      </w:r>
    </w:p>
    <w:p w14:paraId="7DB58405">
      <w:pPr>
        <w:pStyle w:val="21"/>
        <w:spacing w:before="156" w:beforeLines="50" w:line="380" w:lineRule="exact"/>
        <w:ind w:firstLine="0" w:firstLineChars="0"/>
        <w:jc w:val="both"/>
        <w:rPr>
          <w:rFonts w:ascii="微软雅黑" w:hAnsi="微软雅黑" w:eastAsia="微软雅黑"/>
          <w:sz w:val="22"/>
          <w:szCs w:val="22"/>
        </w:rPr>
      </w:pPr>
      <w:r>
        <w:rPr>
          <w:rFonts w:ascii="微软雅黑" w:hAnsi="微软雅黑" w:eastAsia="微软雅黑"/>
          <w:sz w:val="22"/>
          <w:szCs w:val="22"/>
        </w:rPr>
        <w:t>3.</w:t>
      </w:r>
      <w:r>
        <w:rPr>
          <w:rFonts w:hint="eastAsia" w:ascii="微软雅黑" w:hAnsi="微软雅黑" w:eastAsia="微软雅黑"/>
          <w:sz w:val="22"/>
          <w:szCs w:val="22"/>
        </w:rPr>
        <w:t>3</w:t>
      </w:r>
      <w:r>
        <w:rPr>
          <w:rFonts w:ascii="微软雅黑" w:hAnsi="微软雅黑" w:eastAsia="微软雅黑"/>
          <w:sz w:val="22"/>
          <w:szCs w:val="22"/>
        </w:rPr>
        <w:t>.1</w:t>
      </w:r>
      <w:r>
        <w:rPr>
          <w:rFonts w:hint="eastAsia" w:ascii="微软雅黑" w:hAnsi="微软雅黑" w:eastAsia="微软雅黑"/>
          <w:sz w:val="22"/>
          <w:szCs w:val="22"/>
        </w:rPr>
        <w:t>充电场站产生的电费，由甲方向供电部门结算。</w:t>
      </w:r>
    </w:p>
    <w:p w14:paraId="37969C31">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第四条 充电场站及设备交付</w:t>
      </w:r>
    </w:p>
    <w:p w14:paraId="27F2DEB1">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4.1</w:t>
      </w:r>
      <w:r>
        <w:rPr>
          <w:rFonts w:hint="eastAsia" w:ascii="微软雅黑" w:hAnsi="微软雅黑" w:eastAsia="微软雅黑"/>
          <w:sz w:val="22"/>
          <w:szCs w:val="22"/>
        </w:rPr>
        <w:t>乙方应在甲方正式交付充电场站后</w:t>
      </w:r>
      <w:r>
        <w:rPr>
          <w:rFonts w:ascii="微软雅黑" w:hAnsi="微软雅黑" w:eastAsia="微软雅黑"/>
          <w:sz w:val="22"/>
          <w:szCs w:val="22"/>
          <w:u w:val="single"/>
        </w:rPr>
        <w:t xml:space="preserve"> 7 </w:t>
      </w:r>
      <w:r>
        <w:rPr>
          <w:rFonts w:hint="eastAsia" w:ascii="微软雅黑" w:hAnsi="微软雅黑" w:eastAsia="微软雅黑"/>
          <w:sz w:val="22"/>
          <w:szCs w:val="22"/>
        </w:rPr>
        <w:t>日内，确保充电场站正式对外运营。</w:t>
      </w:r>
    </w:p>
    <w:p w14:paraId="2B55EC71">
      <w:pPr>
        <w:pStyle w:val="21"/>
        <w:spacing w:before="156" w:beforeLines="50" w:line="380" w:lineRule="exact"/>
        <w:ind w:firstLine="0" w:firstLineChars="0"/>
        <w:rPr>
          <w:rFonts w:ascii="微软雅黑" w:hAnsi="微软雅黑" w:eastAsia="微软雅黑"/>
          <w:b/>
          <w:bCs/>
          <w:sz w:val="36"/>
          <w:szCs w:val="36"/>
        </w:rPr>
      </w:pPr>
      <w:r>
        <w:rPr>
          <w:rFonts w:hint="eastAsia" w:ascii="微软雅黑" w:hAnsi="微软雅黑" w:eastAsia="微软雅黑"/>
          <w:b/>
          <w:bCs/>
          <w:sz w:val="36"/>
          <w:szCs w:val="36"/>
        </w:rPr>
        <w:t>第五条 运维服务专用条款</w:t>
      </w:r>
    </w:p>
    <w:p w14:paraId="1A5C711D">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5.1</w:t>
      </w:r>
      <w:r>
        <w:rPr>
          <w:rFonts w:hint="eastAsia" w:ascii="微软雅黑" w:hAnsi="微软雅黑" w:eastAsia="微软雅黑"/>
          <w:sz w:val="22"/>
          <w:szCs w:val="22"/>
        </w:rPr>
        <w:t>乙方须根据甲方需要为甲方提供运维整包服务，自充电场站正式对外运营之日起五年内，免收运维服务费。</w:t>
      </w:r>
    </w:p>
    <w:p w14:paraId="676C12A4">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5.2</w:t>
      </w:r>
      <w:r>
        <w:rPr>
          <w:rFonts w:hint="eastAsia" w:ascii="微软雅黑" w:hAnsi="微软雅黑" w:eastAsia="微软雅黑"/>
          <w:sz w:val="22"/>
          <w:szCs w:val="22"/>
        </w:rPr>
        <w:t>委托运营运维服务包服务清单：</w:t>
      </w:r>
    </w:p>
    <w:p w14:paraId="381404C1">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.2.1运维培训：乙方为甲方提供运维培训。</w:t>
      </w:r>
    </w:p>
    <w:p w14:paraId="73073E85">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.2.2隐患排查：乙方提供每月一次场站安全隐患的排查，输出报告，异常问题及时反馈。</w:t>
      </w:r>
    </w:p>
    <w:p w14:paraId="77F66F6C">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.2.3现场巡检：乙方提供一年4次场站巡检服务。</w:t>
      </w:r>
    </w:p>
    <w:p w14:paraId="441D6CDB">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5</w:t>
      </w:r>
      <w:r>
        <w:rPr>
          <w:rFonts w:hint="eastAsia" w:ascii="微软雅黑" w:hAnsi="微软雅黑" w:eastAsia="微软雅黑"/>
          <w:sz w:val="22"/>
          <w:szCs w:val="22"/>
        </w:rPr>
        <w:t>.2.4保养服务：乙方提供一年2次场站保养服务。</w:t>
      </w:r>
    </w:p>
    <w:p w14:paraId="37E5F9AE">
      <w:pPr>
        <w:pStyle w:val="21"/>
        <w:spacing w:before="156" w:beforeLines="50" w:line="380" w:lineRule="exact"/>
        <w:ind w:firstLine="0" w:firstLineChars="0"/>
      </w:pPr>
      <w:r>
        <w:rPr>
          <w:rFonts w:ascii="微软雅黑" w:hAnsi="微软雅黑" w:eastAsia="微软雅黑"/>
          <w:sz w:val="22"/>
          <w:szCs w:val="22"/>
        </w:rPr>
        <w:t>5</w:t>
      </w:r>
      <w:r>
        <w:rPr>
          <w:rFonts w:hint="eastAsia" w:ascii="微软雅黑" w:hAnsi="微软雅黑" w:eastAsia="微软雅黑"/>
          <w:sz w:val="22"/>
          <w:szCs w:val="22"/>
        </w:rPr>
        <w:t>.2.5备件服务：乙方提供常用件、易损件免费更换服务。</w:t>
      </w:r>
    </w:p>
    <w:p w14:paraId="0CA8662D">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第六条 甲方权利义务</w:t>
      </w:r>
    </w:p>
    <w:p w14:paraId="33647748">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6.1</w:t>
      </w:r>
      <w:r>
        <w:rPr>
          <w:rFonts w:hint="eastAsia" w:ascii="微软雅黑" w:hAnsi="微软雅黑" w:eastAsia="微软雅黑"/>
          <w:sz w:val="22"/>
          <w:szCs w:val="22"/>
        </w:rPr>
        <w:t>甲方保证其合法拥有充电场站及设施的所有权，确保乙方不因所有权问题影响正常运营。</w:t>
      </w:r>
    </w:p>
    <w:p w14:paraId="3040E212">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6</w:t>
      </w:r>
      <w:r>
        <w:rPr>
          <w:rFonts w:hint="eastAsia" w:ascii="微软雅黑" w:hAnsi="微软雅黑" w:eastAsia="微软雅黑"/>
          <w:sz w:val="22"/>
          <w:szCs w:val="22"/>
        </w:rPr>
        <w:t>.</w:t>
      </w:r>
      <w:r>
        <w:rPr>
          <w:rFonts w:ascii="微软雅黑" w:hAnsi="微软雅黑" w:eastAsia="微软雅黑"/>
          <w:sz w:val="22"/>
          <w:szCs w:val="22"/>
        </w:rPr>
        <w:t>2</w:t>
      </w:r>
      <w:r>
        <w:rPr>
          <w:rFonts w:hint="eastAsia" w:ascii="微软雅黑" w:hAnsi="微软雅黑" w:eastAsia="微软雅黑"/>
          <w:sz w:val="22"/>
          <w:szCs w:val="22"/>
        </w:rPr>
        <w:t>委托运营期间，甲方负责承担场站水电费用、消防等设施增补等费用。</w:t>
      </w:r>
    </w:p>
    <w:p w14:paraId="442D8902">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6.3甲方有权监督乙方的</w:t>
      </w:r>
      <w:r>
        <w:rPr>
          <w:rFonts w:hint="eastAsia" w:ascii="微软雅黑" w:hAnsi="微软雅黑" w:eastAsia="微软雅黑"/>
          <w:sz w:val="22"/>
          <w:szCs w:val="22"/>
        </w:rPr>
        <w:t>运营</w:t>
      </w:r>
      <w:r>
        <w:rPr>
          <w:rFonts w:ascii="微软雅黑" w:hAnsi="微软雅黑" w:eastAsia="微软雅黑"/>
          <w:sz w:val="22"/>
          <w:szCs w:val="22"/>
        </w:rPr>
        <w:t>活动，同时有权在合同约定的范围内，对乙方的</w:t>
      </w:r>
      <w:r>
        <w:rPr>
          <w:rFonts w:hint="eastAsia" w:ascii="微软雅黑" w:hAnsi="微软雅黑" w:eastAsia="微软雅黑"/>
          <w:sz w:val="22"/>
          <w:szCs w:val="22"/>
        </w:rPr>
        <w:t>运营</w:t>
      </w:r>
      <w:r>
        <w:rPr>
          <w:rFonts w:ascii="微软雅黑" w:hAnsi="微软雅黑" w:eastAsia="微软雅黑"/>
          <w:sz w:val="22"/>
          <w:szCs w:val="22"/>
        </w:rPr>
        <w:t>活动进行调整或变更。</w:t>
      </w:r>
    </w:p>
    <w:p w14:paraId="21EDDB9C">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6</w:t>
      </w:r>
      <w:r>
        <w:rPr>
          <w:rFonts w:hint="eastAsia" w:ascii="微软雅黑" w:hAnsi="微软雅黑" w:eastAsia="微软雅黑"/>
          <w:sz w:val="22"/>
          <w:szCs w:val="22"/>
        </w:rPr>
        <w:t>.</w:t>
      </w:r>
      <w:r>
        <w:rPr>
          <w:rFonts w:ascii="微软雅黑" w:hAnsi="微软雅黑" w:eastAsia="微软雅黑"/>
          <w:sz w:val="22"/>
          <w:szCs w:val="22"/>
        </w:rPr>
        <w:t>4甲方有权获取乙方</w:t>
      </w:r>
      <w:r>
        <w:rPr>
          <w:rFonts w:hint="eastAsia" w:ascii="微软雅黑" w:hAnsi="微软雅黑" w:eastAsia="微软雅黑"/>
          <w:sz w:val="22"/>
          <w:szCs w:val="22"/>
        </w:rPr>
        <w:t>运营</w:t>
      </w:r>
      <w:r>
        <w:rPr>
          <w:rFonts w:ascii="微软雅黑" w:hAnsi="微软雅黑" w:eastAsia="微软雅黑"/>
          <w:sz w:val="22"/>
          <w:szCs w:val="22"/>
        </w:rPr>
        <w:t>活动的相关信息，包括但不限于财务报告、</w:t>
      </w:r>
      <w:r>
        <w:rPr>
          <w:rFonts w:hint="eastAsia" w:ascii="微软雅黑" w:hAnsi="微软雅黑" w:eastAsia="微软雅黑"/>
          <w:sz w:val="22"/>
          <w:szCs w:val="22"/>
        </w:rPr>
        <w:t>运营</w:t>
      </w:r>
      <w:r>
        <w:rPr>
          <w:rFonts w:ascii="微软雅黑" w:hAnsi="微软雅黑" w:eastAsia="微软雅黑"/>
          <w:sz w:val="22"/>
          <w:szCs w:val="22"/>
        </w:rPr>
        <w:t>情况</w:t>
      </w:r>
      <w:r>
        <w:rPr>
          <w:rFonts w:hint="eastAsia" w:ascii="微软雅黑" w:hAnsi="微软雅黑" w:eastAsia="微软雅黑"/>
          <w:sz w:val="22"/>
          <w:szCs w:val="22"/>
        </w:rPr>
        <w:t>、管理制度</w:t>
      </w:r>
      <w:r>
        <w:rPr>
          <w:rFonts w:ascii="微软雅黑" w:hAnsi="微软雅黑" w:eastAsia="微软雅黑"/>
          <w:sz w:val="22"/>
          <w:szCs w:val="22"/>
        </w:rPr>
        <w:t>等。</w:t>
      </w:r>
    </w:p>
    <w:p w14:paraId="3D0EA6E5">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6.5</w:t>
      </w:r>
      <w:ins w:id="29" w:author="郭炜炜" w:date="2025-09-09T09:45:15Z">
        <w:r>
          <w:rPr>
            <w:rFonts w:hint="eastAsia" w:ascii="微软雅黑" w:hAnsi="微软雅黑" w:eastAsia="微软雅黑"/>
            <w:sz w:val="22"/>
            <w:szCs w:val="22"/>
          </w:rPr>
          <w:t>运营过程中形成的数据、信息属于甲方所有，</w:t>
        </w:r>
      </w:ins>
      <w:r>
        <w:rPr>
          <w:rFonts w:hint="eastAsia" w:ascii="微软雅黑" w:hAnsi="微软雅黑" w:eastAsia="微软雅黑"/>
          <w:sz w:val="22"/>
          <w:szCs w:val="22"/>
        </w:rPr>
        <w:t>甲方有权要求乙方无条件进行双方运营平台对接，乙方通过平台对接提供场站的运营数据，乙方应根据甲方要求提供光伏及储能的相关控制设备接入甲方运营平台，包括相应接口、协议对接等。以上对接工作，乙方侧产生的费用由乙方自行承担。</w:t>
      </w:r>
    </w:p>
    <w:p w14:paraId="76257402">
      <w:pPr>
        <w:pStyle w:val="21"/>
        <w:spacing w:before="156" w:beforeLines="50" w:line="380" w:lineRule="exact"/>
        <w:ind w:firstLine="0" w:firstLineChars="0"/>
        <w:rPr>
          <w:rFonts w:ascii="微软雅黑" w:hAnsi="微软雅黑" w:eastAsia="微软雅黑"/>
          <w:color w:val="000000"/>
          <w:sz w:val="22"/>
          <w:szCs w:val="22"/>
        </w:rPr>
      </w:pPr>
      <w:r>
        <w:rPr>
          <w:rFonts w:ascii="微软雅黑" w:hAnsi="微软雅黑" w:eastAsia="微软雅黑"/>
          <w:sz w:val="22"/>
          <w:szCs w:val="22"/>
        </w:rPr>
        <w:t>6</w:t>
      </w:r>
      <w:r>
        <w:rPr>
          <w:rFonts w:hint="eastAsia" w:ascii="微软雅黑" w:hAnsi="微软雅黑" w:eastAsia="微软雅黑"/>
          <w:sz w:val="22"/>
          <w:szCs w:val="22"/>
        </w:rPr>
        <w:t>.</w:t>
      </w:r>
      <w:r>
        <w:rPr>
          <w:rFonts w:ascii="微软雅黑" w:hAnsi="微软雅黑" w:eastAsia="微软雅黑"/>
          <w:sz w:val="22"/>
          <w:szCs w:val="22"/>
        </w:rPr>
        <w:t>6</w:t>
      </w:r>
      <w:r>
        <w:rPr>
          <w:rFonts w:hint="eastAsia" w:ascii="微软雅黑" w:hAnsi="微软雅黑" w:eastAsia="微软雅黑"/>
          <w:sz w:val="22"/>
          <w:szCs w:val="22"/>
        </w:rPr>
        <w:t>甲方就场站运营安全管理、网络安全等事项，要严格遵守安全协议相关条款详见附件2，履行相应权</w:t>
      </w:r>
      <w:ins w:id="30" w:author="郭炜炜" w:date="2025-09-09T09:45:24Z">
        <w:r>
          <w:rPr>
            <w:rFonts w:hint="eastAsia" w:ascii="微软雅黑" w:hAnsi="微软雅黑" w:eastAsia="微软雅黑"/>
            <w:sz w:val="22"/>
            <w:szCs w:val="22"/>
            <w:lang w:val="en-US" w:eastAsia="zh-CN"/>
          </w:rPr>
          <w:t>利</w:t>
        </w:r>
      </w:ins>
      <w:del w:id="31" w:author="郭炜炜" w:date="2025-09-09T09:45:22Z">
        <w:r>
          <w:rPr>
            <w:rFonts w:hint="eastAsia" w:ascii="微软雅黑" w:hAnsi="微软雅黑" w:eastAsia="微软雅黑"/>
            <w:sz w:val="22"/>
            <w:szCs w:val="22"/>
          </w:rPr>
          <w:delText>力</w:delText>
        </w:r>
      </w:del>
      <w:r>
        <w:rPr>
          <w:rFonts w:hint="eastAsia" w:ascii="微软雅黑" w:hAnsi="微软雅黑" w:eastAsia="微软雅黑"/>
          <w:sz w:val="22"/>
          <w:szCs w:val="22"/>
        </w:rPr>
        <w:t>义务。</w:t>
      </w:r>
    </w:p>
    <w:p w14:paraId="15E0623F">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第七条 乙方权利义务</w:t>
      </w:r>
    </w:p>
    <w:p w14:paraId="5C25C58E">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7.1</w:t>
      </w:r>
      <w:r>
        <w:rPr>
          <w:rFonts w:hint="eastAsia" w:ascii="微软雅黑" w:hAnsi="微软雅黑" w:eastAsia="微软雅黑"/>
          <w:sz w:val="22"/>
          <w:szCs w:val="22"/>
        </w:rPr>
        <w:t>乙方必须遵守国家法律、法规进行生产运营管理，杜绝非法运营。</w:t>
      </w:r>
    </w:p>
    <w:p w14:paraId="3018BB0B">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7.2</w:t>
      </w:r>
      <w:r>
        <w:rPr>
          <w:rFonts w:hint="eastAsia" w:ascii="微软雅黑" w:hAnsi="微软雅黑" w:eastAsia="微软雅黑"/>
          <w:sz w:val="22"/>
          <w:szCs w:val="22"/>
        </w:rPr>
        <w:t>运营期间，乙方应规范使用甲方所移交的设备，因使用不当造成的费用及损失由乙方承担。</w:t>
      </w:r>
    </w:p>
    <w:p w14:paraId="3FCC6266">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7.3</w:t>
      </w:r>
      <w:r>
        <w:rPr>
          <w:rFonts w:hint="eastAsia" w:ascii="微软雅黑" w:hAnsi="微软雅黑" w:eastAsia="微软雅黑"/>
          <w:sz w:val="22"/>
          <w:szCs w:val="22"/>
        </w:rPr>
        <w:t>甲方所有的场站建筑物及充电设施，乙方需改建要征得甲方同意后实施。</w:t>
      </w:r>
    </w:p>
    <w:p w14:paraId="1EE7AEE2">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7.4</w:t>
      </w:r>
      <w:r>
        <w:rPr>
          <w:rFonts w:hint="eastAsia" w:ascii="微软雅黑" w:hAnsi="微软雅黑" w:eastAsia="微软雅黑"/>
          <w:sz w:val="22"/>
          <w:szCs w:val="22"/>
        </w:rPr>
        <w:t>运营期间，乙方对于基准电价以上的充电价格自主确定，涉及充电服务费优惠的需报甲方共同协商审批。</w:t>
      </w:r>
    </w:p>
    <w:p w14:paraId="392CE70C">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7.5</w:t>
      </w:r>
      <w:r>
        <w:rPr>
          <w:rFonts w:hint="eastAsia" w:ascii="微软雅黑" w:hAnsi="微软雅黑" w:eastAsia="微软雅黑"/>
          <w:sz w:val="22"/>
          <w:szCs w:val="22"/>
        </w:rPr>
        <w:t>在委托运营期间，乙方有义务</w:t>
      </w:r>
      <w:r>
        <w:rPr>
          <w:rFonts w:ascii="微软雅黑" w:hAnsi="微软雅黑" w:eastAsia="微软雅黑"/>
          <w:sz w:val="22"/>
          <w:szCs w:val="22"/>
        </w:rPr>
        <w:t>提供高效、优质的</w:t>
      </w:r>
      <w:r>
        <w:rPr>
          <w:rFonts w:hint="eastAsia" w:ascii="微软雅黑" w:hAnsi="微软雅黑" w:eastAsia="微软雅黑"/>
          <w:sz w:val="22"/>
          <w:szCs w:val="22"/>
        </w:rPr>
        <w:t>运营管理</w:t>
      </w:r>
      <w:r>
        <w:rPr>
          <w:rFonts w:ascii="微软雅黑" w:hAnsi="微软雅黑" w:eastAsia="微软雅黑"/>
          <w:sz w:val="22"/>
          <w:szCs w:val="22"/>
        </w:rPr>
        <w:t>服务，并确保其符合甲方的效益要求，以达到双方约定的目标。</w:t>
      </w:r>
    </w:p>
    <w:p w14:paraId="0AA89420">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w:t>
      </w:r>
      <w:r>
        <w:rPr>
          <w:rFonts w:hint="eastAsia" w:ascii="微软雅黑" w:hAnsi="微软雅黑" w:eastAsia="微软雅黑"/>
          <w:sz w:val="22"/>
          <w:szCs w:val="22"/>
        </w:rPr>
        <w:t>.</w:t>
      </w:r>
      <w:r>
        <w:rPr>
          <w:rFonts w:ascii="微软雅黑" w:hAnsi="微软雅黑" w:eastAsia="微软雅黑"/>
          <w:sz w:val="22"/>
          <w:szCs w:val="22"/>
        </w:rPr>
        <w:t>6</w:t>
      </w:r>
      <w:r>
        <w:rPr>
          <w:rFonts w:hint="eastAsia" w:ascii="微软雅黑" w:hAnsi="微软雅黑" w:eastAsia="微软雅黑"/>
          <w:sz w:val="22"/>
          <w:szCs w:val="22"/>
        </w:rPr>
        <w:t>乙方就场站运营安全管理、网络安全等事项，要严格遵守安全协议相关条款，履行相应权力义务。</w:t>
      </w:r>
    </w:p>
    <w:p w14:paraId="00473E29">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w:t>
      </w:r>
      <w:r>
        <w:rPr>
          <w:rFonts w:hint="eastAsia" w:ascii="微软雅黑" w:hAnsi="微软雅黑" w:eastAsia="微软雅黑"/>
          <w:sz w:val="22"/>
          <w:szCs w:val="22"/>
        </w:rPr>
        <w:t>.</w:t>
      </w:r>
      <w:r>
        <w:rPr>
          <w:rFonts w:ascii="微软雅黑" w:hAnsi="微软雅黑" w:eastAsia="微软雅黑"/>
          <w:sz w:val="22"/>
          <w:szCs w:val="22"/>
        </w:rPr>
        <w:t>7</w:t>
      </w:r>
      <w:r>
        <w:rPr>
          <w:rFonts w:hint="eastAsia" w:ascii="微软雅黑" w:hAnsi="微软雅黑" w:eastAsia="微软雅黑"/>
          <w:sz w:val="22"/>
          <w:szCs w:val="22"/>
        </w:rPr>
        <w:t>如双方运营合同终止，乙方应无条件做好过渡期的配合工作。具体包括：乙方提供的充电设备接入甲方充电桩管理平台，包括但不限于开放接口、配合协议对接等。以上接入工作，乙方侧产生的费用由乙方自行承担。</w:t>
      </w:r>
    </w:p>
    <w:p w14:paraId="482856A7">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7.8</w:t>
      </w:r>
      <w:r>
        <w:rPr>
          <w:rFonts w:hint="eastAsia" w:ascii="微软雅黑" w:hAnsi="微软雅黑" w:eastAsia="微软雅黑"/>
          <w:sz w:val="22"/>
          <w:szCs w:val="22"/>
        </w:rPr>
        <w:t>委托运营期间，充电设备的正常维修和保养按照第六条运维服务专用条款约定执行。</w:t>
      </w:r>
    </w:p>
    <w:p w14:paraId="4E912181">
      <w:pPr>
        <w:pStyle w:val="21"/>
        <w:spacing w:before="156" w:beforeLines="50" w:line="380" w:lineRule="exact"/>
        <w:ind w:firstLine="0" w:firstLineChars="0"/>
        <w:rPr>
          <w:ins w:id="32" w:author="郭炜炜" w:date="2025-09-09T09:45:35Z"/>
          <w:rFonts w:hint="eastAsia" w:ascii="微软雅黑" w:hAnsi="微软雅黑" w:eastAsia="微软雅黑"/>
          <w:sz w:val="22"/>
          <w:szCs w:val="22"/>
        </w:rPr>
      </w:pPr>
      <w:r>
        <w:rPr>
          <w:rFonts w:ascii="微软雅黑" w:hAnsi="微软雅黑" w:eastAsia="微软雅黑"/>
          <w:sz w:val="22"/>
          <w:szCs w:val="22"/>
        </w:rPr>
        <w:t>7.9</w:t>
      </w:r>
      <w:r>
        <w:rPr>
          <w:rFonts w:hint="eastAsia" w:ascii="微软雅黑" w:hAnsi="微软雅黑" w:eastAsia="微软雅黑"/>
          <w:sz w:val="22"/>
          <w:szCs w:val="22"/>
        </w:rPr>
        <w:t>本合同有效期内，乙方须承担场站运营所有安全、运营等责任，由此对第三方造成的人身伤害或财产损害均由乙方负责赔偿。</w:t>
      </w:r>
    </w:p>
    <w:p w14:paraId="4029BCFA">
      <w:pPr>
        <w:pStyle w:val="21"/>
        <w:spacing w:before="156" w:beforeLines="50" w:line="380" w:lineRule="exact"/>
        <w:ind w:firstLine="0" w:firstLineChars="0"/>
        <w:rPr>
          <w:rFonts w:hint="eastAsia" w:ascii="微软雅黑" w:hAnsi="微软雅黑" w:eastAsia="微软雅黑"/>
          <w:sz w:val="22"/>
          <w:szCs w:val="22"/>
        </w:rPr>
      </w:pPr>
      <w:ins w:id="33" w:author="郭炜炜" w:date="2025-09-09T09:45:38Z">
        <w:r>
          <w:rPr>
            <w:rFonts w:hint="eastAsia" w:ascii="微软雅黑" w:hAnsi="微软雅黑" w:eastAsia="微软雅黑"/>
            <w:sz w:val="22"/>
            <w:szCs w:val="22"/>
          </w:rPr>
          <w:t>7.10乙方保证本协议履行过程中，不存在任何侵犯第三人权利的情形，否则相关责任均由乙方承担，如甲方因此承担责任有权向乙方追偿。</w:t>
        </w:r>
      </w:ins>
    </w:p>
    <w:p w14:paraId="30BF3C1D">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第八条 违约</w:t>
      </w:r>
    </w:p>
    <w:p w14:paraId="3371EDBE">
      <w:pPr>
        <w:pStyle w:val="21"/>
        <w:spacing w:before="156" w:beforeLines="50" w:line="380" w:lineRule="exact"/>
        <w:ind w:firstLine="0" w:firstLineChars="0"/>
        <w:rPr>
          <w:rFonts w:ascii="微软雅黑" w:hAnsi="微软雅黑" w:eastAsia="微软雅黑" w:cs="等线 Light"/>
          <w:color w:val="000000"/>
          <w:sz w:val="22"/>
          <w:szCs w:val="22"/>
        </w:rPr>
      </w:pPr>
      <w:r>
        <w:rPr>
          <w:rFonts w:ascii="微软雅黑" w:hAnsi="微软雅黑" w:eastAsia="微软雅黑"/>
          <w:sz w:val="22"/>
          <w:szCs w:val="22"/>
        </w:rPr>
        <w:t>8.1</w:t>
      </w:r>
      <w:r>
        <w:rPr>
          <w:rFonts w:hint="eastAsia" w:ascii="微软雅黑" w:hAnsi="微软雅黑" w:eastAsia="微软雅黑"/>
          <w:sz w:val="22"/>
          <w:szCs w:val="22"/>
        </w:rPr>
        <w:t>本合同双方应严格遵守合同规定，如任何一方违反本合同项下义务，则另一方有权追究其违约责任。</w:t>
      </w:r>
      <w:r>
        <w:rPr>
          <w:rFonts w:hint="eastAsia" w:ascii="微软雅黑" w:hAnsi="微软雅黑" w:eastAsia="微软雅黑" w:cs="等线 Light"/>
          <w:color w:val="000000"/>
          <w:sz w:val="22"/>
          <w:szCs w:val="22"/>
        </w:rPr>
        <w:t>若一方违反合同约定，或擅自终止合作的，守约方有权要求违约方根据单站合同约定赔偿守约方的所有损失。</w:t>
      </w:r>
    </w:p>
    <w:p w14:paraId="34BA5742">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8.2</w:t>
      </w:r>
      <w:r>
        <w:rPr>
          <w:rFonts w:hint="eastAsia" w:ascii="微软雅黑" w:hAnsi="微软雅黑" w:eastAsia="微软雅黑"/>
          <w:sz w:val="22"/>
          <w:szCs w:val="22"/>
        </w:rPr>
        <w:t>守约方因此产生更多经济损失的，有权向违约方索取相应的经济赔偿。赔偿的范围包括守约方因违约行为支付的律师费、诉讼费、仲裁费、调查取证费、差旅费及其他为获得违约赔偿支出的一切费用。</w:t>
      </w:r>
    </w:p>
    <w:p w14:paraId="6BB25285">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sz w:val="22"/>
          <w:szCs w:val="22"/>
        </w:rPr>
        <w:t>8</w:t>
      </w:r>
      <w:r>
        <w:rPr>
          <w:rFonts w:ascii="微软雅黑" w:hAnsi="微软雅黑" w:eastAsia="微软雅黑"/>
          <w:sz w:val="22"/>
          <w:szCs w:val="22"/>
        </w:rPr>
        <w:t>.3</w:t>
      </w:r>
      <w:r>
        <w:rPr>
          <w:rFonts w:hint="eastAsia" w:ascii="微软雅黑" w:hAnsi="微软雅黑" w:eastAsia="微软雅黑"/>
          <w:sz w:val="22"/>
          <w:szCs w:val="22"/>
        </w:rPr>
        <w:t>如因甲方原因未根据合同约定结算时间及时足额向乙方全额支付每月委托运营费用，乙方有权主张欠付款金额每日万分之五的违约金。</w:t>
      </w:r>
    </w:p>
    <w:p w14:paraId="3314A676">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8.4</w:t>
      </w:r>
      <w:r>
        <w:rPr>
          <w:rFonts w:hint="eastAsia" w:ascii="微软雅黑" w:hAnsi="微软雅黑" w:eastAsia="微软雅黑"/>
          <w:sz w:val="22"/>
          <w:szCs w:val="22"/>
        </w:rPr>
        <w:t>如因乙方原因导致甲方无法按单站运营合同约定提现收款，乙方应承担每日万分之五的违约金，逾期超过15日或其他违约情形经甲方提示后未予改进的，甲方有权解除本框架合同，并要求乙方支付本框架合同下所有单站运营合同可提现的电费、充电服务费及违约金。</w:t>
      </w:r>
    </w:p>
    <w:p w14:paraId="3A42D74E">
      <w:pPr>
        <w:pStyle w:val="21"/>
        <w:spacing w:before="156" w:beforeLines="50" w:line="380" w:lineRule="exact"/>
        <w:ind w:firstLine="0" w:firstLineChars="0"/>
      </w:pPr>
      <w:r>
        <w:rPr>
          <w:rFonts w:hint="eastAsia" w:ascii="微软雅黑" w:hAnsi="微软雅黑" w:eastAsia="微软雅黑"/>
          <w:sz w:val="22"/>
          <w:szCs w:val="22"/>
        </w:rPr>
        <w:t>8</w:t>
      </w:r>
      <w:r>
        <w:rPr>
          <w:rFonts w:ascii="微软雅黑" w:hAnsi="微软雅黑" w:eastAsia="微软雅黑"/>
          <w:sz w:val="22"/>
          <w:szCs w:val="22"/>
        </w:rPr>
        <w:t>.5</w:t>
      </w:r>
      <w:r>
        <w:rPr>
          <w:rFonts w:hint="eastAsia" w:ascii="微软雅黑" w:hAnsi="微软雅黑" w:eastAsia="微软雅黑"/>
          <w:sz w:val="22"/>
          <w:szCs w:val="22"/>
        </w:rPr>
        <w:t>乙方违反《委托运营服务细则》的，甲方每发现一次，视情节轻重扣</w:t>
      </w:r>
      <w:r>
        <w:rPr>
          <w:rFonts w:ascii="微软雅黑" w:hAnsi="微软雅黑" w:eastAsia="微软雅黑"/>
          <w:sz w:val="22"/>
          <w:szCs w:val="22"/>
        </w:rPr>
        <w:t>200-1000</w:t>
      </w:r>
      <w:r>
        <w:rPr>
          <w:rFonts w:hint="eastAsia" w:ascii="微软雅黑" w:hAnsi="微软雅黑" w:eastAsia="微软雅黑"/>
          <w:sz w:val="22"/>
          <w:szCs w:val="22"/>
        </w:rPr>
        <w:t>元，在月度服务费中扣除。</w:t>
      </w:r>
    </w:p>
    <w:p w14:paraId="314AAE64">
      <w:pPr>
        <w:pStyle w:val="2"/>
        <w:spacing w:before="156" w:beforeLines="50" w:after="0" w:line="380" w:lineRule="exact"/>
        <w:rPr>
          <w:rFonts w:ascii="微软雅黑" w:hAnsi="微软雅黑" w:eastAsia="微软雅黑"/>
          <w:sz w:val="36"/>
          <w:szCs w:val="36"/>
        </w:rPr>
      </w:pPr>
      <w:r>
        <w:rPr>
          <w:rFonts w:hint="eastAsia" w:ascii="微软雅黑" w:hAnsi="微软雅黑" w:eastAsia="微软雅黑"/>
          <w:sz w:val="36"/>
          <w:szCs w:val="36"/>
        </w:rPr>
        <w:t xml:space="preserve">第九条 </w:t>
      </w:r>
      <w:r>
        <w:rPr>
          <w:rFonts w:ascii="微软雅黑" w:hAnsi="微软雅黑" w:eastAsia="微软雅黑"/>
          <w:sz w:val="36"/>
          <w:szCs w:val="36"/>
        </w:rPr>
        <w:t>不可抗力条件</w:t>
      </w:r>
    </w:p>
    <w:p w14:paraId="1911111D">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9.1</w:t>
      </w:r>
      <w:r>
        <w:rPr>
          <w:rFonts w:hint="eastAsia" w:ascii="微软雅黑" w:hAnsi="微软雅黑" w:eastAsia="微软雅黑"/>
          <w:sz w:val="22"/>
          <w:szCs w:val="22"/>
        </w:rPr>
        <w:t>不可抗力是指在本合同有效期限内发生的不可预见（或虽可预见，但其发生或后果不可避免）、非任何一方所能控制且使任何一方无法部分或完全履 行本合同的地震、台风、火灾、水灾、战争、罢工、暴动和政策法律变化或任何其它自然或人为造成的灾难和意外事件。</w:t>
      </w:r>
    </w:p>
    <w:p w14:paraId="3ECA56C2">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9.2</w:t>
      </w:r>
      <w:r>
        <w:rPr>
          <w:rFonts w:hint="eastAsia" w:ascii="微软雅黑" w:hAnsi="微软雅黑" w:eastAsia="微软雅黑"/>
          <w:sz w:val="22"/>
          <w:szCs w:val="22"/>
        </w:rPr>
        <w:t>任何一方因不可抗力以致不能完全履行本合同项下的义务时，将免除其不履约或因此延期履约的责任。</w:t>
      </w:r>
    </w:p>
    <w:p w14:paraId="736F266B">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9.3</w:t>
      </w:r>
      <w:r>
        <w:rPr>
          <w:rFonts w:hint="eastAsia" w:ascii="微软雅黑" w:hAnsi="微软雅黑" w:eastAsia="微软雅黑"/>
          <w:sz w:val="22"/>
          <w:szCs w:val="22"/>
        </w:rPr>
        <w:t>因为不可抗力导致技术故障，进而影响服务的不能履行或履行延误，从而导致消费者理解错误而造成的任何损失，双方均不负责任。</w:t>
      </w:r>
    </w:p>
    <w:p w14:paraId="0A21BDD4">
      <w:pPr>
        <w:pStyle w:val="21"/>
        <w:spacing w:before="156" w:beforeLines="50" w:line="380" w:lineRule="exact"/>
        <w:ind w:firstLine="0" w:firstLineChars="0"/>
      </w:pPr>
      <w:r>
        <w:rPr>
          <w:rFonts w:ascii="微软雅黑" w:hAnsi="微软雅黑" w:eastAsia="微软雅黑"/>
          <w:sz w:val="22"/>
          <w:szCs w:val="22"/>
        </w:rPr>
        <w:t>9.4</w:t>
      </w:r>
      <w:r>
        <w:rPr>
          <w:rFonts w:hint="eastAsia" w:ascii="微软雅黑" w:hAnsi="微软雅黑" w:eastAsia="微软雅黑"/>
          <w:sz w:val="22"/>
          <w:szCs w:val="22"/>
        </w:rPr>
        <w:t>不可抗力事件发生后的合同履约或延期履约间隔，由甲乙双方根据实际情况另行商定。</w:t>
      </w:r>
    </w:p>
    <w:p w14:paraId="4B7C114E">
      <w:pPr>
        <w:pStyle w:val="9"/>
        <w:spacing w:before="156" w:beforeLines="50" w:after="0" w:line="380" w:lineRule="exact"/>
        <w:ind w:left="0" w:leftChars="0"/>
        <w:rPr>
          <w:rFonts w:ascii="微软雅黑" w:hAnsi="微软雅黑" w:eastAsia="微软雅黑"/>
          <w:b/>
          <w:bCs/>
          <w:sz w:val="36"/>
          <w:szCs w:val="36"/>
        </w:rPr>
      </w:pPr>
      <w:r>
        <w:rPr>
          <w:rFonts w:ascii="微软雅黑" w:hAnsi="微软雅黑" w:eastAsia="微软雅黑"/>
          <w:b/>
          <w:bCs/>
          <w:sz w:val="36"/>
          <w:szCs w:val="36"/>
        </w:rPr>
        <w:t>第</w:t>
      </w:r>
      <w:r>
        <w:rPr>
          <w:rFonts w:hint="eastAsia" w:ascii="微软雅黑" w:hAnsi="微软雅黑" w:eastAsia="微软雅黑"/>
          <w:b/>
          <w:bCs/>
          <w:sz w:val="36"/>
          <w:szCs w:val="36"/>
        </w:rPr>
        <w:t>十</w:t>
      </w:r>
      <w:r>
        <w:rPr>
          <w:rFonts w:ascii="微软雅黑" w:hAnsi="微软雅黑" w:eastAsia="微软雅黑"/>
          <w:b/>
          <w:bCs/>
          <w:sz w:val="36"/>
          <w:szCs w:val="36"/>
        </w:rPr>
        <w:t>条 保密条款</w:t>
      </w:r>
    </w:p>
    <w:p w14:paraId="71B0CC61">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0.1</w:t>
      </w:r>
      <w:r>
        <w:rPr>
          <w:rFonts w:hint="eastAsia" w:ascii="微软雅黑" w:hAnsi="微软雅黑" w:eastAsia="微软雅黑"/>
          <w:sz w:val="22"/>
          <w:szCs w:val="22"/>
        </w:rPr>
        <w:t xml:space="preserve">在本合同订立及履行过程中，合同一方从对方所了解的全部资料，均有义务保密，任何一方不得对外公开或使用。但以下几种情况例外： </w:t>
      </w:r>
    </w:p>
    <w:p w14:paraId="269D866C">
      <w:pPr>
        <w:pStyle w:val="9"/>
        <w:tabs>
          <w:tab w:val="left" w:pos="0"/>
        </w:tabs>
        <w:spacing w:before="156" w:beforeLines="50" w:after="0" w:line="380" w:lineRule="exact"/>
        <w:ind w:left="0" w:leftChars="0" w:firstLine="220" w:firstLineChars="100"/>
        <w:rPr>
          <w:rFonts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（1）按照法律、行政法规、行业主管部门的规定进行说明的；</w:t>
      </w:r>
    </w:p>
    <w:p w14:paraId="043AA758">
      <w:pPr>
        <w:pStyle w:val="9"/>
        <w:tabs>
          <w:tab w:val="left" w:pos="0"/>
        </w:tabs>
        <w:spacing w:before="156" w:beforeLines="50" w:after="0" w:line="380" w:lineRule="exact"/>
        <w:ind w:left="0" w:leftChars="0" w:firstLine="220" w:firstLineChars="100"/>
        <w:rPr>
          <w:ins w:id="34" w:author="郭炜炜" w:date="2025-09-09T09:45:51Z"/>
          <w:rFonts w:hint="eastAsia" w:ascii="微软雅黑" w:hAnsi="微软雅黑" w:eastAsia="微软雅黑" w:cs="等线 Light"/>
          <w:color w:val="000000"/>
          <w:sz w:val="22"/>
          <w:szCs w:val="22"/>
        </w:rPr>
      </w:pPr>
      <w:r>
        <w:rPr>
          <w:rFonts w:hint="eastAsia" w:ascii="微软雅黑" w:hAnsi="微软雅黑" w:eastAsia="微软雅黑" w:cs="等线 Light"/>
          <w:color w:val="000000"/>
          <w:sz w:val="22"/>
          <w:szCs w:val="22"/>
        </w:rPr>
        <w:t>（2）按照法律或行政命令要求，包括但不限于协助司法机构调查。</w:t>
      </w:r>
    </w:p>
    <w:p w14:paraId="7815454F">
      <w:pPr>
        <w:pStyle w:val="9"/>
        <w:tabs>
          <w:tab w:val="left" w:pos="0"/>
        </w:tabs>
        <w:spacing w:before="156" w:beforeLines="50" w:after="0" w:line="380" w:lineRule="exact"/>
        <w:ind w:left="0" w:leftChars="0" w:firstLine="0" w:firstLineChars="0"/>
        <w:jc w:val="both"/>
        <w:rPr>
          <w:ins w:id="35" w:author="郭炜炜" w:date="2025-09-09T09:45:56Z"/>
          <w:rFonts w:hint="default" w:ascii="微软雅黑" w:hAnsi="微软雅黑" w:eastAsia="微软雅黑" w:cs="等线 Light"/>
          <w:color w:val="000000"/>
          <w:sz w:val="22"/>
          <w:szCs w:val="22"/>
          <w:lang w:val="en-US" w:eastAsia="zh-CN"/>
        </w:rPr>
      </w:pPr>
      <w:ins w:id="36" w:author="郭炜炜" w:date="2025-09-09T09:45:56Z">
        <w:r>
          <w:rPr>
            <w:rFonts w:hint="eastAsia" w:ascii="微软雅黑" w:hAnsi="微软雅黑" w:eastAsia="微软雅黑" w:cs="等线 Light"/>
            <w:color w:val="000000"/>
            <w:sz w:val="22"/>
            <w:szCs w:val="22"/>
            <w:lang w:val="en-US" w:eastAsia="zh-CN"/>
          </w:rPr>
          <w:t xml:space="preserve">10.2 </w:t>
        </w:r>
      </w:ins>
      <w:ins w:id="37" w:author="郭炜炜" w:date="2025-09-09T09:45:56Z">
        <w:r>
          <w:rPr>
            <w:rFonts w:hint="eastAsia" w:ascii="微软雅黑" w:hAnsi="微软雅黑" w:eastAsia="微软雅黑" w:cs="等线 Light"/>
            <w:color w:val="000000"/>
            <w:sz w:val="22"/>
            <w:szCs w:val="22"/>
          </w:rPr>
          <w:t>本条款独立存在，长期有效，不因本协议的终止而失效。</w:t>
        </w:r>
      </w:ins>
    </w:p>
    <w:p w14:paraId="571BED9B">
      <w:pPr>
        <w:pStyle w:val="9"/>
        <w:tabs>
          <w:tab w:val="left" w:pos="0"/>
        </w:tabs>
        <w:spacing w:before="156" w:beforeLines="50" w:after="0" w:line="380" w:lineRule="exact"/>
        <w:ind w:left="0" w:leftChars="0" w:firstLine="0" w:firstLineChars="0"/>
        <w:rPr>
          <w:del w:id="39" w:author="郭炜炜" w:date="2025-09-09T09:45:58Z"/>
          <w:rFonts w:hint="eastAsia" w:ascii="微软雅黑" w:hAnsi="微软雅黑" w:eastAsia="微软雅黑" w:cs="等线 Light"/>
          <w:color w:val="000000"/>
          <w:sz w:val="22"/>
          <w:szCs w:val="22"/>
        </w:rPr>
        <w:pPrChange w:id="38" w:author="郭炜炜" w:date="2025-09-09T09:45:52Z">
          <w:pPr>
            <w:pStyle w:val="9"/>
            <w:tabs>
              <w:tab w:val="left" w:pos="0"/>
            </w:tabs>
            <w:spacing w:before="156" w:beforeLines="50" w:after="0" w:line="380" w:lineRule="exact"/>
            <w:ind w:left="0" w:leftChars="0" w:firstLine="220" w:firstLineChars="100"/>
          </w:pPr>
        </w:pPrChange>
      </w:pPr>
    </w:p>
    <w:p w14:paraId="593280BB">
      <w:pPr>
        <w:pStyle w:val="9"/>
        <w:spacing w:before="156" w:beforeLines="50" w:after="0" w:line="380" w:lineRule="exact"/>
        <w:ind w:left="0" w:leftChars="0"/>
        <w:rPr>
          <w:rFonts w:ascii="微软雅黑" w:hAnsi="微软雅黑" w:eastAsia="微软雅黑"/>
          <w:b/>
          <w:bCs/>
          <w:sz w:val="36"/>
          <w:szCs w:val="36"/>
        </w:rPr>
      </w:pPr>
      <w:r>
        <w:rPr>
          <w:rFonts w:ascii="微软雅黑" w:hAnsi="微软雅黑" w:eastAsia="微软雅黑"/>
          <w:b/>
          <w:bCs/>
          <w:sz w:val="36"/>
          <w:szCs w:val="36"/>
        </w:rPr>
        <w:t>第</w:t>
      </w:r>
      <w:r>
        <w:rPr>
          <w:rFonts w:hint="eastAsia" w:ascii="微软雅黑" w:hAnsi="微软雅黑" w:eastAsia="微软雅黑"/>
          <w:b/>
          <w:bCs/>
          <w:sz w:val="36"/>
          <w:szCs w:val="36"/>
        </w:rPr>
        <w:t>十一</w:t>
      </w:r>
      <w:r>
        <w:rPr>
          <w:rFonts w:ascii="微软雅黑" w:hAnsi="微软雅黑" w:eastAsia="微软雅黑"/>
          <w:b/>
          <w:bCs/>
          <w:sz w:val="36"/>
          <w:szCs w:val="36"/>
        </w:rPr>
        <w:t>条 解除条款</w:t>
      </w:r>
    </w:p>
    <w:p w14:paraId="018174C2">
      <w:pPr>
        <w:pStyle w:val="21"/>
        <w:spacing w:before="156" w:beforeLines="50" w:line="380" w:lineRule="exact"/>
        <w:ind w:firstLine="0" w:firstLineChars="0"/>
        <w:rPr>
          <w:rFonts w:ascii="微软雅黑" w:hAnsi="微软雅黑" w:eastAsia="微软雅黑"/>
          <w:sz w:val="22"/>
          <w:szCs w:val="22"/>
        </w:rPr>
      </w:pPr>
      <w:r>
        <w:rPr>
          <w:rFonts w:ascii="微软雅黑" w:hAnsi="微软雅黑" w:eastAsia="微软雅黑"/>
          <w:sz w:val="22"/>
          <w:szCs w:val="22"/>
        </w:rPr>
        <w:t>11.1</w:t>
      </w:r>
      <w:r>
        <w:rPr>
          <w:rFonts w:hint="eastAsia" w:ascii="微软雅黑" w:hAnsi="微软雅黑" w:eastAsia="微软雅黑"/>
          <w:sz w:val="22"/>
          <w:szCs w:val="22"/>
        </w:rPr>
        <w:t>合作期内，除本合同另有约定外，任何一方不得随意解除合同。若一方解除合同，须提前30日书面通知另一方，双方友好协商确认后终止合约取消合作。</w:t>
      </w:r>
    </w:p>
    <w:p w14:paraId="5E68DC64">
      <w:pPr>
        <w:pStyle w:val="9"/>
        <w:spacing w:before="156" w:beforeLines="50" w:after="0" w:line="380" w:lineRule="exact"/>
        <w:ind w:left="0" w:leftChars="0"/>
        <w:rPr>
          <w:rFonts w:ascii="微软雅黑" w:hAnsi="微软雅黑" w:eastAsia="微软雅黑"/>
          <w:b/>
          <w:bCs/>
          <w:sz w:val="36"/>
          <w:szCs w:val="36"/>
        </w:rPr>
      </w:pPr>
      <w:r>
        <w:rPr>
          <w:rFonts w:hint="eastAsia" w:ascii="微软雅黑" w:hAnsi="微软雅黑" w:eastAsia="微软雅黑"/>
          <w:b/>
          <w:bCs/>
          <w:sz w:val="36"/>
          <w:szCs w:val="36"/>
        </w:rPr>
        <w:t>第十二条 其他</w:t>
      </w:r>
    </w:p>
    <w:p w14:paraId="77DBBEB8">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2.1</w:t>
      </w:r>
      <w:r>
        <w:rPr>
          <w:rFonts w:hint="eastAsia" w:ascii="微软雅黑" w:hAnsi="微软雅黑" w:eastAsia="微软雅黑"/>
          <w:sz w:val="22"/>
          <w:szCs w:val="22"/>
        </w:rPr>
        <w:t>如果发生任何与本合同的解释或执行有关的争议，双方应尝试通过友好协商解决争议。如果争议在30日内不能以双方接受的方式解决，双方同意将争议提交至</w:t>
      </w:r>
      <w:del w:id="40" w:author="郭炜炜" w:date="2025-09-09T09:46:08Z">
        <w:r>
          <w:rPr>
            <w:rFonts w:hint="default" w:ascii="微软雅黑" w:hAnsi="微软雅黑" w:eastAsia="微软雅黑"/>
            <w:sz w:val="22"/>
            <w:szCs w:val="22"/>
            <w:lang w:val="en-US"/>
          </w:rPr>
          <w:delText>原告</w:delText>
        </w:r>
      </w:del>
      <w:ins w:id="41" w:author="郭炜炜" w:date="2025-09-09T09:46:09Z">
        <w:r>
          <w:rPr>
            <w:rFonts w:hint="eastAsia" w:ascii="微软雅黑" w:hAnsi="微软雅黑" w:eastAsia="微软雅黑"/>
            <w:sz w:val="22"/>
            <w:szCs w:val="22"/>
            <w:lang w:val="en-US" w:eastAsia="zh-CN"/>
          </w:rPr>
          <w:t>甲</w:t>
        </w:r>
      </w:ins>
      <w:r>
        <w:rPr>
          <w:rFonts w:hint="eastAsia" w:ascii="微软雅黑" w:hAnsi="微软雅黑" w:eastAsia="微软雅黑"/>
          <w:sz w:val="22"/>
          <w:szCs w:val="22"/>
        </w:rPr>
        <w:t>方所在地法院诉讼解决。</w:t>
      </w:r>
    </w:p>
    <w:p w14:paraId="44308EB5">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2.2</w:t>
      </w:r>
      <w:r>
        <w:rPr>
          <w:rFonts w:hint="eastAsia" w:ascii="微软雅黑" w:hAnsi="微软雅黑" w:eastAsia="微软雅黑"/>
          <w:sz w:val="22"/>
          <w:szCs w:val="22"/>
        </w:rPr>
        <w:t>未经另一方书面同意，任何一方不得转让其在本合同下的任何权利义务。</w:t>
      </w:r>
    </w:p>
    <w:p w14:paraId="15DF84F5">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2.3</w:t>
      </w:r>
      <w:r>
        <w:rPr>
          <w:rFonts w:hint="eastAsia" w:ascii="微软雅黑" w:hAnsi="微软雅黑" w:eastAsia="微软雅黑"/>
          <w:sz w:val="22"/>
          <w:szCs w:val="22"/>
        </w:rPr>
        <w:t>除非双方协商一致对本合同进行修改，否则任何一方不得擅自修改本合同。双方就本合同修改协商一致的应签署补充合同。</w:t>
      </w:r>
    </w:p>
    <w:p w14:paraId="3AFC5E41">
      <w:pPr>
        <w:pStyle w:val="21"/>
        <w:spacing w:before="156" w:beforeLines="50" w:line="380" w:lineRule="exact"/>
        <w:ind w:firstLine="0" w:firstLineChars="0"/>
        <w:rPr>
          <w:rFonts w:ascii="微软雅黑" w:hAnsi="微软雅黑" w:eastAsia="微软雅黑"/>
          <w:sz w:val="22"/>
          <w:szCs w:val="22"/>
        </w:rPr>
      </w:pPr>
      <w:r>
        <w:rPr>
          <w:rFonts w:hint="eastAsia" w:ascii="微软雅黑" w:hAnsi="微软雅黑" w:eastAsia="微软雅黑"/>
          <w:sz w:val="22"/>
          <w:szCs w:val="22"/>
        </w:rPr>
        <w:t>1</w:t>
      </w:r>
      <w:r>
        <w:rPr>
          <w:rFonts w:ascii="微软雅黑" w:hAnsi="微软雅黑" w:eastAsia="微软雅黑"/>
          <w:sz w:val="22"/>
          <w:szCs w:val="22"/>
        </w:rPr>
        <w:t>2.4</w:t>
      </w:r>
      <w:r>
        <w:rPr>
          <w:rFonts w:hint="eastAsia" w:ascii="微软雅黑" w:hAnsi="微软雅黑" w:eastAsia="微软雅黑"/>
          <w:sz w:val="22"/>
          <w:szCs w:val="22"/>
        </w:rPr>
        <w:t>本合同正本一式贰份，甲方执壹份，乙方执壹份，具有同等法律效力。自各方签字盖章之日起生效。双方确认，各方的电子签章具有法律效力。</w:t>
      </w:r>
    </w:p>
    <w:p w14:paraId="474887CB">
      <w:pPr>
        <w:pStyle w:val="21"/>
        <w:spacing w:before="156" w:beforeLines="50" w:line="380" w:lineRule="exact"/>
        <w:ind w:firstLine="0" w:firstLineChars="0"/>
        <w:rPr>
          <w:ins w:id="42" w:author="许婧瑶" w:date="2025-09-10T10:53:18Z"/>
          <w:rFonts w:hint="eastAsia" w:ascii="微软雅黑" w:hAnsi="微软雅黑" w:eastAsia="微软雅黑"/>
          <w:sz w:val="22"/>
          <w:szCs w:val="22"/>
        </w:rPr>
      </w:pPr>
      <w:r>
        <w:rPr>
          <w:rFonts w:ascii="微软雅黑" w:hAnsi="微软雅黑" w:eastAsia="微软雅黑"/>
          <w:sz w:val="22"/>
          <w:szCs w:val="22"/>
        </w:rPr>
        <w:t>12.5</w:t>
      </w:r>
      <w:r>
        <w:rPr>
          <w:rFonts w:hint="eastAsia" w:ascii="微软雅黑" w:hAnsi="微软雅黑" w:eastAsia="微软雅黑"/>
          <w:sz w:val="22"/>
          <w:szCs w:val="22"/>
        </w:rPr>
        <w:t xml:space="preserve">其他约定：无 </w:t>
      </w:r>
    </w:p>
    <w:p w14:paraId="7EB8C6BD">
      <w:pPr>
        <w:pStyle w:val="21"/>
        <w:spacing w:before="156" w:beforeLines="50" w:line="380" w:lineRule="exact"/>
        <w:ind w:firstLine="0" w:firstLineChars="0"/>
        <w:rPr>
          <w:rFonts w:ascii="微软雅黑" w:hAnsi="微软雅黑" w:eastAsia="微软雅黑" w:cs="等线 Light"/>
          <w:color w:val="000000"/>
          <w:sz w:val="22"/>
          <w:szCs w:val="22"/>
          <w:u w:val="single"/>
        </w:rPr>
      </w:pPr>
      <w:del w:id="43" w:author="许婧瑶" w:date="2025-09-10T10:53:30Z">
        <w:r>
          <w:rPr>
            <w:rFonts w:hint="eastAsia" w:ascii="微软雅黑" w:hAnsi="微软雅黑" w:eastAsia="微软雅黑"/>
            <w:sz w:val="22"/>
            <w:szCs w:val="22"/>
          </w:rPr>
          <w:delText xml:space="preserve"> </w:delText>
        </w:r>
      </w:del>
      <w:del w:id="44" w:author="许婧瑶" w:date="2025-09-10T10:53:28Z">
        <w:r>
          <w:rPr>
            <w:rFonts w:hint="eastAsia" w:ascii="微软雅黑" w:hAnsi="微软雅黑" w:eastAsia="微软雅黑"/>
            <w:sz w:val="22"/>
            <w:szCs w:val="22"/>
          </w:rPr>
          <w:delText xml:space="preserve"> </w:delText>
        </w:r>
      </w:del>
      <w:ins w:id="45" w:author="许婧瑶" w:date="2025-09-10T10:53:27Z">
        <w:r>
          <w:rPr>
            <w:rFonts w:hint="eastAsia" w:ascii="微软雅黑" w:hAnsi="微软雅黑" w:eastAsia="微软雅黑"/>
            <w:sz w:val="22"/>
            <w:szCs w:val="22"/>
          </w:rPr>
          <w:t>12.6</w:t>
        </w:r>
        <w:bookmarkStart w:id="0" w:name="_GoBack"/>
        <w:bookmarkEnd w:id="0"/>
        <w:r>
          <w:rPr>
            <w:rFonts w:hint="eastAsia" w:ascii="微软雅黑" w:hAnsi="微软雅黑" w:eastAsia="微软雅黑"/>
            <w:sz w:val="22"/>
            <w:szCs w:val="22"/>
          </w:rPr>
          <w:t>附件：（1）独立充电站委托运营管理细则</w:t>
        </w:r>
      </w:ins>
      <w:r>
        <w:rPr>
          <w:rFonts w:ascii="微软雅黑" w:hAnsi="微软雅黑" w:eastAsia="微软雅黑" w:cs="等线 Light"/>
          <w:color w:val="000000"/>
          <w:sz w:val="22"/>
          <w:szCs w:val="22"/>
          <w:u w:val="single"/>
        </w:rPr>
        <w:t xml:space="preserve"> </w:t>
      </w:r>
    </w:p>
    <w:p w14:paraId="11AD4CC7">
      <w:pPr>
        <w:widowControl/>
        <w:ind w:firstLine="0" w:firstLineChars="0"/>
        <w:rPr>
          <w:rFonts w:ascii="微软雅黑" w:hAnsi="微软雅黑" w:eastAsia="微软雅黑" w:cs="等线 Light"/>
          <w:color w:val="000000"/>
          <w:sz w:val="22"/>
          <w:szCs w:val="22"/>
          <w:u w:val="single"/>
        </w:rPr>
      </w:pPr>
      <w:r>
        <w:rPr>
          <w:rFonts w:ascii="微软雅黑" w:hAnsi="微软雅黑" w:eastAsia="微软雅黑" w:cs="等线 Light"/>
          <w:color w:val="000000"/>
          <w:sz w:val="22"/>
          <w:szCs w:val="22"/>
          <w:u w:val="single"/>
        </w:rPr>
        <w:br w:type="page"/>
      </w:r>
    </w:p>
    <w:p w14:paraId="40673B8B">
      <w:pPr>
        <w:spacing w:before="156" w:beforeLines="50" w:line="380" w:lineRule="exact"/>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以下无正文。</w:t>
      </w:r>
    </w:p>
    <w:tbl>
      <w:tblPr>
        <w:tblStyle w:val="13"/>
        <w:tblpPr w:leftFromText="180" w:rightFromText="180" w:vertAnchor="text" w:horzAnchor="page" w:tblpX="1582" w:tblpY="371"/>
        <w:tblOverlap w:val="never"/>
        <w:tblW w:w="8220" w:type="dxa"/>
        <w:tblInd w:w="0" w:type="dxa"/>
        <w:tblLayout w:type="fixed"/>
        <w:tblCellMar>
          <w:top w:w="0" w:type="dxa"/>
          <w:left w:w="108" w:type="dxa"/>
          <w:bottom w:w="0" w:type="dxa"/>
          <w:right w:w="108" w:type="dxa"/>
        </w:tblCellMar>
      </w:tblPr>
      <w:tblGrid>
        <w:gridCol w:w="4109"/>
        <w:gridCol w:w="4111"/>
      </w:tblGrid>
      <w:tr w14:paraId="2A7D9233">
        <w:tblPrEx>
          <w:tblCellMar>
            <w:top w:w="0" w:type="dxa"/>
            <w:left w:w="108" w:type="dxa"/>
            <w:bottom w:w="0" w:type="dxa"/>
            <w:right w:w="108" w:type="dxa"/>
          </w:tblCellMar>
        </w:tblPrEx>
        <w:trPr>
          <w:trHeight w:val="1062" w:hRule="atLeast"/>
        </w:trPr>
        <w:tc>
          <w:tcPr>
            <w:tcW w:w="4109" w:type="dxa"/>
          </w:tcPr>
          <w:p w14:paraId="536427C0">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 xml:space="preserve">甲方（盖章）：  </w:t>
            </w:r>
          </w:p>
        </w:tc>
        <w:tc>
          <w:tcPr>
            <w:tcW w:w="4111" w:type="dxa"/>
          </w:tcPr>
          <w:p w14:paraId="4455CBF0">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乙方（盖章）：</w:t>
            </w:r>
          </w:p>
        </w:tc>
      </w:tr>
      <w:tr w14:paraId="2C90999E">
        <w:tblPrEx>
          <w:tblCellMar>
            <w:top w:w="0" w:type="dxa"/>
            <w:left w:w="108" w:type="dxa"/>
            <w:bottom w:w="0" w:type="dxa"/>
            <w:right w:w="108" w:type="dxa"/>
          </w:tblCellMar>
        </w:tblPrEx>
        <w:trPr>
          <w:trHeight w:val="1062" w:hRule="atLeast"/>
        </w:trPr>
        <w:tc>
          <w:tcPr>
            <w:tcW w:w="4109" w:type="dxa"/>
          </w:tcPr>
          <w:p w14:paraId="2E5E8A77">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授权代表：</w:t>
            </w:r>
          </w:p>
        </w:tc>
        <w:tc>
          <w:tcPr>
            <w:tcW w:w="4111" w:type="dxa"/>
          </w:tcPr>
          <w:p w14:paraId="7BF2CC32">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授权代表：</w:t>
            </w:r>
          </w:p>
        </w:tc>
      </w:tr>
      <w:tr w14:paraId="1E5EF74D">
        <w:tblPrEx>
          <w:tblCellMar>
            <w:top w:w="0" w:type="dxa"/>
            <w:left w:w="108" w:type="dxa"/>
            <w:bottom w:w="0" w:type="dxa"/>
            <w:right w:w="108" w:type="dxa"/>
          </w:tblCellMar>
        </w:tblPrEx>
        <w:trPr>
          <w:trHeight w:val="1062" w:hRule="atLeast"/>
        </w:trPr>
        <w:tc>
          <w:tcPr>
            <w:tcW w:w="4109" w:type="dxa"/>
          </w:tcPr>
          <w:p w14:paraId="42621B30">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时间：</w:t>
            </w:r>
            <w:r>
              <w:rPr>
                <w:rFonts w:ascii="微软雅黑" w:hAnsi="微软雅黑" w:eastAsia="微软雅黑" w:cs="等线 Light"/>
                <w:color w:val="000000"/>
              </w:rPr>
              <w:t xml:space="preserve"> </w:t>
            </w:r>
          </w:p>
        </w:tc>
        <w:tc>
          <w:tcPr>
            <w:tcW w:w="4111" w:type="dxa"/>
          </w:tcPr>
          <w:p w14:paraId="48B9E3A4">
            <w:pPr>
              <w:adjustRightInd w:val="0"/>
              <w:snapToGrid w:val="0"/>
              <w:spacing w:before="156" w:beforeLines="50" w:after="312" w:afterLines="100"/>
              <w:ind w:firstLine="0" w:firstLineChars="0"/>
              <w:rPr>
                <w:rFonts w:ascii="微软雅黑" w:hAnsi="微软雅黑" w:eastAsia="微软雅黑" w:cs="等线 Light"/>
                <w:color w:val="000000"/>
              </w:rPr>
            </w:pPr>
            <w:r>
              <w:rPr>
                <w:rFonts w:hint="eastAsia" w:ascii="微软雅黑" w:hAnsi="微软雅黑" w:eastAsia="微软雅黑" w:cs="等线 Light"/>
                <w:color w:val="000000"/>
              </w:rPr>
              <w:t>时间：</w:t>
            </w:r>
            <w:r>
              <w:rPr>
                <w:rFonts w:ascii="微软雅黑" w:hAnsi="微软雅黑" w:eastAsia="微软雅黑" w:cs="等线 Light"/>
                <w:color w:val="000000"/>
              </w:rPr>
              <w:t xml:space="preserve"> </w:t>
            </w:r>
          </w:p>
        </w:tc>
      </w:tr>
    </w:tbl>
    <w:p w14:paraId="3C420DF4">
      <w:pPr>
        <w:ind w:firstLine="0" w:firstLineChars="0"/>
        <w:rPr>
          <w:rFonts w:ascii="微软雅黑" w:hAnsi="微软雅黑" w:eastAsia="微软雅黑" w:cs="等线 Light"/>
          <w:color w:val="000000"/>
        </w:rPr>
      </w:pPr>
    </w:p>
    <w:p w14:paraId="4D1E2055">
      <w:pPr>
        <w:ind w:firstLine="0" w:firstLineChars="0"/>
        <w:rPr>
          <w:rFonts w:ascii="微软雅黑" w:hAnsi="微软雅黑" w:eastAsia="微软雅黑" w:cs="等线 Light"/>
          <w:color w:val="000000"/>
        </w:rPr>
      </w:pPr>
    </w:p>
    <w:p w14:paraId="17CB3CCA">
      <w:pPr>
        <w:ind w:firstLine="0" w:firstLineChars="0"/>
        <w:rPr>
          <w:rFonts w:ascii="微软雅黑" w:hAnsi="微软雅黑" w:eastAsia="微软雅黑" w:cs="等线 Light"/>
          <w:color w:val="000000"/>
        </w:rPr>
      </w:pPr>
    </w:p>
    <w:p w14:paraId="6AE7D80A">
      <w:pPr>
        <w:ind w:firstLine="0" w:firstLineChars="0"/>
        <w:rPr>
          <w:rFonts w:ascii="微软雅黑" w:hAnsi="微软雅黑" w:eastAsia="微软雅黑" w:cs="等线 Light"/>
          <w:color w:val="000000"/>
        </w:rPr>
      </w:pPr>
    </w:p>
    <w:sectPr>
      <w:headerReference r:id="rId7" w:type="first"/>
      <w:footerReference r:id="rId10" w:type="first"/>
      <w:headerReference r:id="rId5" w:type="default"/>
      <w:footerReference r:id="rId8" w:type="default"/>
      <w:headerReference r:id="rId6" w:type="even"/>
      <w:footerReference r:id="rId9" w:type="even"/>
      <w:pgSz w:w="11906" w:h="16838"/>
      <w:pgMar w:top="1553" w:right="1349"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2692F">
    <w:pPr>
      <w:pStyle w:val="7"/>
      <w:spacing w:before="120"/>
      <w:ind w:firstLine="360"/>
      <w:jc w:val="center"/>
    </w:pPr>
    <w:r>
      <w:fldChar w:fldCharType="begin"/>
    </w:r>
    <w:r>
      <w:instrText xml:space="preserve">PAGE   \* MERGEFORMAT</w:instrText>
    </w:r>
    <w:r>
      <w:fldChar w:fldCharType="separate"/>
    </w:r>
    <w:r>
      <w:rPr>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732A2">
    <w:pPr>
      <w:pStyle w:val="7"/>
      <w:spacing w:before="120"/>
      <w:ind w:firstLine="360"/>
    </w:pPr>
  </w:p>
  <w:p w14:paraId="662E3269">
    <w:pPr>
      <w:spacing w:before="120"/>
      <w:ind w:firstLine="480"/>
    </w:pPr>
  </w:p>
  <w:p w14:paraId="1550E3E1">
    <w:pPr>
      <w:spacing w:before="120"/>
      <w:ind w:firstLine="480"/>
    </w:pPr>
  </w:p>
  <w:p w14:paraId="5B42DA45">
    <w:pPr>
      <w:spacing w:before="120"/>
      <w:ind w:firstLine="480"/>
    </w:pPr>
  </w:p>
  <w:p w14:paraId="2EBC775D">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E1B11">
    <w:pPr>
      <w:pStyle w:val="7"/>
      <w:spacing w:before="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ACDA4">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7F942">
    <w:pPr>
      <w:pStyle w:val="8"/>
      <w:spacing w:before="120"/>
      <w:ind w:firstLine="360"/>
    </w:pPr>
  </w:p>
  <w:p w14:paraId="04223B83">
    <w:pPr>
      <w:spacing w:before="120"/>
      <w:ind w:firstLine="480"/>
    </w:pPr>
  </w:p>
  <w:p w14:paraId="3051BE99">
    <w:pPr>
      <w:spacing w:before="120"/>
      <w:ind w:firstLine="480"/>
    </w:pPr>
  </w:p>
  <w:p w14:paraId="4B09BB4A">
    <w:pPr>
      <w:spacing w:before="120"/>
      <w:ind w:firstLine="480"/>
    </w:pPr>
  </w:p>
  <w:p w14:paraId="4F62D934">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211D7">
    <w:pPr>
      <w:pStyle w:val="8"/>
      <w:spacing w:before="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4"/>
      <w:suff w:val="nothing"/>
      <w:lvlText w:val="%1.%2　"/>
      <w:lvlJc w:val="left"/>
      <w:pPr>
        <w:ind w:left="567"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3"/>
      <w:suff w:val="nothing"/>
      <w:lvlText w:val="%1.%2.%3　"/>
      <w:lvlJc w:val="left"/>
      <w:pPr>
        <w:ind w:left="283"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567"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郭炜炜">
    <w15:presenceInfo w15:providerId="WPS Office" w15:userId="3627328780"/>
  </w15:person>
  <w15:person w15:author="许婧瑶">
    <w15:presenceInfo w15:providerId="WPS Office" w15:userId="3657585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4YzAwODZiOWQ3MDk4ZWVkYmZiYTE5NzVhODgwMWQifQ=="/>
  </w:docVars>
  <w:rsids>
    <w:rsidRoot w:val="00DE140F"/>
    <w:rsid w:val="00011EE3"/>
    <w:rsid w:val="00017EBA"/>
    <w:rsid w:val="00022CBD"/>
    <w:rsid w:val="0007120A"/>
    <w:rsid w:val="000835BF"/>
    <w:rsid w:val="00083BCC"/>
    <w:rsid w:val="0008772F"/>
    <w:rsid w:val="000A1D34"/>
    <w:rsid w:val="000A2D0D"/>
    <w:rsid w:val="000A532E"/>
    <w:rsid w:val="000D3393"/>
    <w:rsid w:val="000E4D3D"/>
    <w:rsid w:val="000F53B9"/>
    <w:rsid w:val="0012082D"/>
    <w:rsid w:val="00145CA5"/>
    <w:rsid w:val="00151AFF"/>
    <w:rsid w:val="00153D0D"/>
    <w:rsid w:val="00162B96"/>
    <w:rsid w:val="001716CE"/>
    <w:rsid w:val="00174283"/>
    <w:rsid w:val="0017753E"/>
    <w:rsid w:val="00177EE7"/>
    <w:rsid w:val="0018060C"/>
    <w:rsid w:val="00181E22"/>
    <w:rsid w:val="001873B5"/>
    <w:rsid w:val="001C0E13"/>
    <w:rsid w:val="00204E7E"/>
    <w:rsid w:val="002477A0"/>
    <w:rsid w:val="00287033"/>
    <w:rsid w:val="002A102F"/>
    <w:rsid w:val="002B469F"/>
    <w:rsid w:val="002C13EE"/>
    <w:rsid w:val="002E108D"/>
    <w:rsid w:val="002E1DC3"/>
    <w:rsid w:val="002E4904"/>
    <w:rsid w:val="002F1888"/>
    <w:rsid w:val="002F1F1E"/>
    <w:rsid w:val="00301F3D"/>
    <w:rsid w:val="00312B88"/>
    <w:rsid w:val="00324C4F"/>
    <w:rsid w:val="0033687F"/>
    <w:rsid w:val="003479C9"/>
    <w:rsid w:val="003635D7"/>
    <w:rsid w:val="00364D83"/>
    <w:rsid w:val="003823FB"/>
    <w:rsid w:val="00390771"/>
    <w:rsid w:val="003928D0"/>
    <w:rsid w:val="003946FF"/>
    <w:rsid w:val="0039704E"/>
    <w:rsid w:val="003971BC"/>
    <w:rsid w:val="003A507E"/>
    <w:rsid w:val="003A7DB0"/>
    <w:rsid w:val="003B49DC"/>
    <w:rsid w:val="003B7882"/>
    <w:rsid w:val="003C2370"/>
    <w:rsid w:val="003C2C12"/>
    <w:rsid w:val="003C5333"/>
    <w:rsid w:val="003C6AF6"/>
    <w:rsid w:val="003D5284"/>
    <w:rsid w:val="003F11AA"/>
    <w:rsid w:val="003F1A9E"/>
    <w:rsid w:val="003F3F4C"/>
    <w:rsid w:val="003F58B3"/>
    <w:rsid w:val="00403433"/>
    <w:rsid w:val="004208AF"/>
    <w:rsid w:val="004223D6"/>
    <w:rsid w:val="00427172"/>
    <w:rsid w:val="00432105"/>
    <w:rsid w:val="00435558"/>
    <w:rsid w:val="00436051"/>
    <w:rsid w:val="00445F11"/>
    <w:rsid w:val="00463A0D"/>
    <w:rsid w:val="0047260C"/>
    <w:rsid w:val="00487D91"/>
    <w:rsid w:val="00492EC6"/>
    <w:rsid w:val="004E250F"/>
    <w:rsid w:val="004F37F8"/>
    <w:rsid w:val="00501E9C"/>
    <w:rsid w:val="00521DB1"/>
    <w:rsid w:val="0053141A"/>
    <w:rsid w:val="00581FA4"/>
    <w:rsid w:val="0059439F"/>
    <w:rsid w:val="005B290D"/>
    <w:rsid w:val="005B4CB2"/>
    <w:rsid w:val="005B66E6"/>
    <w:rsid w:val="005C1911"/>
    <w:rsid w:val="005F6952"/>
    <w:rsid w:val="00613201"/>
    <w:rsid w:val="0066347D"/>
    <w:rsid w:val="00667784"/>
    <w:rsid w:val="00670253"/>
    <w:rsid w:val="00676F0C"/>
    <w:rsid w:val="00680A23"/>
    <w:rsid w:val="00682D86"/>
    <w:rsid w:val="006848E9"/>
    <w:rsid w:val="00691632"/>
    <w:rsid w:val="00695A1F"/>
    <w:rsid w:val="006A6E82"/>
    <w:rsid w:val="006B3C32"/>
    <w:rsid w:val="006C3B4F"/>
    <w:rsid w:val="006E2CD2"/>
    <w:rsid w:val="006E7DE0"/>
    <w:rsid w:val="006F2234"/>
    <w:rsid w:val="006F6234"/>
    <w:rsid w:val="00701A66"/>
    <w:rsid w:val="0070511D"/>
    <w:rsid w:val="00711EA4"/>
    <w:rsid w:val="00717CA1"/>
    <w:rsid w:val="007200AA"/>
    <w:rsid w:val="00721CE2"/>
    <w:rsid w:val="007227D5"/>
    <w:rsid w:val="007248A2"/>
    <w:rsid w:val="00735D97"/>
    <w:rsid w:val="00753390"/>
    <w:rsid w:val="007565AE"/>
    <w:rsid w:val="007629B3"/>
    <w:rsid w:val="00771F80"/>
    <w:rsid w:val="0077286F"/>
    <w:rsid w:val="007866BE"/>
    <w:rsid w:val="0078703D"/>
    <w:rsid w:val="00792F48"/>
    <w:rsid w:val="007A0DCB"/>
    <w:rsid w:val="007B223C"/>
    <w:rsid w:val="007B2391"/>
    <w:rsid w:val="007B5EEA"/>
    <w:rsid w:val="007D3695"/>
    <w:rsid w:val="007D3B67"/>
    <w:rsid w:val="007E0C7A"/>
    <w:rsid w:val="007E751A"/>
    <w:rsid w:val="007F20C1"/>
    <w:rsid w:val="00802687"/>
    <w:rsid w:val="00821B65"/>
    <w:rsid w:val="00832F88"/>
    <w:rsid w:val="008348E9"/>
    <w:rsid w:val="008366AB"/>
    <w:rsid w:val="00862B6B"/>
    <w:rsid w:val="0087132A"/>
    <w:rsid w:val="008716CB"/>
    <w:rsid w:val="00875C60"/>
    <w:rsid w:val="0088734B"/>
    <w:rsid w:val="008E174D"/>
    <w:rsid w:val="008F00D9"/>
    <w:rsid w:val="00902486"/>
    <w:rsid w:val="00926042"/>
    <w:rsid w:val="00936AA4"/>
    <w:rsid w:val="00940BD2"/>
    <w:rsid w:val="009425A4"/>
    <w:rsid w:val="0099215E"/>
    <w:rsid w:val="00993898"/>
    <w:rsid w:val="009973B5"/>
    <w:rsid w:val="009C7F86"/>
    <w:rsid w:val="009E2AEF"/>
    <w:rsid w:val="009E2DD8"/>
    <w:rsid w:val="009E7BAE"/>
    <w:rsid w:val="009E7E69"/>
    <w:rsid w:val="009F3567"/>
    <w:rsid w:val="00A10CDD"/>
    <w:rsid w:val="00A26C7C"/>
    <w:rsid w:val="00A274FB"/>
    <w:rsid w:val="00A3317B"/>
    <w:rsid w:val="00A5241F"/>
    <w:rsid w:val="00A60426"/>
    <w:rsid w:val="00A67576"/>
    <w:rsid w:val="00A74C13"/>
    <w:rsid w:val="00A75530"/>
    <w:rsid w:val="00A77936"/>
    <w:rsid w:val="00A82230"/>
    <w:rsid w:val="00A86606"/>
    <w:rsid w:val="00A900DC"/>
    <w:rsid w:val="00A92C03"/>
    <w:rsid w:val="00AA2D7D"/>
    <w:rsid w:val="00AB38CA"/>
    <w:rsid w:val="00AF32EA"/>
    <w:rsid w:val="00B05602"/>
    <w:rsid w:val="00B22ECF"/>
    <w:rsid w:val="00B2698D"/>
    <w:rsid w:val="00B72428"/>
    <w:rsid w:val="00B93B7D"/>
    <w:rsid w:val="00BA4E7C"/>
    <w:rsid w:val="00BD2F2F"/>
    <w:rsid w:val="00BD66AC"/>
    <w:rsid w:val="00C0146D"/>
    <w:rsid w:val="00C125EA"/>
    <w:rsid w:val="00C14BEC"/>
    <w:rsid w:val="00C14DD4"/>
    <w:rsid w:val="00C20D58"/>
    <w:rsid w:val="00C26B01"/>
    <w:rsid w:val="00C60582"/>
    <w:rsid w:val="00CA2A36"/>
    <w:rsid w:val="00CB6F24"/>
    <w:rsid w:val="00CD4F94"/>
    <w:rsid w:val="00CD7F05"/>
    <w:rsid w:val="00CF1A36"/>
    <w:rsid w:val="00D00A87"/>
    <w:rsid w:val="00D15C33"/>
    <w:rsid w:val="00D315DE"/>
    <w:rsid w:val="00D37510"/>
    <w:rsid w:val="00D54854"/>
    <w:rsid w:val="00D803E1"/>
    <w:rsid w:val="00D812ED"/>
    <w:rsid w:val="00D866B2"/>
    <w:rsid w:val="00DA0096"/>
    <w:rsid w:val="00DA6AC5"/>
    <w:rsid w:val="00DB1C6D"/>
    <w:rsid w:val="00DB3369"/>
    <w:rsid w:val="00DB516B"/>
    <w:rsid w:val="00DC3DE9"/>
    <w:rsid w:val="00DD4578"/>
    <w:rsid w:val="00DE061B"/>
    <w:rsid w:val="00DE140F"/>
    <w:rsid w:val="00DE3295"/>
    <w:rsid w:val="00E10B38"/>
    <w:rsid w:val="00E129F6"/>
    <w:rsid w:val="00E30F20"/>
    <w:rsid w:val="00E4681B"/>
    <w:rsid w:val="00E62FBD"/>
    <w:rsid w:val="00E6794B"/>
    <w:rsid w:val="00E721DE"/>
    <w:rsid w:val="00E91E2F"/>
    <w:rsid w:val="00EA5444"/>
    <w:rsid w:val="00EA6666"/>
    <w:rsid w:val="00EB0BF7"/>
    <w:rsid w:val="00EB312C"/>
    <w:rsid w:val="00EC43D0"/>
    <w:rsid w:val="00EC7CB5"/>
    <w:rsid w:val="00EC7DBB"/>
    <w:rsid w:val="00F117F7"/>
    <w:rsid w:val="00F22D0E"/>
    <w:rsid w:val="00F25B87"/>
    <w:rsid w:val="00F34DE4"/>
    <w:rsid w:val="00F35A9B"/>
    <w:rsid w:val="00F410BC"/>
    <w:rsid w:val="00F4267A"/>
    <w:rsid w:val="00F45A91"/>
    <w:rsid w:val="00F53EE9"/>
    <w:rsid w:val="00F82266"/>
    <w:rsid w:val="00F82D6A"/>
    <w:rsid w:val="00FA1555"/>
    <w:rsid w:val="00FA47D3"/>
    <w:rsid w:val="00FC3AAC"/>
    <w:rsid w:val="00FC6D85"/>
    <w:rsid w:val="00FD5686"/>
    <w:rsid w:val="00FD56F4"/>
    <w:rsid w:val="00FF0C73"/>
    <w:rsid w:val="072D75E3"/>
    <w:rsid w:val="09B81FF8"/>
    <w:rsid w:val="0B043E44"/>
    <w:rsid w:val="0B7A4148"/>
    <w:rsid w:val="0BEF3C6A"/>
    <w:rsid w:val="123541E8"/>
    <w:rsid w:val="127C6B6A"/>
    <w:rsid w:val="17AC4D67"/>
    <w:rsid w:val="19AC75FE"/>
    <w:rsid w:val="1D27679E"/>
    <w:rsid w:val="2023302E"/>
    <w:rsid w:val="202B7085"/>
    <w:rsid w:val="23ED4E43"/>
    <w:rsid w:val="281C0912"/>
    <w:rsid w:val="29CC61D1"/>
    <w:rsid w:val="2AB2205C"/>
    <w:rsid w:val="2E32735A"/>
    <w:rsid w:val="2F14290D"/>
    <w:rsid w:val="307912B8"/>
    <w:rsid w:val="30963EA3"/>
    <w:rsid w:val="317D77B8"/>
    <w:rsid w:val="31A0241D"/>
    <w:rsid w:val="35301450"/>
    <w:rsid w:val="36F73890"/>
    <w:rsid w:val="38CB0BE4"/>
    <w:rsid w:val="3CB274A9"/>
    <w:rsid w:val="3CFB6841"/>
    <w:rsid w:val="471E5B5E"/>
    <w:rsid w:val="49A14253"/>
    <w:rsid w:val="4A304A81"/>
    <w:rsid w:val="4B5F07FC"/>
    <w:rsid w:val="4C032154"/>
    <w:rsid w:val="4CFC6E18"/>
    <w:rsid w:val="4F9B6B53"/>
    <w:rsid w:val="506256F1"/>
    <w:rsid w:val="514F3545"/>
    <w:rsid w:val="52BA33B8"/>
    <w:rsid w:val="54193419"/>
    <w:rsid w:val="54243087"/>
    <w:rsid w:val="565862A5"/>
    <w:rsid w:val="594B5A91"/>
    <w:rsid w:val="5A472554"/>
    <w:rsid w:val="5A6B0B4A"/>
    <w:rsid w:val="634C4DE2"/>
    <w:rsid w:val="678D1D17"/>
    <w:rsid w:val="68D2708A"/>
    <w:rsid w:val="698D601E"/>
    <w:rsid w:val="6AFD74CD"/>
    <w:rsid w:val="6B7632DB"/>
    <w:rsid w:val="6DCD284F"/>
    <w:rsid w:val="6F5C0A2B"/>
    <w:rsid w:val="720D425E"/>
    <w:rsid w:val="763E0201"/>
    <w:rsid w:val="767856CA"/>
    <w:rsid w:val="76993924"/>
    <w:rsid w:val="78B83176"/>
    <w:rsid w:val="7C3F3BAE"/>
    <w:rsid w:val="7FAE063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200" w:firstLineChars="200"/>
    </w:pPr>
    <w:rPr>
      <w:rFonts w:ascii="等线" w:hAnsi="等线" w:eastAsia="宋体" w:cs="宋体"/>
      <w:kern w:val="2"/>
      <w:sz w:val="24"/>
      <w:szCs w:val="24"/>
      <w:lang w:val="en-US" w:eastAsia="zh-CN" w:bidi="ar-SA"/>
    </w:rPr>
  </w:style>
  <w:style w:type="paragraph" w:styleId="2">
    <w:name w:val="heading 2"/>
    <w:basedOn w:val="1"/>
    <w:next w:val="1"/>
    <w:link w:val="23"/>
    <w:autoRedefine/>
    <w:qFormat/>
    <w:uiPriority w:val="9"/>
    <w:pPr>
      <w:keepNext/>
      <w:keepLines/>
      <w:spacing w:before="260" w:after="260"/>
      <w:ind w:firstLine="0" w:firstLineChars="0"/>
      <w:outlineLvl w:val="1"/>
    </w:pPr>
    <w:rPr>
      <w:rFonts w:ascii="等线 Light" w:hAnsi="等线 Light"/>
      <w:b/>
      <w:bCs/>
      <w:szCs w:val="32"/>
    </w:rPr>
  </w:style>
  <w:style w:type="paragraph" w:styleId="3">
    <w:name w:val="heading 3"/>
    <w:basedOn w:val="1"/>
    <w:next w:val="1"/>
    <w:link w:val="24"/>
    <w:autoRedefine/>
    <w:qFormat/>
    <w:uiPriority w:val="9"/>
    <w:pPr>
      <w:keepNext/>
      <w:keepLines/>
      <w:spacing w:before="260" w:after="260"/>
      <w:ind w:firstLine="0" w:firstLineChars="0"/>
      <w:outlineLvl w:val="2"/>
    </w:pPr>
    <w:rPr>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autoRedefine/>
    <w:qFormat/>
    <w:uiPriority w:val="99"/>
  </w:style>
  <w:style w:type="paragraph" w:styleId="5">
    <w:name w:val="Date"/>
    <w:basedOn w:val="1"/>
    <w:next w:val="1"/>
    <w:link w:val="29"/>
    <w:autoRedefine/>
    <w:qFormat/>
    <w:uiPriority w:val="99"/>
    <w:pPr>
      <w:ind w:left="100" w:leftChars="2500"/>
    </w:pPr>
  </w:style>
  <w:style w:type="paragraph" w:styleId="6">
    <w:name w:val="Balloon Text"/>
    <w:basedOn w:val="1"/>
    <w:link w:val="27"/>
    <w:autoRedefine/>
    <w:qFormat/>
    <w:uiPriority w:val="99"/>
    <w:rPr>
      <w:sz w:val="18"/>
      <w:szCs w:val="18"/>
    </w:rPr>
  </w:style>
  <w:style w:type="paragraph" w:styleId="7">
    <w:name w:val="footer"/>
    <w:basedOn w:val="1"/>
    <w:link w:val="19"/>
    <w:qFormat/>
    <w:uiPriority w:val="99"/>
    <w:pPr>
      <w:tabs>
        <w:tab w:val="center" w:pos="4153"/>
        <w:tab w:val="right" w:pos="8306"/>
      </w:tabs>
      <w:snapToGrid w:val="0"/>
    </w:pPr>
    <w:rPr>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20"/>
    <w:autoRedefine/>
    <w:qFormat/>
    <w:uiPriority w:val="0"/>
    <w:pPr>
      <w:spacing w:after="120"/>
      <w:ind w:left="420" w:leftChars="200" w:firstLine="0" w:firstLineChars="0"/>
    </w:pPr>
    <w:rPr>
      <w:rFonts w:eastAsia="等线"/>
      <w:sz w:val="16"/>
      <w:szCs w:val="16"/>
    </w:rPr>
  </w:style>
  <w:style w:type="paragraph" w:styleId="10">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kern w:val="0"/>
    </w:rPr>
  </w:style>
  <w:style w:type="paragraph" w:styleId="11">
    <w:name w:val="Normal (Web)"/>
    <w:basedOn w:val="1"/>
    <w:autoRedefine/>
    <w:qFormat/>
    <w:uiPriority w:val="99"/>
    <w:pPr>
      <w:widowControl/>
      <w:spacing w:before="100" w:beforeAutospacing="1" w:after="100" w:afterAutospacing="1"/>
      <w:ind w:firstLine="0" w:firstLineChars="0"/>
    </w:pPr>
    <w:rPr>
      <w:rFonts w:ascii="Times New Roman" w:hAnsi="Times New Roman" w:eastAsia="等线" w:cs="Times New Roman"/>
      <w:kern w:val="0"/>
    </w:rPr>
  </w:style>
  <w:style w:type="paragraph" w:styleId="12">
    <w:name w:val="annotation subject"/>
    <w:basedOn w:val="4"/>
    <w:next w:val="4"/>
    <w:link w:val="26"/>
    <w:autoRedefine/>
    <w:qFormat/>
    <w:uiPriority w:val="99"/>
    <w:rPr>
      <w:b/>
      <w:bCs/>
    </w:rPr>
  </w:style>
  <w:style w:type="table" w:styleId="14">
    <w:name w:val="Table Grid"/>
    <w:basedOn w:val="13"/>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qFormat/>
    <w:uiPriority w:val="99"/>
    <w:rPr>
      <w:color w:val="0563C1"/>
      <w:u w:val="single"/>
    </w:rPr>
  </w:style>
  <w:style w:type="character" w:styleId="17">
    <w:name w:val="annotation reference"/>
    <w:basedOn w:val="15"/>
    <w:autoRedefine/>
    <w:qFormat/>
    <w:uiPriority w:val="99"/>
    <w:rPr>
      <w:sz w:val="21"/>
      <w:szCs w:val="21"/>
    </w:rPr>
  </w:style>
  <w:style w:type="character" w:customStyle="1" w:styleId="18">
    <w:name w:val="页眉 字符"/>
    <w:basedOn w:val="15"/>
    <w:link w:val="8"/>
    <w:autoRedefine/>
    <w:qFormat/>
    <w:uiPriority w:val="99"/>
    <w:rPr>
      <w:sz w:val="18"/>
      <w:szCs w:val="18"/>
    </w:rPr>
  </w:style>
  <w:style w:type="character" w:customStyle="1" w:styleId="19">
    <w:name w:val="页脚 字符"/>
    <w:basedOn w:val="15"/>
    <w:link w:val="7"/>
    <w:autoRedefine/>
    <w:qFormat/>
    <w:uiPriority w:val="99"/>
    <w:rPr>
      <w:sz w:val="18"/>
      <w:szCs w:val="18"/>
    </w:rPr>
  </w:style>
  <w:style w:type="character" w:customStyle="1" w:styleId="20">
    <w:name w:val="正文文本缩进 3 字符"/>
    <w:basedOn w:val="15"/>
    <w:link w:val="9"/>
    <w:autoRedefine/>
    <w:qFormat/>
    <w:uiPriority w:val="0"/>
    <w:rPr>
      <w:sz w:val="16"/>
      <w:szCs w:val="16"/>
    </w:rPr>
  </w:style>
  <w:style w:type="paragraph" w:customStyle="1" w:styleId="21">
    <w:name w:val="列出段落1"/>
    <w:basedOn w:val="1"/>
    <w:qFormat/>
    <w:uiPriority w:val="34"/>
    <w:pPr>
      <w:ind w:firstLine="420"/>
    </w:pPr>
    <w:rPr>
      <w:rFonts w:eastAsia="等线"/>
    </w:rPr>
  </w:style>
  <w:style w:type="paragraph" w:customStyle="1" w:styleId="22">
    <w:name w:val="列出段落11"/>
    <w:basedOn w:val="1"/>
    <w:qFormat/>
    <w:uiPriority w:val="34"/>
    <w:pPr>
      <w:ind w:firstLine="420"/>
    </w:pPr>
    <w:rPr>
      <w:rFonts w:ascii="Times New Roman" w:hAnsi="Times New Roman" w:cs="Times New Roman"/>
    </w:rPr>
  </w:style>
  <w:style w:type="character" w:customStyle="1" w:styleId="23">
    <w:name w:val="标题 2 字符"/>
    <w:basedOn w:val="15"/>
    <w:link w:val="2"/>
    <w:qFormat/>
    <w:uiPriority w:val="9"/>
    <w:rPr>
      <w:rFonts w:ascii="等线 Light" w:hAnsi="等线 Light" w:eastAsia="宋体" w:cs="宋体"/>
      <w:b/>
      <w:bCs/>
      <w:sz w:val="24"/>
      <w:szCs w:val="32"/>
    </w:rPr>
  </w:style>
  <w:style w:type="character" w:customStyle="1" w:styleId="24">
    <w:name w:val="标题 3 字符"/>
    <w:basedOn w:val="15"/>
    <w:link w:val="3"/>
    <w:qFormat/>
    <w:uiPriority w:val="9"/>
    <w:rPr>
      <w:rFonts w:eastAsia="宋体"/>
      <w:bCs/>
      <w:sz w:val="24"/>
      <w:szCs w:val="32"/>
    </w:rPr>
  </w:style>
  <w:style w:type="character" w:customStyle="1" w:styleId="25">
    <w:name w:val="批注文字 字符"/>
    <w:basedOn w:val="15"/>
    <w:link w:val="4"/>
    <w:qFormat/>
    <w:uiPriority w:val="99"/>
    <w:rPr>
      <w:rFonts w:eastAsia="宋体"/>
      <w:sz w:val="24"/>
      <w:szCs w:val="24"/>
    </w:rPr>
  </w:style>
  <w:style w:type="character" w:customStyle="1" w:styleId="26">
    <w:name w:val="批注主题 字符"/>
    <w:basedOn w:val="25"/>
    <w:link w:val="12"/>
    <w:qFormat/>
    <w:uiPriority w:val="99"/>
    <w:rPr>
      <w:rFonts w:eastAsia="宋体"/>
      <w:b/>
      <w:bCs/>
      <w:sz w:val="24"/>
      <w:szCs w:val="24"/>
    </w:rPr>
  </w:style>
  <w:style w:type="character" w:customStyle="1" w:styleId="27">
    <w:name w:val="批注框文本 字符"/>
    <w:basedOn w:val="15"/>
    <w:link w:val="6"/>
    <w:qFormat/>
    <w:uiPriority w:val="99"/>
    <w:rPr>
      <w:rFonts w:eastAsia="宋体"/>
      <w:sz w:val="18"/>
      <w:szCs w:val="18"/>
    </w:rPr>
  </w:style>
  <w:style w:type="paragraph" w:customStyle="1" w:styleId="28">
    <w:name w:val="修订1"/>
    <w:qFormat/>
    <w:uiPriority w:val="99"/>
    <w:rPr>
      <w:rFonts w:ascii="等线" w:hAnsi="等线" w:eastAsia="宋体" w:cs="宋体"/>
      <w:kern w:val="2"/>
      <w:sz w:val="24"/>
      <w:szCs w:val="24"/>
      <w:lang w:val="en-US" w:eastAsia="zh-CN" w:bidi="ar-SA"/>
    </w:rPr>
  </w:style>
  <w:style w:type="character" w:customStyle="1" w:styleId="29">
    <w:name w:val="日期 字符"/>
    <w:basedOn w:val="15"/>
    <w:link w:val="5"/>
    <w:qFormat/>
    <w:uiPriority w:val="99"/>
    <w:rPr>
      <w:rFonts w:eastAsia="宋体"/>
      <w:sz w:val="24"/>
      <w:szCs w:val="24"/>
    </w:rPr>
  </w:style>
  <w:style w:type="paragraph" w:customStyle="1" w:styleId="30">
    <w:name w:val="列表段落1"/>
    <w:basedOn w:val="1"/>
    <w:qFormat/>
    <w:uiPriority w:val="99"/>
    <w:pPr>
      <w:ind w:firstLine="420"/>
    </w:pPr>
  </w:style>
  <w:style w:type="paragraph" w:customStyle="1" w:styleId="31">
    <w:name w:val="修订2"/>
    <w:qFormat/>
    <w:uiPriority w:val="99"/>
    <w:rPr>
      <w:rFonts w:ascii="等线" w:hAnsi="等线" w:eastAsia="宋体" w:cs="宋体"/>
      <w:kern w:val="2"/>
      <w:sz w:val="24"/>
      <w:szCs w:val="24"/>
      <w:lang w:val="en-US" w:eastAsia="zh-CN" w:bidi="ar-SA"/>
    </w:rPr>
  </w:style>
  <w:style w:type="paragraph" w:customStyle="1" w:styleId="32">
    <w:name w:val="二级无"/>
    <w:basedOn w:val="33"/>
    <w:qFormat/>
    <w:uiPriority w:val="0"/>
    <w:pPr>
      <w:spacing w:beforeLines="0" w:afterLines="0"/>
    </w:pPr>
    <w:rPr>
      <w:rFonts w:ascii="宋体" w:eastAsia="宋体"/>
    </w:rPr>
  </w:style>
  <w:style w:type="paragraph" w:customStyle="1" w:styleId="33">
    <w:name w:val="二级条标题"/>
    <w:basedOn w:val="34"/>
    <w:next w:val="35"/>
    <w:qFormat/>
    <w:uiPriority w:val="0"/>
    <w:pPr>
      <w:numPr>
        <w:ilvl w:val="2"/>
      </w:numPr>
      <w:spacing w:before="50" w:after="50"/>
      <w:ind w:left="1843"/>
      <w:outlineLvl w:val="3"/>
    </w:pPr>
  </w:style>
  <w:style w:type="paragraph" w:customStyle="1" w:styleId="34">
    <w:name w:val="一级条标题"/>
    <w:next w:val="35"/>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4993</Words>
  <Characters>5305</Characters>
  <Lines>40</Lines>
  <Paragraphs>11</Paragraphs>
  <TotalTime>0</TotalTime>
  <ScaleCrop>false</ScaleCrop>
  <LinksUpToDate>false</LinksUpToDate>
  <CharactersWithSpaces>5698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2024-06-03T07:08:00Z</dcterms:created>
  <dc:creator>王迪</dc:creator>
  <cp:lastModifiedBy>许婧瑶</cp:lastModifiedBy>
  <cp:lastPrinted>2023-12-26T05:37:00Z</cp:lastPrinted>
  <dcterms:modified xsi:type="dcterms:W3CDTF">2025-09-10T02:53:53Z</dcterms:modified>
  <dc:title>联营商家入驻合约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819422DCEBC742FEAAA051B7556DC5F7_13</vt:lpwstr>
  </property>
  <property fmtid="{D5CDD505-2E9C-101B-9397-08002B2CF9AE}" pid="4" name="KSOTemplateDocerSaveRecord">
    <vt:lpwstr>eyJoZGlkIjoiN2VmMDc0ZTQ2ZTM1YTUyYjg2NWRmZWExYjc0ZDEwZGYiLCJ1c2VySWQiOiIxNjE5ODI3NTEyIn0=</vt:lpwstr>
  </property>
</Properties>
</file>