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8DD48">
      <w:pPr>
        <w:jc w:val="center"/>
        <w:rPr>
          <w:rFonts w:hint="eastAsia" w:ascii="仿宋_GB2312" w:hAnsi="仿宋_GB2312" w:eastAsia="仿宋_GB2312" w:cs="仿宋_GB2312"/>
          <w:sz w:val="36"/>
          <w:szCs w:val="36"/>
        </w:rPr>
      </w:pPr>
      <w:r>
        <w:rPr>
          <w:rFonts w:hint="eastAsia" w:ascii="仿宋_GB2312" w:hAnsi="仿宋_GB2312" w:eastAsia="仿宋_GB2312" w:cs="仿宋_GB2312"/>
          <w:sz w:val="36"/>
          <w:szCs w:val="36"/>
        </w:rPr>
        <w:t>独立充电站委托运营管理方案</w:t>
      </w:r>
    </w:p>
    <w:p w14:paraId="605AC0C0">
      <w:pPr>
        <w:rPr>
          <w:rFonts w:hint="eastAsia" w:ascii="仿宋_GB2312" w:hAnsi="仿宋_GB2312" w:eastAsia="仿宋_GB2312" w:cs="仿宋_GB2312"/>
          <w:sz w:val="24"/>
          <w:szCs w:val="24"/>
        </w:rPr>
      </w:pPr>
    </w:p>
    <w:p w14:paraId="6B3ACB43">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一、总体目标</w:t>
      </w:r>
    </w:p>
    <w:p w14:paraId="68D06879">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保障充电站安全、稳定、高效运营，明确委托运营单位与本公司之间的权责界面，规范运营管理行为，提升服务质量与运营效率，特制定本方案。本方案适用于所有具备运营管理能力的投标单位，作为委托运营框架合同的重要组成部分。</w:t>
      </w:r>
    </w:p>
    <w:p w14:paraId="5C51738A">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二、运营管理模式</w:t>
      </w:r>
    </w:p>
    <w:p w14:paraId="25B3742F">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本公司将充电站委托具备资质的第三方运营单位进行全面运营管理，涵盖以下四大模块：</w:t>
      </w:r>
    </w:p>
    <w:p w14:paraId="16866324">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 营销推广：包括营销策略制定、信息推送、活动组织等；</w:t>
      </w:r>
    </w:p>
    <w:p w14:paraId="05922CD1">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 运营服务：包括卫生管理、秩序管理、客户服务、费用结算、投诉处理、日常巡检等；</w:t>
      </w:r>
    </w:p>
    <w:p w14:paraId="37854991">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 运维管理：包括设备设施维护、隐患排查、巡检保养、故障处理、网络安全等；</w:t>
      </w:r>
    </w:p>
    <w:p w14:paraId="300CE001">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 安全管理：包括安全生产责任制落实、风险管控、隐患排查、教育培训、应急管理等。</w:t>
      </w:r>
    </w:p>
    <w:p w14:paraId="4807BAC8">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三、运营单位基本要求</w:t>
      </w:r>
    </w:p>
    <w:p w14:paraId="06F4FD21">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应具备以下运营管理能力：</w:t>
      </w:r>
    </w:p>
    <w:p w14:paraId="76353632">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具备充电站运营管理经验及相关资质；</w:t>
      </w:r>
    </w:p>
    <w:p w14:paraId="265ED955">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具备7×24小时客户服务与故障响应能力；</w:t>
      </w:r>
    </w:p>
    <w:p w14:paraId="3100B72B">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具备完善的线上线下巡检、运维、保养体系；</w:t>
      </w:r>
    </w:p>
    <w:p w14:paraId="0503D214">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具备数据安全管理与信息系统运维能力；</w:t>
      </w:r>
    </w:p>
    <w:p w14:paraId="1DF3E4DD">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具备安全生产管理与应急处理能力；</w:t>
      </w:r>
    </w:p>
    <w:p w14:paraId="0219C1A1">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具备运营数据分析与经营复盘能力。</w:t>
      </w:r>
    </w:p>
    <w:p w14:paraId="5C63227C">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四、运营管理职责界面</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1581"/>
        <w:gridCol w:w="1841"/>
        <w:gridCol w:w="2359"/>
        <w:gridCol w:w="1923"/>
      </w:tblGrid>
      <w:tr w14:paraId="5EBA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14DD26D3">
            <w:pPr>
              <w:rPr>
                <w:rFonts w:hint="eastAsia" w:ascii="黑体" w:hAnsi="黑体" w:eastAsia="黑体" w:cs="黑体"/>
                <w:sz w:val="21"/>
                <w:szCs w:val="21"/>
                <w:vertAlign w:val="baseline"/>
                <w:lang w:val="en-US" w:eastAsia="zh-CN"/>
              </w:rPr>
            </w:pPr>
            <w:r>
              <w:rPr>
                <w:rFonts w:hint="eastAsia" w:ascii="黑体" w:hAnsi="黑体" w:eastAsia="黑体" w:cs="黑体"/>
                <w:sz w:val="21"/>
                <w:szCs w:val="21"/>
                <w:vertAlign w:val="baseline"/>
                <w:lang w:val="en-US" w:eastAsia="zh-CN"/>
              </w:rPr>
              <w:t>序号</w:t>
            </w:r>
          </w:p>
        </w:tc>
        <w:tc>
          <w:tcPr>
            <w:tcW w:w="1581" w:type="dxa"/>
          </w:tcPr>
          <w:p w14:paraId="3127B6C4">
            <w:pPr>
              <w:rPr>
                <w:rFonts w:hint="eastAsia" w:ascii="黑体" w:hAnsi="黑体" w:eastAsia="黑体" w:cs="黑体"/>
                <w:sz w:val="21"/>
                <w:szCs w:val="21"/>
                <w:vertAlign w:val="baseline"/>
                <w:lang w:val="en-US" w:eastAsia="zh-CN"/>
              </w:rPr>
            </w:pPr>
            <w:r>
              <w:rPr>
                <w:rFonts w:hint="eastAsia" w:ascii="黑体" w:hAnsi="黑体" w:eastAsia="黑体" w:cs="黑体"/>
                <w:sz w:val="21"/>
                <w:szCs w:val="21"/>
                <w:vertAlign w:val="baseline"/>
                <w:lang w:val="en-US" w:eastAsia="zh-CN"/>
              </w:rPr>
              <w:t>管理模块</w:t>
            </w:r>
          </w:p>
        </w:tc>
        <w:tc>
          <w:tcPr>
            <w:tcW w:w="1841" w:type="dxa"/>
          </w:tcPr>
          <w:p w14:paraId="0B85B458">
            <w:pPr>
              <w:rPr>
                <w:rFonts w:hint="eastAsia" w:ascii="黑体" w:hAnsi="黑体" w:eastAsia="黑体" w:cs="黑体"/>
                <w:sz w:val="21"/>
                <w:szCs w:val="21"/>
                <w:vertAlign w:val="baseline"/>
                <w:lang w:val="en-US" w:eastAsia="zh-CN"/>
              </w:rPr>
            </w:pPr>
            <w:r>
              <w:rPr>
                <w:rFonts w:hint="eastAsia" w:ascii="黑体" w:hAnsi="黑体" w:eastAsia="黑体" w:cs="黑体"/>
                <w:sz w:val="21"/>
                <w:szCs w:val="21"/>
                <w:vertAlign w:val="baseline"/>
                <w:lang w:val="en-US" w:eastAsia="zh-CN"/>
              </w:rPr>
              <w:t>事项说明</w:t>
            </w:r>
          </w:p>
        </w:tc>
        <w:tc>
          <w:tcPr>
            <w:tcW w:w="2359" w:type="dxa"/>
          </w:tcPr>
          <w:p w14:paraId="098D3CD1">
            <w:pPr>
              <w:rPr>
                <w:rFonts w:hint="eastAsia" w:ascii="黑体" w:hAnsi="黑体" w:eastAsia="黑体" w:cs="黑体"/>
                <w:sz w:val="21"/>
                <w:szCs w:val="21"/>
                <w:vertAlign w:val="baseline"/>
                <w:lang w:val="en-US" w:eastAsia="zh-CN"/>
              </w:rPr>
            </w:pPr>
            <w:r>
              <w:rPr>
                <w:rFonts w:hint="eastAsia" w:ascii="黑体" w:hAnsi="黑体" w:eastAsia="黑体" w:cs="黑体"/>
                <w:sz w:val="21"/>
                <w:szCs w:val="21"/>
                <w:vertAlign w:val="baseline"/>
                <w:lang w:val="en-US" w:eastAsia="zh-CN"/>
              </w:rPr>
              <w:t>运营单位职责</w:t>
            </w:r>
          </w:p>
        </w:tc>
        <w:tc>
          <w:tcPr>
            <w:tcW w:w="1923" w:type="dxa"/>
          </w:tcPr>
          <w:p w14:paraId="1CB8B51D">
            <w:pPr>
              <w:rPr>
                <w:rFonts w:hint="eastAsia" w:ascii="黑体" w:hAnsi="黑体" w:eastAsia="黑体" w:cs="黑体"/>
                <w:sz w:val="21"/>
                <w:szCs w:val="21"/>
                <w:vertAlign w:val="baseline"/>
                <w:lang w:val="en-US" w:eastAsia="zh-CN"/>
              </w:rPr>
            </w:pPr>
            <w:r>
              <w:rPr>
                <w:rFonts w:hint="eastAsia" w:ascii="黑体" w:hAnsi="黑体" w:eastAsia="黑体" w:cs="黑体"/>
                <w:sz w:val="21"/>
                <w:szCs w:val="21"/>
                <w:vertAlign w:val="baseline"/>
                <w:lang w:val="en-US" w:eastAsia="zh-CN"/>
              </w:rPr>
              <w:t>本公司职责</w:t>
            </w:r>
          </w:p>
        </w:tc>
      </w:tr>
      <w:tr w14:paraId="2EC40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2930B8AD">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1</w:t>
            </w:r>
          </w:p>
        </w:tc>
        <w:tc>
          <w:tcPr>
            <w:tcW w:w="1581" w:type="dxa"/>
          </w:tcPr>
          <w:p w14:paraId="3454475D">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营销推广</w:t>
            </w:r>
          </w:p>
        </w:tc>
        <w:tc>
          <w:tcPr>
            <w:tcW w:w="1841" w:type="dxa"/>
          </w:tcPr>
          <w:p w14:paraId="62B7CB74">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运营复盘、经营诊断、营销活动</w:t>
            </w:r>
          </w:p>
        </w:tc>
        <w:tc>
          <w:tcPr>
            <w:tcW w:w="2359" w:type="dxa"/>
          </w:tcPr>
          <w:p w14:paraId="03E2A78F">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输出经营月报、季度复盘报告，评估经营状况，制定营销策略</w:t>
            </w:r>
          </w:p>
        </w:tc>
        <w:tc>
          <w:tcPr>
            <w:tcW w:w="1923" w:type="dxa"/>
          </w:tcPr>
          <w:p w14:paraId="60406906">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监督营销推广执行，审核报告</w:t>
            </w:r>
          </w:p>
        </w:tc>
      </w:tr>
      <w:tr w14:paraId="04B8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20347ABE">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2</w:t>
            </w:r>
          </w:p>
        </w:tc>
        <w:tc>
          <w:tcPr>
            <w:tcW w:w="1581" w:type="dxa"/>
          </w:tcPr>
          <w:p w14:paraId="5B002B48">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运营服务</w:t>
            </w:r>
          </w:p>
        </w:tc>
        <w:tc>
          <w:tcPr>
            <w:tcW w:w="1841" w:type="dxa"/>
          </w:tcPr>
          <w:p w14:paraId="18237853">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环境卫生、秩序管理、客户服务</w:t>
            </w:r>
          </w:p>
        </w:tc>
        <w:tc>
          <w:tcPr>
            <w:tcW w:w="2359" w:type="dxa"/>
          </w:tcPr>
          <w:p w14:paraId="5DE173DF">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负责卫生管理、秩序维护、7×24小时客服、投诉处理（24小时响应，48小时闭环）</w:t>
            </w:r>
          </w:p>
        </w:tc>
        <w:tc>
          <w:tcPr>
            <w:tcW w:w="1923" w:type="dxa"/>
          </w:tcPr>
          <w:p w14:paraId="3BE3F409">
            <w:pPr>
              <w:rPr>
                <w:rFonts w:hint="default"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制定标准、监督检查及</w:t>
            </w:r>
            <w:bookmarkStart w:id="0" w:name="_GoBack"/>
            <w:bookmarkEnd w:id="0"/>
            <w:r>
              <w:rPr>
                <w:rFonts w:hint="eastAsia" w:ascii="宋体" w:hAnsi="宋体" w:eastAsia="宋体" w:cs="宋体"/>
                <w:sz w:val="18"/>
                <w:szCs w:val="18"/>
                <w:vertAlign w:val="baseline"/>
                <w:lang w:val="en-US" w:eastAsia="zh-CN"/>
              </w:rPr>
              <w:t>考核</w:t>
            </w:r>
          </w:p>
        </w:tc>
      </w:tr>
      <w:tr w14:paraId="5912B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20F986BF">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3</w:t>
            </w:r>
          </w:p>
        </w:tc>
        <w:tc>
          <w:tcPr>
            <w:tcW w:w="1581" w:type="dxa"/>
          </w:tcPr>
          <w:p w14:paraId="3336E7D7">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运维管理</w:t>
            </w:r>
          </w:p>
        </w:tc>
        <w:tc>
          <w:tcPr>
            <w:tcW w:w="1841" w:type="dxa"/>
          </w:tcPr>
          <w:p w14:paraId="446D28C9">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设备设施维护、隐患排查、保养</w:t>
            </w:r>
          </w:p>
        </w:tc>
        <w:tc>
          <w:tcPr>
            <w:tcW w:w="2359" w:type="dxa"/>
          </w:tcPr>
          <w:p w14:paraId="092B9FA7">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按等级响应故障，开展月度排查、季度巡检、半年度保养，输出运维报告</w:t>
            </w:r>
          </w:p>
        </w:tc>
        <w:tc>
          <w:tcPr>
            <w:tcW w:w="1923" w:type="dxa"/>
          </w:tcPr>
          <w:p w14:paraId="0E726C20">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监督运维执行，审核报告，协助过保设备处理</w:t>
            </w:r>
          </w:p>
        </w:tc>
      </w:tr>
      <w:tr w14:paraId="33330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1C3597DB">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4</w:t>
            </w:r>
          </w:p>
        </w:tc>
        <w:tc>
          <w:tcPr>
            <w:tcW w:w="1581" w:type="dxa"/>
          </w:tcPr>
          <w:p w14:paraId="4B395BD3">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安全管理</w:t>
            </w:r>
          </w:p>
        </w:tc>
        <w:tc>
          <w:tcPr>
            <w:tcW w:w="1841" w:type="dxa"/>
          </w:tcPr>
          <w:p w14:paraId="48B7ACD1">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安全生产、应急管理、培训演练</w:t>
            </w:r>
          </w:p>
        </w:tc>
        <w:tc>
          <w:tcPr>
            <w:tcW w:w="2359" w:type="dxa"/>
          </w:tcPr>
          <w:p w14:paraId="1B56C3D0">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落实安全责任制，开展隐患排查、安全培训、应急演练，配合迎检工作</w:t>
            </w:r>
          </w:p>
        </w:tc>
        <w:tc>
          <w:tcPr>
            <w:tcW w:w="1923" w:type="dxa"/>
          </w:tcPr>
          <w:p w14:paraId="677CB426">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监督安全执行，组织签订安全责任书</w:t>
            </w:r>
          </w:p>
        </w:tc>
      </w:tr>
      <w:tr w14:paraId="3DD23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5A90F7F9">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5</w:t>
            </w:r>
          </w:p>
        </w:tc>
        <w:tc>
          <w:tcPr>
            <w:tcW w:w="1581" w:type="dxa"/>
          </w:tcPr>
          <w:p w14:paraId="48988EEA">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数据与信息系统管理</w:t>
            </w:r>
          </w:p>
        </w:tc>
        <w:tc>
          <w:tcPr>
            <w:tcW w:w="1841" w:type="dxa"/>
          </w:tcPr>
          <w:p w14:paraId="606C7805">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网络、数据、监控系统运维</w:t>
            </w:r>
          </w:p>
        </w:tc>
        <w:tc>
          <w:tcPr>
            <w:tcW w:w="2359" w:type="dxa"/>
          </w:tcPr>
          <w:p w14:paraId="5B741CF9">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保障系统网络安全，及时报修并协助处理运营商线路故障</w:t>
            </w:r>
          </w:p>
        </w:tc>
        <w:tc>
          <w:tcPr>
            <w:tcW w:w="1923" w:type="dxa"/>
          </w:tcPr>
          <w:p w14:paraId="3E7746E5">
            <w:pPr>
              <w:rPr>
                <w:rFonts w:hint="eastAsia" w:ascii="宋体" w:hAnsi="宋体" w:eastAsia="宋体" w:cs="宋体"/>
                <w:sz w:val="18"/>
                <w:szCs w:val="18"/>
                <w:vertAlign w:val="baseline"/>
                <w:lang w:val="en-US" w:eastAsia="zh-CN"/>
              </w:rPr>
            </w:pPr>
            <w:r>
              <w:rPr>
                <w:rFonts w:hint="eastAsia" w:ascii="宋体" w:hAnsi="宋体" w:eastAsia="宋体" w:cs="宋体"/>
                <w:sz w:val="18"/>
                <w:szCs w:val="18"/>
                <w:vertAlign w:val="baseline"/>
                <w:lang w:val="en-US" w:eastAsia="zh-CN"/>
              </w:rPr>
              <w:t>监督信息系统运维与数据安全管理</w:t>
            </w:r>
          </w:p>
        </w:tc>
      </w:tr>
    </w:tbl>
    <w:p w14:paraId="5C5B25C5">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44D4F2F2">
      <w:pP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rPr>
        <w:t>五</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运营管理规范要求</w:t>
      </w:r>
    </w:p>
    <w:p w14:paraId="68BD1DFD">
      <w:pP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rPr>
        <w:t xml:space="preserve">1. </w:t>
      </w:r>
      <w:r>
        <w:rPr>
          <w:rFonts w:hint="eastAsia" w:ascii="仿宋_GB2312" w:hAnsi="仿宋_GB2312" w:eastAsia="仿宋_GB2312" w:cs="仿宋_GB2312"/>
          <w:b/>
          <w:bCs/>
          <w:sz w:val="28"/>
          <w:szCs w:val="28"/>
          <w:lang w:val="en-US" w:eastAsia="zh-CN"/>
        </w:rPr>
        <w:t>运营单位平台运营服务要求</w:t>
      </w:r>
    </w:p>
    <w:p w14:paraId="365C2295">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运营单位</w:t>
      </w:r>
      <w:r>
        <w:rPr>
          <w:rFonts w:hint="eastAsia" w:ascii="仿宋_GB2312" w:hAnsi="仿宋_GB2312" w:eastAsia="仿宋_GB2312" w:cs="仿宋_GB2312"/>
          <w:sz w:val="28"/>
          <w:szCs w:val="28"/>
        </w:rPr>
        <w:t>提供完善的充电站管理系统，包括但不限于充电数据监控、设备管理、财务管理、用户管理、报表统计等，充电站的各项数据可以满足运营人员诊断场站运营问题、提供和实施解决方案、跟踪后续效果，从而提高场站运营效率。</w:t>
      </w:r>
    </w:p>
    <w:p w14:paraId="2B407D3E">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运营单位</w:t>
      </w:r>
      <w:r>
        <w:rPr>
          <w:rFonts w:hint="eastAsia" w:ascii="仿宋_GB2312" w:hAnsi="仿宋_GB2312" w:eastAsia="仿宋_GB2312" w:cs="仿宋_GB2312"/>
          <w:sz w:val="28"/>
          <w:szCs w:val="28"/>
        </w:rPr>
        <w:t>提供完善的平台信息维护服务</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完善线上信息，能够帮助用户顺畅的寻站找桩。线上信息内容新增及优化包括但不限于电站地图打点、创建电站、电桩上架、计费单价、商铺图片、路书、地址、停车收费、电站配套指导等内容。</w:t>
      </w:r>
    </w:p>
    <w:p w14:paraId="4F05D03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运营单位</w:t>
      </w:r>
      <w:r>
        <w:rPr>
          <w:rFonts w:hint="eastAsia" w:ascii="仿宋_GB2312" w:hAnsi="仿宋_GB2312" w:eastAsia="仿宋_GB2312" w:cs="仿宋_GB2312"/>
          <w:sz w:val="28"/>
          <w:szCs w:val="28"/>
        </w:rPr>
        <w:t>负责各类流量平台引流服务，包括但不限于高德、百度、货拉拉、新能源主机厂等。</w:t>
      </w:r>
    </w:p>
    <w:p w14:paraId="3177AC45">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运营单位</w:t>
      </w:r>
      <w:r>
        <w:rPr>
          <w:rFonts w:hint="eastAsia" w:ascii="仿宋_GB2312" w:hAnsi="仿宋_GB2312" w:eastAsia="仿宋_GB2312" w:cs="仿宋_GB2312"/>
          <w:sz w:val="28"/>
          <w:szCs w:val="28"/>
        </w:rPr>
        <w:t>负责政府有关充换电行业运营监管平台接入，包括（省、市平台，浙里充，安心充平台等）</w:t>
      </w:r>
    </w:p>
    <w:p w14:paraId="176E02C1">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充电站管理系统平台的调价功能满足准确性、时效性、灵活性的原则，可以根据场站本身和周围情况变化及时调整价格，满足以场站服务费收益最大化为目标，辅助场站经营者做价格决策。</w:t>
      </w:r>
    </w:p>
    <w:p w14:paraId="5AF64493">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充电站管理系统平台支持车牌检测识别、车牌用户匹配及实时占位检测功能，实现识别油车占位和电车非插枪占位，并将占位信息同步给app、运营平台等，并可以使用扬声器实时播报提醒的能力，具备站位超时收费的功能。</w:t>
      </w:r>
    </w:p>
    <w:p w14:paraId="2E3499ED">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rPr>
        <w:t>营销推广规范</w:t>
      </w:r>
    </w:p>
    <w:p w14:paraId="47C33923">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运营单位</w:t>
      </w:r>
      <w:r>
        <w:rPr>
          <w:rFonts w:hint="eastAsia" w:ascii="仿宋_GB2312" w:hAnsi="仿宋_GB2312" w:eastAsia="仿宋_GB2312" w:cs="仿宋_GB2312"/>
          <w:sz w:val="28"/>
          <w:szCs w:val="28"/>
        </w:rPr>
        <w:t>应基于充电站定位及市场分析，制定年度、季度及月度营销推广计划</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每月</w:t>
      </w:r>
      <w:r>
        <w:rPr>
          <w:rFonts w:hint="eastAsia" w:ascii="仿宋_GB2312" w:hAnsi="仿宋_GB2312" w:eastAsia="仿宋_GB2312" w:cs="仿宋_GB2312"/>
          <w:sz w:val="28"/>
          <w:szCs w:val="28"/>
        </w:rPr>
        <w:t>输出经营分析报告，定期</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至少每季度一次</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进行运营复盘，提出效能提升策略。</w:t>
      </w:r>
    </w:p>
    <w:p w14:paraId="543DFD36">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所有营销活动需遵守相关法律法规，确保宣传内容真实、准确。</w:t>
      </w:r>
    </w:p>
    <w:p w14:paraId="35E88BA7">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rPr>
        <w:t>. 运营服务规范</w:t>
      </w:r>
    </w:p>
    <w:p w14:paraId="16A0C6A9">
      <w:pPr>
        <w:pStyle w:val="8"/>
        <w:numPr>
          <w:ilvl w:val="2"/>
          <w:numId w:val="0"/>
        </w:numPr>
        <w:ind w:firstLine="560" w:firstLineChars="200"/>
        <w:outlineLvl w:val="2"/>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环境卫生:运营单位负责充电站环境卫生管理，卫生管理费用由招标方自行承担，运营单位须确保卫生质量达到以下标准，并接受招标方的监督与考核。</w:t>
      </w:r>
    </w:p>
    <w:p w14:paraId="52EB33E1">
      <w:pPr>
        <w:pStyle w:val="8"/>
        <w:numPr>
          <w:ilvl w:val="2"/>
          <w:numId w:val="0"/>
        </w:numPr>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场站</w:t>
      </w:r>
      <w:r>
        <w:rPr>
          <w:rFonts w:hint="eastAsia" w:ascii="仿宋_GB2312" w:hAnsi="仿宋_GB2312" w:eastAsia="仿宋_GB2312" w:cs="仿宋_GB2312"/>
          <w:sz w:val="28"/>
          <w:szCs w:val="28"/>
          <w:lang w:val="en-US" w:eastAsia="zh-CN"/>
        </w:rPr>
        <w:t>环境</w:t>
      </w:r>
      <w:r>
        <w:rPr>
          <w:rFonts w:hint="eastAsia" w:ascii="仿宋_GB2312" w:hAnsi="仿宋_GB2312" w:eastAsia="仿宋_GB2312" w:cs="仿宋_GB2312"/>
          <w:sz w:val="28"/>
          <w:szCs w:val="28"/>
        </w:rPr>
        <w:t>卫生具体要求如下：</w:t>
      </w:r>
    </w:p>
    <w:p w14:paraId="0A05E1E1">
      <w:pPr>
        <w:pStyle w:val="8"/>
        <w:numPr>
          <w:ilvl w:val="2"/>
          <w:numId w:val="0"/>
        </w:numPr>
        <w:ind w:firstLine="560" w:firstLineChars="200"/>
        <w:outlineLvl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休息室、卫生间干净整洁、无异味，物品摆放整齐；</w:t>
      </w:r>
    </w:p>
    <w:p w14:paraId="4FCD503E">
      <w:pPr>
        <w:pStyle w:val="8"/>
        <w:numPr>
          <w:ilvl w:val="2"/>
          <w:numId w:val="0"/>
        </w:numPr>
        <w:ind w:firstLine="560" w:firstLineChars="200"/>
        <w:outlineLvl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充电设施干净整洁、无粘贴物；</w:t>
      </w:r>
    </w:p>
    <w:p w14:paraId="0312CDF0">
      <w:pPr>
        <w:pStyle w:val="8"/>
        <w:numPr>
          <w:ilvl w:val="2"/>
          <w:numId w:val="0"/>
        </w:numPr>
        <w:ind w:firstLine="560" w:firstLineChars="200"/>
        <w:outlineLvl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场站内地面干净、整洁，无积水、杂物和油渍，电缆沟干净，盖板齐全； </w:t>
      </w:r>
    </w:p>
    <w:p w14:paraId="6AF7FD82">
      <w:pPr>
        <w:pStyle w:val="8"/>
        <w:numPr>
          <w:ilvl w:val="2"/>
          <w:numId w:val="0"/>
        </w:numPr>
        <w:ind w:firstLine="560" w:firstLineChars="200"/>
        <w:outlineLvl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绿化区域无垃圾、杂物，绿植无枯死且修剪整齐；</w:t>
      </w:r>
    </w:p>
    <w:p w14:paraId="3ABC501E">
      <w:pPr>
        <w:pStyle w:val="8"/>
        <w:numPr>
          <w:ilvl w:val="2"/>
          <w:numId w:val="0"/>
        </w:numPr>
        <w:ind w:firstLine="560" w:firstLineChars="200"/>
        <w:outlineLvl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场站无过期广告、室外墙体表面不允许有其他污渍、喷绘或张贴未经许可的商业广告等；</w:t>
      </w:r>
    </w:p>
    <w:p w14:paraId="78E699C9">
      <w:pPr>
        <w:pStyle w:val="8"/>
        <w:numPr>
          <w:ilvl w:val="2"/>
          <w:numId w:val="0"/>
        </w:numPr>
        <w:ind w:firstLine="560" w:firstLineChars="200"/>
        <w:outlineLvl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场站配置的消防器材箱体表面、推车式瓶体表面无积灰覆盖；</w:t>
      </w:r>
    </w:p>
    <w:p w14:paraId="3AFD1D7E">
      <w:pPr>
        <w:pStyle w:val="8"/>
        <w:numPr>
          <w:ilvl w:val="2"/>
          <w:numId w:val="0"/>
        </w:numPr>
        <w:ind w:firstLine="560" w:firstLineChars="200"/>
        <w:outlineLvl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垃圾桶外观干净，存放的垃圾不满溢。</w:t>
      </w:r>
    </w:p>
    <w:p w14:paraId="56DA7869">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秩序管理：</w:t>
      </w:r>
      <w:r>
        <w:rPr>
          <w:rFonts w:hint="eastAsia" w:ascii="仿宋_GB2312" w:hAnsi="仿宋_GB2312" w:eastAsia="仿宋_GB2312" w:cs="仿宋_GB2312"/>
          <w:sz w:val="28"/>
          <w:szCs w:val="28"/>
          <w:lang w:val="en-US" w:eastAsia="zh-CN"/>
        </w:rPr>
        <w:t>落实秩序管理服务</w:t>
      </w:r>
      <w:r>
        <w:rPr>
          <w:rFonts w:hint="eastAsia" w:ascii="仿宋_GB2312" w:hAnsi="仿宋_GB2312" w:eastAsia="仿宋_GB2312" w:cs="仿宋_GB2312"/>
          <w:sz w:val="28"/>
          <w:szCs w:val="28"/>
        </w:rPr>
        <w:t>，确保充电枪线归位、急停按钮复位</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及时发现并处理燃油车占位、充满未驶离等现象。</w:t>
      </w:r>
    </w:p>
    <w:p w14:paraId="166FAD81">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客户服务：提供7×24小时统一客服热线，支持业务咨询、投诉受理、故障报修。</w:t>
      </w:r>
    </w:p>
    <w:p w14:paraId="546C9175">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客户投诉应在24小时内响应，48小时内处理闭环，并记录归档。</w:t>
      </w:r>
    </w:p>
    <w:p w14:paraId="407054EA">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定期进行客户满意度调研。</w:t>
      </w:r>
    </w:p>
    <w:p w14:paraId="23DB62C3">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费用结算：每月5日前提供清晰、准确的上月度对账单及费用明细，配合完成对账与结算工作。</w:t>
      </w:r>
    </w:p>
    <w:p w14:paraId="33DB909F">
      <w:pPr>
        <w:numPr>
          <w:ilvl w:val="0"/>
          <w:numId w:val="2"/>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巡检管理规范</w:t>
      </w:r>
    </w:p>
    <w:p w14:paraId="0FFCEAB4">
      <w:pPr>
        <w:pStyle w:val="11"/>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运营单位</w:t>
      </w:r>
      <w:r>
        <w:rPr>
          <w:rFonts w:hint="eastAsia" w:ascii="仿宋_GB2312" w:hAnsi="仿宋_GB2312" w:eastAsia="仿宋_GB2312" w:cs="仿宋_GB2312"/>
          <w:kern w:val="2"/>
          <w:sz w:val="28"/>
          <w:szCs w:val="28"/>
          <w:lang w:val="en-US" w:eastAsia="zh-CN" w:bidi="ar-SA"/>
        </w:rPr>
        <w:t>提供巡检服务包含但不限于场站线下引导、环境卫生、场站设备运行状态场站消防安全设施点检、现场秩序、场站人员行为规范等，同时输出对应的巡检报告或台账。</w:t>
      </w:r>
    </w:p>
    <w:p w14:paraId="5AF2D7EA">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日常线上巡检：每日通过运营平台远程检查所有充电桩运行状态，发现异常立即处理。</w:t>
      </w:r>
    </w:p>
    <w:p w14:paraId="5A376156">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每周视频巡检：每周通过视频监控系统对站内卫生、秩序、安全情况进行一轮全覆盖检查。</w:t>
      </w:r>
    </w:p>
    <w:p w14:paraId="72D82C2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月度现场运营巡检：每月对每个站点至少进行一次现场全面检查，内容包括但不限于：环境卫生、设施完好度、标识标牌、消防安全等，并提交报告。</w:t>
      </w:r>
    </w:p>
    <w:p w14:paraId="4E6B8D53">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季度运维巡检：每季度对每个站点至少进行一次专业性运维巡检，重点检查设备运行状态、电气安全、软件系统等，并提交报告。</w:t>
      </w:r>
    </w:p>
    <w:p w14:paraId="3B165A51">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5</w:t>
      </w:r>
      <w:r>
        <w:rPr>
          <w:rFonts w:hint="eastAsia" w:ascii="仿宋_GB2312" w:hAnsi="仿宋_GB2312" w:eastAsia="仿宋_GB2312" w:cs="仿宋_GB2312"/>
          <w:b/>
          <w:bCs/>
          <w:sz w:val="28"/>
          <w:szCs w:val="28"/>
        </w:rPr>
        <w:t>. 安全管理规范</w:t>
      </w:r>
    </w:p>
    <w:p w14:paraId="6D29225E">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运营单位落实安全责任制，开展隐患排查、安全培训、应急演练，配合迎检工作。</w:t>
      </w:r>
    </w:p>
    <w:p w14:paraId="66D2360B">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每年至少组织一次全员安全培训及一次专项应急演练（如消防、防汛、触电急救等）。</w:t>
      </w:r>
    </w:p>
    <w:p w14:paraId="525F8C7C">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定期对站内消防器材、安全工器具进行检查和维护，确保其有效可用。</w:t>
      </w:r>
    </w:p>
    <w:p w14:paraId="6CC03469">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6</w:t>
      </w:r>
      <w:r>
        <w:rPr>
          <w:rFonts w:hint="eastAsia" w:ascii="仿宋_GB2312" w:hAnsi="仿宋_GB2312" w:eastAsia="仿宋_GB2312" w:cs="仿宋_GB2312"/>
          <w:b/>
          <w:bCs/>
          <w:sz w:val="28"/>
          <w:szCs w:val="28"/>
        </w:rPr>
        <w:t>. 数据与信息管理规范</w:t>
      </w:r>
    </w:p>
    <w:p w14:paraId="34FFD009">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运营单位</w:t>
      </w:r>
      <w:r>
        <w:rPr>
          <w:rFonts w:hint="eastAsia" w:ascii="仿宋_GB2312" w:hAnsi="仿宋_GB2312" w:eastAsia="仿宋_GB2312" w:cs="仿宋_GB2312"/>
          <w:sz w:val="28"/>
          <w:szCs w:val="28"/>
        </w:rPr>
        <w:t>负责运营平台、网络及监控系统的日常维护和安全保障，确保系统稳定运行。</w:t>
      </w:r>
    </w:p>
    <w:p w14:paraId="19F3023C">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按时提供本公司要求的各类运营、运维数据报表。</w:t>
      </w:r>
    </w:p>
    <w:p w14:paraId="26000E8F">
      <w:pPr>
        <w:rPr>
          <w:rFonts w:hint="eastAsia" w:ascii="仿宋_GB2312" w:hAnsi="仿宋_GB2312" w:eastAsia="仿宋_GB2312" w:cs="仿宋_GB2312"/>
          <w:sz w:val="28"/>
          <w:szCs w:val="28"/>
          <w:lang w:val="en-US" w:eastAsia="zh-CN"/>
        </w:rPr>
      </w:pPr>
    </w:p>
    <w:p w14:paraId="233AA270">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六、</w:t>
      </w:r>
      <w:r>
        <w:rPr>
          <w:rFonts w:hint="default" w:ascii="仿宋_GB2312" w:hAnsi="仿宋_GB2312" w:eastAsia="仿宋_GB2312" w:cs="仿宋_GB2312"/>
          <w:sz w:val="28"/>
          <w:szCs w:val="28"/>
          <w:lang w:val="en-US" w:eastAsia="zh-CN"/>
        </w:rPr>
        <w:t>故障等级分类及处置要求</w:t>
      </w:r>
    </w:p>
    <w:p w14:paraId="61EF8AB2">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1.故障等级分类</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704"/>
        <w:gridCol w:w="2235"/>
        <w:gridCol w:w="2116"/>
      </w:tblGrid>
      <w:tr w14:paraId="3FC23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3" w:type="dxa"/>
            <w:noWrap w:val="0"/>
            <w:vAlign w:val="top"/>
          </w:tcPr>
          <w:p w14:paraId="3029B11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val="0"/>
                <w:sz w:val="21"/>
                <w:szCs w:val="21"/>
                <w:highlight w:val="none"/>
                <w:vertAlign w:val="baseline"/>
                <w:lang w:val="en-US" w:eastAsia="zh-CN"/>
              </w:rPr>
            </w:pPr>
            <w:r>
              <w:rPr>
                <w:rFonts w:hint="eastAsia" w:ascii="黑体" w:hAnsi="黑体" w:eastAsia="黑体" w:cs="黑体"/>
                <w:b/>
                <w:bCs w:val="0"/>
                <w:sz w:val="21"/>
                <w:szCs w:val="21"/>
                <w:highlight w:val="none"/>
                <w:vertAlign w:val="baseline"/>
                <w:lang w:val="en-US" w:eastAsia="zh-CN"/>
              </w:rPr>
              <w:t>故障等级分类</w:t>
            </w:r>
          </w:p>
        </w:tc>
        <w:tc>
          <w:tcPr>
            <w:tcW w:w="2892" w:type="dxa"/>
            <w:noWrap w:val="0"/>
            <w:vAlign w:val="top"/>
          </w:tcPr>
          <w:p w14:paraId="09B6500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val="0"/>
                <w:sz w:val="21"/>
                <w:szCs w:val="21"/>
                <w:highlight w:val="none"/>
                <w:vertAlign w:val="baseline"/>
                <w:lang w:val="en-US" w:eastAsia="zh-CN"/>
              </w:rPr>
            </w:pPr>
            <w:r>
              <w:rPr>
                <w:rFonts w:hint="eastAsia" w:ascii="黑体" w:hAnsi="黑体" w:eastAsia="黑体" w:cs="黑体"/>
                <w:b/>
                <w:bCs w:val="0"/>
                <w:sz w:val="21"/>
                <w:szCs w:val="21"/>
                <w:highlight w:val="none"/>
                <w:vertAlign w:val="baseline"/>
                <w:lang w:val="en-US" w:eastAsia="zh-CN"/>
              </w:rPr>
              <w:t>客户影响</w:t>
            </w:r>
          </w:p>
        </w:tc>
        <w:tc>
          <w:tcPr>
            <w:tcW w:w="2355" w:type="dxa"/>
            <w:noWrap w:val="0"/>
            <w:vAlign w:val="top"/>
          </w:tcPr>
          <w:p w14:paraId="64F5B53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val="0"/>
                <w:sz w:val="21"/>
                <w:szCs w:val="21"/>
                <w:highlight w:val="none"/>
                <w:vertAlign w:val="baseline"/>
                <w:lang w:val="en-US" w:eastAsia="zh-CN"/>
              </w:rPr>
            </w:pPr>
            <w:r>
              <w:rPr>
                <w:rFonts w:hint="eastAsia" w:ascii="黑体" w:hAnsi="黑体" w:eastAsia="黑体" w:cs="黑体"/>
                <w:b/>
                <w:bCs w:val="0"/>
                <w:sz w:val="21"/>
                <w:szCs w:val="21"/>
                <w:highlight w:val="none"/>
                <w:vertAlign w:val="baseline"/>
                <w:lang w:val="en-US" w:eastAsia="zh-CN"/>
              </w:rPr>
              <w:t>安全影响</w:t>
            </w:r>
          </w:p>
        </w:tc>
        <w:tc>
          <w:tcPr>
            <w:tcW w:w="2250" w:type="dxa"/>
            <w:noWrap w:val="0"/>
            <w:vAlign w:val="top"/>
          </w:tcPr>
          <w:p w14:paraId="4AF7E81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黑体" w:hAnsi="黑体" w:eastAsia="黑体" w:cs="黑体"/>
                <w:b/>
                <w:bCs w:val="0"/>
                <w:sz w:val="21"/>
                <w:szCs w:val="21"/>
                <w:highlight w:val="none"/>
                <w:vertAlign w:val="baseline"/>
                <w:lang w:val="en-US" w:eastAsia="zh-CN"/>
              </w:rPr>
            </w:pPr>
            <w:r>
              <w:rPr>
                <w:rFonts w:hint="eastAsia" w:ascii="黑体" w:hAnsi="黑体" w:eastAsia="黑体" w:cs="黑体"/>
                <w:b/>
                <w:bCs w:val="0"/>
                <w:sz w:val="21"/>
                <w:szCs w:val="21"/>
                <w:highlight w:val="none"/>
                <w:vertAlign w:val="baseline"/>
                <w:lang w:val="en-US" w:eastAsia="zh-CN"/>
              </w:rPr>
              <w:t>功能影响</w:t>
            </w:r>
          </w:p>
        </w:tc>
      </w:tr>
      <w:tr w14:paraId="2B2DB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3" w:type="dxa"/>
            <w:noWrap w:val="0"/>
            <w:vAlign w:val="center"/>
          </w:tcPr>
          <w:p w14:paraId="19021E8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重大故障</w:t>
            </w:r>
          </w:p>
        </w:tc>
        <w:tc>
          <w:tcPr>
            <w:tcW w:w="2892" w:type="dxa"/>
            <w:noWrap w:val="0"/>
            <w:vAlign w:val="center"/>
          </w:tcPr>
          <w:p w14:paraId="3A9074C2">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1、新能源车在充电桩上被锁或受损的；</w:t>
            </w:r>
          </w:p>
          <w:p w14:paraId="24235427">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2、出现订单丢失，计费不准等造成用户结算与实际情况偏差的；</w:t>
            </w:r>
          </w:p>
          <w:p w14:paraId="18F1CA3D">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3、由于我方问题造成客户升级投诉（同一客户3次及以上报修）或发函的。</w:t>
            </w:r>
          </w:p>
          <w:p w14:paraId="07557986">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4、受到网络黑客攻击软件平台。</w:t>
            </w:r>
          </w:p>
        </w:tc>
        <w:tc>
          <w:tcPr>
            <w:tcW w:w="2355" w:type="dxa"/>
            <w:noWrap w:val="0"/>
            <w:vAlign w:val="center"/>
          </w:tcPr>
          <w:p w14:paraId="35211C03">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1、充电桩出现“明火”或“打火”“烧毁”“糊味”“爆炸声”等安全警示信息的；</w:t>
            </w:r>
          </w:p>
          <w:p w14:paraId="0A07BB9C">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2、充电桩相关器件绝缘部件脱落、金属体裸露的；</w:t>
            </w:r>
          </w:p>
          <w:p w14:paraId="637A8391">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kern w:val="2"/>
                <w:sz w:val="18"/>
                <w:szCs w:val="18"/>
                <w:highlight w:val="none"/>
                <w:vertAlign w:val="baseline"/>
                <w:lang w:val="en-US" w:eastAsia="zh-CN" w:bidi="ar-SA"/>
              </w:rPr>
            </w:pPr>
            <w:r>
              <w:rPr>
                <w:rFonts w:hint="eastAsia" w:ascii="宋体" w:hAnsi="宋体" w:eastAsia="宋体" w:cs="宋体"/>
                <w:b w:val="0"/>
                <w:bCs/>
                <w:sz w:val="18"/>
                <w:szCs w:val="18"/>
                <w:highlight w:val="none"/>
                <w:vertAlign w:val="baseline"/>
                <w:lang w:val="en-US" w:eastAsia="zh-CN"/>
              </w:rPr>
              <w:t>3、出现水浸风险的</w:t>
            </w:r>
            <w:r>
              <w:rPr>
                <w:rFonts w:hint="eastAsia" w:ascii="宋体" w:hAnsi="宋体" w:eastAsia="宋体" w:cs="宋体"/>
                <w:b w:val="0"/>
                <w:bCs/>
                <w:kern w:val="2"/>
                <w:sz w:val="18"/>
                <w:szCs w:val="18"/>
                <w:highlight w:val="none"/>
                <w:vertAlign w:val="baseline"/>
                <w:lang w:val="en-US" w:eastAsia="zh-CN" w:bidi="ar-SA"/>
              </w:rPr>
              <w:t>。</w:t>
            </w:r>
          </w:p>
          <w:p w14:paraId="4379B6B3">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b w:val="0"/>
                <w:bCs/>
                <w:kern w:val="2"/>
                <w:sz w:val="18"/>
                <w:szCs w:val="18"/>
                <w:highlight w:val="none"/>
                <w:vertAlign w:val="baseline"/>
                <w:lang w:val="en-US" w:eastAsia="zh-CN" w:bidi="ar-SA"/>
              </w:rPr>
            </w:pPr>
            <w:r>
              <w:rPr>
                <w:rFonts w:hint="eastAsia" w:ascii="宋体" w:hAnsi="宋体" w:eastAsia="宋体" w:cs="宋体"/>
                <w:b w:val="0"/>
                <w:bCs/>
                <w:kern w:val="2"/>
                <w:sz w:val="18"/>
                <w:szCs w:val="18"/>
                <w:highlight w:val="none"/>
                <w:vertAlign w:val="baseline"/>
                <w:lang w:val="en-US" w:eastAsia="zh-CN" w:bidi="ar-SA"/>
              </w:rPr>
              <w:t>4、平台瘫痪。</w:t>
            </w:r>
          </w:p>
        </w:tc>
        <w:tc>
          <w:tcPr>
            <w:tcW w:w="2250" w:type="dxa"/>
            <w:noWrap w:val="0"/>
            <w:vAlign w:val="center"/>
          </w:tcPr>
          <w:p w14:paraId="613F86FD">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1、同一区域24小时内无法充电的故障桩数大于等于10%的；</w:t>
            </w:r>
          </w:p>
          <w:p w14:paraId="1CA408D1">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2、同一区域出现充电效率低（如充电电流无法达到车端需求电流）的桩数大于等于30%的。</w:t>
            </w:r>
          </w:p>
          <w:p w14:paraId="0A99AA0B">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3、无法充电。</w:t>
            </w:r>
          </w:p>
        </w:tc>
      </w:tr>
      <w:tr w14:paraId="0B432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3" w:type="dxa"/>
            <w:noWrap w:val="0"/>
            <w:vAlign w:val="center"/>
          </w:tcPr>
          <w:p w14:paraId="611B172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较大故障</w:t>
            </w:r>
          </w:p>
        </w:tc>
        <w:tc>
          <w:tcPr>
            <w:tcW w:w="2892" w:type="dxa"/>
            <w:noWrap w:val="0"/>
            <w:vAlign w:val="center"/>
          </w:tcPr>
          <w:p w14:paraId="68D2E7DA">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充电过程频繁中断等影响用户体验的；</w:t>
            </w:r>
          </w:p>
          <w:p w14:paraId="3E96C2E6">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由于我方问题造成客户口头或电话投诉的。</w:t>
            </w:r>
          </w:p>
        </w:tc>
        <w:tc>
          <w:tcPr>
            <w:tcW w:w="2355" w:type="dxa"/>
            <w:noWrap w:val="0"/>
            <w:vAlign w:val="center"/>
          </w:tcPr>
          <w:p w14:paraId="43C61C76">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1、第三方检测机构检测出存在安全的隐患；</w:t>
            </w:r>
          </w:p>
          <w:p w14:paraId="24484235">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2、由于保护性措施失效导致的安全隐患。</w:t>
            </w:r>
          </w:p>
        </w:tc>
        <w:tc>
          <w:tcPr>
            <w:tcW w:w="2250" w:type="dxa"/>
            <w:noWrap w:val="0"/>
            <w:vAlign w:val="center"/>
          </w:tcPr>
          <w:p w14:paraId="17868277">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1、同一区域24小时内无法充电的故障桩数大于等于5%，小于10%的；</w:t>
            </w:r>
          </w:p>
          <w:p w14:paraId="5D9352C2">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2、同一区域出现充电效率低（如充电电流无法达到车端需求电流）的桩数大于等于10%，小于30%的。</w:t>
            </w:r>
          </w:p>
        </w:tc>
      </w:tr>
      <w:tr w14:paraId="426F5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3" w:type="dxa"/>
            <w:noWrap w:val="0"/>
            <w:vAlign w:val="center"/>
          </w:tcPr>
          <w:p w14:paraId="45DC02B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一般故障</w:t>
            </w:r>
          </w:p>
        </w:tc>
        <w:tc>
          <w:tcPr>
            <w:tcW w:w="2892" w:type="dxa"/>
            <w:noWrap w:val="0"/>
            <w:vAlign w:val="center"/>
          </w:tcPr>
          <w:p w14:paraId="291F58ED">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其他客户可接受约定时间处理的故障。</w:t>
            </w:r>
          </w:p>
        </w:tc>
        <w:tc>
          <w:tcPr>
            <w:tcW w:w="2355" w:type="dxa"/>
            <w:noWrap w:val="0"/>
            <w:vAlign w:val="center"/>
          </w:tcPr>
          <w:p w14:paraId="52940260">
            <w:pPr>
              <w:pStyle w:val="3"/>
              <w:keepNext w:val="0"/>
              <w:keepLines w:val="0"/>
              <w:widowControl/>
              <w:suppressLineNumbers w:val="0"/>
              <w:ind w:left="0" w:leftChars="0" w:right="0" w:rightChars="0"/>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kern w:val="2"/>
                <w:sz w:val="18"/>
                <w:szCs w:val="18"/>
                <w:highlight w:val="none"/>
                <w:vertAlign w:val="baseline"/>
                <w:lang w:val="en-US" w:eastAsia="zh-CN" w:bidi="ar-SA"/>
              </w:rPr>
              <w:t>其他未见明显安全隐患的故障。</w:t>
            </w:r>
          </w:p>
        </w:tc>
        <w:tc>
          <w:tcPr>
            <w:tcW w:w="2250" w:type="dxa"/>
            <w:noWrap w:val="0"/>
            <w:vAlign w:val="center"/>
          </w:tcPr>
          <w:p w14:paraId="717ED796">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1、同一区域24小时内无法充电的故障桩数小于5%的；</w:t>
            </w:r>
          </w:p>
          <w:p w14:paraId="105E5FDE">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2、同一区域出现充电效率低（如充电电流无法达到车端需求电流）的桩数小于10%的；</w:t>
            </w:r>
          </w:p>
          <w:p w14:paraId="42B4CBF7">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val="0"/>
                <w:bCs/>
                <w:sz w:val="18"/>
                <w:szCs w:val="18"/>
                <w:highlight w:val="none"/>
                <w:vertAlign w:val="baseline"/>
                <w:lang w:val="en-US" w:eastAsia="zh-CN"/>
              </w:rPr>
            </w:pPr>
            <w:r>
              <w:rPr>
                <w:rFonts w:hint="eastAsia" w:ascii="宋体" w:hAnsi="宋体" w:eastAsia="宋体" w:cs="宋体"/>
                <w:b w:val="0"/>
                <w:bCs/>
                <w:sz w:val="18"/>
                <w:szCs w:val="18"/>
                <w:highlight w:val="none"/>
                <w:vertAlign w:val="baseline"/>
                <w:lang w:val="en-US" w:eastAsia="zh-CN"/>
              </w:rPr>
              <w:t>3、其他客户可接受约定时间处理的故障。</w:t>
            </w:r>
          </w:p>
        </w:tc>
      </w:tr>
    </w:tbl>
    <w:p w14:paraId="0A323159">
      <w:pPr>
        <w:numPr>
          <w:ilvl w:val="0"/>
          <w:numId w:val="4"/>
        </w:num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故障时效与通报机制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1732"/>
        <w:gridCol w:w="1629"/>
        <w:gridCol w:w="1401"/>
        <w:gridCol w:w="2247"/>
      </w:tblGrid>
      <w:tr w14:paraId="413D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noWrap w:val="0"/>
            <w:vAlign w:val="center"/>
          </w:tcPr>
          <w:p w14:paraId="4EFC9029">
            <w:pPr>
              <w:pStyle w:val="3"/>
              <w:keepNext w:val="0"/>
              <w:keepLines w:val="0"/>
              <w:widowControl/>
              <w:suppressLineNumbers w:val="0"/>
              <w:ind w:left="0" w:leftChars="0" w:right="0" w:rightChars="0"/>
              <w:jc w:val="center"/>
              <w:rPr>
                <w:rFonts w:hint="eastAsia" w:ascii="黑体" w:hAnsi="黑体" w:eastAsia="黑体" w:cs="黑体"/>
                <w:b w:val="0"/>
                <w:bCs/>
                <w:color w:val="auto"/>
                <w:sz w:val="21"/>
                <w:szCs w:val="21"/>
                <w:vertAlign w:val="baseline"/>
                <w:lang w:val="en-US" w:eastAsia="zh-CN"/>
              </w:rPr>
            </w:pPr>
            <w:r>
              <w:rPr>
                <w:rFonts w:hint="eastAsia" w:ascii="黑体" w:hAnsi="黑体" w:eastAsia="黑体" w:cs="黑体"/>
                <w:b/>
                <w:bCs/>
                <w:color w:val="auto"/>
                <w:sz w:val="21"/>
                <w:szCs w:val="21"/>
              </w:rPr>
              <w:t>故障等级分类</w:t>
            </w:r>
          </w:p>
        </w:tc>
        <w:tc>
          <w:tcPr>
            <w:tcW w:w="1778" w:type="dxa"/>
            <w:noWrap w:val="0"/>
            <w:vAlign w:val="center"/>
          </w:tcPr>
          <w:p w14:paraId="548D9F32">
            <w:pPr>
              <w:pStyle w:val="3"/>
              <w:keepNext w:val="0"/>
              <w:keepLines w:val="0"/>
              <w:widowControl/>
              <w:suppressLineNumbers w:val="0"/>
              <w:ind w:left="0" w:leftChars="0" w:right="0" w:rightChars="0"/>
              <w:jc w:val="center"/>
              <w:rPr>
                <w:rFonts w:hint="eastAsia" w:ascii="黑体" w:hAnsi="黑体" w:eastAsia="黑体" w:cs="黑体"/>
                <w:b w:val="0"/>
                <w:bCs/>
                <w:color w:val="auto"/>
                <w:sz w:val="21"/>
                <w:szCs w:val="21"/>
                <w:vertAlign w:val="baseline"/>
                <w:lang w:val="en-US" w:eastAsia="zh-CN"/>
              </w:rPr>
            </w:pPr>
            <w:r>
              <w:rPr>
                <w:rFonts w:hint="eastAsia" w:ascii="黑体" w:hAnsi="黑体" w:eastAsia="黑体" w:cs="黑体"/>
                <w:b/>
                <w:bCs/>
                <w:color w:val="auto"/>
                <w:sz w:val="21"/>
                <w:szCs w:val="21"/>
              </w:rPr>
              <w:t>响应时限</w:t>
            </w:r>
          </w:p>
        </w:tc>
        <w:tc>
          <w:tcPr>
            <w:tcW w:w="1722" w:type="dxa"/>
            <w:noWrap w:val="0"/>
            <w:vAlign w:val="center"/>
          </w:tcPr>
          <w:p w14:paraId="51445972">
            <w:pPr>
              <w:pStyle w:val="3"/>
              <w:keepNext w:val="0"/>
              <w:keepLines w:val="0"/>
              <w:widowControl/>
              <w:suppressLineNumbers w:val="0"/>
              <w:ind w:left="0" w:leftChars="0" w:right="0" w:rightChars="0"/>
              <w:jc w:val="center"/>
              <w:rPr>
                <w:rFonts w:hint="eastAsia" w:ascii="黑体" w:hAnsi="黑体" w:eastAsia="黑体" w:cs="黑体"/>
                <w:b w:val="0"/>
                <w:bCs/>
                <w:color w:val="auto"/>
                <w:sz w:val="21"/>
                <w:szCs w:val="21"/>
                <w:vertAlign w:val="baseline"/>
                <w:lang w:val="en-US" w:eastAsia="zh-CN"/>
              </w:rPr>
            </w:pPr>
            <w:r>
              <w:rPr>
                <w:rFonts w:hint="eastAsia" w:ascii="黑体" w:hAnsi="黑体" w:eastAsia="黑体" w:cs="黑体"/>
                <w:b/>
                <w:bCs/>
                <w:color w:val="auto"/>
                <w:sz w:val="21"/>
                <w:szCs w:val="21"/>
              </w:rPr>
              <w:t>处理时限</w:t>
            </w:r>
          </w:p>
        </w:tc>
        <w:tc>
          <w:tcPr>
            <w:tcW w:w="1489" w:type="dxa"/>
            <w:noWrap w:val="0"/>
            <w:vAlign w:val="center"/>
          </w:tcPr>
          <w:p w14:paraId="4D5759B1">
            <w:pPr>
              <w:pStyle w:val="3"/>
              <w:keepNext w:val="0"/>
              <w:keepLines w:val="0"/>
              <w:widowControl/>
              <w:suppressLineNumbers w:val="0"/>
              <w:ind w:left="0" w:leftChars="0" w:right="0" w:rightChars="0"/>
              <w:jc w:val="center"/>
              <w:rPr>
                <w:rFonts w:hint="eastAsia" w:ascii="黑体" w:hAnsi="黑体" w:eastAsia="黑体" w:cs="黑体"/>
                <w:b w:val="0"/>
                <w:bCs/>
                <w:color w:val="auto"/>
                <w:sz w:val="21"/>
                <w:szCs w:val="21"/>
                <w:vertAlign w:val="baseline"/>
                <w:lang w:val="en-US" w:eastAsia="zh-CN"/>
              </w:rPr>
            </w:pPr>
            <w:r>
              <w:rPr>
                <w:rFonts w:hint="eastAsia" w:ascii="黑体" w:hAnsi="黑体" w:eastAsia="黑体" w:cs="黑体"/>
                <w:b/>
                <w:bCs/>
                <w:color w:val="auto"/>
                <w:sz w:val="21"/>
                <w:szCs w:val="21"/>
              </w:rPr>
              <w:t>分析时限</w:t>
            </w:r>
          </w:p>
        </w:tc>
        <w:tc>
          <w:tcPr>
            <w:tcW w:w="2441" w:type="dxa"/>
            <w:noWrap w:val="0"/>
            <w:vAlign w:val="center"/>
          </w:tcPr>
          <w:p w14:paraId="0577D719">
            <w:pPr>
              <w:pStyle w:val="3"/>
              <w:keepNext w:val="0"/>
              <w:keepLines w:val="0"/>
              <w:widowControl/>
              <w:suppressLineNumbers w:val="0"/>
              <w:ind w:left="0" w:leftChars="0" w:right="0" w:rightChars="0"/>
              <w:jc w:val="center"/>
              <w:rPr>
                <w:rFonts w:hint="eastAsia" w:ascii="黑体" w:hAnsi="黑体" w:eastAsia="黑体" w:cs="黑体"/>
                <w:b w:val="0"/>
                <w:bCs/>
                <w:color w:val="auto"/>
                <w:sz w:val="21"/>
                <w:szCs w:val="21"/>
                <w:vertAlign w:val="baseline"/>
                <w:lang w:val="en-US" w:eastAsia="zh-CN"/>
              </w:rPr>
            </w:pPr>
            <w:r>
              <w:rPr>
                <w:rFonts w:hint="eastAsia" w:ascii="黑体" w:hAnsi="黑体" w:eastAsia="黑体" w:cs="黑体"/>
                <w:b/>
                <w:bCs/>
                <w:color w:val="auto"/>
                <w:sz w:val="21"/>
                <w:szCs w:val="21"/>
              </w:rPr>
              <w:t>通报级别</w:t>
            </w:r>
          </w:p>
        </w:tc>
      </w:tr>
      <w:tr w14:paraId="47BD2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noWrap w:val="0"/>
            <w:vAlign w:val="center"/>
          </w:tcPr>
          <w:p w14:paraId="46E78893">
            <w:pPr>
              <w:pStyle w:val="3"/>
              <w:keepNext w:val="0"/>
              <w:keepLines w:val="0"/>
              <w:widowControl/>
              <w:suppressLineNumbers w:val="0"/>
              <w:ind w:left="0" w:leftChars="0" w:right="0" w:rightChars="0"/>
              <w:jc w:val="center"/>
              <w:rPr>
                <w:rFonts w:hint="eastAsia" w:ascii="宋体" w:hAnsi="宋体" w:eastAsia="宋体" w:cs="宋体"/>
                <w:b w:val="0"/>
                <w:bCs w:val="0"/>
                <w:color w:val="auto"/>
                <w:sz w:val="18"/>
                <w:szCs w:val="18"/>
                <w:vertAlign w:val="baseline"/>
                <w:lang w:val="en-US" w:eastAsia="zh-CN"/>
              </w:rPr>
            </w:pPr>
            <w:r>
              <w:rPr>
                <w:rFonts w:hint="eastAsia" w:ascii="宋体" w:hAnsi="宋体" w:eastAsia="宋体" w:cs="宋体"/>
                <w:b w:val="0"/>
                <w:bCs w:val="0"/>
                <w:color w:val="auto"/>
                <w:sz w:val="18"/>
                <w:szCs w:val="18"/>
              </w:rPr>
              <w:t>重大故障</w:t>
            </w:r>
          </w:p>
        </w:tc>
        <w:tc>
          <w:tcPr>
            <w:tcW w:w="1778" w:type="dxa"/>
            <w:noWrap w:val="0"/>
            <w:vAlign w:val="center"/>
          </w:tcPr>
          <w:p w14:paraId="69B2C78E">
            <w:pPr>
              <w:pStyle w:val="3"/>
              <w:keepNext w:val="0"/>
              <w:keepLines w:val="0"/>
              <w:widowControl/>
              <w:suppressLineNumbers w:val="0"/>
              <w:ind w:left="0" w:leftChars="0" w:right="0" w:rightChars="0"/>
              <w:rPr>
                <w:rFonts w:hint="eastAsia" w:ascii="宋体" w:hAnsi="宋体" w:eastAsia="宋体" w:cs="宋体"/>
                <w:b w:val="0"/>
                <w:bCs/>
                <w:color w:val="auto"/>
                <w:sz w:val="18"/>
                <w:szCs w:val="18"/>
                <w:vertAlign w:val="baseline"/>
                <w:lang w:val="en-US" w:eastAsia="zh-CN"/>
              </w:rPr>
            </w:pPr>
            <w:r>
              <w:rPr>
                <w:rFonts w:hint="eastAsia" w:ascii="宋体" w:hAnsi="宋体" w:eastAsia="宋体" w:cs="宋体"/>
                <w:color w:val="auto"/>
                <w:sz w:val="18"/>
                <w:szCs w:val="18"/>
              </w:rPr>
              <w:t>7*24小时，30分钟响应</w:t>
            </w:r>
          </w:p>
        </w:tc>
        <w:tc>
          <w:tcPr>
            <w:tcW w:w="1722" w:type="dxa"/>
            <w:noWrap w:val="0"/>
            <w:vAlign w:val="center"/>
          </w:tcPr>
          <w:p w14:paraId="109136E1">
            <w:pPr>
              <w:pStyle w:val="3"/>
              <w:keepNext w:val="0"/>
              <w:keepLines w:val="0"/>
              <w:widowControl/>
              <w:suppressLineNumbers w:val="0"/>
              <w:ind w:left="0" w:leftChars="0" w:right="0" w:rightChars="0"/>
              <w:rPr>
                <w:rFonts w:hint="eastAsia" w:ascii="宋体" w:hAnsi="宋体" w:eastAsia="宋体" w:cs="宋体"/>
                <w:b w:val="0"/>
                <w:bCs/>
                <w:color w:val="auto"/>
                <w:sz w:val="18"/>
                <w:szCs w:val="18"/>
                <w:vertAlign w:val="baseline"/>
                <w:lang w:val="en-US" w:eastAsia="zh-CN"/>
              </w:rPr>
            </w:pPr>
            <w:r>
              <w:rPr>
                <w:rFonts w:hint="eastAsia" w:ascii="宋体" w:hAnsi="宋体" w:eastAsia="宋体" w:cs="宋体"/>
                <w:b w:val="0"/>
                <w:bCs/>
                <w:color w:val="auto"/>
                <w:sz w:val="18"/>
                <w:szCs w:val="18"/>
                <w:vertAlign w:val="baseline"/>
                <w:lang w:val="en-US" w:eastAsia="zh-CN"/>
              </w:rPr>
              <w:t>24小时完成</w:t>
            </w:r>
          </w:p>
        </w:tc>
        <w:tc>
          <w:tcPr>
            <w:tcW w:w="1489" w:type="dxa"/>
            <w:noWrap w:val="0"/>
            <w:vAlign w:val="center"/>
          </w:tcPr>
          <w:p w14:paraId="0C46F7A0">
            <w:pPr>
              <w:pStyle w:val="3"/>
              <w:keepNext w:val="0"/>
              <w:keepLines w:val="0"/>
              <w:widowControl/>
              <w:suppressLineNumbers w:val="0"/>
              <w:ind w:left="0" w:leftChars="0" w:right="0" w:rightChars="0"/>
              <w:rPr>
                <w:rFonts w:hint="eastAsia" w:ascii="宋体" w:hAnsi="宋体" w:eastAsia="宋体" w:cs="宋体"/>
                <w:b w:val="0"/>
                <w:bCs/>
                <w:color w:val="auto"/>
                <w:sz w:val="18"/>
                <w:szCs w:val="18"/>
                <w:vertAlign w:val="baseline"/>
                <w:lang w:val="en-US" w:eastAsia="zh-CN"/>
              </w:rPr>
            </w:pPr>
            <w:r>
              <w:rPr>
                <w:rFonts w:hint="eastAsia" w:ascii="宋体" w:hAnsi="宋体" w:eastAsia="宋体" w:cs="宋体"/>
                <w:color w:val="auto"/>
                <w:sz w:val="18"/>
                <w:szCs w:val="18"/>
              </w:rPr>
              <w:t>48小时提供分析报告，并发至</w:t>
            </w:r>
            <w:r>
              <w:rPr>
                <w:rFonts w:hint="eastAsia" w:ascii="宋体" w:hAnsi="宋体" w:eastAsia="宋体" w:cs="宋体"/>
                <w:color w:val="auto"/>
                <w:sz w:val="18"/>
                <w:szCs w:val="18"/>
                <w:lang w:val="en-US" w:eastAsia="zh-CN"/>
              </w:rPr>
              <w:t>本</w:t>
            </w:r>
            <w:r>
              <w:rPr>
                <w:rFonts w:hint="eastAsia" w:ascii="宋体" w:hAnsi="宋体" w:eastAsia="宋体" w:cs="宋体"/>
                <w:color w:val="auto"/>
                <w:sz w:val="18"/>
                <w:szCs w:val="18"/>
              </w:rPr>
              <w:t>公司</w:t>
            </w:r>
          </w:p>
        </w:tc>
        <w:tc>
          <w:tcPr>
            <w:tcW w:w="2441" w:type="dxa"/>
            <w:noWrap w:val="0"/>
            <w:vAlign w:val="center"/>
          </w:tcPr>
          <w:p w14:paraId="4B086CFA">
            <w:pPr>
              <w:pStyle w:val="3"/>
              <w:keepNext w:val="0"/>
              <w:keepLines w:val="0"/>
              <w:widowControl/>
              <w:suppressLineNumbers w:val="0"/>
              <w:rPr>
                <w:rFonts w:hint="default" w:ascii="宋体" w:hAnsi="宋体" w:eastAsia="宋体" w:cs="宋体"/>
                <w:b w:val="0"/>
                <w:bCs/>
                <w:color w:val="auto"/>
                <w:sz w:val="18"/>
                <w:szCs w:val="18"/>
                <w:vertAlign w:val="baseline"/>
                <w:lang w:val="en-US" w:eastAsia="zh-CN"/>
              </w:rPr>
            </w:pPr>
            <w:r>
              <w:rPr>
                <w:rFonts w:hint="eastAsia" w:ascii="宋体" w:hAnsi="宋体" w:eastAsia="宋体" w:cs="宋体"/>
                <w:b w:val="0"/>
                <w:bCs/>
                <w:color w:val="auto"/>
                <w:sz w:val="18"/>
                <w:szCs w:val="18"/>
                <w:vertAlign w:val="baseline"/>
                <w:lang w:val="en-US" w:eastAsia="zh-CN"/>
              </w:rPr>
              <w:t>试组织架构而定</w:t>
            </w:r>
          </w:p>
        </w:tc>
      </w:tr>
      <w:tr w14:paraId="4B385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noWrap w:val="0"/>
            <w:vAlign w:val="center"/>
          </w:tcPr>
          <w:p w14:paraId="452703F6">
            <w:pPr>
              <w:pStyle w:val="3"/>
              <w:keepNext w:val="0"/>
              <w:keepLines w:val="0"/>
              <w:widowControl/>
              <w:suppressLineNumbers w:val="0"/>
              <w:ind w:left="0" w:leftChars="0" w:right="0" w:rightChars="0"/>
              <w:jc w:val="center"/>
              <w:rPr>
                <w:rFonts w:hint="eastAsia" w:ascii="宋体" w:hAnsi="宋体" w:eastAsia="宋体" w:cs="宋体"/>
                <w:b w:val="0"/>
                <w:bCs w:val="0"/>
                <w:color w:val="auto"/>
                <w:sz w:val="18"/>
                <w:szCs w:val="18"/>
                <w:vertAlign w:val="baseline"/>
                <w:lang w:val="en-US" w:eastAsia="zh-CN"/>
              </w:rPr>
            </w:pPr>
            <w:r>
              <w:rPr>
                <w:rFonts w:hint="eastAsia" w:ascii="宋体" w:hAnsi="宋体" w:eastAsia="宋体" w:cs="宋体"/>
                <w:b w:val="0"/>
                <w:bCs w:val="0"/>
                <w:color w:val="auto"/>
                <w:sz w:val="18"/>
                <w:szCs w:val="18"/>
              </w:rPr>
              <w:t>较大故障</w:t>
            </w:r>
          </w:p>
        </w:tc>
        <w:tc>
          <w:tcPr>
            <w:tcW w:w="1778" w:type="dxa"/>
            <w:noWrap w:val="0"/>
            <w:vAlign w:val="center"/>
          </w:tcPr>
          <w:p w14:paraId="66E9FB35">
            <w:pPr>
              <w:pStyle w:val="3"/>
              <w:keepNext w:val="0"/>
              <w:keepLines w:val="0"/>
              <w:widowControl/>
              <w:suppressLineNumbers w:val="0"/>
              <w:ind w:left="0" w:leftChars="0" w:right="0" w:rightChars="0"/>
              <w:rPr>
                <w:rFonts w:hint="eastAsia" w:ascii="宋体" w:hAnsi="宋体" w:eastAsia="宋体" w:cs="宋体"/>
                <w:b w:val="0"/>
                <w:bCs/>
                <w:color w:val="auto"/>
                <w:sz w:val="18"/>
                <w:szCs w:val="18"/>
                <w:vertAlign w:val="baseline"/>
                <w:lang w:val="en-US" w:eastAsia="zh-CN"/>
              </w:rPr>
            </w:pPr>
            <w:r>
              <w:rPr>
                <w:rFonts w:hint="eastAsia" w:ascii="宋体" w:hAnsi="宋体" w:eastAsia="宋体" w:cs="宋体"/>
                <w:color w:val="auto"/>
                <w:sz w:val="18"/>
                <w:szCs w:val="18"/>
              </w:rPr>
              <w:t>8:30-20:00，30分钟响应；20:00-次日8:30次日10点前响应</w:t>
            </w:r>
          </w:p>
        </w:tc>
        <w:tc>
          <w:tcPr>
            <w:tcW w:w="1722" w:type="dxa"/>
            <w:noWrap w:val="0"/>
            <w:vAlign w:val="center"/>
          </w:tcPr>
          <w:p w14:paraId="24CE9DA3">
            <w:pPr>
              <w:pStyle w:val="3"/>
              <w:keepNext w:val="0"/>
              <w:keepLines w:val="0"/>
              <w:widowControl/>
              <w:suppressLineNumbers w:val="0"/>
              <w:ind w:left="0" w:leftChars="0" w:right="0" w:rightChars="0"/>
              <w:rPr>
                <w:rFonts w:hint="eastAsia" w:ascii="宋体" w:hAnsi="宋体" w:eastAsia="宋体" w:cs="宋体"/>
                <w:b w:val="0"/>
                <w:bCs/>
                <w:color w:val="auto"/>
                <w:sz w:val="18"/>
                <w:szCs w:val="18"/>
                <w:vertAlign w:val="baseline"/>
                <w:lang w:val="en-US" w:eastAsia="zh-CN"/>
              </w:rPr>
            </w:pPr>
            <w:r>
              <w:rPr>
                <w:rFonts w:hint="eastAsia" w:ascii="宋体" w:hAnsi="宋体" w:eastAsia="宋体" w:cs="宋体"/>
                <w:b w:val="0"/>
                <w:bCs/>
                <w:color w:val="auto"/>
                <w:sz w:val="18"/>
                <w:szCs w:val="18"/>
                <w:vertAlign w:val="baseline"/>
                <w:lang w:val="en-US" w:eastAsia="zh-CN"/>
              </w:rPr>
              <w:t>48小时完成（驻点区域），72小时完成（非驻点区域）</w:t>
            </w:r>
          </w:p>
        </w:tc>
        <w:tc>
          <w:tcPr>
            <w:tcW w:w="1489" w:type="dxa"/>
            <w:noWrap w:val="0"/>
            <w:vAlign w:val="center"/>
          </w:tcPr>
          <w:p w14:paraId="0EEFFF9A">
            <w:pPr>
              <w:pStyle w:val="3"/>
              <w:keepNext w:val="0"/>
              <w:keepLines w:val="0"/>
              <w:widowControl/>
              <w:suppressLineNumbers w:val="0"/>
              <w:ind w:left="0" w:leftChars="0" w:right="0" w:rightChars="0"/>
              <w:rPr>
                <w:rFonts w:hint="eastAsia" w:ascii="宋体" w:hAnsi="宋体" w:eastAsia="宋体" w:cs="宋体"/>
                <w:b w:val="0"/>
                <w:bCs/>
                <w:color w:val="auto"/>
                <w:sz w:val="18"/>
                <w:szCs w:val="18"/>
                <w:vertAlign w:val="baseline"/>
                <w:lang w:val="en-US" w:eastAsia="zh-CN"/>
              </w:rPr>
            </w:pPr>
            <w:r>
              <w:rPr>
                <w:rFonts w:hint="eastAsia" w:ascii="宋体" w:hAnsi="宋体" w:eastAsia="宋体" w:cs="宋体"/>
                <w:color w:val="auto"/>
                <w:sz w:val="18"/>
                <w:szCs w:val="18"/>
              </w:rPr>
              <w:t>视客户需求</w:t>
            </w:r>
          </w:p>
        </w:tc>
        <w:tc>
          <w:tcPr>
            <w:tcW w:w="2441" w:type="dxa"/>
            <w:noWrap w:val="0"/>
            <w:vAlign w:val="center"/>
          </w:tcPr>
          <w:p w14:paraId="3DFB7FE8">
            <w:pPr>
              <w:pStyle w:val="3"/>
              <w:keepNext w:val="0"/>
              <w:keepLines w:val="0"/>
              <w:widowControl/>
              <w:suppressLineNumbers w:val="0"/>
              <w:rPr>
                <w:rFonts w:hint="eastAsia" w:ascii="宋体" w:hAnsi="宋体" w:eastAsia="宋体" w:cs="宋体"/>
                <w:b w:val="0"/>
                <w:bCs/>
                <w:color w:val="auto"/>
                <w:sz w:val="18"/>
                <w:szCs w:val="18"/>
                <w:vertAlign w:val="baseline"/>
                <w:lang w:val="en-US" w:eastAsia="zh-CN"/>
              </w:rPr>
            </w:pPr>
            <w:r>
              <w:rPr>
                <w:rFonts w:hint="eastAsia" w:ascii="宋体" w:hAnsi="宋体" w:eastAsia="宋体" w:cs="宋体"/>
                <w:b w:val="0"/>
                <w:bCs/>
                <w:color w:val="auto"/>
                <w:sz w:val="18"/>
                <w:szCs w:val="18"/>
                <w:vertAlign w:val="baseline"/>
                <w:lang w:val="en-US" w:eastAsia="zh-CN"/>
              </w:rPr>
              <w:t>试组织架构而定</w:t>
            </w:r>
          </w:p>
        </w:tc>
      </w:tr>
      <w:tr w14:paraId="27EE6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noWrap w:val="0"/>
            <w:vAlign w:val="center"/>
          </w:tcPr>
          <w:p w14:paraId="1FAEF900">
            <w:pPr>
              <w:pStyle w:val="3"/>
              <w:keepNext w:val="0"/>
              <w:keepLines w:val="0"/>
              <w:widowControl/>
              <w:suppressLineNumbers w:val="0"/>
              <w:ind w:left="0" w:leftChars="0" w:right="0" w:rightChars="0"/>
              <w:jc w:val="center"/>
              <w:rPr>
                <w:rFonts w:hint="eastAsia" w:ascii="宋体" w:hAnsi="宋体" w:eastAsia="宋体" w:cs="宋体"/>
                <w:b w:val="0"/>
                <w:bCs w:val="0"/>
                <w:color w:val="auto"/>
                <w:sz w:val="18"/>
                <w:szCs w:val="18"/>
                <w:vertAlign w:val="baseline"/>
                <w:lang w:val="en-US" w:eastAsia="zh-CN"/>
              </w:rPr>
            </w:pPr>
            <w:r>
              <w:rPr>
                <w:rFonts w:hint="eastAsia" w:ascii="宋体" w:hAnsi="宋体" w:eastAsia="宋体" w:cs="宋体"/>
                <w:b w:val="0"/>
                <w:bCs w:val="0"/>
                <w:color w:val="auto"/>
                <w:sz w:val="18"/>
                <w:szCs w:val="18"/>
              </w:rPr>
              <w:t>一般故障</w:t>
            </w:r>
          </w:p>
        </w:tc>
        <w:tc>
          <w:tcPr>
            <w:tcW w:w="1778" w:type="dxa"/>
            <w:noWrap w:val="0"/>
            <w:vAlign w:val="center"/>
          </w:tcPr>
          <w:p w14:paraId="74B57FFD">
            <w:pPr>
              <w:pStyle w:val="3"/>
              <w:keepNext w:val="0"/>
              <w:keepLines w:val="0"/>
              <w:widowControl/>
              <w:suppressLineNumbers w:val="0"/>
              <w:ind w:left="0" w:leftChars="0" w:right="0" w:rightChars="0"/>
              <w:rPr>
                <w:rFonts w:hint="eastAsia" w:ascii="宋体" w:hAnsi="宋体" w:eastAsia="宋体" w:cs="宋体"/>
                <w:b w:val="0"/>
                <w:bCs/>
                <w:color w:val="auto"/>
                <w:sz w:val="18"/>
                <w:szCs w:val="18"/>
                <w:vertAlign w:val="baseline"/>
                <w:lang w:val="en-US" w:eastAsia="zh-CN"/>
              </w:rPr>
            </w:pPr>
            <w:r>
              <w:rPr>
                <w:rFonts w:hint="eastAsia" w:ascii="宋体" w:hAnsi="宋体" w:eastAsia="宋体" w:cs="宋体"/>
                <w:color w:val="auto"/>
                <w:sz w:val="18"/>
                <w:szCs w:val="18"/>
              </w:rPr>
              <w:t>8:30-20:00，30分钟响应；20:00-次日8:30次日10点前响应</w:t>
            </w:r>
          </w:p>
        </w:tc>
        <w:tc>
          <w:tcPr>
            <w:tcW w:w="1722" w:type="dxa"/>
            <w:noWrap w:val="0"/>
            <w:vAlign w:val="center"/>
          </w:tcPr>
          <w:p w14:paraId="364AB873">
            <w:pPr>
              <w:pStyle w:val="3"/>
              <w:keepNext w:val="0"/>
              <w:keepLines w:val="0"/>
              <w:widowControl/>
              <w:suppressLineNumbers w:val="0"/>
              <w:ind w:left="0" w:leftChars="0" w:right="0" w:rightChars="0"/>
              <w:rPr>
                <w:rFonts w:hint="eastAsia" w:ascii="宋体" w:hAnsi="宋体" w:eastAsia="宋体" w:cs="宋体"/>
                <w:b w:val="0"/>
                <w:bCs/>
                <w:color w:val="auto"/>
                <w:sz w:val="18"/>
                <w:szCs w:val="18"/>
                <w:vertAlign w:val="baseline"/>
                <w:lang w:val="en-US" w:eastAsia="zh-CN"/>
              </w:rPr>
            </w:pPr>
            <w:r>
              <w:rPr>
                <w:rFonts w:hint="eastAsia" w:ascii="宋体" w:hAnsi="宋体" w:eastAsia="宋体" w:cs="宋体"/>
                <w:b w:val="0"/>
                <w:bCs/>
                <w:color w:val="auto"/>
                <w:sz w:val="18"/>
                <w:szCs w:val="18"/>
                <w:vertAlign w:val="baseline"/>
                <w:lang w:val="en-US" w:eastAsia="zh-CN"/>
              </w:rPr>
              <w:t>72小时完成</w:t>
            </w:r>
          </w:p>
        </w:tc>
        <w:tc>
          <w:tcPr>
            <w:tcW w:w="1489" w:type="dxa"/>
            <w:noWrap w:val="0"/>
            <w:vAlign w:val="center"/>
          </w:tcPr>
          <w:p w14:paraId="632F9B89">
            <w:pPr>
              <w:pStyle w:val="3"/>
              <w:keepNext w:val="0"/>
              <w:keepLines w:val="0"/>
              <w:widowControl/>
              <w:suppressLineNumbers w:val="0"/>
              <w:ind w:left="0" w:leftChars="0" w:right="0" w:rightChars="0"/>
              <w:rPr>
                <w:rFonts w:hint="eastAsia" w:ascii="宋体" w:hAnsi="宋体" w:eastAsia="宋体" w:cs="宋体"/>
                <w:b w:val="0"/>
                <w:bCs/>
                <w:color w:val="auto"/>
                <w:sz w:val="18"/>
                <w:szCs w:val="18"/>
                <w:vertAlign w:val="baseline"/>
                <w:lang w:val="en-US" w:eastAsia="zh-CN"/>
              </w:rPr>
            </w:pPr>
            <w:r>
              <w:rPr>
                <w:rFonts w:hint="eastAsia" w:ascii="宋体" w:hAnsi="宋体" w:eastAsia="宋体" w:cs="宋体"/>
                <w:color w:val="auto"/>
                <w:sz w:val="18"/>
                <w:szCs w:val="18"/>
              </w:rPr>
              <w:t>视客户需求</w:t>
            </w:r>
          </w:p>
        </w:tc>
        <w:tc>
          <w:tcPr>
            <w:tcW w:w="2441" w:type="dxa"/>
            <w:noWrap w:val="0"/>
            <w:vAlign w:val="center"/>
          </w:tcPr>
          <w:p w14:paraId="59579D18">
            <w:pPr>
              <w:pStyle w:val="3"/>
              <w:keepNext w:val="0"/>
              <w:keepLines w:val="0"/>
              <w:widowControl/>
              <w:suppressLineNumbers w:val="0"/>
              <w:rPr>
                <w:rFonts w:hint="eastAsia" w:ascii="宋体" w:hAnsi="宋体" w:eastAsia="宋体" w:cs="宋体"/>
                <w:b w:val="0"/>
                <w:bCs/>
                <w:color w:val="auto"/>
                <w:sz w:val="18"/>
                <w:szCs w:val="18"/>
                <w:vertAlign w:val="baseline"/>
                <w:lang w:val="en-US" w:eastAsia="zh-CN"/>
              </w:rPr>
            </w:pPr>
            <w:r>
              <w:rPr>
                <w:rFonts w:hint="eastAsia" w:ascii="宋体" w:hAnsi="宋体" w:eastAsia="宋体" w:cs="宋体"/>
                <w:b w:val="0"/>
                <w:bCs/>
                <w:color w:val="auto"/>
                <w:sz w:val="18"/>
                <w:szCs w:val="18"/>
                <w:vertAlign w:val="baseline"/>
                <w:lang w:val="en-US" w:eastAsia="zh-CN"/>
              </w:rPr>
              <w:t>试组织架构而定</w:t>
            </w:r>
          </w:p>
        </w:tc>
      </w:tr>
    </w:tbl>
    <w:p w14:paraId="734A5535">
      <w:pPr>
        <w:rPr>
          <w:rFonts w:hint="default" w:ascii="仿宋_GB2312" w:hAnsi="仿宋_GB2312" w:eastAsia="仿宋_GB2312" w:cs="仿宋_GB2312"/>
          <w:sz w:val="28"/>
          <w:szCs w:val="28"/>
          <w:lang w:val="en-US" w:eastAsia="zh-CN"/>
        </w:rPr>
      </w:pPr>
    </w:p>
    <w:p w14:paraId="0C690023">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七</w:t>
      </w:r>
      <w:r>
        <w:rPr>
          <w:rFonts w:hint="eastAsia" w:ascii="仿宋_GB2312" w:hAnsi="仿宋_GB2312" w:eastAsia="仿宋_GB2312" w:cs="仿宋_GB2312"/>
          <w:sz w:val="28"/>
          <w:szCs w:val="28"/>
        </w:rPr>
        <w:t>、考核机制</w:t>
      </w:r>
    </w:p>
    <w:p w14:paraId="56CFD1F0">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本公司将根据运营单位是否按本方案执行各项运营管理内容进行考核，未达标项将按合同约定进行处理。</w:t>
      </w:r>
    </w:p>
    <w:p w14:paraId="3FA436C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运营单位</w:t>
      </w:r>
      <w:r>
        <w:rPr>
          <w:rFonts w:hint="eastAsia" w:ascii="仿宋_GB2312" w:hAnsi="仿宋_GB2312" w:eastAsia="仿宋_GB2312" w:cs="仿宋_GB2312"/>
          <w:sz w:val="28"/>
          <w:szCs w:val="28"/>
        </w:rPr>
        <w:t>违反《委托运营服务细则独立充电站委托运营管理方案》的，招标人每发现一次，视情节轻重扣200-1000元，在月度服务费中扣除。</w:t>
      </w:r>
    </w:p>
    <w:p w14:paraId="08CE6A6F">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八</w:t>
      </w:r>
      <w:r>
        <w:rPr>
          <w:rFonts w:hint="eastAsia" w:ascii="仿宋_GB2312" w:hAnsi="仿宋_GB2312" w:eastAsia="仿宋_GB2312" w:cs="仿宋_GB2312"/>
          <w:sz w:val="28"/>
          <w:szCs w:val="28"/>
        </w:rPr>
        <w:t>、附则</w:t>
      </w:r>
    </w:p>
    <w:p w14:paraId="5811CAB5">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本方案为委托运营框架合同的附件，具体执行细节可在合同中进一步明确。本公司保留根据实际运营情况对本方案进行优化调整的权利。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AACAE7"/>
    <w:multiLevelType w:val="singleLevel"/>
    <w:tmpl w:val="F7AACAE7"/>
    <w:lvl w:ilvl="0" w:tentative="0">
      <w:start w:val="4"/>
      <w:numFmt w:val="decimal"/>
      <w:suff w:val="space"/>
      <w:lvlText w:val="%1."/>
      <w:lvlJc w:val="left"/>
    </w:lvl>
  </w:abstractNum>
  <w:abstractNum w:abstractNumId="1">
    <w:nsid w:val="1C4FE9EA"/>
    <w:multiLevelType w:val="singleLevel"/>
    <w:tmpl w:val="1C4FE9EA"/>
    <w:lvl w:ilvl="0" w:tentative="0">
      <w:start w:val="1"/>
      <w:numFmt w:val="decimal"/>
      <w:suff w:val="nothing"/>
      <w:lvlText w:val="%1、"/>
      <w:lvlJc w:val="left"/>
    </w:lvl>
  </w:abstractNum>
  <w:abstractNum w:abstractNumId="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0"/>
      <w:suff w:val="nothing"/>
      <w:lvlText w:val="%1.%2　"/>
      <w:lvlJc w:val="left"/>
      <w:pPr>
        <w:ind w:left="567"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9"/>
      <w:suff w:val="nothing"/>
      <w:lvlText w:val="%1.%2.%3　"/>
      <w:lvlJc w:val="left"/>
      <w:pPr>
        <w:ind w:left="283"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567"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7D86A20"/>
    <w:multiLevelType w:val="singleLevel"/>
    <w:tmpl w:val="27D86A20"/>
    <w:lvl w:ilvl="0" w:tentative="0">
      <w:start w:val="2"/>
      <w:numFmt w:val="decimal"/>
      <w:lvlText w:val="%1."/>
      <w:lvlJc w:val="left"/>
      <w:pPr>
        <w:tabs>
          <w:tab w:val="left" w:pos="312"/>
        </w:tabs>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331EE"/>
    <w:rsid w:val="0C1237DB"/>
    <w:rsid w:val="19E576EB"/>
    <w:rsid w:val="216677C8"/>
    <w:rsid w:val="32F04CDF"/>
    <w:rsid w:val="3E081DDA"/>
    <w:rsid w:val="4E560903"/>
    <w:rsid w:val="50950CB1"/>
    <w:rsid w:val="59E232AC"/>
    <w:rsid w:val="7056191E"/>
    <w:rsid w:val="74E03EAC"/>
    <w:rsid w:val="7EA54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rPr>
      <w:sz w:val="24"/>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paragraph" w:customStyle="1" w:styleId="8">
    <w:name w:val="二级无"/>
    <w:basedOn w:val="9"/>
    <w:autoRedefine/>
    <w:qFormat/>
    <w:uiPriority w:val="0"/>
    <w:pPr>
      <w:spacing w:beforeLines="0" w:afterLines="0"/>
    </w:pPr>
    <w:rPr>
      <w:rFonts w:ascii="宋体" w:eastAsia="宋体"/>
    </w:rPr>
  </w:style>
  <w:style w:type="paragraph" w:customStyle="1" w:styleId="9">
    <w:name w:val="二级条标题"/>
    <w:basedOn w:val="10"/>
    <w:next w:val="11"/>
    <w:autoRedefine/>
    <w:qFormat/>
    <w:uiPriority w:val="0"/>
    <w:pPr>
      <w:numPr>
        <w:ilvl w:val="2"/>
      </w:numPr>
      <w:spacing w:before="50" w:after="50"/>
      <w:ind w:left="1843"/>
      <w:outlineLvl w:val="3"/>
    </w:pPr>
  </w:style>
  <w:style w:type="paragraph" w:customStyle="1" w:styleId="10">
    <w:name w:val="一级条标题"/>
    <w:next w:val="11"/>
    <w:autoRedefine/>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11">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Table Text"/>
    <w:basedOn w:val="1"/>
    <w:autoRedefine/>
    <w:semiHidden/>
    <w:qFormat/>
    <w:uiPriority w:val="0"/>
    <w:rPr>
      <w:rFonts w:ascii="宋体" w:hAnsi="宋体" w:cs="宋体"/>
      <w:sz w:val="20"/>
      <w:szCs w:val="20"/>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2368</Words>
  <Characters>2449</Characters>
  <Lines>0</Lines>
  <Paragraphs>0</Paragraphs>
  <TotalTime>4</TotalTime>
  <ScaleCrop>false</ScaleCrop>
  <LinksUpToDate>false</LinksUpToDate>
  <CharactersWithSpaces>2484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2025-09-03T01:40:00Z</dcterms:created>
  <dc:creator>DELL</dc:creator>
  <cp:lastModifiedBy>阳</cp:lastModifiedBy>
  <dcterms:modified xsi:type="dcterms:W3CDTF">2025-09-04T07:16:59Z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eyJoZGlkIjoiMjI4YzAwODZiOWQ3MDk4ZWVkYmZiYTE5NzVhODgwMWQiLCJ1c2VySWQiOiIzNzg5MjQwOTEifQ==</vt:lpwstr>
  </property>
  <property fmtid="{D5CDD505-2E9C-101B-9397-08002B2CF9AE}" pid="4" name="ICV">
    <vt:lpwstr>ABF3130664094DE5A84E62CA327EF4A9_13</vt:lpwstr>
  </property>
</Properties>
</file>