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C0A010">
      <w:pPr>
        <w:rPr>
          <w:rFonts w:ascii="宋体" w:hAnsi="宋体" w:cs="宋体"/>
          <w:b/>
          <w:sz w:val="44"/>
          <w:szCs w:val="44"/>
        </w:rPr>
      </w:pPr>
      <w:r>
        <w:rPr>
          <w:rFonts w:ascii="Times New Roman" w:hAnsi="Times New Roman"/>
        </w:rPr>
        <w:drawing>
          <wp:anchor distT="0" distB="0" distL="114300" distR="114300" simplePos="0" relativeHeight="251669504" behindDoc="0" locked="0" layoutInCell="1" allowOverlap="1">
            <wp:simplePos x="0" y="0"/>
            <wp:positionH relativeFrom="column">
              <wp:posOffset>-66675</wp:posOffset>
            </wp:positionH>
            <wp:positionV relativeFrom="paragraph">
              <wp:posOffset>268605</wp:posOffset>
            </wp:positionV>
            <wp:extent cx="582930" cy="483870"/>
            <wp:effectExtent l="0" t="0" r="7620" b="11430"/>
            <wp:wrapNone/>
            <wp:docPr id="38" name="图片 4" descr="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descr="88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82930" cy="483870"/>
                    </a:xfrm>
                    <a:prstGeom prst="rect">
                      <a:avLst/>
                    </a:prstGeom>
                    <a:noFill/>
                  </pic:spPr>
                </pic:pic>
              </a:graphicData>
            </a:graphic>
          </wp:anchor>
        </w:drawing>
      </w:r>
    </w:p>
    <w:p w14:paraId="1882BD5C">
      <w:pPr>
        <w:ind w:firstLine="964" w:firstLineChars="300"/>
        <w:rPr>
          <w:rFonts w:ascii="宋体" w:hAnsi="宋体" w:cs="宋体"/>
          <w:b/>
          <w:sz w:val="32"/>
          <w:szCs w:val="32"/>
        </w:rPr>
      </w:pPr>
      <w:r>
        <w:rPr>
          <w:rFonts w:hint="eastAsia" w:ascii="宋体" w:hAnsi="宋体" w:cs="宋体"/>
          <w:b/>
          <w:sz w:val="32"/>
          <w:szCs w:val="32"/>
        </w:rPr>
        <w:t>伊犁新天煤化工有限责任公司</w:t>
      </w:r>
    </w:p>
    <w:p w14:paraId="31A45F42">
      <w:pPr>
        <w:ind w:firstLine="883"/>
        <w:jc w:val="center"/>
        <w:rPr>
          <w:rFonts w:ascii="宋体" w:hAnsi="宋体" w:cs="宋体"/>
          <w:b/>
          <w:sz w:val="44"/>
          <w:szCs w:val="44"/>
        </w:rPr>
      </w:pPr>
    </w:p>
    <w:p w14:paraId="405707DA">
      <w:pPr>
        <w:rPr>
          <w:rFonts w:ascii="宋体" w:hAnsi="宋体" w:cs="宋体"/>
          <w:b/>
          <w:sz w:val="44"/>
          <w:szCs w:val="44"/>
        </w:rPr>
      </w:pPr>
    </w:p>
    <w:p w14:paraId="6EC06B98">
      <w:pPr>
        <w:jc w:val="center"/>
        <w:rPr>
          <w:rFonts w:ascii="宋体" w:hAnsi="宋体" w:cs="宋体"/>
          <w:b/>
          <w:sz w:val="44"/>
          <w:szCs w:val="44"/>
        </w:rPr>
      </w:pPr>
      <w:r>
        <w:rPr>
          <w:rFonts w:hint="eastAsia" w:ascii="宋体" w:hAnsi="宋体"/>
          <w:b/>
          <w:sz w:val="48"/>
          <w:szCs w:val="48"/>
        </w:rPr>
        <w:t>罐区外运道路-</w:t>
      </w:r>
      <w:r>
        <w:rPr>
          <w:rFonts w:hint="eastAsia" w:ascii="宋体" w:hAnsi="宋体" w:cs="宋体"/>
          <w:b/>
          <w:sz w:val="44"/>
          <w:szCs w:val="44"/>
        </w:rPr>
        <w:t>技术规范书</w:t>
      </w:r>
    </w:p>
    <w:p w14:paraId="2211ED8E">
      <w:pPr>
        <w:ind w:firstLine="643"/>
        <w:rPr>
          <w:rFonts w:ascii="宋体" w:hAnsi="宋体" w:cs="宋体"/>
          <w:b/>
          <w:sz w:val="32"/>
          <w:szCs w:val="32"/>
        </w:rPr>
      </w:pPr>
    </w:p>
    <w:p w14:paraId="5D19645F">
      <w:pPr>
        <w:ind w:firstLine="643"/>
        <w:rPr>
          <w:rFonts w:ascii="宋体" w:hAnsi="宋体" w:cs="宋体"/>
          <w:b/>
          <w:sz w:val="32"/>
          <w:szCs w:val="32"/>
        </w:rPr>
      </w:pPr>
    </w:p>
    <w:p w14:paraId="0C633AF6">
      <w:pPr>
        <w:ind w:firstLine="643"/>
        <w:rPr>
          <w:rFonts w:ascii="宋体" w:hAnsi="宋体" w:cs="宋体"/>
          <w:b/>
          <w:sz w:val="32"/>
          <w:szCs w:val="32"/>
        </w:rPr>
      </w:pPr>
    </w:p>
    <w:p w14:paraId="07828884">
      <w:pPr>
        <w:ind w:firstLine="1985" w:firstLineChars="618"/>
        <w:rPr>
          <w:rFonts w:ascii="宋体" w:hAnsi="宋体" w:cs="宋体"/>
          <w:b/>
          <w:sz w:val="32"/>
          <w:szCs w:val="32"/>
        </w:rPr>
      </w:pPr>
      <w:r>
        <w:rPr>
          <w:rFonts w:hint="eastAsia" w:ascii="宋体" w:hAnsi="宋体" w:cs="宋体"/>
          <w:b/>
          <w:sz w:val="32"/>
          <w:szCs w:val="32"/>
        </w:rPr>
        <w:t>编制：</w:t>
      </w:r>
    </w:p>
    <w:p w14:paraId="6DCCDD61">
      <w:pPr>
        <w:rPr>
          <w:rFonts w:hint="eastAsia" w:ascii="宋体" w:hAnsi="宋体" w:cs="宋体"/>
          <w:b/>
          <w:sz w:val="32"/>
          <w:szCs w:val="32"/>
        </w:rPr>
      </w:pPr>
    </w:p>
    <w:p w14:paraId="3C7F7B84">
      <w:pPr>
        <w:ind w:firstLine="1985" w:firstLineChars="618"/>
        <w:rPr>
          <w:rFonts w:ascii="宋体" w:hAnsi="宋体" w:cs="宋体"/>
          <w:b/>
          <w:sz w:val="32"/>
          <w:szCs w:val="32"/>
        </w:rPr>
      </w:pPr>
      <w:r>
        <w:rPr>
          <w:rFonts w:hint="eastAsia" w:ascii="宋体" w:hAnsi="宋体" w:cs="宋体"/>
          <w:b/>
          <w:sz w:val="32"/>
          <w:szCs w:val="32"/>
        </w:rPr>
        <w:t>会签：</w:t>
      </w:r>
    </w:p>
    <w:p w14:paraId="0083E66A">
      <w:pPr>
        <w:rPr>
          <w:rFonts w:hint="eastAsia" w:ascii="宋体" w:hAnsi="宋体" w:cs="宋体"/>
          <w:b/>
          <w:sz w:val="32"/>
          <w:szCs w:val="32"/>
        </w:rPr>
      </w:pPr>
    </w:p>
    <w:p w14:paraId="00274024">
      <w:pPr>
        <w:ind w:firstLine="1985" w:firstLineChars="618"/>
        <w:rPr>
          <w:rFonts w:ascii="宋体" w:hAnsi="宋体" w:cs="宋体"/>
          <w:b/>
          <w:sz w:val="32"/>
          <w:szCs w:val="32"/>
        </w:rPr>
      </w:pPr>
      <w:r>
        <w:rPr>
          <w:rFonts w:hint="eastAsia" w:ascii="宋体" w:hAnsi="宋体" w:cs="宋体"/>
          <w:b/>
          <w:sz w:val="32"/>
          <w:szCs w:val="32"/>
        </w:rPr>
        <w:t>审核：</w:t>
      </w:r>
    </w:p>
    <w:p w14:paraId="7538B260">
      <w:pPr>
        <w:rPr>
          <w:rFonts w:hint="eastAsia" w:ascii="宋体" w:hAnsi="宋体" w:cs="宋体"/>
          <w:b/>
          <w:sz w:val="32"/>
          <w:szCs w:val="32"/>
        </w:rPr>
      </w:pPr>
    </w:p>
    <w:p w14:paraId="3F82F4D8">
      <w:pPr>
        <w:ind w:firstLine="1985" w:firstLineChars="618"/>
        <w:rPr>
          <w:rFonts w:ascii="宋体" w:hAnsi="宋体" w:cs="宋体"/>
          <w:b/>
          <w:sz w:val="32"/>
          <w:szCs w:val="32"/>
        </w:rPr>
      </w:pPr>
      <w:r>
        <w:rPr>
          <w:rFonts w:hint="eastAsia" w:ascii="宋体" w:hAnsi="宋体" w:cs="宋体"/>
          <w:b/>
          <w:sz w:val="32"/>
          <w:szCs w:val="32"/>
        </w:rPr>
        <w:t>批准：</w:t>
      </w:r>
    </w:p>
    <w:p w14:paraId="3645B97E">
      <w:pPr>
        <w:ind w:firstLine="1985" w:firstLineChars="618"/>
        <w:rPr>
          <w:rFonts w:ascii="宋体" w:hAnsi="宋体" w:cs="宋体"/>
          <w:b/>
          <w:sz w:val="32"/>
          <w:szCs w:val="32"/>
        </w:rPr>
      </w:pPr>
    </w:p>
    <w:p w14:paraId="3A097136">
      <w:pPr>
        <w:ind w:firstLine="1985" w:firstLineChars="618"/>
        <w:rPr>
          <w:rFonts w:hint="eastAsia" w:ascii="宋体" w:hAnsi="宋体" w:cs="宋体"/>
          <w:b/>
          <w:sz w:val="32"/>
          <w:szCs w:val="32"/>
        </w:rPr>
      </w:pPr>
    </w:p>
    <w:p w14:paraId="0D9CCCC7">
      <w:pPr>
        <w:ind w:firstLine="1985" w:firstLineChars="618"/>
        <w:rPr>
          <w:rFonts w:hint="eastAsia" w:ascii="宋体" w:hAnsi="宋体" w:cs="宋体"/>
          <w:b/>
          <w:sz w:val="32"/>
          <w:szCs w:val="32"/>
        </w:rPr>
      </w:pPr>
    </w:p>
    <w:p w14:paraId="75633D1A">
      <w:pPr>
        <w:ind w:firstLine="643"/>
        <w:rPr>
          <w:rFonts w:ascii="宋体" w:hAnsi="宋体" w:cs="宋体"/>
          <w:b/>
          <w:sz w:val="32"/>
          <w:szCs w:val="32"/>
        </w:rPr>
      </w:pPr>
    </w:p>
    <w:p w14:paraId="1C01C895">
      <w:pPr>
        <w:ind w:firstLine="643"/>
        <w:jc w:val="center"/>
        <w:rPr>
          <w:rFonts w:ascii="宋体" w:hAnsi="宋体" w:cs="宋体"/>
          <w:b/>
          <w:sz w:val="32"/>
          <w:szCs w:val="32"/>
        </w:rPr>
      </w:pPr>
      <w:r>
        <w:rPr>
          <w:rFonts w:hint="eastAsia" w:ascii="宋体" w:hAnsi="宋体" w:cs="宋体"/>
          <w:b/>
          <w:sz w:val="32"/>
          <w:szCs w:val="32"/>
        </w:rPr>
        <w:t>伊犁新天煤化工有限责任公司</w:t>
      </w:r>
    </w:p>
    <w:p w14:paraId="220042B7">
      <w:pPr>
        <w:ind w:firstLine="643"/>
        <w:jc w:val="center"/>
        <w:rPr>
          <w:rFonts w:ascii="宋体" w:hAnsi="宋体" w:cs="宋体"/>
          <w:b/>
          <w:sz w:val="32"/>
          <w:szCs w:val="32"/>
        </w:rPr>
      </w:pPr>
      <w:r>
        <w:rPr>
          <w:rFonts w:hint="eastAsia" w:ascii="宋体" w:hAnsi="宋体" w:cs="宋体"/>
          <w:b/>
          <w:sz w:val="32"/>
          <w:szCs w:val="32"/>
        </w:rPr>
        <w:t>202</w:t>
      </w:r>
      <w:r>
        <w:rPr>
          <w:rFonts w:ascii="宋体" w:hAnsi="宋体" w:cs="宋体"/>
          <w:b/>
          <w:sz w:val="32"/>
          <w:szCs w:val="32"/>
        </w:rPr>
        <w:t>5</w:t>
      </w:r>
      <w:r>
        <w:rPr>
          <w:rFonts w:hint="eastAsia" w:ascii="宋体" w:hAnsi="宋体" w:cs="宋体"/>
          <w:b/>
          <w:sz w:val="32"/>
          <w:szCs w:val="32"/>
        </w:rPr>
        <w:t>年</w:t>
      </w:r>
      <w:r>
        <w:rPr>
          <w:rFonts w:ascii="宋体" w:hAnsi="宋体" w:cs="宋体"/>
          <w:b/>
          <w:sz w:val="32"/>
          <w:szCs w:val="32"/>
        </w:rPr>
        <w:t>8</w:t>
      </w:r>
      <w:r>
        <w:rPr>
          <w:rFonts w:hint="eastAsia" w:ascii="宋体" w:hAnsi="宋体" w:cs="宋体"/>
          <w:b/>
          <w:sz w:val="32"/>
          <w:szCs w:val="32"/>
        </w:rPr>
        <w:t>月</w:t>
      </w:r>
    </w:p>
    <w:p w14:paraId="1FAC195F">
      <w:pPr>
        <w:ind w:firstLine="562"/>
        <w:rPr>
          <w:b/>
          <w:sz w:val="28"/>
          <w:szCs w:val="28"/>
        </w:rPr>
        <w:sectPr>
          <w:headerReference r:id="rId5" w:type="first"/>
          <w:headerReference r:id="rId3" w:type="default"/>
          <w:footerReference r:id="rId6" w:type="default"/>
          <w:headerReference r:id="rId4" w:type="even"/>
          <w:pgSz w:w="11906" w:h="16838"/>
          <w:pgMar w:top="1814" w:right="1418" w:bottom="1440" w:left="1797" w:header="1418" w:footer="992" w:gutter="0"/>
          <w:pgBorders w:display="notFirstPage">
            <w:bottom w:val="single" w:color="3366FF" w:sz="6" w:space="1"/>
          </w:pgBorders>
          <w:pgNumType w:start="0"/>
          <w:cols w:space="425" w:num="1"/>
          <w:titlePg/>
          <w:docGrid w:type="lines" w:linePitch="312" w:charSpace="0"/>
        </w:sectPr>
      </w:pPr>
    </w:p>
    <w:p w14:paraId="4F0C66AE"/>
    <w:p w14:paraId="305C2DEE">
      <w:pPr>
        <w:rPr>
          <w:rFonts w:asciiTheme="minorEastAsia" w:hAnsiTheme="minorEastAsia" w:eastAsiaTheme="minorEastAsia"/>
          <w:b/>
        </w:rPr>
      </w:pPr>
      <w:r>
        <w:rPr>
          <w:rFonts w:hint="eastAsia" w:asciiTheme="minorEastAsia" w:hAnsiTheme="minorEastAsia" w:eastAsiaTheme="minorEastAsia"/>
          <w:b/>
        </w:rPr>
        <w:t>1、总则</w:t>
      </w:r>
    </w:p>
    <w:p w14:paraId="1921591D">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1.1 本规范仅用于伊犁新天煤化工有限责任公司罐区外运道路项目。</w:t>
      </w:r>
    </w:p>
    <w:p w14:paraId="0CBF48F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1.2 </w:t>
      </w:r>
      <w:r>
        <w:rPr>
          <w:rFonts w:hint="eastAsia" w:asciiTheme="minorEastAsia" w:hAnsiTheme="minorEastAsia" w:eastAsiaTheme="minorEastAsia" w:cstheme="minorEastAsia"/>
          <w:szCs w:val="21"/>
          <w:lang w:eastAsia="zh-CN"/>
        </w:rPr>
        <w:t>招标人</w:t>
      </w:r>
      <w:r>
        <w:rPr>
          <w:rFonts w:hint="eastAsia" w:asciiTheme="minorEastAsia" w:hAnsiTheme="minorEastAsia" w:eastAsiaTheme="minorEastAsia" w:cstheme="minorEastAsia"/>
          <w:szCs w:val="21"/>
        </w:rPr>
        <w:t>在本规范中提出了最低限度的技术要求，并未规定所有的技术要求和适用的标准，未对一切细节作阐述，也未充分引述有关标准和规范的条文，</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应保证提出符合本规范和相关国家文件要求的优质服务和成果资料。对国家和地方有关文件精神，必须满足其要求。</w:t>
      </w:r>
    </w:p>
    <w:p w14:paraId="5C659F2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1.3 如未对本规范提出偏差，将认为</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提供的设备符合规范和标准的要求。偏差（无论多少）都必须清楚地表示在“差异表”中。</w:t>
      </w:r>
    </w:p>
    <w:p w14:paraId="4771241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1.4按本规范要求，</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在投标文件中应提出此项目的设计原则和设计说明。</w:t>
      </w:r>
    </w:p>
    <w:p w14:paraId="41746756">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1.5 在签订合同之后，</w:t>
      </w:r>
      <w:r>
        <w:rPr>
          <w:rFonts w:hint="eastAsia" w:asciiTheme="minorEastAsia" w:hAnsiTheme="minorEastAsia" w:eastAsiaTheme="minorEastAsia" w:cstheme="minorEastAsia"/>
          <w:szCs w:val="21"/>
          <w:lang w:eastAsia="zh-CN"/>
        </w:rPr>
        <w:t>招标人</w:t>
      </w:r>
      <w:r>
        <w:rPr>
          <w:rFonts w:hint="eastAsia" w:asciiTheme="minorEastAsia" w:hAnsiTheme="minorEastAsia" w:eastAsiaTheme="minorEastAsia" w:cstheme="minorEastAsia"/>
          <w:szCs w:val="21"/>
        </w:rPr>
        <w:t>有权提出因规范标准、文件要求发生变化而产生的一些补充要求，具体按合同规定执行。</w:t>
      </w:r>
    </w:p>
    <w:p w14:paraId="03F0D4D0">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1.6</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应执行本招标文件所列标准，有不一致时，按较高标准执行。</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在设计中所涉及的各项规程、规范和标准必须遵循现行最新标准版本。若</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所提供的投标文件前后有不一致的地方，应以更有利于安装</w:t>
      </w:r>
      <w:bookmarkStart w:id="3" w:name="_GoBack"/>
      <w:bookmarkEnd w:id="3"/>
      <w:r>
        <w:rPr>
          <w:rFonts w:hint="eastAsia" w:asciiTheme="minorEastAsia" w:hAnsiTheme="minorEastAsia" w:eastAsiaTheme="minorEastAsia" w:cstheme="minorEastAsia"/>
          <w:szCs w:val="21"/>
        </w:rPr>
        <w:t>运行、工程质量为原则，由</w:t>
      </w:r>
      <w:r>
        <w:rPr>
          <w:rFonts w:hint="eastAsia" w:asciiTheme="minorEastAsia" w:hAnsiTheme="minorEastAsia" w:eastAsiaTheme="minorEastAsia" w:cstheme="minorEastAsia"/>
          <w:szCs w:val="21"/>
          <w:lang w:eastAsia="zh-CN"/>
        </w:rPr>
        <w:t>招标人</w:t>
      </w:r>
      <w:r>
        <w:rPr>
          <w:rFonts w:hint="eastAsia" w:asciiTheme="minorEastAsia" w:hAnsiTheme="minorEastAsia" w:eastAsiaTheme="minorEastAsia" w:cstheme="minorEastAsia"/>
          <w:szCs w:val="21"/>
        </w:rPr>
        <w:t>确定。</w:t>
      </w:r>
    </w:p>
    <w:p w14:paraId="1F9E8249">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1.7</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应在投标文件中，对于招标文件进行逐段应答，表明是否接受和同意本招标文件的要求，如：接受和同意招标文件某条款的要求，则在该条款后注明：“理解并承诺完全响应上述条款的要求”；若针对某条款，</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有特别的建议、方案、技术特点或差异，请在该条款下加以描述和说明。</w:t>
      </w:r>
    </w:p>
    <w:p w14:paraId="4CCF8CF2">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1.8</w:t>
      </w:r>
      <w:r>
        <w:rPr>
          <w:rFonts w:hint="eastAsia" w:asciiTheme="minorEastAsia" w:hAnsiTheme="minorEastAsia" w:eastAsiaTheme="minorEastAsia" w:cstheme="minorEastAsia"/>
          <w:szCs w:val="21"/>
          <w:lang w:eastAsia="zh-CN"/>
        </w:rPr>
        <w:t>投标人</w:t>
      </w:r>
      <w:r>
        <w:rPr>
          <w:rFonts w:hint="eastAsia" w:asciiTheme="minorEastAsia" w:hAnsiTheme="minorEastAsia" w:eastAsiaTheme="minorEastAsia" w:cstheme="minorEastAsia"/>
          <w:szCs w:val="21"/>
        </w:rPr>
        <w:t>对招投标双方确认的澄清文件内容的理解如有异议，解释权归</w:t>
      </w:r>
      <w:r>
        <w:rPr>
          <w:rFonts w:hint="eastAsia" w:asciiTheme="minorEastAsia" w:hAnsiTheme="minorEastAsia" w:eastAsiaTheme="minorEastAsia" w:cstheme="minorEastAsia"/>
          <w:szCs w:val="21"/>
          <w:lang w:eastAsia="zh-CN"/>
        </w:rPr>
        <w:t>招标人</w:t>
      </w:r>
      <w:r>
        <w:rPr>
          <w:rFonts w:hint="eastAsia" w:asciiTheme="minorEastAsia" w:hAnsiTheme="minorEastAsia" w:eastAsiaTheme="minorEastAsia" w:cstheme="minorEastAsia"/>
          <w:szCs w:val="21"/>
        </w:rPr>
        <w:t>。</w:t>
      </w:r>
    </w:p>
    <w:p w14:paraId="06CE957F">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.9</w:t>
      </w:r>
      <w:r>
        <w:rPr>
          <w:rFonts w:hint="eastAsia"/>
        </w:rPr>
        <w:t>本工程的施工过程和成果必须符合国家有关工程建设标准强制性条文和交通部关于公路施工方面现行的标准、规范、规程、定额、办法、示例以及新疆维吾尔自治区关于公路工程勘察设计方面的文件、规定。</w:t>
      </w:r>
      <w:r>
        <w:rPr>
          <w:rFonts w:hint="eastAsia" w:asciiTheme="minorEastAsia" w:hAnsiTheme="minorEastAsia" w:eastAsiaTheme="minorEastAsia" w:cstheme="minorEastAsia"/>
          <w:szCs w:val="21"/>
        </w:rPr>
        <w:t xml:space="preserve"> </w:t>
      </w:r>
    </w:p>
    <w:p w14:paraId="4C76BC41">
      <w:pPr>
        <w:spacing w:line="360" w:lineRule="auto"/>
      </w:pPr>
      <w:r>
        <w:rPr>
          <w:rFonts w:hint="eastAsia" w:asciiTheme="minorEastAsia" w:hAnsiTheme="minorEastAsia" w:eastAsiaTheme="minorEastAsia" w:cstheme="minorEastAsia"/>
          <w:szCs w:val="21"/>
        </w:rPr>
        <w:t>1.</w:t>
      </w:r>
      <w:bookmarkStart w:id="0" w:name="_Toc15410"/>
      <w:r>
        <w:rPr>
          <w:rFonts w:asciiTheme="minorEastAsia" w:hAnsiTheme="minorEastAsia" w:eastAsiaTheme="minorEastAsia" w:cstheme="minorEastAsia"/>
          <w:szCs w:val="21"/>
        </w:rPr>
        <w:t>10</w:t>
      </w:r>
      <w:r>
        <w:rPr>
          <w:rFonts w:hint="eastAsia"/>
        </w:rPr>
        <w:t>施工中必须按中华人民共和国《工程建设标准强制性条文》（公路工程部分）和下述标准、规范（不限于）：</w:t>
      </w:r>
    </w:p>
    <w:p w14:paraId="6CC76205">
      <w:pPr>
        <w:snapToGrid w:val="0"/>
        <w:spacing w:line="500" w:lineRule="exact"/>
      </w:pPr>
      <w:r>
        <w:t xml:space="preserve">《公路工程技术标准》JTG B01-2014 </w:t>
      </w:r>
    </w:p>
    <w:p w14:paraId="6009A839">
      <w:pPr>
        <w:snapToGrid w:val="0"/>
        <w:spacing w:line="500" w:lineRule="exact"/>
      </w:pPr>
      <w:r>
        <w:t>《公路路线设计规范》JTG D20-2017</w:t>
      </w:r>
    </w:p>
    <w:p w14:paraId="6F07BE08">
      <w:pPr>
        <w:snapToGrid w:val="0"/>
        <w:spacing w:line="500" w:lineRule="exact"/>
      </w:pPr>
      <w:r>
        <w:t xml:space="preserve">《公路交通安全设施设计规范》JTG D81-2017 </w:t>
      </w:r>
    </w:p>
    <w:p w14:paraId="64AA52A6">
      <w:pPr>
        <w:snapToGrid w:val="0"/>
        <w:spacing w:line="500" w:lineRule="exact"/>
      </w:pPr>
      <w:r>
        <w:t xml:space="preserve">《公路交通安全设施设计细则》JTG/T D81-2017 </w:t>
      </w:r>
    </w:p>
    <w:p w14:paraId="5E8E7D3C">
      <w:pPr>
        <w:snapToGrid w:val="0"/>
        <w:spacing w:line="500" w:lineRule="exact"/>
      </w:pPr>
      <w:r>
        <w:t xml:space="preserve">《公路交通标志和标线设置规范》JTG D82-2009 </w:t>
      </w:r>
    </w:p>
    <w:p w14:paraId="171C7BDB">
      <w:pPr>
        <w:snapToGrid w:val="0"/>
        <w:spacing w:line="500" w:lineRule="exact"/>
      </w:pPr>
      <w:r>
        <w:t xml:space="preserve">《道路交通标志和标线》GB 5768.1-2009、GB 5768.2-2022、GB 5768.3-2009 </w:t>
      </w:r>
    </w:p>
    <w:p w14:paraId="2A5F96AB">
      <w:pPr>
        <w:snapToGrid w:val="0"/>
        <w:spacing w:line="500" w:lineRule="exact"/>
      </w:pPr>
      <w:r>
        <w:t xml:space="preserve">《公路路基设计规范》JTG D30-2015 </w:t>
      </w:r>
    </w:p>
    <w:p w14:paraId="16ED7B31">
      <w:pPr>
        <w:snapToGrid w:val="0"/>
        <w:spacing w:line="500" w:lineRule="exact"/>
      </w:pPr>
      <w:r>
        <w:t xml:space="preserve">《公路水泥混凝土路面设计规范》JTG D40-2011 </w:t>
      </w:r>
    </w:p>
    <w:p w14:paraId="7060A21F">
      <w:pPr>
        <w:snapToGrid w:val="0"/>
        <w:spacing w:line="500" w:lineRule="exact"/>
      </w:pPr>
      <w:r>
        <w:t xml:space="preserve">《公路水泥混凝土路面施工技术细则》JTG/T F30-2014 </w:t>
      </w:r>
    </w:p>
    <w:p w14:paraId="34217C42">
      <w:pPr>
        <w:snapToGrid w:val="0"/>
        <w:spacing w:line="500" w:lineRule="exact"/>
      </w:pPr>
      <w:r>
        <w:t xml:space="preserve">《公路路基施工技术规范》JTG/T 3610-2019 </w:t>
      </w:r>
    </w:p>
    <w:p w14:paraId="5365C0D6">
      <w:pPr>
        <w:snapToGrid w:val="0"/>
        <w:spacing w:line="500" w:lineRule="exact"/>
      </w:pPr>
      <w:r>
        <w:t xml:space="preserve">《公路路面基层施工技术细则》JTG/T F20-2015 </w:t>
      </w:r>
    </w:p>
    <w:p w14:paraId="417A7132">
      <w:pPr>
        <w:snapToGrid w:val="0"/>
        <w:spacing w:line="500" w:lineRule="exact"/>
      </w:pPr>
      <w:r>
        <w:t xml:space="preserve">《公路土工合成材料应用技术规范》JTG/T D32-2012 </w:t>
      </w:r>
    </w:p>
    <w:p w14:paraId="1873084B">
      <w:pPr>
        <w:snapToGrid w:val="0"/>
        <w:spacing w:line="500" w:lineRule="exact"/>
      </w:pPr>
      <w:r>
        <w:t>《公路排水设计规范》JTG/T D33-2012</w:t>
      </w:r>
    </w:p>
    <w:p w14:paraId="0E46D659">
      <w:pPr>
        <w:snapToGrid w:val="0"/>
        <w:spacing w:line="500" w:lineRule="exact"/>
      </w:pPr>
      <w:r>
        <w:t xml:space="preserve">《公路桥涵设计通用规范》JTG D60-2015 </w:t>
      </w:r>
    </w:p>
    <w:p w14:paraId="510B9CDA">
      <w:pPr>
        <w:snapToGrid w:val="0"/>
        <w:spacing w:line="500" w:lineRule="exact"/>
      </w:pPr>
      <w:r>
        <w:t xml:space="preserve">《公路圬工桥涵设计规范》JTG D61-2018 </w:t>
      </w:r>
    </w:p>
    <w:p w14:paraId="56AE2CAC">
      <w:pPr>
        <w:snapToGrid w:val="0"/>
        <w:spacing w:line="500" w:lineRule="exact"/>
      </w:pPr>
      <w:r>
        <w:t xml:space="preserve">《公路桥涵地基与基础设计规范》JTG 3363-2019 </w:t>
      </w:r>
    </w:p>
    <w:p w14:paraId="286FBF6D">
      <w:pPr>
        <w:snapToGrid w:val="0"/>
        <w:spacing w:line="500" w:lineRule="exact"/>
      </w:pPr>
      <w:r>
        <w:t xml:space="preserve">《公路涵洞设计规范》JTG/T 3365-02-2020 </w:t>
      </w:r>
    </w:p>
    <w:p w14:paraId="6F12E1A7">
      <w:pPr>
        <w:snapToGrid w:val="0"/>
        <w:spacing w:line="500" w:lineRule="exact"/>
      </w:pPr>
      <w:r>
        <w:t xml:space="preserve">《城市道路交叉口设计规程》CJJ 152-2010 </w:t>
      </w:r>
    </w:p>
    <w:p w14:paraId="5CE5EB26">
      <w:pPr>
        <w:snapToGrid w:val="0"/>
        <w:spacing w:line="500" w:lineRule="exact"/>
      </w:pPr>
      <w:r>
        <w:t xml:space="preserve">《公路工程地质勘察规范》JTG C20-2011 </w:t>
      </w:r>
    </w:p>
    <w:p w14:paraId="784BD5A9">
      <w:pPr>
        <w:snapToGrid w:val="0"/>
        <w:spacing w:line="500" w:lineRule="exact"/>
      </w:pPr>
      <w:r>
        <w:t xml:space="preserve">《公路土工试验规程》JTG 3430-2020 </w:t>
      </w:r>
    </w:p>
    <w:p w14:paraId="4424E7A1">
      <w:pPr>
        <w:snapToGrid w:val="0"/>
        <w:spacing w:line="500" w:lineRule="exact"/>
      </w:pPr>
      <w:r>
        <w:t xml:space="preserve">《化工园区危险品运输车辆停车场建设标准》T/CPCIF 0050-2020 </w:t>
      </w:r>
    </w:p>
    <w:p w14:paraId="7C449B10">
      <w:pPr>
        <w:snapToGrid w:val="0"/>
        <w:spacing w:line="500" w:lineRule="exact"/>
      </w:pPr>
      <w:r>
        <w:t xml:space="preserve">《城市公共停车场工程项目建设标准》建标 128-2010 </w:t>
      </w:r>
    </w:p>
    <w:p w14:paraId="0326E941">
      <w:pPr>
        <w:snapToGrid w:val="0"/>
        <w:spacing w:line="500" w:lineRule="exact"/>
      </w:pPr>
      <w:r>
        <w:t xml:space="preserve">《公路工程基本建设项目设计文件编制办法》交公路发（2007）358 号 《新疆公路沥青路面设计指导手册》新疆维吾尔自治区交通运输厅 </w:t>
      </w:r>
    </w:p>
    <w:p w14:paraId="2EA28922">
      <w:pPr>
        <w:snapToGrid w:val="0"/>
        <w:spacing w:line="500" w:lineRule="exact"/>
      </w:pPr>
      <w:r>
        <w:t>《公路挡土墙设计与施工技术细则》中交第二公路勘察设计研究院有限公司主编 国家、自治区和地方政府现行的有关标准、规范、政策、法规等。</w:t>
      </w:r>
    </w:p>
    <w:p w14:paraId="129A3EC0">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2、项目概况</w:t>
      </w:r>
      <w:bookmarkEnd w:id="0"/>
    </w:p>
    <w:p w14:paraId="26E4EC81">
      <w:pPr>
        <w:pStyle w:val="3"/>
        <w:rPr>
          <w:rFonts w:asciiTheme="minorEastAsia" w:hAnsiTheme="minorEastAsia" w:eastAsiaTheme="minorEastAsia" w:cstheme="minorEastAsia"/>
          <w:b w:val="0"/>
          <w:sz w:val="21"/>
          <w:szCs w:val="21"/>
        </w:rPr>
      </w:pPr>
      <w:r>
        <w:rPr>
          <w:rFonts w:hint="eastAsia" w:asciiTheme="minorEastAsia" w:hAnsiTheme="minorEastAsia" w:eastAsiaTheme="minorEastAsia" w:cstheme="minorEastAsia"/>
          <w:b w:val="0"/>
          <w:sz w:val="21"/>
          <w:szCs w:val="21"/>
        </w:rPr>
        <w:t>2.1公司概况</w:t>
      </w:r>
    </w:p>
    <w:p w14:paraId="65362208">
      <w:pPr>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伊犁新天煤化工有限责任公司是浙江省能源集团有限公司和山东能源新矿集团共同投资成立的国有合资公司，注册资本48.28亿元，由浙江省能源集团控股管理。</w:t>
      </w:r>
    </w:p>
    <w:p w14:paraId="5D55B1A7">
      <w:pPr>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项目地处新疆维吾尔自治区伊犁州伊宁市巴彦岱镇。距原料煤供应地伊犁四矿3.5公里，距水源地伊犁河21公里，距产品输送地西气东输伊宁首站11公里。占地面积5700亩。</w:t>
      </w:r>
    </w:p>
    <w:p w14:paraId="7E494E89">
      <w:pPr>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项目除年主产天然气20.4亿标方外，还有油品22.2万吨/年、粗酚3.6万吨/年、硫铵化肥7.1万吨/年。</w:t>
      </w:r>
    </w:p>
    <w:p w14:paraId="5809CE35">
      <w:pPr>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项目年消耗煤638.1万吨，其中原料用煤457.6万吨/年,燃料用煤180.5万吨/年，年用水1185.2万立方米，所产天然气通过中石油西气东输二、三线管道代输送至浙江省。</w:t>
      </w:r>
    </w:p>
    <w:p w14:paraId="22611133">
      <w:pPr>
        <w:snapToGrid w:val="0"/>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2016年12月6日取得国家环保部环评批复。2017年5月16日，获得国家发改委核准。目前累计完成投资185.2234亿元。</w:t>
      </w:r>
    </w:p>
    <w:p w14:paraId="2890B0C3">
      <w:pPr>
        <w:pStyle w:val="3"/>
        <w:rPr>
          <w:rFonts w:asciiTheme="minorEastAsia" w:hAnsiTheme="minorEastAsia" w:eastAsiaTheme="minorEastAsia" w:cstheme="minorEastAsia"/>
          <w:b w:val="0"/>
          <w:sz w:val="21"/>
          <w:szCs w:val="21"/>
        </w:rPr>
      </w:pPr>
      <w:bookmarkStart w:id="1" w:name="_Toc13487"/>
      <w:r>
        <w:rPr>
          <w:rFonts w:hint="eastAsia" w:asciiTheme="minorEastAsia" w:hAnsiTheme="minorEastAsia" w:eastAsiaTheme="minorEastAsia" w:cstheme="minorEastAsia"/>
          <w:b w:val="0"/>
          <w:sz w:val="21"/>
          <w:szCs w:val="21"/>
        </w:rPr>
        <w:t>2.2 气象资料</w:t>
      </w:r>
      <w:bookmarkEnd w:id="1"/>
    </w:p>
    <w:p w14:paraId="60577906">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（1）水文</w:t>
      </w:r>
    </w:p>
    <w:p w14:paraId="0F0C7044">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拟建场地及周边无地表水流动，该区域地表水贫乏。</w:t>
      </w:r>
    </w:p>
    <w:p w14:paraId="3462E463">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勘察期间，拟建场地在50m勘探深度范围内未揭露到地下水位，可不考虑其对本工程的影响。</w:t>
      </w:r>
    </w:p>
    <w:p w14:paraId="3892465A">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（2）气象</w:t>
      </w:r>
    </w:p>
    <w:p w14:paraId="02DFEB13">
      <w:pPr>
        <w:tabs>
          <w:tab w:val="left" w:pos="510"/>
          <w:tab w:val="left" w:pos="8940"/>
        </w:tabs>
        <w:spacing w:line="500" w:lineRule="exact"/>
        <w:ind w:right="198" w:firstLine="516" w:firstLineChars="246"/>
        <w:rPr>
          <w:rFonts w:asciiTheme="minorEastAsia" w:hAnsiTheme="minorEastAsia" w:eastAsiaTheme="minorEastAsia" w:cstheme="minorEastAsia"/>
          <w:szCs w:val="21"/>
        </w:rPr>
      </w:pPr>
      <w:r>
        <w:rPr>
          <w:rFonts w:hint="eastAsia" w:asciiTheme="minorEastAsia" w:hAnsiTheme="minorEastAsia" w:eastAsiaTheme="minorEastAsia" w:cstheme="minorEastAsia"/>
          <w:snapToGrid w:val="0"/>
          <w:szCs w:val="21"/>
        </w:rPr>
        <w:t>项目所在地区属大陆性气候，四季分明，由于东、南、北三面环山，西面开阔，有利于大气环流和湿气团进入，特别是由于受地势抬升的影响，经常形成多雨雪的天气，又靠近伊犁河，气候较湿润。区域年气温年 (日)差较大，冬季寒冷，夏季炎热。</w:t>
      </w:r>
      <w:r>
        <w:rPr>
          <w:rFonts w:hint="eastAsia" w:asciiTheme="minorEastAsia" w:hAnsiTheme="minorEastAsia" w:eastAsiaTheme="minorEastAsia" w:cstheme="minorEastAsia"/>
          <w:szCs w:val="21"/>
        </w:rPr>
        <w:t xml:space="preserve"> </w:t>
      </w:r>
    </w:p>
    <w:p w14:paraId="175F4E15">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平均气温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9.2℃ </w:t>
      </w:r>
    </w:p>
    <w:p w14:paraId="22337E3A">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七月最高气温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38.7℃ </w:t>
      </w:r>
    </w:p>
    <w:p w14:paraId="5CFB7436">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一月最低气温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-40.4℃ </w:t>
      </w:r>
    </w:p>
    <w:p w14:paraId="573573A2">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年平均蒸发量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1631mm </w:t>
      </w:r>
    </w:p>
    <w:p w14:paraId="41D1E273">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年平均降水量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264mm </w:t>
      </w:r>
    </w:p>
    <w:p w14:paraId="607D48B9">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最大年份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470.5mm </w:t>
      </w:r>
    </w:p>
    <w:p w14:paraId="086E786D">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最小年份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137.5mm </w:t>
      </w:r>
    </w:p>
    <w:p w14:paraId="5553445F">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30年一遇最大日降水量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35.7mm </w:t>
      </w:r>
    </w:p>
    <w:p w14:paraId="2F2DFCAD">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年平均日降水量大于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10mm日数为4天 </w:t>
      </w:r>
    </w:p>
    <w:p w14:paraId="4C913BAC">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空气平均相对湿度为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65% </w:t>
      </w:r>
    </w:p>
    <w:p w14:paraId="578DF08A">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最大积雪厚度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89cm </w:t>
      </w:r>
    </w:p>
    <w:p w14:paraId="2E030F73">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最大冻土层厚度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120cm </w:t>
      </w:r>
    </w:p>
    <w:p w14:paraId="1458DD76">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基本雪压为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1.15kN/m 。 </w:t>
      </w:r>
    </w:p>
    <w:p w14:paraId="228CC683">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常年主导风向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东风和偏西风 </w:t>
      </w:r>
    </w:p>
    <w:p w14:paraId="7C9A2977">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极端最大风速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 xml:space="preserve">40m/s </w:t>
      </w:r>
    </w:p>
    <w:p w14:paraId="1D8E81DC">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 xml:space="preserve">基本风压                  </w:t>
      </w:r>
      <w:r>
        <w:rPr>
          <w:rFonts w:hint="eastAsia" w:asciiTheme="minorEastAsia" w:hAnsiTheme="minorEastAsia" w:eastAsiaTheme="minorEastAsia" w:cstheme="minorEastAsia"/>
          <w:szCs w:val="21"/>
        </w:rPr>
        <w:tab/>
      </w:r>
      <w:r>
        <w:rPr>
          <w:rFonts w:hint="eastAsia" w:asciiTheme="minorEastAsia" w:hAnsiTheme="minorEastAsia" w:eastAsiaTheme="minorEastAsia" w:cstheme="minorEastAsia"/>
          <w:szCs w:val="21"/>
        </w:rPr>
        <w:t>0.7kN/m</w:t>
      </w:r>
    </w:p>
    <w:p w14:paraId="42C18019">
      <w:pPr>
        <w:spacing w:line="500" w:lineRule="exact"/>
        <w:ind w:firstLine="48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（3）工程地质</w:t>
      </w:r>
    </w:p>
    <w:p w14:paraId="6849B42D">
      <w:pPr>
        <w:snapToGrid w:val="0"/>
        <w:spacing w:line="500" w:lineRule="exact"/>
        <w:ind w:firstLine="420" w:firstLineChars="20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建筑场地土层主要为黄土，灰黄色、土黄色，局部地段与下覆基岩接触部位土质往往呈黄褐色， 且见有星点状的白色盐碱物级贝壳类动物遗骸。干燥～稍湿，硬塑～可塑，稍密～中密，干强度中等，无光泽，韧性低，粉砂含量较高，未见混有砂、砾和层理现象。固结性较差，尤其是5.0m以上土质较为松散，手掰即破碎，地表至下2.0m 范围内含少量植物根系和根孔。本场地为二级自重湿陷性场地，已经过强夯处理。勘探深度内未见地下水的存在。</w:t>
      </w:r>
    </w:p>
    <w:p w14:paraId="7D3148CD">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3、招标范围</w:t>
      </w:r>
    </w:p>
    <w:p w14:paraId="37A2752F">
      <w:pPr>
        <w:tabs>
          <w:tab w:val="left" w:pos="510"/>
          <w:tab w:val="left" w:pos="8940"/>
        </w:tabs>
        <w:spacing w:line="500" w:lineRule="exact"/>
        <w:ind w:right="198" w:firstLine="516" w:firstLineChars="246"/>
        <w:rPr>
          <w:rFonts w:asciiTheme="minorEastAsia" w:hAnsiTheme="minorEastAsia" w:eastAsiaTheme="minorEastAsia" w:cstheme="minorEastAsia"/>
          <w:snapToGrid w:val="0"/>
          <w:szCs w:val="21"/>
        </w:rPr>
      </w:pPr>
      <w:r>
        <w:rPr>
          <w:rFonts w:hint="eastAsia" w:asciiTheme="minorEastAsia" w:hAnsiTheme="minorEastAsia" w:eastAsiaTheme="minorEastAsia" w:cstheme="minorEastAsia"/>
          <w:snapToGrid w:val="0"/>
          <w:szCs w:val="21"/>
        </w:rPr>
        <w:t>本项目采用施工总承包的方式</w:t>
      </w:r>
    </w:p>
    <w:p w14:paraId="350C48DE">
      <w:pPr>
        <w:snapToGrid w:val="0"/>
        <w:spacing w:line="500" w:lineRule="exact"/>
        <w:ind w:firstLine="420" w:firstLineChars="200"/>
        <w:rPr>
          <w:rFonts w:asciiTheme="minorEastAsia" w:hAnsiTheme="minorEastAsia" w:eastAsiaTheme="minorEastAsia" w:cstheme="minorEastAsia"/>
          <w:szCs w:val="21"/>
        </w:rPr>
      </w:pPr>
      <w:r>
        <w:rPr>
          <w:rFonts w:asciiTheme="minorEastAsia" w:hAnsiTheme="minorEastAsia" w:eastAsiaTheme="minorEastAsia" w:cstheme="minorEastAsia"/>
          <w:szCs w:val="21"/>
        </w:rPr>
        <w:t>3.1</w:t>
      </w:r>
      <w:r>
        <w:rPr>
          <w:rFonts w:hint="eastAsia" w:asciiTheme="minorEastAsia" w:hAnsiTheme="minorEastAsia" w:eastAsiaTheme="minorEastAsia" w:cstheme="minorEastAsia"/>
          <w:szCs w:val="21"/>
        </w:rPr>
        <w:t>提升改造罐区外运道路一条，起点位于伊犁新天煤化工有限责任公司厂区储运罐区南侧大门，终点接县道X</w:t>
      </w:r>
      <w:r>
        <w:rPr>
          <w:rFonts w:asciiTheme="minorEastAsia" w:hAnsiTheme="minorEastAsia" w:eastAsiaTheme="minorEastAsia" w:cstheme="minorEastAsia"/>
          <w:szCs w:val="21"/>
        </w:rPr>
        <w:t>695，路线全长 644.715m，设置左偏的平曲线1处，圆曲线半径 270m，缓和曲线长度 80m；主路边增加辅路</w:t>
      </w:r>
      <w:r>
        <w:rPr>
          <w:rFonts w:hint="eastAsia" w:asciiTheme="minorEastAsia" w:hAnsiTheme="minorEastAsia" w:eastAsiaTheme="minorEastAsia" w:cstheme="minorEastAsia"/>
          <w:szCs w:val="21"/>
        </w:rPr>
        <w:t>3条，位于伊犁新天煤化工有限责任公司危化品</w:t>
      </w:r>
      <w:r>
        <w:rPr>
          <w:rFonts w:asciiTheme="minorEastAsia" w:hAnsiTheme="minorEastAsia" w:eastAsiaTheme="minorEastAsia" w:cstheme="minorEastAsia"/>
          <w:szCs w:val="21"/>
        </w:rPr>
        <w:t>运输车辆停车场西侧与厂区外运道路之间的空地上，其中入口道路全长171.241m，最小圆曲线半径 28m；出口道路全长156.922m，最小圆曲线半径 25m；应急出口道路全长 43.296m，以直线形式布线。建设总里程</w:t>
      </w:r>
      <w:r>
        <w:rPr>
          <w:rFonts w:hint="eastAsia" w:asciiTheme="minorEastAsia" w:hAnsiTheme="minorEastAsia" w:eastAsiaTheme="minorEastAsia" w:cstheme="minorEastAsia"/>
          <w:szCs w:val="21"/>
        </w:rPr>
        <w:t>主路</w:t>
      </w:r>
      <w:r>
        <w:rPr>
          <w:rFonts w:asciiTheme="minorEastAsia" w:hAnsiTheme="minorEastAsia" w:eastAsiaTheme="minorEastAsia" w:cstheme="minorEastAsia"/>
          <w:szCs w:val="21"/>
        </w:rPr>
        <w:t>为</w:t>
      </w:r>
      <w:r>
        <w:rPr>
          <w:rFonts w:hint="eastAsia" w:asciiTheme="minorEastAsia" w:hAnsiTheme="minorEastAsia" w:eastAsiaTheme="minorEastAsia" w:cstheme="minorEastAsia"/>
          <w:szCs w:val="21"/>
        </w:rPr>
        <w:t>6</w:t>
      </w:r>
      <w:r>
        <w:rPr>
          <w:rFonts w:asciiTheme="minorEastAsia" w:hAnsiTheme="minorEastAsia" w:eastAsiaTheme="minorEastAsia" w:cstheme="minorEastAsia"/>
          <w:szCs w:val="21"/>
        </w:rPr>
        <w:t>44.715m，辅路为371.459m，合计</w:t>
      </w:r>
      <w:r>
        <w:rPr>
          <w:rFonts w:asciiTheme="minorEastAsia" w:hAnsiTheme="minorEastAsia" w:eastAsiaTheme="minorEastAsia" w:cstheme="minorEastAsia"/>
          <w:color w:val="FF0000"/>
          <w:szCs w:val="21"/>
        </w:rPr>
        <w:t>1016.17m</w:t>
      </w:r>
      <w:r>
        <w:rPr>
          <w:rFonts w:hint="eastAsia" w:asciiTheme="minorEastAsia" w:hAnsiTheme="minorEastAsia" w:eastAsiaTheme="minorEastAsia" w:cstheme="minorEastAsia"/>
          <w:szCs w:val="21"/>
        </w:rPr>
        <w:t>。</w:t>
      </w:r>
      <w:r>
        <w:rPr>
          <w:rFonts w:asciiTheme="minorEastAsia" w:hAnsiTheme="minorEastAsia" w:eastAsiaTheme="minorEastAsia" w:cstheme="minorEastAsia"/>
          <w:szCs w:val="21"/>
        </w:rPr>
        <w:t>本项目主线平面设计线位置为道路中心线；纵面高程设计线为道路中心线。道路起始点</w:t>
      </w:r>
      <w:r>
        <w:rPr>
          <w:rFonts w:hint="eastAsia" w:asciiTheme="minorEastAsia" w:hAnsiTheme="minorEastAsia" w:eastAsiaTheme="minorEastAsia" w:cstheme="minorEastAsia"/>
          <w:szCs w:val="21"/>
        </w:rPr>
        <w:t>K</w:t>
      </w:r>
      <w:r>
        <w:rPr>
          <w:rFonts w:asciiTheme="minorEastAsia" w:hAnsiTheme="minorEastAsia" w:eastAsiaTheme="minorEastAsia" w:cstheme="minorEastAsia"/>
          <w:szCs w:val="21"/>
        </w:rPr>
        <w:t>0+000高程为</w:t>
      </w: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010.50m，交点坐标</w:t>
      </w:r>
      <w:r>
        <w:rPr>
          <w:rFonts w:hint="eastAsia" w:asciiTheme="minorEastAsia" w:hAnsiTheme="minorEastAsia" w:eastAsiaTheme="minorEastAsia" w:cstheme="minorEastAsia"/>
          <w:szCs w:val="21"/>
        </w:rPr>
        <w:t>X</w:t>
      </w:r>
      <w:r>
        <w:rPr>
          <w:rFonts w:asciiTheme="minorEastAsia" w:hAnsiTheme="minorEastAsia" w:eastAsiaTheme="minorEastAsia" w:cstheme="minorEastAsia"/>
          <w:szCs w:val="21"/>
        </w:rPr>
        <w:t>=4879681.798，Y=516156.735，终点</w:t>
      </w:r>
      <w:r>
        <w:rPr>
          <w:rFonts w:hint="eastAsia" w:asciiTheme="minorEastAsia" w:hAnsiTheme="minorEastAsia" w:eastAsiaTheme="minorEastAsia" w:cstheme="minorEastAsia"/>
          <w:szCs w:val="21"/>
        </w:rPr>
        <w:t>K</w:t>
      </w:r>
      <w:r>
        <w:rPr>
          <w:rFonts w:asciiTheme="minorEastAsia" w:hAnsiTheme="minorEastAsia" w:eastAsiaTheme="minorEastAsia" w:cstheme="minorEastAsia"/>
          <w:szCs w:val="21"/>
        </w:rPr>
        <w:t>0+644.715高程为</w:t>
      </w: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78.47m，交点坐标</w:t>
      </w:r>
      <w:r>
        <w:rPr>
          <w:rFonts w:hint="eastAsia" w:asciiTheme="minorEastAsia" w:hAnsiTheme="minorEastAsia" w:eastAsiaTheme="minorEastAsia" w:cstheme="minorEastAsia"/>
          <w:szCs w:val="21"/>
        </w:rPr>
        <w:t>X</w:t>
      </w:r>
      <w:r>
        <w:rPr>
          <w:rFonts w:asciiTheme="minorEastAsia" w:hAnsiTheme="minorEastAsia" w:eastAsiaTheme="minorEastAsia" w:cstheme="minorEastAsia"/>
          <w:szCs w:val="21"/>
        </w:rPr>
        <w:t>=4879113.869，Y=515964.312。</w:t>
      </w:r>
    </w:p>
    <w:p w14:paraId="2DFF2E7B">
      <w:pPr>
        <w:tabs>
          <w:tab w:val="left" w:pos="510"/>
          <w:tab w:val="left" w:pos="8940"/>
        </w:tabs>
        <w:spacing w:line="500" w:lineRule="exact"/>
        <w:ind w:right="198" w:firstLine="516" w:firstLineChars="246"/>
        <w:rPr>
          <w:rFonts w:asciiTheme="minorEastAsia" w:hAnsiTheme="minorEastAsia" w:eastAsiaTheme="minorEastAsia" w:cstheme="minorEastAsia"/>
          <w:snapToGrid w:val="0"/>
          <w:szCs w:val="21"/>
        </w:rPr>
      </w:pPr>
      <w:r>
        <w:rPr>
          <w:rFonts w:asciiTheme="minorEastAsia" w:hAnsiTheme="minorEastAsia" w:eastAsiaTheme="minorEastAsia" w:cstheme="minorEastAsia"/>
          <w:snapToGrid w:val="0"/>
          <w:szCs w:val="21"/>
        </w:rPr>
        <w:t>3.2危险化学品库周边道路，全长约963m，其中</w:t>
      </w:r>
      <w:r>
        <w:rPr>
          <w:rFonts w:hint="eastAsia" w:asciiTheme="minorEastAsia" w:hAnsiTheme="minorEastAsia" w:eastAsiaTheme="minorEastAsia" w:cstheme="minorEastAsia"/>
          <w:snapToGrid w:val="0"/>
          <w:szCs w:val="21"/>
        </w:rPr>
        <w:t>5</w:t>
      </w:r>
      <w:r>
        <w:rPr>
          <w:rFonts w:asciiTheme="minorEastAsia" w:hAnsiTheme="minorEastAsia" w:eastAsiaTheme="minorEastAsia" w:cstheme="minorEastAsia"/>
          <w:snapToGrid w:val="0"/>
          <w:szCs w:val="21"/>
        </w:rPr>
        <w:t>27m道路宽</w:t>
      </w:r>
      <w:r>
        <w:rPr>
          <w:rFonts w:hint="eastAsia" w:asciiTheme="minorEastAsia" w:hAnsiTheme="minorEastAsia" w:eastAsiaTheme="minorEastAsia" w:cstheme="minorEastAsia"/>
          <w:snapToGrid w:val="0"/>
          <w:szCs w:val="21"/>
        </w:rPr>
        <w:t>6</w:t>
      </w:r>
      <w:r>
        <w:rPr>
          <w:rFonts w:asciiTheme="minorEastAsia" w:hAnsiTheme="minorEastAsia" w:eastAsiaTheme="minorEastAsia" w:cstheme="minorEastAsia"/>
          <w:snapToGrid w:val="0"/>
          <w:szCs w:val="21"/>
        </w:rPr>
        <w:t>m，</w:t>
      </w:r>
      <w:r>
        <w:rPr>
          <w:rFonts w:hint="eastAsia" w:asciiTheme="minorEastAsia" w:hAnsiTheme="minorEastAsia" w:eastAsiaTheme="minorEastAsia" w:cstheme="minorEastAsia"/>
          <w:snapToGrid w:val="0"/>
          <w:szCs w:val="21"/>
        </w:rPr>
        <w:t>4</w:t>
      </w:r>
      <w:r>
        <w:rPr>
          <w:rFonts w:asciiTheme="minorEastAsia" w:hAnsiTheme="minorEastAsia" w:eastAsiaTheme="minorEastAsia" w:cstheme="minorEastAsia"/>
          <w:snapToGrid w:val="0"/>
          <w:szCs w:val="21"/>
        </w:rPr>
        <w:t>36m道路宽</w:t>
      </w:r>
      <w:r>
        <w:rPr>
          <w:rFonts w:hint="eastAsia" w:asciiTheme="minorEastAsia" w:hAnsiTheme="minorEastAsia" w:eastAsiaTheme="minorEastAsia" w:cstheme="minorEastAsia"/>
          <w:snapToGrid w:val="0"/>
          <w:szCs w:val="21"/>
        </w:rPr>
        <w:t>4</w:t>
      </w:r>
      <w:r>
        <w:rPr>
          <w:rFonts w:asciiTheme="minorEastAsia" w:hAnsiTheme="minorEastAsia" w:eastAsiaTheme="minorEastAsia" w:cstheme="minorEastAsia"/>
          <w:snapToGrid w:val="0"/>
          <w:szCs w:val="21"/>
        </w:rPr>
        <w:t>m，包含道路交叉转角等，道路中心线高程及坡比详见图纸。</w:t>
      </w:r>
    </w:p>
    <w:p w14:paraId="487CF658">
      <w:pPr>
        <w:tabs>
          <w:tab w:val="left" w:pos="510"/>
          <w:tab w:val="left" w:pos="8940"/>
        </w:tabs>
        <w:spacing w:line="500" w:lineRule="exact"/>
        <w:ind w:right="198" w:firstLine="516" w:firstLineChars="246"/>
        <w:rPr>
          <w:rFonts w:asciiTheme="minorEastAsia" w:hAnsiTheme="minorEastAsia" w:eastAsiaTheme="minorEastAsia" w:cstheme="minorEastAsia"/>
          <w:snapToGrid w:val="0"/>
          <w:szCs w:val="21"/>
        </w:rPr>
      </w:pPr>
      <w:r>
        <w:rPr>
          <w:rFonts w:asciiTheme="minorEastAsia" w:hAnsiTheme="minorEastAsia" w:eastAsiaTheme="minorEastAsia" w:cstheme="minorEastAsia"/>
          <w:snapToGrid w:val="0"/>
          <w:szCs w:val="21"/>
        </w:rPr>
        <w:t>3.3沥青储罐罐组周边道路硬化路宽为</w:t>
      </w:r>
      <w:r>
        <w:rPr>
          <w:rFonts w:hint="eastAsia" w:asciiTheme="minorEastAsia" w:hAnsiTheme="minorEastAsia" w:eastAsiaTheme="minorEastAsia" w:cstheme="minorEastAsia"/>
          <w:snapToGrid w:val="0"/>
          <w:szCs w:val="21"/>
        </w:rPr>
        <w:t>6米，全长约</w:t>
      </w:r>
      <w:r>
        <w:rPr>
          <w:rFonts w:asciiTheme="minorEastAsia" w:hAnsiTheme="minorEastAsia" w:eastAsiaTheme="minorEastAsia" w:cstheme="minorEastAsia"/>
          <w:snapToGrid w:val="0"/>
          <w:szCs w:val="21"/>
        </w:rPr>
        <w:t>554</w:t>
      </w:r>
      <w:r>
        <w:rPr>
          <w:rFonts w:hint="eastAsia" w:asciiTheme="minorEastAsia" w:hAnsiTheme="minorEastAsia" w:eastAsiaTheme="minorEastAsia" w:cstheme="minorEastAsia"/>
          <w:snapToGrid w:val="0"/>
          <w:szCs w:val="21"/>
        </w:rPr>
        <w:t>m</w:t>
      </w:r>
      <w:r>
        <w:rPr>
          <w:rFonts w:asciiTheme="minorEastAsia" w:hAnsiTheme="minorEastAsia" w:eastAsiaTheme="minorEastAsia" w:cstheme="minorEastAsia"/>
          <w:snapToGrid w:val="0"/>
          <w:szCs w:val="21"/>
        </w:rPr>
        <w:t>，转弯半径处为12</w:t>
      </w:r>
      <w:r>
        <w:rPr>
          <w:rFonts w:hint="eastAsia" w:asciiTheme="minorEastAsia" w:hAnsiTheme="minorEastAsia" w:eastAsiaTheme="minorEastAsia" w:cstheme="minorEastAsia"/>
          <w:snapToGrid w:val="0"/>
          <w:szCs w:val="21"/>
        </w:rPr>
        <w:t>m，道路设计总面积为</w:t>
      </w:r>
      <w:r>
        <w:rPr>
          <w:rFonts w:asciiTheme="minorEastAsia" w:hAnsiTheme="minorEastAsia" w:eastAsiaTheme="minorEastAsia" w:cstheme="minorEastAsia"/>
          <w:snapToGrid w:val="0"/>
          <w:szCs w:val="21"/>
        </w:rPr>
        <w:t>3601平米，采用双面坡，横坡为</w:t>
      </w:r>
      <w:r>
        <w:rPr>
          <w:rFonts w:hint="eastAsia" w:asciiTheme="minorEastAsia" w:hAnsiTheme="minorEastAsia" w:eastAsiaTheme="minorEastAsia" w:cstheme="minorEastAsia"/>
          <w:snapToGrid w:val="0"/>
          <w:szCs w:val="21"/>
        </w:rPr>
        <w:t>1</w:t>
      </w:r>
      <w:r>
        <w:rPr>
          <w:rFonts w:asciiTheme="minorEastAsia" w:hAnsiTheme="minorEastAsia" w:eastAsiaTheme="minorEastAsia" w:cstheme="minorEastAsia"/>
          <w:snapToGrid w:val="0"/>
          <w:szCs w:val="21"/>
        </w:rPr>
        <w:t>.5%，</w:t>
      </w:r>
      <w:r>
        <w:rPr>
          <w:rFonts w:hint="eastAsia" w:asciiTheme="minorEastAsia" w:hAnsiTheme="minorEastAsia" w:eastAsiaTheme="minorEastAsia" w:cstheme="minorEastAsia"/>
          <w:snapToGrid w:val="0"/>
          <w:szCs w:val="21"/>
        </w:rPr>
        <w:t>道路与原罐区南门岗道路连接，做法详见设计。</w:t>
      </w:r>
    </w:p>
    <w:p w14:paraId="39387DA4">
      <w:pPr>
        <w:tabs>
          <w:tab w:val="left" w:pos="510"/>
          <w:tab w:val="left" w:pos="8940"/>
        </w:tabs>
        <w:spacing w:line="500" w:lineRule="exact"/>
        <w:ind w:right="198" w:firstLine="516" w:firstLineChars="246"/>
        <w:rPr>
          <w:rFonts w:asciiTheme="minorEastAsia" w:hAnsiTheme="minorEastAsia" w:eastAsiaTheme="minorEastAsia" w:cstheme="minorEastAsia"/>
          <w:snapToGrid w:val="0"/>
          <w:szCs w:val="21"/>
        </w:rPr>
      </w:pPr>
      <w:r>
        <w:rPr>
          <w:rFonts w:hint="eastAsia" w:asciiTheme="minorEastAsia" w:hAnsiTheme="minorEastAsia" w:eastAsiaTheme="minorEastAsia" w:cstheme="minorEastAsia"/>
          <w:snapToGrid w:val="0"/>
          <w:szCs w:val="21"/>
        </w:rPr>
        <w:t>3</w:t>
      </w:r>
      <w:r>
        <w:rPr>
          <w:rFonts w:asciiTheme="minorEastAsia" w:hAnsiTheme="minorEastAsia" w:eastAsiaTheme="minorEastAsia" w:cstheme="minorEastAsia"/>
          <w:snapToGrid w:val="0"/>
          <w:szCs w:val="21"/>
        </w:rPr>
        <w:t xml:space="preserve">.4 </w:t>
      </w:r>
      <w:r>
        <w:rPr>
          <w:rFonts w:hint="eastAsia" w:asciiTheme="minorEastAsia" w:hAnsiTheme="minorEastAsia" w:eastAsiaTheme="minorEastAsia" w:cstheme="minorEastAsia"/>
          <w:snapToGrid w:val="0"/>
          <w:szCs w:val="21"/>
        </w:rPr>
        <w:t>施工工期为</w:t>
      </w:r>
      <w:r>
        <w:rPr>
          <w:rFonts w:asciiTheme="minorEastAsia" w:hAnsiTheme="minorEastAsia" w:eastAsiaTheme="minorEastAsia" w:cstheme="minorEastAsia"/>
          <w:snapToGrid w:val="0"/>
          <w:szCs w:val="21"/>
        </w:rPr>
        <w:t>150日历</w:t>
      </w:r>
      <w:r>
        <w:rPr>
          <w:rFonts w:hint="eastAsia" w:asciiTheme="minorEastAsia" w:hAnsiTheme="minorEastAsia" w:eastAsiaTheme="minorEastAsia" w:cstheme="minorEastAsia"/>
          <w:snapToGrid w:val="0"/>
          <w:szCs w:val="21"/>
        </w:rPr>
        <w:t>天。</w:t>
      </w:r>
    </w:p>
    <w:p w14:paraId="5480BB85">
      <w:pPr>
        <w:snapToGrid w:val="0"/>
        <w:spacing w:line="500" w:lineRule="exact"/>
        <w:jc w:val="center"/>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工程量预估清单</w:t>
      </w: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2"/>
        <w:gridCol w:w="1382"/>
        <w:gridCol w:w="1383"/>
        <w:gridCol w:w="1383"/>
        <w:gridCol w:w="1383"/>
        <w:gridCol w:w="1383"/>
      </w:tblGrid>
      <w:tr w14:paraId="78F2E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67F9FB0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序号</w:t>
            </w:r>
          </w:p>
        </w:tc>
        <w:tc>
          <w:tcPr>
            <w:tcW w:w="1382" w:type="dxa"/>
          </w:tcPr>
          <w:p w14:paraId="4B19F3A9">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项目</w:t>
            </w:r>
          </w:p>
        </w:tc>
        <w:tc>
          <w:tcPr>
            <w:tcW w:w="1383" w:type="dxa"/>
          </w:tcPr>
          <w:p w14:paraId="43E992AF">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数量</w:t>
            </w:r>
          </w:p>
        </w:tc>
        <w:tc>
          <w:tcPr>
            <w:tcW w:w="1383" w:type="dxa"/>
          </w:tcPr>
          <w:p w14:paraId="25B2B07C">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单位</w:t>
            </w:r>
          </w:p>
        </w:tc>
        <w:tc>
          <w:tcPr>
            <w:tcW w:w="1383" w:type="dxa"/>
          </w:tcPr>
          <w:p w14:paraId="5668E36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备注</w:t>
            </w:r>
            <w:r>
              <w:rPr>
                <w:rFonts w:hint="eastAsia" w:asciiTheme="minorEastAsia" w:hAnsiTheme="minorEastAsia" w:eastAsiaTheme="minorEastAsia" w:cstheme="minorEastAsia"/>
                <w:szCs w:val="21"/>
              </w:rPr>
              <w:t>1</w:t>
            </w:r>
          </w:p>
        </w:tc>
        <w:tc>
          <w:tcPr>
            <w:tcW w:w="1383" w:type="dxa"/>
          </w:tcPr>
          <w:p w14:paraId="5BC51054">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备注</w:t>
            </w:r>
            <w:r>
              <w:rPr>
                <w:rFonts w:hint="eastAsia" w:asciiTheme="minorEastAsia" w:hAnsiTheme="minorEastAsia" w:eastAsiaTheme="minorEastAsia" w:cstheme="minorEastAsia"/>
                <w:szCs w:val="21"/>
              </w:rPr>
              <w:t>2</w:t>
            </w:r>
          </w:p>
        </w:tc>
      </w:tr>
      <w:tr w14:paraId="322E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2489226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p>
        </w:tc>
        <w:tc>
          <w:tcPr>
            <w:tcW w:w="1382" w:type="dxa"/>
          </w:tcPr>
          <w:p w14:paraId="406B8D1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土方开挖</w:t>
            </w:r>
          </w:p>
        </w:tc>
        <w:tc>
          <w:tcPr>
            <w:tcW w:w="1383" w:type="dxa"/>
          </w:tcPr>
          <w:p w14:paraId="05CFC90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11947</w:t>
            </w:r>
          </w:p>
        </w:tc>
        <w:tc>
          <w:tcPr>
            <w:tcW w:w="1383" w:type="dxa"/>
          </w:tcPr>
          <w:p w14:paraId="2A13409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193A15DC">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天然密实方</w:t>
            </w:r>
          </w:p>
        </w:tc>
        <w:tc>
          <w:tcPr>
            <w:tcW w:w="1383" w:type="dxa"/>
          </w:tcPr>
          <w:p w14:paraId="5468305F">
            <w:pPr>
              <w:snapToGrid w:val="0"/>
              <w:rPr>
                <w:rFonts w:asciiTheme="minorEastAsia" w:hAnsiTheme="minorEastAsia" w:eastAsiaTheme="minorEastAsia" w:cstheme="minorEastAsia"/>
                <w:szCs w:val="21"/>
              </w:rPr>
            </w:pPr>
          </w:p>
        </w:tc>
      </w:tr>
      <w:tr w14:paraId="44CD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641C1E8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p>
        </w:tc>
        <w:tc>
          <w:tcPr>
            <w:tcW w:w="1382" w:type="dxa"/>
          </w:tcPr>
          <w:p w14:paraId="488C76F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土方回填</w:t>
            </w:r>
          </w:p>
        </w:tc>
        <w:tc>
          <w:tcPr>
            <w:tcW w:w="1383" w:type="dxa"/>
          </w:tcPr>
          <w:p w14:paraId="01CE4AC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4143</w:t>
            </w:r>
          </w:p>
        </w:tc>
        <w:tc>
          <w:tcPr>
            <w:tcW w:w="1383" w:type="dxa"/>
          </w:tcPr>
          <w:p w14:paraId="40FD6F0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0CDA7A5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压实方</w:t>
            </w:r>
          </w:p>
        </w:tc>
        <w:tc>
          <w:tcPr>
            <w:tcW w:w="1383" w:type="dxa"/>
          </w:tcPr>
          <w:p w14:paraId="10AB7C6A">
            <w:pPr>
              <w:snapToGrid w:val="0"/>
              <w:rPr>
                <w:rFonts w:asciiTheme="minorEastAsia" w:hAnsiTheme="minorEastAsia" w:eastAsiaTheme="minorEastAsia" w:cstheme="minorEastAsia"/>
                <w:szCs w:val="21"/>
              </w:rPr>
            </w:pPr>
          </w:p>
        </w:tc>
      </w:tr>
      <w:tr w14:paraId="1D7D1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3542665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w:t>
            </w:r>
          </w:p>
        </w:tc>
        <w:tc>
          <w:tcPr>
            <w:tcW w:w="1382" w:type="dxa"/>
          </w:tcPr>
          <w:p w14:paraId="4834CDB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借土回填</w:t>
            </w:r>
          </w:p>
        </w:tc>
        <w:tc>
          <w:tcPr>
            <w:tcW w:w="1383" w:type="dxa"/>
          </w:tcPr>
          <w:p w14:paraId="4256D31F">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12792</w:t>
            </w:r>
          </w:p>
        </w:tc>
        <w:tc>
          <w:tcPr>
            <w:tcW w:w="1383" w:type="dxa"/>
          </w:tcPr>
          <w:p w14:paraId="24CC126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415BC74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压实方</w:t>
            </w:r>
          </w:p>
        </w:tc>
        <w:tc>
          <w:tcPr>
            <w:tcW w:w="1383" w:type="dxa"/>
          </w:tcPr>
          <w:p w14:paraId="04F8EF03">
            <w:pPr>
              <w:snapToGrid w:val="0"/>
              <w:rPr>
                <w:rFonts w:asciiTheme="minorEastAsia" w:hAnsiTheme="minorEastAsia" w:eastAsiaTheme="minorEastAsia" w:cstheme="minorEastAsia"/>
                <w:szCs w:val="21"/>
              </w:rPr>
            </w:pPr>
          </w:p>
        </w:tc>
      </w:tr>
      <w:tr w14:paraId="701A9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03E9C550">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p>
        </w:tc>
        <w:tc>
          <w:tcPr>
            <w:tcW w:w="1382" w:type="dxa"/>
          </w:tcPr>
          <w:p w14:paraId="418CB74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低填浅挖路基处理</w:t>
            </w:r>
          </w:p>
        </w:tc>
        <w:tc>
          <w:tcPr>
            <w:tcW w:w="1383" w:type="dxa"/>
          </w:tcPr>
          <w:p w14:paraId="1F6F8E8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4050/408.9</w:t>
            </w:r>
          </w:p>
        </w:tc>
        <w:tc>
          <w:tcPr>
            <w:tcW w:w="1383" w:type="dxa"/>
          </w:tcPr>
          <w:p w14:paraId="6AE40E8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r>
              <w:rPr>
                <w:rFonts w:hint="eastAsia" w:asciiTheme="minorEastAsia" w:hAnsiTheme="minorEastAsia" w:eastAsiaTheme="minorEastAsia" w:cstheme="minorEastAsia"/>
                <w:szCs w:val="21"/>
              </w:rPr>
              <w:t>/</w:t>
            </w:r>
            <w:r>
              <w:rPr>
                <w:rFonts w:asciiTheme="minorEastAsia" w:hAnsiTheme="minorEastAsia" w:eastAsiaTheme="minorEastAsia" w:cstheme="minorEastAsia"/>
                <w:szCs w:val="21"/>
              </w:rPr>
              <w:t>m</w:t>
            </w:r>
          </w:p>
        </w:tc>
        <w:tc>
          <w:tcPr>
            <w:tcW w:w="1383" w:type="dxa"/>
          </w:tcPr>
          <w:p w14:paraId="2EF35466">
            <w:pPr>
              <w:snapToGrid w:val="0"/>
              <w:rPr>
                <w:rFonts w:asciiTheme="minorEastAsia" w:hAnsiTheme="minorEastAsia" w:eastAsiaTheme="minorEastAsia" w:cstheme="minorEastAsia"/>
                <w:szCs w:val="21"/>
              </w:rPr>
            </w:pPr>
          </w:p>
        </w:tc>
        <w:tc>
          <w:tcPr>
            <w:tcW w:w="1383" w:type="dxa"/>
          </w:tcPr>
          <w:p w14:paraId="07CEBFFF">
            <w:pPr>
              <w:snapToGrid w:val="0"/>
              <w:rPr>
                <w:rFonts w:asciiTheme="minorEastAsia" w:hAnsiTheme="minorEastAsia" w:eastAsiaTheme="minorEastAsia" w:cstheme="minorEastAsia"/>
                <w:szCs w:val="21"/>
              </w:rPr>
            </w:pPr>
          </w:p>
        </w:tc>
      </w:tr>
      <w:tr w14:paraId="4DD03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35CF9D73">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p>
        </w:tc>
        <w:tc>
          <w:tcPr>
            <w:tcW w:w="1382" w:type="dxa"/>
          </w:tcPr>
          <w:p w14:paraId="1A09D7B5">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现浇混凝土挡土墙防护</w:t>
            </w:r>
          </w:p>
        </w:tc>
        <w:tc>
          <w:tcPr>
            <w:tcW w:w="1383" w:type="dxa"/>
          </w:tcPr>
          <w:p w14:paraId="7BFCD80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22.27/8</w:t>
            </w:r>
          </w:p>
        </w:tc>
        <w:tc>
          <w:tcPr>
            <w:tcW w:w="1383" w:type="dxa"/>
          </w:tcPr>
          <w:p w14:paraId="389E8343">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r>
              <w:rPr>
                <w:rFonts w:hint="eastAsia" w:asciiTheme="minorEastAsia" w:hAnsiTheme="minorEastAsia" w:eastAsiaTheme="minorEastAsia" w:cstheme="minorEastAsia"/>
                <w:szCs w:val="21"/>
              </w:rPr>
              <w:t>/</w:t>
            </w:r>
            <w:r>
              <w:rPr>
                <w:rFonts w:asciiTheme="minorEastAsia" w:hAnsiTheme="minorEastAsia" w:eastAsiaTheme="minorEastAsia" w:cstheme="minorEastAsia"/>
                <w:szCs w:val="21"/>
              </w:rPr>
              <w:t>m</w:t>
            </w:r>
          </w:p>
        </w:tc>
        <w:tc>
          <w:tcPr>
            <w:tcW w:w="1383" w:type="dxa"/>
          </w:tcPr>
          <w:p w14:paraId="70EC890D">
            <w:pPr>
              <w:snapToGrid w:val="0"/>
              <w:rPr>
                <w:rFonts w:asciiTheme="minorEastAsia" w:hAnsiTheme="minorEastAsia" w:eastAsiaTheme="minorEastAsia" w:cstheme="minorEastAsia"/>
                <w:szCs w:val="21"/>
              </w:rPr>
            </w:pPr>
          </w:p>
        </w:tc>
        <w:tc>
          <w:tcPr>
            <w:tcW w:w="1383" w:type="dxa"/>
          </w:tcPr>
          <w:p w14:paraId="027EA458">
            <w:pPr>
              <w:snapToGrid w:val="0"/>
              <w:rPr>
                <w:rFonts w:asciiTheme="minorEastAsia" w:hAnsiTheme="minorEastAsia" w:eastAsiaTheme="minorEastAsia" w:cstheme="minorEastAsia"/>
                <w:szCs w:val="21"/>
              </w:rPr>
            </w:pPr>
          </w:p>
        </w:tc>
      </w:tr>
      <w:tr w14:paraId="4A3C0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2395EB1D">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w:t>
            </w:r>
          </w:p>
        </w:tc>
        <w:tc>
          <w:tcPr>
            <w:tcW w:w="1382" w:type="dxa"/>
          </w:tcPr>
          <w:p w14:paraId="0717D97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浆砌预制板边沟排水</w:t>
            </w:r>
          </w:p>
        </w:tc>
        <w:tc>
          <w:tcPr>
            <w:tcW w:w="1383" w:type="dxa"/>
          </w:tcPr>
          <w:p w14:paraId="6025DBD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10.76/70.24</w:t>
            </w:r>
          </w:p>
        </w:tc>
        <w:tc>
          <w:tcPr>
            <w:tcW w:w="1383" w:type="dxa"/>
          </w:tcPr>
          <w:p w14:paraId="487008B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r>
              <w:rPr>
                <w:rFonts w:hint="eastAsia" w:asciiTheme="minorEastAsia" w:hAnsiTheme="minorEastAsia" w:eastAsiaTheme="minorEastAsia" w:cstheme="minorEastAsia"/>
                <w:szCs w:val="21"/>
              </w:rPr>
              <w:t>/</w:t>
            </w:r>
            <w:r>
              <w:rPr>
                <w:rFonts w:asciiTheme="minorEastAsia" w:hAnsiTheme="minorEastAsia" w:eastAsiaTheme="minorEastAsia" w:cstheme="minorEastAsia"/>
                <w:szCs w:val="21"/>
              </w:rPr>
              <w:t>m</w:t>
            </w:r>
          </w:p>
        </w:tc>
        <w:tc>
          <w:tcPr>
            <w:tcW w:w="1383" w:type="dxa"/>
          </w:tcPr>
          <w:p w14:paraId="05971EDB">
            <w:pPr>
              <w:snapToGrid w:val="0"/>
              <w:rPr>
                <w:rFonts w:asciiTheme="minorEastAsia" w:hAnsiTheme="minorEastAsia" w:eastAsiaTheme="minorEastAsia" w:cstheme="minorEastAsia"/>
                <w:szCs w:val="21"/>
              </w:rPr>
            </w:pPr>
          </w:p>
        </w:tc>
        <w:tc>
          <w:tcPr>
            <w:tcW w:w="1383" w:type="dxa"/>
          </w:tcPr>
          <w:p w14:paraId="541390AE">
            <w:pPr>
              <w:snapToGrid w:val="0"/>
              <w:rPr>
                <w:rFonts w:asciiTheme="minorEastAsia" w:hAnsiTheme="minorEastAsia" w:eastAsiaTheme="minorEastAsia" w:cstheme="minorEastAsia"/>
                <w:szCs w:val="21"/>
              </w:rPr>
            </w:pPr>
          </w:p>
        </w:tc>
      </w:tr>
      <w:tr w14:paraId="5BB9A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restart"/>
          </w:tcPr>
          <w:p w14:paraId="3F1216A0">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7</w:t>
            </w:r>
          </w:p>
        </w:tc>
        <w:tc>
          <w:tcPr>
            <w:tcW w:w="1382" w:type="dxa"/>
          </w:tcPr>
          <w:p w14:paraId="54DE7752">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cm中粒式沥青混凝土路面</w:t>
            </w:r>
          </w:p>
        </w:tc>
        <w:tc>
          <w:tcPr>
            <w:tcW w:w="1383" w:type="dxa"/>
          </w:tcPr>
          <w:p w14:paraId="60E3EBD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8063</w:t>
            </w:r>
          </w:p>
        </w:tc>
        <w:tc>
          <w:tcPr>
            <w:tcW w:w="1383" w:type="dxa"/>
          </w:tcPr>
          <w:p w14:paraId="6B4C70D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35138C60">
            <w:pPr>
              <w:snapToGrid w:val="0"/>
              <w:rPr>
                <w:rFonts w:asciiTheme="minorEastAsia" w:hAnsiTheme="minorEastAsia" w:eastAsiaTheme="minorEastAsia" w:cstheme="minorEastAsia"/>
                <w:szCs w:val="21"/>
              </w:rPr>
            </w:pPr>
          </w:p>
        </w:tc>
        <w:tc>
          <w:tcPr>
            <w:tcW w:w="1383" w:type="dxa"/>
          </w:tcPr>
          <w:p w14:paraId="5548BA94">
            <w:pPr>
              <w:snapToGrid w:val="0"/>
              <w:rPr>
                <w:rFonts w:asciiTheme="minorEastAsia" w:hAnsiTheme="minorEastAsia" w:eastAsiaTheme="minorEastAsia" w:cstheme="minorEastAsia"/>
                <w:szCs w:val="21"/>
              </w:rPr>
            </w:pPr>
          </w:p>
        </w:tc>
      </w:tr>
      <w:tr w14:paraId="5952A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7CF4702A">
            <w:pPr>
              <w:snapToGrid w:val="0"/>
              <w:rPr>
                <w:rFonts w:asciiTheme="minorEastAsia" w:hAnsiTheme="minorEastAsia" w:eastAsiaTheme="minorEastAsia" w:cstheme="minorEastAsia"/>
                <w:szCs w:val="21"/>
              </w:rPr>
            </w:pPr>
          </w:p>
        </w:tc>
        <w:tc>
          <w:tcPr>
            <w:tcW w:w="1382" w:type="dxa"/>
          </w:tcPr>
          <w:p w14:paraId="75310055">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w:t>
            </w:r>
            <w:r>
              <w:rPr>
                <w:rFonts w:asciiTheme="minorEastAsia" w:hAnsiTheme="minorEastAsia" w:eastAsiaTheme="minorEastAsia" w:cstheme="minorEastAsia"/>
                <w:szCs w:val="21"/>
              </w:rPr>
              <w:t>4cm水泥稳定砂砾基层</w:t>
            </w:r>
          </w:p>
        </w:tc>
        <w:tc>
          <w:tcPr>
            <w:tcW w:w="1383" w:type="dxa"/>
          </w:tcPr>
          <w:p w14:paraId="4E1520E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8664</w:t>
            </w:r>
          </w:p>
        </w:tc>
        <w:tc>
          <w:tcPr>
            <w:tcW w:w="1383" w:type="dxa"/>
          </w:tcPr>
          <w:p w14:paraId="0639BA9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5A0E9BF9">
            <w:pPr>
              <w:snapToGrid w:val="0"/>
              <w:rPr>
                <w:rFonts w:asciiTheme="minorEastAsia" w:hAnsiTheme="minorEastAsia" w:eastAsiaTheme="minorEastAsia" w:cstheme="minorEastAsia"/>
                <w:szCs w:val="21"/>
              </w:rPr>
            </w:pPr>
          </w:p>
        </w:tc>
        <w:tc>
          <w:tcPr>
            <w:tcW w:w="1383" w:type="dxa"/>
          </w:tcPr>
          <w:p w14:paraId="670728E1">
            <w:pPr>
              <w:snapToGrid w:val="0"/>
              <w:rPr>
                <w:rFonts w:asciiTheme="minorEastAsia" w:hAnsiTheme="minorEastAsia" w:eastAsiaTheme="minorEastAsia" w:cstheme="minorEastAsia"/>
                <w:szCs w:val="21"/>
              </w:rPr>
            </w:pPr>
          </w:p>
        </w:tc>
      </w:tr>
      <w:tr w14:paraId="08BD9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8023062">
            <w:pPr>
              <w:snapToGrid w:val="0"/>
              <w:rPr>
                <w:rFonts w:asciiTheme="minorEastAsia" w:hAnsiTheme="minorEastAsia" w:eastAsiaTheme="minorEastAsia" w:cstheme="minorEastAsia"/>
                <w:szCs w:val="21"/>
              </w:rPr>
            </w:pPr>
          </w:p>
        </w:tc>
        <w:tc>
          <w:tcPr>
            <w:tcW w:w="1382" w:type="dxa"/>
          </w:tcPr>
          <w:p w14:paraId="14225B0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asciiTheme="minorEastAsia" w:hAnsiTheme="minorEastAsia" w:eastAsiaTheme="minorEastAsia" w:cstheme="minorEastAsia"/>
                <w:szCs w:val="21"/>
              </w:rPr>
              <w:t>0cm天然砂砾底基层</w:t>
            </w:r>
          </w:p>
        </w:tc>
        <w:tc>
          <w:tcPr>
            <w:tcW w:w="1383" w:type="dxa"/>
          </w:tcPr>
          <w:p w14:paraId="13C156C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9359</w:t>
            </w:r>
          </w:p>
        </w:tc>
        <w:tc>
          <w:tcPr>
            <w:tcW w:w="1383" w:type="dxa"/>
          </w:tcPr>
          <w:p w14:paraId="311BB9F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5CC642B9">
            <w:pPr>
              <w:snapToGrid w:val="0"/>
              <w:rPr>
                <w:rFonts w:asciiTheme="minorEastAsia" w:hAnsiTheme="minorEastAsia" w:eastAsiaTheme="minorEastAsia" w:cstheme="minorEastAsia"/>
                <w:szCs w:val="21"/>
              </w:rPr>
            </w:pPr>
          </w:p>
        </w:tc>
        <w:tc>
          <w:tcPr>
            <w:tcW w:w="1383" w:type="dxa"/>
          </w:tcPr>
          <w:p w14:paraId="3C031D91">
            <w:pPr>
              <w:snapToGrid w:val="0"/>
              <w:rPr>
                <w:rFonts w:asciiTheme="minorEastAsia" w:hAnsiTheme="minorEastAsia" w:eastAsiaTheme="minorEastAsia" w:cstheme="minorEastAsia"/>
                <w:szCs w:val="21"/>
              </w:rPr>
            </w:pPr>
          </w:p>
        </w:tc>
      </w:tr>
      <w:tr w14:paraId="30A8C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restart"/>
          </w:tcPr>
          <w:p w14:paraId="69BA40E8">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p>
        </w:tc>
        <w:tc>
          <w:tcPr>
            <w:tcW w:w="1382" w:type="dxa"/>
          </w:tcPr>
          <w:p w14:paraId="599DB10B">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asciiTheme="minorEastAsia" w:hAnsiTheme="minorEastAsia" w:eastAsiaTheme="minorEastAsia" w:cstheme="minorEastAsia"/>
                <w:szCs w:val="21"/>
              </w:rPr>
              <w:t>2cm水泥混凝土路面</w:t>
            </w:r>
          </w:p>
        </w:tc>
        <w:tc>
          <w:tcPr>
            <w:tcW w:w="1383" w:type="dxa"/>
          </w:tcPr>
          <w:p w14:paraId="6198E16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1016</w:t>
            </w:r>
          </w:p>
        </w:tc>
        <w:tc>
          <w:tcPr>
            <w:tcW w:w="1383" w:type="dxa"/>
          </w:tcPr>
          <w:p w14:paraId="452CBD8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696CFA9E">
            <w:pPr>
              <w:snapToGrid w:val="0"/>
              <w:rPr>
                <w:rFonts w:asciiTheme="minorEastAsia" w:hAnsiTheme="minorEastAsia" w:eastAsiaTheme="minorEastAsia" w:cstheme="minorEastAsia"/>
                <w:szCs w:val="21"/>
              </w:rPr>
            </w:pPr>
          </w:p>
        </w:tc>
        <w:tc>
          <w:tcPr>
            <w:tcW w:w="1383" w:type="dxa"/>
          </w:tcPr>
          <w:p w14:paraId="2C85098C">
            <w:pPr>
              <w:snapToGrid w:val="0"/>
              <w:rPr>
                <w:rFonts w:asciiTheme="minorEastAsia" w:hAnsiTheme="minorEastAsia" w:eastAsiaTheme="minorEastAsia" w:cstheme="minorEastAsia"/>
                <w:szCs w:val="21"/>
              </w:rPr>
            </w:pPr>
          </w:p>
        </w:tc>
      </w:tr>
      <w:tr w14:paraId="29CC2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766946A">
            <w:pPr>
              <w:snapToGrid w:val="0"/>
              <w:rPr>
                <w:rFonts w:asciiTheme="minorEastAsia" w:hAnsiTheme="minorEastAsia" w:eastAsiaTheme="minorEastAsia" w:cstheme="minorEastAsia"/>
                <w:szCs w:val="21"/>
              </w:rPr>
            </w:pPr>
          </w:p>
        </w:tc>
        <w:tc>
          <w:tcPr>
            <w:tcW w:w="1382" w:type="dxa"/>
          </w:tcPr>
          <w:p w14:paraId="432B06CC">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20cm水泥稳定砂砾基层</w:t>
            </w:r>
          </w:p>
        </w:tc>
        <w:tc>
          <w:tcPr>
            <w:tcW w:w="1383" w:type="dxa"/>
          </w:tcPr>
          <w:p w14:paraId="7E3EDB9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1050</w:t>
            </w:r>
          </w:p>
        </w:tc>
        <w:tc>
          <w:tcPr>
            <w:tcW w:w="1383" w:type="dxa"/>
          </w:tcPr>
          <w:p w14:paraId="424006C5">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1B5575C3">
            <w:pPr>
              <w:snapToGrid w:val="0"/>
              <w:rPr>
                <w:rFonts w:asciiTheme="minorEastAsia" w:hAnsiTheme="minorEastAsia" w:eastAsiaTheme="minorEastAsia" w:cstheme="minorEastAsia"/>
                <w:szCs w:val="21"/>
              </w:rPr>
            </w:pPr>
          </w:p>
        </w:tc>
        <w:tc>
          <w:tcPr>
            <w:tcW w:w="1383" w:type="dxa"/>
          </w:tcPr>
          <w:p w14:paraId="579BE560">
            <w:pPr>
              <w:snapToGrid w:val="0"/>
              <w:rPr>
                <w:rFonts w:asciiTheme="minorEastAsia" w:hAnsiTheme="minorEastAsia" w:eastAsiaTheme="minorEastAsia" w:cstheme="minorEastAsia"/>
                <w:szCs w:val="21"/>
              </w:rPr>
            </w:pPr>
          </w:p>
        </w:tc>
      </w:tr>
      <w:tr w14:paraId="21EEDF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525B2500">
            <w:pPr>
              <w:snapToGrid w:val="0"/>
              <w:rPr>
                <w:rFonts w:asciiTheme="minorEastAsia" w:hAnsiTheme="minorEastAsia" w:eastAsiaTheme="minorEastAsia" w:cstheme="minorEastAsia"/>
                <w:szCs w:val="21"/>
              </w:rPr>
            </w:pPr>
          </w:p>
        </w:tc>
        <w:tc>
          <w:tcPr>
            <w:tcW w:w="1382" w:type="dxa"/>
          </w:tcPr>
          <w:p w14:paraId="30AE298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25cm天然砂砾底基层</w:t>
            </w:r>
          </w:p>
        </w:tc>
        <w:tc>
          <w:tcPr>
            <w:tcW w:w="1383" w:type="dxa"/>
          </w:tcPr>
          <w:p w14:paraId="6ACB664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1083</w:t>
            </w:r>
          </w:p>
        </w:tc>
        <w:tc>
          <w:tcPr>
            <w:tcW w:w="1383" w:type="dxa"/>
          </w:tcPr>
          <w:p w14:paraId="703C648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5C5362C9">
            <w:pPr>
              <w:snapToGrid w:val="0"/>
              <w:rPr>
                <w:rFonts w:asciiTheme="minorEastAsia" w:hAnsiTheme="minorEastAsia" w:eastAsiaTheme="minorEastAsia" w:cstheme="minorEastAsia"/>
                <w:szCs w:val="21"/>
              </w:rPr>
            </w:pPr>
          </w:p>
        </w:tc>
        <w:tc>
          <w:tcPr>
            <w:tcW w:w="1383" w:type="dxa"/>
          </w:tcPr>
          <w:p w14:paraId="23D2D639">
            <w:pPr>
              <w:snapToGrid w:val="0"/>
              <w:rPr>
                <w:rFonts w:asciiTheme="minorEastAsia" w:hAnsiTheme="minorEastAsia" w:eastAsiaTheme="minorEastAsia" w:cstheme="minorEastAsia"/>
                <w:szCs w:val="21"/>
              </w:rPr>
            </w:pPr>
          </w:p>
        </w:tc>
      </w:tr>
      <w:tr w14:paraId="7376C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2E19EF7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p>
        </w:tc>
        <w:tc>
          <w:tcPr>
            <w:tcW w:w="1382" w:type="dxa"/>
          </w:tcPr>
          <w:p w14:paraId="275FDA0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刚柔路面衔接</w:t>
            </w:r>
          </w:p>
        </w:tc>
        <w:tc>
          <w:tcPr>
            <w:tcW w:w="1383" w:type="dxa"/>
          </w:tcPr>
          <w:p w14:paraId="7FBF0C79">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w:t>
            </w:r>
            <w:r>
              <w:rPr>
                <w:rFonts w:asciiTheme="minorEastAsia" w:hAnsiTheme="minorEastAsia" w:eastAsiaTheme="minorEastAsia" w:cstheme="minorEastAsia"/>
                <w:szCs w:val="21"/>
              </w:rPr>
              <w:t>86</w:t>
            </w:r>
          </w:p>
        </w:tc>
        <w:tc>
          <w:tcPr>
            <w:tcW w:w="1383" w:type="dxa"/>
          </w:tcPr>
          <w:p w14:paraId="0A7E4A0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53ECF83F">
            <w:pPr>
              <w:snapToGrid w:val="0"/>
              <w:rPr>
                <w:rFonts w:asciiTheme="minorEastAsia" w:hAnsiTheme="minorEastAsia" w:eastAsiaTheme="minorEastAsia" w:cstheme="minorEastAsia"/>
                <w:szCs w:val="21"/>
              </w:rPr>
            </w:pPr>
          </w:p>
        </w:tc>
        <w:tc>
          <w:tcPr>
            <w:tcW w:w="1383" w:type="dxa"/>
          </w:tcPr>
          <w:p w14:paraId="7F51459E">
            <w:pPr>
              <w:snapToGrid w:val="0"/>
              <w:rPr>
                <w:rFonts w:asciiTheme="minorEastAsia" w:hAnsiTheme="minorEastAsia" w:eastAsiaTheme="minorEastAsia" w:cstheme="minorEastAsia"/>
                <w:szCs w:val="21"/>
              </w:rPr>
            </w:pPr>
          </w:p>
        </w:tc>
      </w:tr>
      <w:tr w14:paraId="27A9F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2FAA0584">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.1</w:t>
            </w:r>
          </w:p>
        </w:tc>
        <w:tc>
          <w:tcPr>
            <w:tcW w:w="1382" w:type="dxa"/>
          </w:tcPr>
          <w:p w14:paraId="03842CA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中粒式沥青混凝土</w:t>
            </w:r>
          </w:p>
        </w:tc>
        <w:tc>
          <w:tcPr>
            <w:tcW w:w="1383" w:type="dxa"/>
          </w:tcPr>
          <w:p w14:paraId="64793739">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6.86</w:t>
            </w:r>
          </w:p>
        </w:tc>
        <w:tc>
          <w:tcPr>
            <w:tcW w:w="1383" w:type="dxa"/>
          </w:tcPr>
          <w:p w14:paraId="72469F6C">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3DBF59D8">
            <w:pPr>
              <w:snapToGrid w:val="0"/>
              <w:rPr>
                <w:rFonts w:asciiTheme="minorEastAsia" w:hAnsiTheme="minorEastAsia" w:eastAsiaTheme="minorEastAsia" w:cstheme="minorEastAsia"/>
                <w:szCs w:val="21"/>
              </w:rPr>
            </w:pPr>
          </w:p>
        </w:tc>
        <w:tc>
          <w:tcPr>
            <w:tcW w:w="1383" w:type="dxa"/>
          </w:tcPr>
          <w:p w14:paraId="38AC3169">
            <w:pPr>
              <w:snapToGrid w:val="0"/>
              <w:rPr>
                <w:rFonts w:asciiTheme="minorEastAsia" w:hAnsiTheme="minorEastAsia" w:eastAsiaTheme="minorEastAsia" w:cstheme="minorEastAsia"/>
                <w:szCs w:val="21"/>
              </w:rPr>
            </w:pPr>
          </w:p>
        </w:tc>
      </w:tr>
      <w:tr w14:paraId="008F3B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6A7B467F">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.2</w:t>
            </w:r>
          </w:p>
        </w:tc>
        <w:tc>
          <w:tcPr>
            <w:tcW w:w="1382" w:type="dxa"/>
          </w:tcPr>
          <w:p w14:paraId="136A059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C30 水泥混凝土刚柔过渡板</w:t>
            </w:r>
          </w:p>
        </w:tc>
        <w:tc>
          <w:tcPr>
            <w:tcW w:w="1383" w:type="dxa"/>
          </w:tcPr>
          <w:p w14:paraId="644F15D6">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25.37</w:t>
            </w:r>
          </w:p>
        </w:tc>
        <w:tc>
          <w:tcPr>
            <w:tcW w:w="1383" w:type="dxa"/>
          </w:tcPr>
          <w:p w14:paraId="4F4768E9">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7602EA67">
            <w:pPr>
              <w:snapToGrid w:val="0"/>
              <w:rPr>
                <w:rFonts w:asciiTheme="minorEastAsia" w:hAnsiTheme="minorEastAsia" w:eastAsiaTheme="minorEastAsia" w:cstheme="minorEastAsia"/>
                <w:szCs w:val="21"/>
              </w:rPr>
            </w:pPr>
          </w:p>
        </w:tc>
        <w:tc>
          <w:tcPr>
            <w:tcW w:w="1383" w:type="dxa"/>
          </w:tcPr>
          <w:p w14:paraId="3A318792">
            <w:pPr>
              <w:snapToGrid w:val="0"/>
              <w:rPr>
                <w:rFonts w:asciiTheme="minorEastAsia" w:hAnsiTheme="minorEastAsia" w:eastAsiaTheme="minorEastAsia" w:cstheme="minorEastAsia"/>
                <w:szCs w:val="21"/>
              </w:rPr>
            </w:pPr>
          </w:p>
        </w:tc>
      </w:tr>
      <w:tr w14:paraId="0B9EA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7BDD7C0D">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.3</w:t>
            </w:r>
          </w:p>
        </w:tc>
        <w:tc>
          <w:tcPr>
            <w:tcW w:w="1382" w:type="dxa"/>
          </w:tcPr>
          <w:p w14:paraId="7DEF9CB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水泥稳定砂砾</w:t>
            </w:r>
          </w:p>
        </w:tc>
        <w:tc>
          <w:tcPr>
            <w:tcW w:w="1383" w:type="dxa"/>
          </w:tcPr>
          <w:p w14:paraId="36A23BC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24.20</w:t>
            </w:r>
          </w:p>
        </w:tc>
        <w:tc>
          <w:tcPr>
            <w:tcW w:w="1383" w:type="dxa"/>
          </w:tcPr>
          <w:p w14:paraId="358C416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5A094F90">
            <w:pPr>
              <w:snapToGrid w:val="0"/>
              <w:rPr>
                <w:rFonts w:asciiTheme="minorEastAsia" w:hAnsiTheme="minorEastAsia" w:eastAsiaTheme="minorEastAsia" w:cstheme="minorEastAsia"/>
                <w:szCs w:val="21"/>
              </w:rPr>
            </w:pPr>
          </w:p>
        </w:tc>
        <w:tc>
          <w:tcPr>
            <w:tcW w:w="1383" w:type="dxa"/>
          </w:tcPr>
          <w:p w14:paraId="15DE8B92">
            <w:pPr>
              <w:snapToGrid w:val="0"/>
              <w:rPr>
                <w:rFonts w:asciiTheme="minorEastAsia" w:hAnsiTheme="minorEastAsia" w:eastAsiaTheme="minorEastAsia" w:cstheme="minorEastAsia"/>
                <w:szCs w:val="21"/>
              </w:rPr>
            </w:pPr>
          </w:p>
        </w:tc>
      </w:tr>
      <w:tr w14:paraId="3ABF70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31F3073D">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.4</w:t>
            </w:r>
          </w:p>
        </w:tc>
        <w:tc>
          <w:tcPr>
            <w:tcW w:w="1382" w:type="dxa"/>
          </w:tcPr>
          <w:p w14:paraId="08C6BF5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天然砂砾底基层</w:t>
            </w:r>
          </w:p>
        </w:tc>
        <w:tc>
          <w:tcPr>
            <w:tcW w:w="1383" w:type="dxa"/>
          </w:tcPr>
          <w:p w14:paraId="79CB03B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34.15</w:t>
            </w:r>
          </w:p>
        </w:tc>
        <w:tc>
          <w:tcPr>
            <w:tcW w:w="1383" w:type="dxa"/>
          </w:tcPr>
          <w:p w14:paraId="19D0206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M³</w:t>
            </w:r>
          </w:p>
        </w:tc>
        <w:tc>
          <w:tcPr>
            <w:tcW w:w="1383" w:type="dxa"/>
          </w:tcPr>
          <w:p w14:paraId="33104F59">
            <w:pPr>
              <w:snapToGrid w:val="0"/>
              <w:rPr>
                <w:rFonts w:asciiTheme="minorEastAsia" w:hAnsiTheme="minorEastAsia" w:eastAsiaTheme="minorEastAsia" w:cstheme="minorEastAsia"/>
                <w:szCs w:val="21"/>
              </w:rPr>
            </w:pPr>
          </w:p>
        </w:tc>
        <w:tc>
          <w:tcPr>
            <w:tcW w:w="1383" w:type="dxa"/>
          </w:tcPr>
          <w:p w14:paraId="0138F92E">
            <w:pPr>
              <w:snapToGrid w:val="0"/>
              <w:rPr>
                <w:rFonts w:asciiTheme="minorEastAsia" w:hAnsiTheme="minorEastAsia" w:eastAsiaTheme="minorEastAsia" w:cstheme="minorEastAsia"/>
                <w:szCs w:val="21"/>
              </w:rPr>
            </w:pPr>
          </w:p>
        </w:tc>
      </w:tr>
      <w:tr w14:paraId="0E711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52F9C80C">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0</w:t>
            </w:r>
          </w:p>
        </w:tc>
        <w:tc>
          <w:tcPr>
            <w:tcW w:w="1382" w:type="dxa"/>
          </w:tcPr>
          <w:p w14:paraId="36ADBA8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新建钢筋混凝土管涵</w:t>
            </w:r>
          </w:p>
        </w:tc>
        <w:tc>
          <w:tcPr>
            <w:tcW w:w="1383" w:type="dxa"/>
          </w:tcPr>
          <w:p w14:paraId="5FCA41A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40/3</w:t>
            </w:r>
          </w:p>
        </w:tc>
        <w:tc>
          <w:tcPr>
            <w:tcW w:w="1383" w:type="dxa"/>
          </w:tcPr>
          <w:p w14:paraId="7825925D">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r>
              <w:rPr>
                <w:rFonts w:asciiTheme="minorEastAsia" w:hAnsiTheme="minorEastAsia" w:eastAsiaTheme="minorEastAsia" w:cstheme="minorEastAsia"/>
                <w:szCs w:val="21"/>
              </w:rPr>
              <w:t>/道</w:t>
            </w:r>
          </w:p>
        </w:tc>
        <w:tc>
          <w:tcPr>
            <w:tcW w:w="1383" w:type="dxa"/>
          </w:tcPr>
          <w:p w14:paraId="153AEF54">
            <w:pPr>
              <w:snapToGrid w:val="0"/>
              <w:rPr>
                <w:rFonts w:asciiTheme="minorEastAsia" w:hAnsiTheme="minorEastAsia" w:eastAsiaTheme="minorEastAsia" w:cstheme="minorEastAsia"/>
                <w:szCs w:val="21"/>
              </w:rPr>
            </w:pPr>
          </w:p>
        </w:tc>
        <w:tc>
          <w:tcPr>
            <w:tcW w:w="1383" w:type="dxa"/>
          </w:tcPr>
          <w:p w14:paraId="6D712A2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接长利用 2 道，新建 1 道</w:t>
            </w:r>
          </w:p>
        </w:tc>
      </w:tr>
      <w:tr w14:paraId="527D6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6CD92D61">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1</w:t>
            </w:r>
          </w:p>
        </w:tc>
        <w:tc>
          <w:tcPr>
            <w:tcW w:w="1382" w:type="dxa"/>
          </w:tcPr>
          <w:p w14:paraId="535031E9">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输水管线管线交叉钢筋混凝土盖板保护</w:t>
            </w:r>
          </w:p>
        </w:tc>
        <w:tc>
          <w:tcPr>
            <w:tcW w:w="1383" w:type="dxa"/>
          </w:tcPr>
          <w:p w14:paraId="38C2AE69">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20/1</w:t>
            </w:r>
          </w:p>
        </w:tc>
        <w:tc>
          <w:tcPr>
            <w:tcW w:w="1383" w:type="dxa"/>
          </w:tcPr>
          <w:p w14:paraId="3A33FE31">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r>
              <w:rPr>
                <w:rFonts w:asciiTheme="minorEastAsia" w:hAnsiTheme="minorEastAsia" w:eastAsiaTheme="minorEastAsia" w:cstheme="minorEastAsia"/>
                <w:szCs w:val="21"/>
              </w:rPr>
              <w:t>/道</w:t>
            </w:r>
          </w:p>
        </w:tc>
        <w:tc>
          <w:tcPr>
            <w:tcW w:w="1383" w:type="dxa"/>
          </w:tcPr>
          <w:p w14:paraId="7CBAB129">
            <w:pPr>
              <w:snapToGrid w:val="0"/>
              <w:rPr>
                <w:rFonts w:asciiTheme="minorEastAsia" w:hAnsiTheme="minorEastAsia" w:eastAsiaTheme="minorEastAsia" w:cstheme="minorEastAsia"/>
                <w:szCs w:val="21"/>
              </w:rPr>
            </w:pPr>
          </w:p>
        </w:tc>
        <w:tc>
          <w:tcPr>
            <w:tcW w:w="1383" w:type="dxa"/>
          </w:tcPr>
          <w:p w14:paraId="04C2BE0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清单见图纸</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6-6</w:t>
            </w:r>
          </w:p>
        </w:tc>
      </w:tr>
      <w:tr w14:paraId="0A01E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75CBEBE0">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2</w:t>
            </w:r>
          </w:p>
        </w:tc>
        <w:tc>
          <w:tcPr>
            <w:tcW w:w="1382" w:type="dxa"/>
          </w:tcPr>
          <w:p w14:paraId="515E67A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天然气管线交叉桥涵</w:t>
            </w:r>
          </w:p>
        </w:tc>
        <w:tc>
          <w:tcPr>
            <w:tcW w:w="1383" w:type="dxa"/>
          </w:tcPr>
          <w:p w14:paraId="1D5EB014">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20/1</w:t>
            </w:r>
          </w:p>
        </w:tc>
        <w:tc>
          <w:tcPr>
            <w:tcW w:w="1383" w:type="dxa"/>
          </w:tcPr>
          <w:p w14:paraId="66CF89B7">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r>
              <w:rPr>
                <w:rFonts w:asciiTheme="minorEastAsia" w:hAnsiTheme="minorEastAsia" w:eastAsiaTheme="minorEastAsia" w:cstheme="minorEastAsia"/>
                <w:szCs w:val="21"/>
              </w:rPr>
              <w:t>/道</w:t>
            </w:r>
          </w:p>
        </w:tc>
        <w:tc>
          <w:tcPr>
            <w:tcW w:w="1383" w:type="dxa"/>
          </w:tcPr>
          <w:p w14:paraId="66507686">
            <w:pPr>
              <w:snapToGrid w:val="0"/>
              <w:rPr>
                <w:rFonts w:asciiTheme="minorEastAsia" w:hAnsiTheme="minorEastAsia" w:eastAsiaTheme="minorEastAsia" w:cstheme="minorEastAsia"/>
                <w:szCs w:val="21"/>
              </w:rPr>
            </w:pPr>
          </w:p>
        </w:tc>
        <w:tc>
          <w:tcPr>
            <w:tcW w:w="1383" w:type="dxa"/>
          </w:tcPr>
          <w:p w14:paraId="240383E3">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清单见图纸</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6-6</w:t>
            </w:r>
          </w:p>
        </w:tc>
      </w:tr>
      <w:tr w14:paraId="0F4EC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38906437">
            <w:pPr>
              <w:snapToGrid w:val="0"/>
              <w:rPr>
                <w:rFonts w:asciiTheme="minorEastAsia" w:hAnsiTheme="minorEastAsia" w:eastAsiaTheme="minorEastAsia" w:cstheme="minorEastAsia"/>
                <w:szCs w:val="21"/>
              </w:rPr>
            </w:pPr>
          </w:p>
        </w:tc>
        <w:tc>
          <w:tcPr>
            <w:tcW w:w="1382" w:type="dxa"/>
          </w:tcPr>
          <w:p w14:paraId="5546F2C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波形梁护栏</w:t>
            </w:r>
          </w:p>
        </w:tc>
        <w:tc>
          <w:tcPr>
            <w:tcW w:w="1383" w:type="dxa"/>
          </w:tcPr>
          <w:p w14:paraId="7CFF2B3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680</w:t>
            </w:r>
          </w:p>
        </w:tc>
        <w:tc>
          <w:tcPr>
            <w:tcW w:w="1383" w:type="dxa"/>
          </w:tcPr>
          <w:p w14:paraId="2588E767">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p>
        </w:tc>
        <w:tc>
          <w:tcPr>
            <w:tcW w:w="1383" w:type="dxa"/>
          </w:tcPr>
          <w:p w14:paraId="56859E42">
            <w:pPr>
              <w:snapToGrid w:val="0"/>
              <w:rPr>
                <w:rFonts w:asciiTheme="minorEastAsia" w:hAnsiTheme="minorEastAsia" w:eastAsiaTheme="minorEastAsia" w:cstheme="minorEastAsia"/>
                <w:szCs w:val="21"/>
              </w:rPr>
            </w:pPr>
          </w:p>
        </w:tc>
        <w:tc>
          <w:tcPr>
            <w:tcW w:w="1383" w:type="dxa"/>
          </w:tcPr>
          <w:p w14:paraId="01F0C91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清单见图纸</w:t>
            </w:r>
          </w:p>
        </w:tc>
      </w:tr>
      <w:tr w14:paraId="7C4E8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08A5B820">
            <w:pPr>
              <w:snapToGrid w:val="0"/>
              <w:rPr>
                <w:rFonts w:asciiTheme="minorEastAsia" w:hAnsiTheme="minorEastAsia" w:eastAsiaTheme="minorEastAsia" w:cstheme="minorEastAsia"/>
                <w:szCs w:val="21"/>
              </w:rPr>
            </w:pPr>
          </w:p>
        </w:tc>
        <w:tc>
          <w:tcPr>
            <w:tcW w:w="1382" w:type="dxa"/>
          </w:tcPr>
          <w:p w14:paraId="01C27D0E">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柱式护栏</w:t>
            </w:r>
          </w:p>
        </w:tc>
        <w:tc>
          <w:tcPr>
            <w:tcW w:w="1383" w:type="dxa"/>
          </w:tcPr>
          <w:p w14:paraId="1BECC790">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w:t>
            </w:r>
          </w:p>
        </w:tc>
        <w:tc>
          <w:tcPr>
            <w:tcW w:w="1383" w:type="dxa"/>
          </w:tcPr>
          <w:p w14:paraId="77470F3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根</w:t>
            </w:r>
          </w:p>
        </w:tc>
        <w:tc>
          <w:tcPr>
            <w:tcW w:w="1383" w:type="dxa"/>
          </w:tcPr>
          <w:p w14:paraId="1594E8B4">
            <w:pPr>
              <w:snapToGrid w:val="0"/>
              <w:rPr>
                <w:rFonts w:asciiTheme="minorEastAsia" w:hAnsiTheme="minorEastAsia" w:eastAsiaTheme="minorEastAsia" w:cstheme="minorEastAsia"/>
                <w:szCs w:val="21"/>
              </w:rPr>
            </w:pPr>
          </w:p>
        </w:tc>
        <w:tc>
          <w:tcPr>
            <w:tcW w:w="1383" w:type="dxa"/>
          </w:tcPr>
          <w:p w14:paraId="76EAE07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清单详见图纸图号</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2-9-10</w:t>
            </w:r>
          </w:p>
        </w:tc>
      </w:tr>
      <w:tr w14:paraId="3A770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74E929DE">
            <w:pPr>
              <w:snapToGrid w:val="0"/>
              <w:rPr>
                <w:rFonts w:asciiTheme="minorEastAsia" w:hAnsiTheme="minorEastAsia" w:eastAsiaTheme="minorEastAsia" w:cstheme="minorEastAsia"/>
                <w:szCs w:val="21"/>
              </w:rPr>
            </w:pPr>
          </w:p>
        </w:tc>
        <w:tc>
          <w:tcPr>
            <w:tcW w:w="1382" w:type="dxa"/>
          </w:tcPr>
          <w:p w14:paraId="62723F75">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道口标注</w:t>
            </w:r>
          </w:p>
        </w:tc>
        <w:tc>
          <w:tcPr>
            <w:tcW w:w="1383" w:type="dxa"/>
          </w:tcPr>
          <w:p w14:paraId="071E8BE7">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根</w:t>
            </w:r>
          </w:p>
        </w:tc>
        <w:tc>
          <w:tcPr>
            <w:tcW w:w="1383" w:type="dxa"/>
          </w:tcPr>
          <w:p w14:paraId="535ED00E">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6</w:t>
            </w:r>
          </w:p>
        </w:tc>
        <w:tc>
          <w:tcPr>
            <w:tcW w:w="1383" w:type="dxa"/>
          </w:tcPr>
          <w:p w14:paraId="50EFF354">
            <w:pPr>
              <w:snapToGrid w:val="0"/>
              <w:rPr>
                <w:rFonts w:asciiTheme="minorEastAsia" w:hAnsiTheme="minorEastAsia" w:eastAsiaTheme="minorEastAsia" w:cstheme="minorEastAsia"/>
                <w:szCs w:val="21"/>
              </w:rPr>
            </w:pPr>
          </w:p>
        </w:tc>
        <w:tc>
          <w:tcPr>
            <w:tcW w:w="1383" w:type="dxa"/>
          </w:tcPr>
          <w:p w14:paraId="56C314C4">
            <w:pPr>
              <w:snapToGrid w:val="0"/>
              <w:rPr>
                <w:rFonts w:asciiTheme="minorEastAsia" w:hAnsiTheme="minorEastAsia" w:eastAsiaTheme="minorEastAsia" w:cstheme="minorEastAsia"/>
                <w:szCs w:val="21"/>
              </w:rPr>
            </w:pPr>
          </w:p>
        </w:tc>
      </w:tr>
      <w:tr w14:paraId="136FC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237BBEDE">
            <w:pPr>
              <w:snapToGrid w:val="0"/>
              <w:rPr>
                <w:rFonts w:asciiTheme="minorEastAsia" w:hAnsiTheme="minorEastAsia" w:eastAsiaTheme="minorEastAsia" w:cstheme="minorEastAsia"/>
                <w:szCs w:val="21"/>
              </w:rPr>
            </w:pPr>
          </w:p>
        </w:tc>
        <w:tc>
          <w:tcPr>
            <w:tcW w:w="1382" w:type="dxa"/>
          </w:tcPr>
          <w:p w14:paraId="7F20F30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标志</w:t>
            </w:r>
          </w:p>
        </w:tc>
        <w:tc>
          <w:tcPr>
            <w:tcW w:w="1383" w:type="dxa"/>
          </w:tcPr>
          <w:p w14:paraId="3690D1F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13</w:t>
            </w:r>
          </w:p>
        </w:tc>
        <w:tc>
          <w:tcPr>
            <w:tcW w:w="1383" w:type="dxa"/>
          </w:tcPr>
          <w:p w14:paraId="1E74C43E">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处</w:t>
            </w:r>
          </w:p>
        </w:tc>
        <w:tc>
          <w:tcPr>
            <w:tcW w:w="1383" w:type="dxa"/>
          </w:tcPr>
          <w:p w14:paraId="67E2491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其中单柱式警告标志 3 处，单柱式禁令标志 2 块，单柱式停车区 +辅助标志 2 块，单柱式禁令+警告标志 1 块，单柱式禁令+指示标志 3 块，单柱式警告+辅助标 志 1 块。</w:t>
            </w:r>
          </w:p>
        </w:tc>
        <w:tc>
          <w:tcPr>
            <w:tcW w:w="1383" w:type="dxa"/>
          </w:tcPr>
          <w:p w14:paraId="101768C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标志材料清单详见图纸图号</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2-9-7、</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2-9-8</w:t>
            </w:r>
          </w:p>
        </w:tc>
      </w:tr>
      <w:tr w14:paraId="209A5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17E2107D">
            <w:pPr>
              <w:snapToGrid w:val="0"/>
              <w:rPr>
                <w:rFonts w:asciiTheme="minorEastAsia" w:hAnsiTheme="minorEastAsia" w:eastAsiaTheme="minorEastAsia" w:cstheme="minorEastAsia"/>
                <w:szCs w:val="21"/>
              </w:rPr>
            </w:pPr>
          </w:p>
        </w:tc>
        <w:tc>
          <w:tcPr>
            <w:tcW w:w="1382" w:type="dxa"/>
          </w:tcPr>
          <w:p w14:paraId="763B5E6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标线</w:t>
            </w:r>
          </w:p>
        </w:tc>
        <w:tc>
          <w:tcPr>
            <w:tcW w:w="1383" w:type="dxa"/>
          </w:tcPr>
          <w:p w14:paraId="00C6B268">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08.3</w:t>
            </w:r>
          </w:p>
        </w:tc>
        <w:tc>
          <w:tcPr>
            <w:tcW w:w="1383" w:type="dxa"/>
          </w:tcPr>
          <w:p w14:paraId="787D4D6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6C34D1E0">
            <w:pPr>
              <w:snapToGrid w:val="0"/>
              <w:rPr>
                <w:rFonts w:asciiTheme="minorEastAsia" w:hAnsiTheme="minorEastAsia" w:eastAsiaTheme="minorEastAsia" w:cstheme="minorEastAsia"/>
                <w:szCs w:val="21"/>
              </w:rPr>
            </w:pPr>
          </w:p>
        </w:tc>
        <w:tc>
          <w:tcPr>
            <w:tcW w:w="1383" w:type="dxa"/>
          </w:tcPr>
          <w:p w14:paraId="5A4D80D8">
            <w:pPr>
              <w:snapToGrid w:val="0"/>
              <w:rPr>
                <w:rFonts w:asciiTheme="minorEastAsia" w:hAnsiTheme="minorEastAsia" w:eastAsiaTheme="minorEastAsia" w:cstheme="minorEastAsia"/>
                <w:szCs w:val="21"/>
              </w:rPr>
            </w:pPr>
          </w:p>
        </w:tc>
      </w:tr>
      <w:tr w14:paraId="4256B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restart"/>
          </w:tcPr>
          <w:p w14:paraId="40C62D6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化学品库道路</w:t>
            </w:r>
          </w:p>
        </w:tc>
        <w:tc>
          <w:tcPr>
            <w:tcW w:w="1382" w:type="dxa"/>
          </w:tcPr>
          <w:p w14:paraId="2571364B">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asciiTheme="minorEastAsia" w:hAnsiTheme="minorEastAsia" w:eastAsiaTheme="minorEastAsia" w:cstheme="minorEastAsia"/>
                <w:szCs w:val="21"/>
              </w:rPr>
              <w:t>2cm水泥混凝土路面</w:t>
            </w:r>
          </w:p>
        </w:tc>
        <w:tc>
          <w:tcPr>
            <w:tcW w:w="1383" w:type="dxa"/>
          </w:tcPr>
          <w:p w14:paraId="56502EB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5573.7</w:t>
            </w:r>
          </w:p>
        </w:tc>
        <w:tc>
          <w:tcPr>
            <w:tcW w:w="1383" w:type="dxa"/>
          </w:tcPr>
          <w:p w14:paraId="74BFD8D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199DA97A">
            <w:pPr>
              <w:snapToGrid w:val="0"/>
              <w:rPr>
                <w:rFonts w:asciiTheme="minorEastAsia" w:hAnsiTheme="minorEastAsia" w:eastAsiaTheme="minorEastAsia" w:cstheme="minorEastAsia"/>
                <w:szCs w:val="21"/>
              </w:rPr>
            </w:pPr>
          </w:p>
        </w:tc>
        <w:tc>
          <w:tcPr>
            <w:tcW w:w="1383" w:type="dxa"/>
          </w:tcPr>
          <w:p w14:paraId="6A884298">
            <w:pPr>
              <w:snapToGrid w:val="0"/>
              <w:rPr>
                <w:rFonts w:asciiTheme="minorEastAsia" w:hAnsiTheme="minorEastAsia" w:eastAsiaTheme="minorEastAsia" w:cstheme="minorEastAsia"/>
                <w:szCs w:val="21"/>
              </w:rPr>
            </w:pPr>
          </w:p>
        </w:tc>
      </w:tr>
      <w:tr w14:paraId="6D61D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645293C4">
            <w:pPr>
              <w:snapToGrid w:val="0"/>
              <w:rPr>
                <w:rFonts w:asciiTheme="minorEastAsia" w:hAnsiTheme="minorEastAsia" w:eastAsiaTheme="minorEastAsia" w:cstheme="minorEastAsia"/>
                <w:szCs w:val="21"/>
              </w:rPr>
            </w:pPr>
          </w:p>
        </w:tc>
        <w:tc>
          <w:tcPr>
            <w:tcW w:w="1382" w:type="dxa"/>
          </w:tcPr>
          <w:p w14:paraId="02A90EF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20cm水泥稳定砂砾基层</w:t>
            </w:r>
          </w:p>
        </w:tc>
        <w:tc>
          <w:tcPr>
            <w:tcW w:w="1383" w:type="dxa"/>
          </w:tcPr>
          <w:p w14:paraId="003F04EE">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6099.17</w:t>
            </w:r>
          </w:p>
        </w:tc>
        <w:tc>
          <w:tcPr>
            <w:tcW w:w="1383" w:type="dxa"/>
          </w:tcPr>
          <w:p w14:paraId="79630ECB">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6BEDB281">
            <w:pPr>
              <w:snapToGrid w:val="0"/>
              <w:rPr>
                <w:rFonts w:asciiTheme="minorEastAsia" w:hAnsiTheme="minorEastAsia" w:eastAsiaTheme="minorEastAsia" w:cstheme="minorEastAsia"/>
                <w:szCs w:val="21"/>
              </w:rPr>
            </w:pPr>
          </w:p>
        </w:tc>
        <w:tc>
          <w:tcPr>
            <w:tcW w:w="1383" w:type="dxa"/>
          </w:tcPr>
          <w:p w14:paraId="1FB572DE">
            <w:pPr>
              <w:snapToGrid w:val="0"/>
              <w:rPr>
                <w:rFonts w:asciiTheme="minorEastAsia" w:hAnsiTheme="minorEastAsia" w:eastAsiaTheme="minorEastAsia" w:cstheme="minorEastAsia"/>
                <w:szCs w:val="21"/>
              </w:rPr>
            </w:pPr>
          </w:p>
        </w:tc>
      </w:tr>
      <w:tr w14:paraId="02EEA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529FF760">
            <w:pPr>
              <w:snapToGrid w:val="0"/>
              <w:rPr>
                <w:rFonts w:asciiTheme="minorEastAsia" w:hAnsiTheme="minorEastAsia" w:eastAsiaTheme="minorEastAsia" w:cstheme="minorEastAsia"/>
                <w:szCs w:val="21"/>
              </w:rPr>
            </w:pPr>
          </w:p>
        </w:tc>
        <w:tc>
          <w:tcPr>
            <w:tcW w:w="1382" w:type="dxa"/>
          </w:tcPr>
          <w:p w14:paraId="11A86E23">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25cm天然砂砾底基层</w:t>
            </w:r>
          </w:p>
        </w:tc>
        <w:tc>
          <w:tcPr>
            <w:tcW w:w="1383" w:type="dxa"/>
          </w:tcPr>
          <w:p w14:paraId="6AFFB5E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6099.17</w:t>
            </w:r>
          </w:p>
        </w:tc>
        <w:tc>
          <w:tcPr>
            <w:tcW w:w="1383" w:type="dxa"/>
          </w:tcPr>
          <w:p w14:paraId="3AA38B96">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73704E35">
            <w:pPr>
              <w:snapToGrid w:val="0"/>
              <w:rPr>
                <w:rFonts w:asciiTheme="minorEastAsia" w:hAnsiTheme="minorEastAsia" w:eastAsiaTheme="minorEastAsia" w:cstheme="minorEastAsia"/>
                <w:szCs w:val="21"/>
              </w:rPr>
            </w:pPr>
          </w:p>
        </w:tc>
        <w:tc>
          <w:tcPr>
            <w:tcW w:w="1383" w:type="dxa"/>
          </w:tcPr>
          <w:p w14:paraId="3511F75C">
            <w:pPr>
              <w:snapToGrid w:val="0"/>
              <w:rPr>
                <w:rFonts w:asciiTheme="minorEastAsia" w:hAnsiTheme="minorEastAsia" w:eastAsiaTheme="minorEastAsia" w:cstheme="minorEastAsia"/>
                <w:szCs w:val="21"/>
              </w:rPr>
            </w:pPr>
          </w:p>
        </w:tc>
      </w:tr>
      <w:tr w14:paraId="12C8E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0F035EF7">
            <w:pPr>
              <w:snapToGrid w:val="0"/>
              <w:rPr>
                <w:rFonts w:asciiTheme="minorEastAsia" w:hAnsiTheme="minorEastAsia" w:eastAsiaTheme="minorEastAsia" w:cstheme="minorEastAsia"/>
                <w:szCs w:val="21"/>
              </w:rPr>
            </w:pPr>
          </w:p>
        </w:tc>
        <w:tc>
          <w:tcPr>
            <w:tcW w:w="1382" w:type="dxa"/>
          </w:tcPr>
          <w:p w14:paraId="3F91C064">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路床整形</w:t>
            </w:r>
          </w:p>
        </w:tc>
        <w:tc>
          <w:tcPr>
            <w:tcW w:w="1383" w:type="dxa"/>
          </w:tcPr>
          <w:p w14:paraId="17E89282">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w:t>
            </w:r>
            <w:r>
              <w:rPr>
                <w:rFonts w:asciiTheme="minorEastAsia" w:hAnsiTheme="minorEastAsia" w:eastAsiaTheme="minorEastAsia" w:cstheme="minorEastAsia"/>
                <w:szCs w:val="21"/>
              </w:rPr>
              <w:t>099.17</w:t>
            </w:r>
          </w:p>
        </w:tc>
        <w:tc>
          <w:tcPr>
            <w:tcW w:w="1383" w:type="dxa"/>
          </w:tcPr>
          <w:p w14:paraId="042CC18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3108CF75">
            <w:pPr>
              <w:snapToGrid w:val="0"/>
              <w:rPr>
                <w:rFonts w:asciiTheme="minorEastAsia" w:hAnsiTheme="minorEastAsia" w:eastAsiaTheme="minorEastAsia" w:cstheme="minorEastAsia"/>
                <w:szCs w:val="21"/>
              </w:rPr>
            </w:pPr>
          </w:p>
        </w:tc>
        <w:tc>
          <w:tcPr>
            <w:tcW w:w="1383" w:type="dxa"/>
          </w:tcPr>
          <w:p w14:paraId="6AB9B014">
            <w:pPr>
              <w:snapToGrid w:val="0"/>
              <w:rPr>
                <w:rFonts w:asciiTheme="minorEastAsia" w:hAnsiTheme="minorEastAsia" w:eastAsiaTheme="minorEastAsia" w:cstheme="minorEastAsia"/>
                <w:szCs w:val="21"/>
              </w:rPr>
            </w:pPr>
          </w:p>
        </w:tc>
      </w:tr>
      <w:tr w14:paraId="5B8FC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426F089">
            <w:pPr>
              <w:snapToGrid w:val="0"/>
              <w:rPr>
                <w:rFonts w:asciiTheme="minorEastAsia" w:hAnsiTheme="minorEastAsia" w:eastAsiaTheme="minorEastAsia" w:cstheme="minorEastAsia"/>
                <w:szCs w:val="21"/>
              </w:rPr>
            </w:pPr>
          </w:p>
        </w:tc>
        <w:tc>
          <w:tcPr>
            <w:tcW w:w="1382" w:type="dxa"/>
          </w:tcPr>
          <w:p w14:paraId="37D2E87C">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混凝土路缘石</w:t>
            </w:r>
          </w:p>
        </w:tc>
        <w:tc>
          <w:tcPr>
            <w:tcW w:w="1383" w:type="dxa"/>
          </w:tcPr>
          <w:p w14:paraId="04B05E6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1943.69</w:t>
            </w:r>
          </w:p>
        </w:tc>
        <w:tc>
          <w:tcPr>
            <w:tcW w:w="1383" w:type="dxa"/>
          </w:tcPr>
          <w:p w14:paraId="5A490980">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p>
        </w:tc>
        <w:tc>
          <w:tcPr>
            <w:tcW w:w="1383" w:type="dxa"/>
          </w:tcPr>
          <w:p w14:paraId="150A6B75">
            <w:pPr>
              <w:snapToGrid w:val="0"/>
              <w:rPr>
                <w:rFonts w:asciiTheme="minorEastAsia" w:hAnsiTheme="minorEastAsia" w:eastAsiaTheme="minorEastAsia" w:cstheme="minorEastAsia"/>
                <w:szCs w:val="21"/>
              </w:rPr>
            </w:pPr>
          </w:p>
        </w:tc>
        <w:tc>
          <w:tcPr>
            <w:tcW w:w="1383" w:type="dxa"/>
          </w:tcPr>
          <w:p w14:paraId="7326E244">
            <w:pPr>
              <w:snapToGrid w:val="0"/>
              <w:rPr>
                <w:rFonts w:asciiTheme="minorEastAsia" w:hAnsiTheme="minorEastAsia" w:eastAsiaTheme="minorEastAsia" w:cstheme="minorEastAsia"/>
                <w:szCs w:val="21"/>
              </w:rPr>
            </w:pPr>
          </w:p>
        </w:tc>
      </w:tr>
      <w:tr w14:paraId="093DA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2872FF54">
            <w:pPr>
              <w:snapToGrid w:val="0"/>
              <w:rPr>
                <w:rFonts w:asciiTheme="minorEastAsia" w:hAnsiTheme="minorEastAsia" w:eastAsiaTheme="minorEastAsia" w:cstheme="minorEastAsia"/>
                <w:szCs w:val="21"/>
              </w:rPr>
            </w:pPr>
          </w:p>
        </w:tc>
        <w:tc>
          <w:tcPr>
            <w:tcW w:w="1382" w:type="dxa"/>
          </w:tcPr>
          <w:p w14:paraId="0294F41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土方开挖</w:t>
            </w:r>
          </w:p>
        </w:tc>
        <w:tc>
          <w:tcPr>
            <w:tcW w:w="1383" w:type="dxa"/>
          </w:tcPr>
          <w:p w14:paraId="5567DA5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4879.34</w:t>
            </w:r>
          </w:p>
        </w:tc>
        <w:tc>
          <w:tcPr>
            <w:tcW w:w="1383" w:type="dxa"/>
          </w:tcPr>
          <w:p w14:paraId="4C703F7A">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m³</w:t>
            </w:r>
          </w:p>
        </w:tc>
        <w:tc>
          <w:tcPr>
            <w:tcW w:w="1383" w:type="dxa"/>
          </w:tcPr>
          <w:p w14:paraId="294ADC89">
            <w:pPr>
              <w:snapToGrid w:val="0"/>
              <w:rPr>
                <w:rFonts w:asciiTheme="minorEastAsia" w:hAnsiTheme="minorEastAsia" w:eastAsiaTheme="minorEastAsia" w:cstheme="minorEastAsia"/>
                <w:szCs w:val="21"/>
              </w:rPr>
            </w:pPr>
          </w:p>
        </w:tc>
        <w:tc>
          <w:tcPr>
            <w:tcW w:w="1383" w:type="dxa"/>
          </w:tcPr>
          <w:p w14:paraId="470BDDC7">
            <w:pPr>
              <w:snapToGrid w:val="0"/>
              <w:rPr>
                <w:rFonts w:asciiTheme="minorEastAsia" w:hAnsiTheme="minorEastAsia" w:eastAsiaTheme="minorEastAsia" w:cstheme="minorEastAsia"/>
                <w:szCs w:val="21"/>
              </w:rPr>
            </w:pPr>
          </w:p>
        </w:tc>
      </w:tr>
      <w:tr w14:paraId="6B0A7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4412B858">
            <w:pPr>
              <w:snapToGrid w:val="0"/>
              <w:rPr>
                <w:rFonts w:asciiTheme="minorEastAsia" w:hAnsiTheme="minorEastAsia" w:eastAsiaTheme="minorEastAsia" w:cstheme="minorEastAsia"/>
                <w:szCs w:val="21"/>
              </w:rPr>
            </w:pPr>
          </w:p>
        </w:tc>
        <w:tc>
          <w:tcPr>
            <w:tcW w:w="1382" w:type="dxa"/>
          </w:tcPr>
          <w:p w14:paraId="6ADE1967">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传力杆、拉杆</w:t>
            </w:r>
          </w:p>
        </w:tc>
        <w:tc>
          <w:tcPr>
            <w:tcW w:w="1383" w:type="dxa"/>
          </w:tcPr>
          <w:p w14:paraId="22098A99">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r>
              <w:rPr>
                <w:rFonts w:asciiTheme="minorEastAsia" w:hAnsiTheme="minorEastAsia" w:eastAsiaTheme="minorEastAsia" w:cstheme="minorEastAsia"/>
                <w:szCs w:val="21"/>
              </w:rPr>
              <w:t>.554</w:t>
            </w:r>
          </w:p>
        </w:tc>
        <w:tc>
          <w:tcPr>
            <w:tcW w:w="1383" w:type="dxa"/>
          </w:tcPr>
          <w:p w14:paraId="0C2E8D77">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t</w:t>
            </w:r>
          </w:p>
        </w:tc>
        <w:tc>
          <w:tcPr>
            <w:tcW w:w="1383" w:type="dxa"/>
          </w:tcPr>
          <w:p w14:paraId="5DBD03CF">
            <w:pPr>
              <w:snapToGrid w:val="0"/>
              <w:rPr>
                <w:rFonts w:asciiTheme="minorEastAsia" w:hAnsiTheme="minorEastAsia" w:eastAsiaTheme="minorEastAsia" w:cstheme="minorEastAsia"/>
                <w:szCs w:val="21"/>
              </w:rPr>
            </w:pPr>
          </w:p>
        </w:tc>
        <w:tc>
          <w:tcPr>
            <w:tcW w:w="1383" w:type="dxa"/>
          </w:tcPr>
          <w:p w14:paraId="300E8E42">
            <w:pPr>
              <w:snapToGrid w:val="0"/>
              <w:rPr>
                <w:rFonts w:asciiTheme="minorEastAsia" w:hAnsiTheme="minorEastAsia" w:eastAsiaTheme="minorEastAsia" w:cstheme="minorEastAsia"/>
                <w:szCs w:val="21"/>
              </w:rPr>
            </w:pPr>
          </w:p>
        </w:tc>
      </w:tr>
      <w:tr w14:paraId="214939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restart"/>
          </w:tcPr>
          <w:p w14:paraId="4760EFE1">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沥青储罐道路</w:t>
            </w:r>
          </w:p>
        </w:tc>
        <w:tc>
          <w:tcPr>
            <w:tcW w:w="1382" w:type="dxa"/>
            <w:vAlign w:val="center"/>
          </w:tcPr>
          <w:p w14:paraId="5F9EFB82">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w:t>
            </w:r>
            <w:r>
              <w:rPr>
                <w:rFonts w:asciiTheme="minorEastAsia" w:hAnsiTheme="minorEastAsia" w:eastAsiaTheme="minorEastAsia" w:cstheme="minorEastAsia"/>
                <w:szCs w:val="21"/>
              </w:rPr>
              <w:t>4cm水泥混凝土路面</w:t>
            </w:r>
          </w:p>
        </w:tc>
        <w:tc>
          <w:tcPr>
            <w:tcW w:w="1383" w:type="dxa"/>
          </w:tcPr>
          <w:p w14:paraId="393C0633">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3600.84</w:t>
            </w:r>
          </w:p>
        </w:tc>
        <w:tc>
          <w:tcPr>
            <w:tcW w:w="1383" w:type="dxa"/>
          </w:tcPr>
          <w:p w14:paraId="5EE1A2C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6280809D">
            <w:pPr>
              <w:snapToGrid w:val="0"/>
              <w:rPr>
                <w:rFonts w:asciiTheme="minorEastAsia" w:hAnsiTheme="minorEastAsia" w:eastAsiaTheme="minorEastAsia" w:cstheme="minorEastAsia"/>
                <w:szCs w:val="21"/>
              </w:rPr>
            </w:pPr>
          </w:p>
        </w:tc>
        <w:tc>
          <w:tcPr>
            <w:tcW w:w="1383" w:type="dxa"/>
          </w:tcPr>
          <w:p w14:paraId="429E61EC">
            <w:pPr>
              <w:snapToGrid w:val="0"/>
              <w:rPr>
                <w:rFonts w:asciiTheme="minorEastAsia" w:hAnsiTheme="minorEastAsia" w:eastAsiaTheme="minorEastAsia" w:cstheme="minorEastAsia"/>
                <w:szCs w:val="21"/>
              </w:rPr>
            </w:pPr>
          </w:p>
        </w:tc>
      </w:tr>
      <w:tr w14:paraId="15C13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66AE56B">
            <w:pPr>
              <w:snapToGrid w:val="0"/>
              <w:rPr>
                <w:rFonts w:asciiTheme="minorEastAsia" w:hAnsiTheme="minorEastAsia" w:eastAsiaTheme="minorEastAsia" w:cstheme="minorEastAsia"/>
                <w:szCs w:val="21"/>
              </w:rPr>
            </w:pPr>
          </w:p>
        </w:tc>
        <w:tc>
          <w:tcPr>
            <w:tcW w:w="1382" w:type="dxa"/>
          </w:tcPr>
          <w:p w14:paraId="57A1AF44">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20cm水泥稳定砂砾基层</w:t>
            </w:r>
          </w:p>
        </w:tc>
        <w:tc>
          <w:tcPr>
            <w:tcW w:w="1383" w:type="dxa"/>
          </w:tcPr>
          <w:p w14:paraId="35E8932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3877.69</w:t>
            </w:r>
          </w:p>
        </w:tc>
        <w:tc>
          <w:tcPr>
            <w:tcW w:w="1383" w:type="dxa"/>
          </w:tcPr>
          <w:p w14:paraId="596A399F">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5DA277B1">
            <w:pPr>
              <w:snapToGrid w:val="0"/>
              <w:rPr>
                <w:rFonts w:asciiTheme="minorEastAsia" w:hAnsiTheme="minorEastAsia" w:eastAsiaTheme="minorEastAsia" w:cstheme="minorEastAsia"/>
                <w:szCs w:val="21"/>
              </w:rPr>
            </w:pPr>
          </w:p>
        </w:tc>
        <w:tc>
          <w:tcPr>
            <w:tcW w:w="1383" w:type="dxa"/>
          </w:tcPr>
          <w:p w14:paraId="252A2356">
            <w:pPr>
              <w:snapToGrid w:val="0"/>
              <w:rPr>
                <w:rFonts w:asciiTheme="minorEastAsia" w:hAnsiTheme="minorEastAsia" w:eastAsiaTheme="minorEastAsia" w:cstheme="minorEastAsia"/>
                <w:szCs w:val="21"/>
              </w:rPr>
            </w:pPr>
          </w:p>
        </w:tc>
      </w:tr>
      <w:tr w14:paraId="5199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C2E6F41">
            <w:pPr>
              <w:snapToGrid w:val="0"/>
              <w:rPr>
                <w:rFonts w:asciiTheme="minorEastAsia" w:hAnsiTheme="minorEastAsia" w:eastAsiaTheme="minorEastAsia" w:cstheme="minorEastAsia"/>
                <w:szCs w:val="21"/>
              </w:rPr>
            </w:pPr>
          </w:p>
        </w:tc>
        <w:tc>
          <w:tcPr>
            <w:tcW w:w="1382" w:type="dxa"/>
          </w:tcPr>
          <w:p w14:paraId="23A870BF">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20cm</w:t>
            </w:r>
            <w:r>
              <w:rPr>
                <w:rFonts w:hint="eastAsia" w:asciiTheme="minorEastAsia" w:hAnsiTheme="minorEastAsia" w:eastAsiaTheme="minorEastAsia" w:cstheme="minorEastAsia"/>
                <w:szCs w:val="21"/>
              </w:rPr>
              <w:t>三七</w:t>
            </w:r>
            <w:r>
              <w:rPr>
                <w:rFonts w:asciiTheme="minorEastAsia" w:hAnsiTheme="minorEastAsia" w:eastAsiaTheme="minorEastAsia" w:cstheme="minorEastAsia"/>
                <w:szCs w:val="21"/>
              </w:rPr>
              <w:t>灰土垫层</w:t>
            </w:r>
          </w:p>
        </w:tc>
        <w:tc>
          <w:tcPr>
            <w:tcW w:w="1383" w:type="dxa"/>
          </w:tcPr>
          <w:p w14:paraId="012A18DA">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3877.69</w:t>
            </w:r>
          </w:p>
        </w:tc>
        <w:tc>
          <w:tcPr>
            <w:tcW w:w="1383" w:type="dxa"/>
          </w:tcPr>
          <w:p w14:paraId="463DC440">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7E0A8CCC">
            <w:pPr>
              <w:snapToGrid w:val="0"/>
              <w:rPr>
                <w:rFonts w:asciiTheme="minorEastAsia" w:hAnsiTheme="minorEastAsia" w:eastAsiaTheme="minorEastAsia" w:cstheme="minorEastAsia"/>
                <w:szCs w:val="21"/>
              </w:rPr>
            </w:pPr>
          </w:p>
        </w:tc>
        <w:tc>
          <w:tcPr>
            <w:tcW w:w="1383" w:type="dxa"/>
          </w:tcPr>
          <w:p w14:paraId="06595713">
            <w:pPr>
              <w:snapToGrid w:val="0"/>
              <w:rPr>
                <w:rFonts w:asciiTheme="minorEastAsia" w:hAnsiTheme="minorEastAsia" w:eastAsiaTheme="minorEastAsia" w:cstheme="minorEastAsia"/>
                <w:szCs w:val="21"/>
              </w:rPr>
            </w:pPr>
          </w:p>
        </w:tc>
      </w:tr>
      <w:tr w14:paraId="17E63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6" w:hRule="atLeast"/>
          <w:jc w:val="center"/>
        </w:trPr>
        <w:tc>
          <w:tcPr>
            <w:tcW w:w="1382" w:type="dxa"/>
            <w:vMerge w:val="continue"/>
          </w:tcPr>
          <w:p w14:paraId="71BB2A45">
            <w:pPr>
              <w:snapToGrid w:val="0"/>
              <w:rPr>
                <w:rFonts w:asciiTheme="minorEastAsia" w:hAnsiTheme="minorEastAsia" w:eastAsiaTheme="minorEastAsia" w:cstheme="minorEastAsia"/>
                <w:szCs w:val="21"/>
              </w:rPr>
            </w:pPr>
          </w:p>
        </w:tc>
        <w:tc>
          <w:tcPr>
            <w:tcW w:w="1382" w:type="dxa"/>
          </w:tcPr>
          <w:p w14:paraId="49BF0415">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混凝土路缘石</w:t>
            </w:r>
          </w:p>
        </w:tc>
        <w:tc>
          <w:tcPr>
            <w:tcW w:w="1383" w:type="dxa"/>
          </w:tcPr>
          <w:p w14:paraId="04194772">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1038.98</w:t>
            </w:r>
          </w:p>
        </w:tc>
        <w:tc>
          <w:tcPr>
            <w:tcW w:w="1383" w:type="dxa"/>
          </w:tcPr>
          <w:p w14:paraId="476EFF0D">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w:t>
            </w:r>
          </w:p>
        </w:tc>
        <w:tc>
          <w:tcPr>
            <w:tcW w:w="1383" w:type="dxa"/>
          </w:tcPr>
          <w:p w14:paraId="5BED2126">
            <w:pPr>
              <w:snapToGrid w:val="0"/>
              <w:rPr>
                <w:rFonts w:asciiTheme="minorEastAsia" w:hAnsiTheme="minorEastAsia" w:eastAsiaTheme="minorEastAsia" w:cstheme="minorEastAsia"/>
                <w:szCs w:val="21"/>
              </w:rPr>
            </w:pPr>
          </w:p>
        </w:tc>
        <w:tc>
          <w:tcPr>
            <w:tcW w:w="1383" w:type="dxa"/>
          </w:tcPr>
          <w:p w14:paraId="44F1D958">
            <w:pPr>
              <w:snapToGrid w:val="0"/>
              <w:rPr>
                <w:rFonts w:asciiTheme="minorEastAsia" w:hAnsiTheme="minorEastAsia" w:eastAsiaTheme="minorEastAsia" w:cstheme="minorEastAsia"/>
                <w:szCs w:val="21"/>
              </w:rPr>
            </w:pPr>
          </w:p>
        </w:tc>
      </w:tr>
      <w:tr w14:paraId="39B28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33B7A03B">
            <w:pPr>
              <w:snapToGrid w:val="0"/>
              <w:rPr>
                <w:rFonts w:asciiTheme="minorEastAsia" w:hAnsiTheme="minorEastAsia" w:eastAsiaTheme="minorEastAsia" w:cstheme="minorEastAsia"/>
                <w:szCs w:val="21"/>
              </w:rPr>
            </w:pPr>
          </w:p>
        </w:tc>
        <w:tc>
          <w:tcPr>
            <w:tcW w:w="1382" w:type="dxa"/>
          </w:tcPr>
          <w:p w14:paraId="7B4863A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路床整形</w:t>
            </w:r>
          </w:p>
        </w:tc>
        <w:tc>
          <w:tcPr>
            <w:tcW w:w="1383" w:type="dxa"/>
          </w:tcPr>
          <w:p w14:paraId="5F95C366">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w:t>
            </w:r>
            <w:r>
              <w:rPr>
                <w:rFonts w:asciiTheme="minorEastAsia" w:hAnsiTheme="minorEastAsia" w:eastAsiaTheme="minorEastAsia" w:cstheme="minorEastAsia"/>
                <w:szCs w:val="21"/>
              </w:rPr>
              <w:t>877.69</w:t>
            </w:r>
          </w:p>
        </w:tc>
        <w:tc>
          <w:tcPr>
            <w:tcW w:w="1383" w:type="dxa"/>
          </w:tcPr>
          <w:p w14:paraId="1AE6D1B9">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p>
        </w:tc>
        <w:tc>
          <w:tcPr>
            <w:tcW w:w="1383" w:type="dxa"/>
          </w:tcPr>
          <w:p w14:paraId="7914813D">
            <w:pPr>
              <w:snapToGrid w:val="0"/>
              <w:rPr>
                <w:rFonts w:asciiTheme="minorEastAsia" w:hAnsiTheme="minorEastAsia" w:eastAsiaTheme="minorEastAsia" w:cstheme="minorEastAsia"/>
                <w:szCs w:val="21"/>
              </w:rPr>
            </w:pPr>
          </w:p>
        </w:tc>
        <w:tc>
          <w:tcPr>
            <w:tcW w:w="1383" w:type="dxa"/>
          </w:tcPr>
          <w:p w14:paraId="7C6F047B">
            <w:pPr>
              <w:snapToGrid w:val="0"/>
              <w:rPr>
                <w:rFonts w:asciiTheme="minorEastAsia" w:hAnsiTheme="minorEastAsia" w:eastAsiaTheme="minorEastAsia" w:cstheme="minorEastAsia"/>
                <w:szCs w:val="21"/>
              </w:rPr>
            </w:pPr>
          </w:p>
        </w:tc>
      </w:tr>
      <w:tr w14:paraId="18FC5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vMerge w:val="continue"/>
          </w:tcPr>
          <w:p w14:paraId="5028CA4E">
            <w:pPr>
              <w:snapToGrid w:val="0"/>
              <w:rPr>
                <w:rFonts w:asciiTheme="minorEastAsia" w:hAnsiTheme="minorEastAsia" w:eastAsiaTheme="minorEastAsia" w:cstheme="minorEastAsia"/>
                <w:szCs w:val="21"/>
              </w:rPr>
            </w:pPr>
          </w:p>
        </w:tc>
        <w:tc>
          <w:tcPr>
            <w:tcW w:w="1382" w:type="dxa"/>
          </w:tcPr>
          <w:p w14:paraId="7F984D2F">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传力杆、拉杆</w:t>
            </w:r>
          </w:p>
        </w:tc>
        <w:tc>
          <w:tcPr>
            <w:tcW w:w="1383" w:type="dxa"/>
          </w:tcPr>
          <w:p w14:paraId="73B15BAE">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7</w:t>
            </w:r>
            <w:r>
              <w:rPr>
                <w:rFonts w:asciiTheme="minorEastAsia" w:hAnsiTheme="minorEastAsia" w:eastAsiaTheme="minorEastAsia" w:cstheme="minorEastAsia"/>
                <w:szCs w:val="21"/>
              </w:rPr>
              <w:t>.655</w:t>
            </w:r>
          </w:p>
        </w:tc>
        <w:tc>
          <w:tcPr>
            <w:tcW w:w="1383" w:type="dxa"/>
          </w:tcPr>
          <w:p w14:paraId="0B7A8FC6">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t</w:t>
            </w:r>
          </w:p>
        </w:tc>
        <w:tc>
          <w:tcPr>
            <w:tcW w:w="1383" w:type="dxa"/>
          </w:tcPr>
          <w:p w14:paraId="7AF4C028">
            <w:pPr>
              <w:snapToGrid w:val="0"/>
              <w:rPr>
                <w:rFonts w:asciiTheme="minorEastAsia" w:hAnsiTheme="minorEastAsia" w:eastAsiaTheme="minorEastAsia" w:cstheme="minorEastAsia"/>
                <w:szCs w:val="21"/>
              </w:rPr>
            </w:pPr>
          </w:p>
        </w:tc>
        <w:tc>
          <w:tcPr>
            <w:tcW w:w="1383" w:type="dxa"/>
          </w:tcPr>
          <w:p w14:paraId="080298A2">
            <w:pPr>
              <w:snapToGrid w:val="0"/>
              <w:rPr>
                <w:rFonts w:asciiTheme="minorEastAsia" w:hAnsiTheme="minorEastAsia" w:eastAsiaTheme="minorEastAsia" w:cstheme="minorEastAsia"/>
                <w:szCs w:val="21"/>
              </w:rPr>
            </w:pPr>
          </w:p>
        </w:tc>
      </w:tr>
      <w:tr w14:paraId="25D4D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2" w:type="dxa"/>
          </w:tcPr>
          <w:p w14:paraId="6B9C11B2">
            <w:pPr>
              <w:snapToGrid w:val="0"/>
              <w:rPr>
                <w:rFonts w:asciiTheme="minorEastAsia" w:hAnsiTheme="minorEastAsia" w:eastAsiaTheme="minorEastAsia" w:cstheme="minorEastAsia"/>
                <w:szCs w:val="21"/>
              </w:rPr>
            </w:pPr>
          </w:p>
        </w:tc>
        <w:tc>
          <w:tcPr>
            <w:tcW w:w="1382" w:type="dxa"/>
          </w:tcPr>
          <w:p w14:paraId="09E7B0A8">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土方开挖，原土夯实，压实度大于</w:t>
            </w:r>
            <w:r>
              <w:rPr>
                <w:rFonts w:hint="eastAsia" w:asciiTheme="minorEastAsia" w:hAnsiTheme="minorEastAsia" w:eastAsiaTheme="minorEastAsia" w:cstheme="minorEastAsia"/>
                <w:szCs w:val="21"/>
              </w:rPr>
              <w:t>0</w:t>
            </w:r>
            <w:r>
              <w:rPr>
                <w:rFonts w:asciiTheme="minorEastAsia" w:hAnsiTheme="minorEastAsia" w:eastAsiaTheme="minorEastAsia" w:cstheme="minorEastAsia"/>
                <w:szCs w:val="21"/>
              </w:rPr>
              <w:t>.95</w:t>
            </w:r>
          </w:p>
        </w:tc>
        <w:tc>
          <w:tcPr>
            <w:tcW w:w="1383" w:type="dxa"/>
          </w:tcPr>
          <w:p w14:paraId="523884BD">
            <w:pPr>
              <w:snapToGrid w:val="0"/>
              <w:rPr>
                <w:rFonts w:asciiTheme="minorEastAsia" w:hAnsiTheme="minorEastAsia" w:eastAsiaTheme="minorEastAsia" w:cstheme="minorEastAsia"/>
                <w:szCs w:val="21"/>
              </w:rPr>
            </w:pPr>
            <w:r>
              <w:rPr>
                <w:rFonts w:asciiTheme="minorEastAsia" w:hAnsiTheme="minorEastAsia" w:eastAsiaTheme="minorEastAsia" w:cstheme="minorEastAsia"/>
                <w:szCs w:val="21"/>
              </w:rPr>
              <w:t>3102.15</w:t>
            </w:r>
          </w:p>
        </w:tc>
        <w:tc>
          <w:tcPr>
            <w:tcW w:w="1383" w:type="dxa"/>
          </w:tcPr>
          <w:p w14:paraId="45801A09">
            <w:pPr>
              <w:snapToGrid w:val="0"/>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m³</w:t>
            </w:r>
          </w:p>
        </w:tc>
        <w:tc>
          <w:tcPr>
            <w:tcW w:w="1383" w:type="dxa"/>
          </w:tcPr>
          <w:p w14:paraId="0DB0B89F">
            <w:pPr>
              <w:snapToGrid w:val="0"/>
              <w:rPr>
                <w:rFonts w:asciiTheme="minorEastAsia" w:hAnsiTheme="minorEastAsia" w:eastAsiaTheme="minorEastAsia" w:cstheme="minorEastAsia"/>
                <w:szCs w:val="21"/>
              </w:rPr>
            </w:pPr>
          </w:p>
        </w:tc>
        <w:tc>
          <w:tcPr>
            <w:tcW w:w="1383" w:type="dxa"/>
          </w:tcPr>
          <w:p w14:paraId="60C32AE7">
            <w:pPr>
              <w:snapToGrid w:val="0"/>
              <w:rPr>
                <w:rFonts w:asciiTheme="minorEastAsia" w:hAnsiTheme="minorEastAsia" w:eastAsiaTheme="minorEastAsia" w:cstheme="minorEastAsia"/>
                <w:szCs w:val="21"/>
              </w:rPr>
            </w:pPr>
          </w:p>
        </w:tc>
      </w:tr>
    </w:tbl>
    <w:p w14:paraId="31CA714B">
      <w:pPr>
        <w:snapToGrid w:val="0"/>
        <w:spacing w:line="500" w:lineRule="exact"/>
        <w:rPr>
          <w:rFonts w:asciiTheme="minorEastAsia" w:hAnsiTheme="minorEastAsia" w:eastAsiaTheme="minorEastAsia" w:cstheme="minorEastAsia"/>
          <w:szCs w:val="21"/>
        </w:rPr>
      </w:pPr>
    </w:p>
    <w:p w14:paraId="68C9FB3B">
      <w:pPr>
        <w:snapToGrid w:val="0"/>
        <w:spacing w:line="500" w:lineRule="exact"/>
        <w:rPr>
          <w:rFonts w:asciiTheme="minorEastAsia" w:hAnsiTheme="minorEastAsia" w:eastAsiaTheme="minorEastAsia" w:cstheme="minorEastAsia"/>
          <w:szCs w:val="21"/>
        </w:rPr>
      </w:pPr>
    </w:p>
    <w:p w14:paraId="5A75FF8D">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4、规范要求</w:t>
      </w:r>
    </w:p>
    <w:p w14:paraId="2E7E20EE">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JTG F40《公路沥青路面施工技术规范》</w:t>
      </w:r>
    </w:p>
    <w:p w14:paraId="7256A698">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GB50092《沥青路面施工及验收规范》</w:t>
      </w:r>
    </w:p>
    <w:p w14:paraId="3325D60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GB5768《道路交通标志和标线》</w:t>
      </w:r>
    </w:p>
    <w:p w14:paraId="69B5284B">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5、技术要求及工艺</w:t>
      </w:r>
    </w:p>
    <w:p w14:paraId="2673D78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 根据公路承担的功能，结合交通量及建设条件综合分析论证，按照《公路工程技术标准》（JTG B01-2014）的规定，厂区外运道路线路采用双车道四级公路标准实施建设，路面做法为沥青混凝土，</w:t>
      </w:r>
      <w:r>
        <w:rPr>
          <w:rFonts w:hint="eastAsia" w:asciiTheme="minorEastAsia" w:hAnsiTheme="minorEastAsia" w:eastAsiaTheme="minorEastAsia" w:cstheme="minorEastAsia"/>
          <w:szCs w:val="21"/>
        </w:rPr>
        <w:t>参照</w:t>
      </w:r>
      <w:r>
        <w:rPr>
          <w:rFonts w:asciiTheme="minorEastAsia" w:hAnsiTheme="minorEastAsia" w:eastAsiaTheme="minorEastAsia" w:cstheme="minorEastAsia"/>
          <w:szCs w:val="21"/>
        </w:rPr>
        <w:t xml:space="preserve">二级公路标准实施，设计速度 20km/h，考虑到车型主要为大型载重货车，路基横断面组成为：行车道 2×3.5m+土路肩 2×0.75m=8.5m，为便于施划行车道边缘标线，土路肩硬化宽度 2×0.25m。 </w:t>
      </w:r>
    </w:p>
    <w:p w14:paraId="3D9F076C">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5.2 本项目停车场出、入口及应急出口道路，设计速度 20km/h。依据《化工园区危险品运输车辆 停车场建设标准》（T/CPCIF 0050-2020）第 6.2.2 规定，停车场出、入口道路路基横断面组成 为：行车道 2×3.75m+硬路肩 2×1.5m+土路肩 2×0.75m=12.0m，停车场应急出口道路路基横断面 组成为：行车道 2×3.75m+硬路肩 2×0.25m+土路肩 2×0.5m=9.0m。</w:t>
      </w:r>
    </w:p>
    <w:p w14:paraId="7250ABD8">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.3 工程位于伊宁市北部丘陵区，场地周边区域内未见河流分布。道路 K0+344.22m 处、 K0+464.05m 处分布有冲沟，以钢筋混凝土圆管涵方式通过。</w:t>
      </w:r>
    </w:p>
    <w:p w14:paraId="60D22531">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.4 目前厂区外运道路路基已基本填筑完毕，现状按设计速度 20Km/h 四级公路标准建设，路基 宽度 9.01～1.0m，为砾类土填筑，基本密实；钢筋混凝土圆管涵已施工完毕，K0+344.22 处 1-1.5m 钢筋混凝土圆管涵实测涵长 23.2m，K0+ 464.05 处 1-1.5m 钢筋混凝土圆管涵实测涵长 18.0m，由于路基高度提高，圆管涵做接长利用处理。</w:t>
      </w:r>
    </w:p>
    <w:p w14:paraId="1546782C">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.5 已做的道路路基连续纵坡最大坡长超限，不满足规范要求，无法保证安全行车， 进行优化：起点 K0+000 处在老路既有标高基础上降低 2.0m，K0+230 处在老路既有标高基础上提高 1.0m，设置缓和坡段 3%/60m，纵断面最低点 K0+450 处在老路既有 标 高基础上 提 高 1.6m ， 最终形成新的纵断面组合：连续下坡路段 8.9%/200m+3.0%/60m+8.842%/190m，然后接上坡路段 4.81%/130m+1.96%/65m，符合规范要求，而且 K0+230处设置了3%/60m 缓和坡段，使停车场出、入口设置在在较为平缓的纵坡路段。</w:t>
      </w:r>
    </w:p>
    <w:p w14:paraId="4178BDBD">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5.6 在旧路路基上低填或浅挖的，按常规做法对旧路或新铺填料进行充分压实即可；在旧路路基上填高较大、出现路侧帮坡的，需进行新旧路路基衔接处理：具体为：将一定高 度内的旧路路基填料分层移挖作填，用于填筑旧路加宽部分，直至新旧路基标高达到相同；同标 高的新旧路基衔接面设置 4m 宽钢塑土工格栅，往下每隔 2m 设置钢塑土工格栅，设置土工格栅处 先采用冲击碾压或液压夯实进行补压进行补压，然后再铺设格栅；然后在此基础上，全断面整体 填筑透水性砾类土至路床顶面，最大限度减少新旧路沉降差，避免纵向裂缝。</w:t>
      </w:r>
    </w:p>
    <w:p w14:paraId="5D935E0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.7 公路施工应采用采用机械化作业，以平行作业、流水作业为主要方法，合理安排，精心组织， 在确保工程质量的前提下加快工程进度。</w:t>
      </w:r>
    </w:p>
    <w:p w14:paraId="34D0132C">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.8 本项目路基土方、路面结构层为关键工程，工程前期应投入足够数量的大型土方机械设备和 适量运输车辆，保证路基在较短时间内贯通。路面施工采用外购商品混合料，大吨位自卸汽车运 输，自动找平摊铺机摊铺混合料，双钢轮压路机和胶轮压路机联合碾压。</w:t>
      </w:r>
    </w:p>
    <w:p w14:paraId="62E4F5C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.9 危化品运输车辆停车场入口道路最大纵坡2.95%，最小纵坡2.33%，平交口处路线纵坡2.95%； 停车场出口道路最大纵坡-4.667%，最小纵坡-2.791%，平交口处路线纵坡-2.791%；停车场应急出 口道路最大纵坡-4.444%，最小纵坡-2.846%，平交口处路线纵坡-2.846%。</w:t>
      </w:r>
    </w:p>
    <w:p w14:paraId="29B810C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.10 交通安全设施主要包括：标志、标线、护栏、道口标柱等。本项目设计交通量中，总质量大 于或等于 25t 的车辆自然数所占比例大于 20%，防护等级宜在《公路交通安全设施设计规范》（JTG D81-2017）表 6.2.10 基础上提高 1 个等级，故本项目路侧护栏防撞等级采用二（B）级。</w:t>
      </w:r>
    </w:p>
    <w:p w14:paraId="77BDF3EB">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 xml:space="preserve">.11 标志：布设严格按照 GB 5768.2-2009《道路交通标志和标线 第 2 部分：道路交通标志》及 有关规范进行，力求作到标志齐全、功能完整，在标志布设中，主要遵循以下几 条原则： </w:t>
      </w:r>
    </w:p>
    <w:p w14:paraId="60EADF4D">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（1）以完全不熟悉本设计路段及其周围路网体系的外地司机为设计对象； </w:t>
      </w:r>
    </w:p>
    <w:p w14:paraId="0D3470EB">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（2）标志的版面设计以驾驶人员在按设计行车速度行驶时能及时辨认标志信息为基本原 则，同时力求使版面美观、醒目，标志版面尺寸及文字高度等按＜40km/h 的指标选取。标志版面内容采用维文、汉字两种文字对应标识， 外文在上，汉字在下，汉字采用规范规定的相应字高，外文字高为汉字字高的一半，阿拉伯数字 与汉字同高，辅助标志和告示标志的字高一般可按规定值的 50%确定，且最小值不应小于 10cm。 指路标志为蓝底、白框、白图案，警告标志颜色为黄底、黑边、黑图形，禁令标志为白底、红边、 黑字，指示标志为蓝底、白框、黑图案； </w:t>
      </w:r>
    </w:p>
    <w:p w14:paraId="703D50CA">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（3）标志结构设计采用“充分满足功能要求、尽量降低造价并注重美观”的原则。 </w:t>
      </w:r>
    </w:p>
    <w:p w14:paraId="2379A776">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结合以上总体设置原则，本路设置以下标志： </w:t>
      </w:r>
    </w:p>
    <w:p w14:paraId="774A8D69">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（1）易超速行驶路段:设置限速标志； </w:t>
      </w:r>
    </w:p>
    <w:p w14:paraId="30C848CE">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（2）陡坡路段及交叉路口等路段:设置必要警告标志； </w:t>
      </w:r>
    </w:p>
    <w:p w14:paraId="74A82884">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（3）平面交叉或其他需要处：设置禁令标志、指示标志； </w:t>
      </w:r>
    </w:p>
    <w:p w14:paraId="24BC5C49">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（4）停车场附近：停车区标志。 </w:t>
      </w:r>
    </w:p>
    <w:p w14:paraId="4B0FDA0D">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.12 护栏：路堤高度 H＜3m 路段、挖方路段不设置路侧护栏。在路基 1:1.5 边坡，路基高度大于 3m 的路段或其它危险路段设置波形钢板护栏。</w:t>
      </w:r>
    </w:p>
    <w:p w14:paraId="2A42C92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.13 道口标柱：本项目运输车辆多为大型车、重载车及长车，为提醒车辆提高警觉，防范平交道 口处车辆突然出现而造成意外，尤其需要提高夜间交通安全，因此，在平交道口主路路口两侧设 置道口标柱，起到警示作用，道口标柱的颜色为红白相间（反光膜）。</w:t>
      </w:r>
    </w:p>
    <w:p w14:paraId="7BDBF076">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.14 交通标志的结构支撑方式为柱式、悬臂式、门架式和附着式，设计中依据车型构成、标志板 面尺寸及标志布设位置进行选择。本项目路侧场地宽度不受限制，优先采用柱式支撑。</w:t>
      </w:r>
    </w:p>
    <w:p w14:paraId="78AF4A7D">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5.15 标志板的材料及制作工艺对其使用性能、寿命、美观等影响很大。本项目沿线所有标志板的 材料均采用 3mm 厚、型号为 2024T4 的硬铝合金板制作，并符合现行《道路交通标志板及支撑件》 （GB/T 23827-2021）的有关规定。为加强标志板的强度，标志板的边缘均采用折边处理，铝合金 龙骨加固。标志板无裂缝、撕破或其他表面缺陷，标志板边缘应整齐、光滑，标志板的尺寸误差 应小于±3mm/m。 反光膜采用</w:t>
      </w:r>
      <w:r>
        <w:rPr>
          <w:rFonts w:hint="eastAsia" w:asciiTheme="minorEastAsia" w:hAnsiTheme="minorEastAsia" w:eastAsiaTheme="minorEastAsia" w:cstheme="minorEastAsia"/>
          <w:szCs w:val="21"/>
        </w:rPr>
        <w:t>Ⅳ</w:t>
      </w:r>
      <w:r>
        <w:rPr>
          <w:rFonts w:asciiTheme="minorEastAsia" w:hAnsiTheme="minorEastAsia" w:eastAsiaTheme="minorEastAsia" w:cstheme="minorEastAsia"/>
          <w:szCs w:val="21"/>
        </w:rPr>
        <w:t>类反光膜（依据《道路交通反光膜》GB/T 18833-2012），通常为微棱镜型结构， 称超强级反光膜，使用寿命一般为 10 年。</w:t>
      </w:r>
    </w:p>
    <w:p w14:paraId="41FC20D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.16 标志板支撑结构中所有构件均应按现行《公路交通安全设施施工技术规范》（JTG/T 3671- 2021）和《高速公路交通工程钢构件防腐技术条件》（GB/T18226）的规定进行热浸镀锌处理。采 用单一热浸镀锌处理时，立柱、横梁、法兰盘等大型构件镀锌层厚量不小于 600g/m2，螺栓、螺母、 垫片、抱箍、紧固件等小型构件镀锌量不小于 350g/m2。 立柱、横梁、法兰盘、抱箍、紧固件等支撑件的力学性能，应符合 GB/T 8162-2018、GB/T 13793-2016、GB/T 700-2006 及有关设计规定；支撑件应表面光洁，颜色均匀一致，不应有破损、 变形、锈蚀、漏锌及各种焊缝缺陷。</w:t>
      </w:r>
    </w:p>
    <w:p w14:paraId="12C1DDE3">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.17 采用 C30 现浇钢筋混凝土基础，基础预埋件均应作热浸镀锌防腐处理，镀锌量不小于 350g/m2， 地基承载力不得低于 150Kp，基础的施工应符合《公路桥涵施工技术规范》(JTG/T 3650-2020)的 规定。</w:t>
      </w:r>
    </w:p>
    <w:p w14:paraId="459522D4">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.18 标线布设原则 ：</w:t>
      </w:r>
    </w:p>
    <w:p w14:paraId="3C80AEAA">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（1）一般路段设置允许跨越对向车道分界线 1 道，为黄色虚线，线宽 15cm，线长 4m，间距 6m；视距受限平曲线路段设置禁止跨越对向车道分界线 1 道，为黄色实线；设置行车道边缘标线 2 道，为白色实线，线宽 20cm，平交开口处沿转弯岔道设置为圆弧形； </w:t>
      </w:r>
    </w:p>
    <w:p w14:paraId="0687A70B">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（2）在平面交叉等处设置停止线，导向箭头等等。</w:t>
      </w:r>
    </w:p>
    <w:p w14:paraId="04E8C97B">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.19 常用的道路标线材料有：常温溶剂型标线漆等、热熔型标线涂料、加热溶剂型标线涂料。为满足夜间行车的视觉效果，提高夜间行车的安全性，同时提高标线使用的耐久性， 本项目全部采用热熔反光标线。车行道边缘线和车行道分界线标线厚度为 1.8±0.2mm；导流标线、 箭头标线厚度不小于 2.8mm。</w:t>
      </w:r>
    </w:p>
    <w:p w14:paraId="472ADCD3">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.20 标线施工注意事项 ：</w:t>
      </w:r>
    </w:p>
    <w:p w14:paraId="75F55B7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（1）划线施工之前应作出详细的施工组织设计及施工准备。 </w:t>
      </w:r>
    </w:p>
    <w:p w14:paraId="49472321">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（2）标线的位置必须严格按设计图放样（水线），方可开始施工。 </w:t>
      </w:r>
    </w:p>
    <w:p w14:paraId="3F7A893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（3）施工前，应认真检查施工设备，尤其是热熔线的施工，要保证设备不发生泄露现象，玻 璃珠能均匀喷撒。 </w:t>
      </w:r>
    </w:p>
    <w:p w14:paraId="48AC991F">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（4）对热熔线的施工，要注意材料的加热温度，并避免在已完工的路面上进行材料加热。 （5）划线前对准备划线的区域进行路面检查，路面划线前应先清洁路面，不能有起灰现象。 否则将影响粘结。划线的当天还要注意天气情况，当有雨、风、天气潮湿或气温低于 4</w:t>
      </w:r>
      <w:r>
        <w:rPr>
          <w:rFonts w:hint="eastAsia" w:asciiTheme="minorEastAsia" w:hAnsiTheme="minorEastAsia" w:eastAsiaTheme="minorEastAsia" w:cstheme="minorEastAsia"/>
          <w:szCs w:val="21"/>
        </w:rPr>
        <w:t>℃</w:t>
      </w:r>
      <w:r>
        <w:rPr>
          <w:rFonts w:asciiTheme="minorEastAsia" w:hAnsiTheme="minorEastAsia" w:eastAsiaTheme="minorEastAsia" w:cstheme="minorEastAsia"/>
          <w:szCs w:val="21"/>
        </w:rPr>
        <w:t xml:space="preserve">时不允 许施工。 </w:t>
      </w:r>
    </w:p>
    <w:p w14:paraId="57FFC6A3">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（6）标线在施工完后，要对其进行保护，防止污染和破坏。</w:t>
      </w:r>
    </w:p>
    <w:p w14:paraId="007B749E">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5.21 本工程一般路段路侧设置二（B）级波形梁护栏，由两波波形梁（310mm×85mm×3mm）、立柱 （φ114mm×4.5mm）和托架（300mm×70mm×4.5mm）组成，立柱间距 2m，土方路基段落立柱采用打入式，埋置深度为 140cm。</w:t>
      </w:r>
    </w:p>
    <w:p w14:paraId="0D2ECDD6">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.22 波形梁护栏材料应符合《波形梁钢护栏 第 1 部分：两波形梁钢护栏》（GB/T 31439.1-2015）中的相关 要求，波形梁板、立柱、端头、防阻块、托架等用基底金属材质为碳素结构钢，其力学性能及化 学成分指标应不低于《碳素结构钢》（GB/T 700-2006）规定的 Q235 钢的要求；连接螺栓、螺母、 垫圈、横梁垫片等所用基底金属材质为碳素结构钢，其力学性能的主要考核指标为抗拉强度 Rm， Rm 不小于 375MPa。拼接螺栓连接副应为高强度拼接螺栓,其螺栓、螺母垫圈应选用优质碳素结构 钢或合金结构钢制造,其化学成分及力学性能应符合 GB/T 699 或 GB/ T3077 的规定。高强度拼接 螺栓连接副螺杆公称公称直径 16mm，拼接螺栓连接副整体抗拉荷载不小于 133kN。 护栏的所有构件均应进行防腐处理,其防腐层要求应符合《公路交通工程钢构件防腐技术条 件》（GB/T18226-2015）的规定，所有钢构件均采用热浸镀锌后再静电聚酯喷塑防腐处理，护栏 板、立柱、防阻块等构件镀锌层厚量不小于 600g/m2，涂聚酯层厚度不小于 0.076mm；护栏板之间 的拼接螺栓采用高强螺栓，螺栓、螺母、垫片等紧固件镀锌量不小于 350g/m2，涂聚酯层厚度不小 于 0.076mm。 护栏板材料：标准板采用代号 DB01 尺寸为 310×85×3mm 等截面折线型二波波形梁板，长度 为4320mm，调节采用代号DB05尺寸为310×85×3mm等截面折线型二波波形梁板，长度为2320mm。 立柱材料：护栏立柱采用代号 G-T 的Φ114×4.5mm 钢管。 托架材料：沿线护栏均设置托架，采用代号为 T-1 的尺寸为 300mm×70mm×4.5mm 钢板。 颜色：波形梁板、防阻块和端头的颜色为浅果绿，钢管立柱的颜色为乳白色。</w:t>
      </w:r>
    </w:p>
    <w:p w14:paraId="2726E391">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注意事项：</w:t>
      </w:r>
    </w:p>
    <w:p w14:paraId="6BFC1378">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（1）波形梁立柱采用打桩机打入，须保证立柱埋置深度的要求，严禁未达到埋入深度而锯断 立柱。 </w:t>
      </w:r>
    </w:p>
    <w:p w14:paraId="1607EC53">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（2）防阻块、托架、端头的安装应与设计文件相符，安装到位，不得有明显变形、扭转、倾 斜。</w:t>
      </w:r>
    </w:p>
    <w:p w14:paraId="5A81C682">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5.23 道口标柱采用普通碳素结构钢（Q235）热轧无缝钢管制作，直径 15cm，全长 180cm，埋入土 中 100cm，外露 80cm，标柱顶端 80cm 范围以 20cm 间距涂刷红白相间反光漆，钢管内灌注混凝土。道口标柱采用打桩机将立柱打入路面以下，控制好深度和垂直度，确保立柱与路面边缘平行 且不倾斜。</w:t>
      </w:r>
    </w:p>
    <w:p w14:paraId="2CF332F9">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.24 导线点、水准点及测量注意事项 ：</w:t>
      </w:r>
    </w:p>
    <w:p w14:paraId="18002276">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（1）施工放样必须采用设计文件所提供的导线点、水准点成果资料，施工前必须对导线点、 水准点进行复核联测，如需恢复或加密导线点时，应严格按照</w:t>
      </w:r>
      <w:r>
        <w:rPr>
          <w:rFonts w:hint="eastAsia" w:asciiTheme="minorEastAsia" w:hAnsiTheme="minorEastAsia" w:eastAsiaTheme="minorEastAsia" w:cstheme="minorEastAsia"/>
          <w:szCs w:val="21"/>
        </w:rPr>
        <w:t>Ⅰ</w:t>
      </w:r>
      <w:r>
        <w:rPr>
          <w:rFonts w:asciiTheme="minorEastAsia" w:hAnsiTheme="minorEastAsia" w:eastAsiaTheme="minorEastAsia" w:cstheme="minorEastAsia"/>
          <w:szCs w:val="21"/>
        </w:rPr>
        <w:t xml:space="preserve">级导线测量方法进行，全线统一 平差。 </w:t>
      </w:r>
    </w:p>
    <w:p w14:paraId="3D76188B">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（2）施工时，如沿线水准点需加密、迁移或重新恢复时，应按《国家三、四等水准测量规范》 (GB/T12898-2009)及交通部颁《公路勘测规范》(JTGC10-2007) 、《全球定位系统（GPS）测量规 范》(GB/T 18314-2009)办理。 </w:t>
      </w:r>
    </w:p>
    <w:p w14:paraId="7CC8AB41">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（3）施工单位进场后，应对本项目导线点、水准点进行联测。 </w:t>
      </w:r>
    </w:p>
    <w:p w14:paraId="31A2C7DB">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（4）沿线各交叉被交路设计起终点，均应根据施工时被交路的实际情况，与原路平、纵、横 接顺。</w:t>
      </w:r>
    </w:p>
    <w:p w14:paraId="742B64B5">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.25 本项目位于丘陵区，路基高度还受纵坡设计的影响。本工程最大填高 2.79m，位于厂区外运 道路上。填方路基边坡根据沿线岩土工程特性，参照《公路路基设计规范》（JTG D30-2015），全线填方高度均 ≤8m，边坡坡率采用 1：1.5。项目最大挖深 4.68m，位于停车场入口道路上。挖方路基边坡根据沿线岩土工程特性，参照《公路路基设计规范》（JTG D30-2015），土质路堑边坡坡 率采用 1:1。</w:t>
      </w:r>
    </w:p>
    <w:p w14:paraId="0EA841ED">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.26 仰斜式路堑挡土墙采用现浇 C30 水泥混凝土结构。基坑开挖后，基底需换填天然砂砾，换 填深度 0.6m，基底压实度须夯至 95%以上。混凝土浇筑时，应注意不要遗漏护栏底座预埋件的 设置，布设间距 2m，具体详见路基支挡、防护工程设计图。</w:t>
      </w:r>
    </w:p>
    <w:p w14:paraId="763F897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.27 沥青混合料技术指标、普通沥青技术要求表、粗、细集料质量技术要求、面层矿粉质量技术要求等均详见图纸</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3-1。</w:t>
      </w:r>
    </w:p>
    <w:p w14:paraId="6994B590">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.28 在沥青上、下面层、水泥混凝土过渡板上，所有与新铺沥青混合料接触的侧面，应均匀洒喷粘层油。粘层油采用乳化沥青，用量一般为 0.4～0.6 L/m2，宜通过试洒确定，用量不宜超过《公 路沥青路面施工技术规范》（JTG F40～2004）要求的范围。粘层油宜在当天洒布，待水分蒸发完 成后，紧跟铺筑沥青层，确保粘层不受污染。</w:t>
      </w:r>
    </w:p>
    <w:p w14:paraId="4D171CD4">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.29 下封层沥青采用道路石油沥青90号B级。沥青用量为1.2～1.6kg/m2。集料筛分规格应 分别满足部颁规范 S12 与 S10 的要求，碎石撒布率 60%～70%，碎石应保持干燥、干净的状 态，碎石应通过拌合加热、除尘、筛分。下封层的厚度不宜小于 6mm，且做到完全密水。封层材料规格和施工应符合《公路沥青路面施工技术规范》中第 6.2.1 节中的相关规定。</w:t>
      </w:r>
    </w:p>
    <w:p w14:paraId="5DBEAD39">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.30 水泥混凝土面层所用材料水泥、粗集料、细集料、外加剂、水及钢筋等技术指标等均详见图纸</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3-1。</w:t>
      </w:r>
    </w:p>
    <w:p w14:paraId="2C17F619">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.31 本工程共设计涵洞3道，其中新建 1-1.5m 钢筋混凝土圆管涵 1 道，接长利用 1-1.5m 钢筋混 凝土圆管涵2道。具体做法详见</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4-3。</w:t>
      </w:r>
    </w:p>
    <w:p w14:paraId="391BB462">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.32 终点附近有天然气管线1道，埋深1.4～1.6m，钢管管径 DN350；另有水管 一道，钢管管径 1000mm，壁厚 10mm，埋深大于 2.0m。据原有管线埋深、直径及用途等，为保证管线安全运营，同时为了便于施工，分别采用如下工程保护措施，以保护现状管线系统的安全：</w:t>
      </w:r>
    </w:p>
    <w:p w14:paraId="53D01262">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（1）因该</w:t>
      </w:r>
      <w:r>
        <w:rPr>
          <w:rFonts w:hint="eastAsia" w:asciiTheme="minorEastAsia" w:hAnsiTheme="minorEastAsia" w:eastAsiaTheme="minorEastAsia" w:cstheme="minorEastAsia"/>
          <w:szCs w:val="21"/>
        </w:rPr>
        <w:t>天然</w:t>
      </w:r>
      <w:r>
        <w:rPr>
          <w:rFonts w:asciiTheme="minorEastAsia" w:hAnsiTheme="minorEastAsia" w:eastAsiaTheme="minorEastAsia" w:cstheme="minorEastAsia"/>
          <w:szCs w:val="21"/>
        </w:rPr>
        <w:t>气管线已投入生 产运营，不便于加设套管，拟增设钢筋混凝土管线通道（盖板暗涵）1 道；</w:t>
      </w:r>
    </w:p>
    <w:p w14:paraId="7AE84B43">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（2）对于管径较大的 给排水管道，加设现浇钢筋混凝土盖板，以分散受力，确保管顶不直接承受荷载，从而保障管线 系统正常运行。</w:t>
      </w:r>
    </w:p>
    <w:p w14:paraId="55E41F52">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w:t>
      </w:r>
      <w:r>
        <w:rPr>
          <w:rFonts w:hint="eastAsia" w:asciiTheme="minorEastAsia" w:hAnsiTheme="minorEastAsia" w:eastAsiaTheme="minorEastAsia" w:cstheme="minorEastAsia"/>
          <w:szCs w:val="21"/>
        </w:rPr>
        <w:t>3</w:t>
      </w:r>
      <w:r>
        <w:rPr>
          <w:rFonts w:asciiTheme="minorEastAsia" w:hAnsiTheme="minorEastAsia" w:eastAsiaTheme="minorEastAsia" w:cstheme="minorEastAsia"/>
          <w:szCs w:val="21"/>
        </w:rPr>
        <w:t>）严格按照设计图纸进行测量放线，确定与已建</w:t>
      </w:r>
      <w:r>
        <w:rPr>
          <w:rFonts w:hint="eastAsia" w:asciiTheme="minorEastAsia" w:hAnsiTheme="minorEastAsia" w:eastAsiaTheme="minorEastAsia" w:cstheme="minorEastAsia"/>
          <w:szCs w:val="21"/>
        </w:rPr>
        <w:t>燃</w:t>
      </w:r>
      <w:r>
        <w:rPr>
          <w:rFonts w:asciiTheme="minorEastAsia" w:hAnsiTheme="minorEastAsia" w:eastAsiaTheme="minorEastAsia" w:cstheme="minorEastAsia"/>
          <w:szCs w:val="21"/>
        </w:rPr>
        <w:t>气管道的距离。结合运行管理单位办理保护 管道安全协议和许可。开挖过程必须在运营单位现场监护下进行。</w:t>
      </w:r>
    </w:p>
    <w:p w14:paraId="4294405D">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管沟开挖： </w:t>
      </w:r>
    </w:p>
    <w:p w14:paraId="58CB66C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 xml:space="preserve">（1）开挖前邀请已建管道的主管部门到现场监督指导施工，首先根据地面埋设的标志桩确定 出管道位置，根据确定好的位置在管道两侧离开管道 5m 范围内采用人工进行开挖。 </w:t>
      </w:r>
    </w:p>
    <w:p w14:paraId="39A09B70">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（2）如在人工开挖过程中露出已建管道及光缆，要注意对在役管线的保护和光缆的保护。 （3）在地下管道开挖后、回填前，必须派专人 24h 进行看护。</w:t>
      </w:r>
    </w:p>
    <w:p w14:paraId="0ECDCADE">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w:t>
      </w:r>
      <w:r>
        <w:rPr>
          <w:rFonts w:asciiTheme="minorEastAsia" w:hAnsiTheme="minorEastAsia" w:eastAsiaTheme="minorEastAsia" w:cstheme="minorEastAsia"/>
          <w:szCs w:val="21"/>
        </w:rPr>
        <w:t>.33 道路交叉穿越天然气管线和水管线做盖板保护及通道等做法详见</w:t>
      </w:r>
      <w:r>
        <w:rPr>
          <w:rFonts w:hint="eastAsia" w:asciiTheme="minorEastAsia" w:hAnsiTheme="minorEastAsia" w:eastAsiaTheme="minorEastAsia" w:cstheme="minorEastAsia"/>
          <w:szCs w:val="21"/>
        </w:rPr>
        <w:t>S</w:t>
      </w:r>
      <w:r>
        <w:rPr>
          <w:rFonts w:asciiTheme="minorEastAsia" w:hAnsiTheme="minorEastAsia" w:eastAsiaTheme="minorEastAsia" w:cstheme="minorEastAsia"/>
          <w:szCs w:val="21"/>
        </w:rPr>
        <w:t>6-6。</w:t>
      </w:r>
    </w:p>
    <w:p w14:paraId="2A2D3BBD">
      <w:pPr>
        <w:snapToGrid w:val="0"/>
        <w:spacing w:line="500" w:lineRule="exact"/>
        <w:rPr>
          <w:rFonts w:asciiTheme="minorEastAsia" w:hAnsiTheme="minorEastAsia" w:eastAsiaTheme="minorEastAsia" w:cstheme="minorEastAsia"/>
          <w:szCs w:val="21"/>
        </w:rPr>
      </w:pPr>
    </w:p>
    <w:p w14:paraId="0B0BE217">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6、安全保证措施</w:t>
      </w:r>
    </w:p>
    <w:p w14:paraId="26BD89E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6.1</w:t>
      </w:r>
      <w:r>
        <w:rPr>
          <w:rFonts w:hint="eastAsia" w:asciiTheme="minorEastAsia" w:hAnsiTheme="minorEastAsia" w:eastAsiaTheme="minorEastAsia" w:cstheme="minorEastAsia"/>
          <w:szCs w:val="21"/>
        </w:rPr>
        <w:t>在施工过程中一定要作好防火措施。</w:t>
      </w:r>
    </w:p>
    <w:p w14:paraId="5539A05B">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6.2</w:t>
      </w:r>
      <w:r>
        <w:rPr>
          <w:rFonts w:hint="eastAsia" w:asciiTheme="minorEastAsia" w:hAnsiTheme="minorEastAsia" w:eastAsiaTheme="minorEastAsia" w:cstheme="minorEastAsia"/>
          <w:szCs w:val="21"/>
        </w:rPr>
        <w:t>现场使用机械严禁违章操作。</w:t>
      </w:r>
    </w:p>
    <w:p w14:paraId="2B7BB0A2">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6.3</w:t>
      </w:r>
      <w:r>
        <w:rPr>
          <w:rFonts w:hint="eastAsia" w:asciiTheme="minorEastAsia" w:hAnsiTheme="minorEastAsia" w:eastAsiaTheme="minorEastAsia" w:cstheme="minorEastAsia"/>
          <w:szCs w:val="21"/>
        </w:rPr>
        <w:t>建立严格的安全制度，坚持入场教育，每周按班组召开安全工作教育，每天工作前各班长要想到本天的工作涉及到的安全隐患，作好班前交底。增强安全意识，务使安全工作落实到广大职工基础上。</w:t>
      </w:r>
    </w:p>
    <w:p w14:paraId="0B066A0E">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6.4</w:t>
      </w:r>
      <w:r>
        <w:rPr>
          <w:rFonts w:hint="eastAsia" w:asciiTheme="minorEastAsia" w:hAnsiTheme="minorEastAsia" w:eastAsiaTheme="minorEastAsia" w:cstheme="minorEastAsia"/>
          <w:szCs w:val="21"/>
        </w:rPr>
        <w:t>施工现场制定安全生产责任制，设专职安全员，严格事前控制，落实安全作业施工。特种工种必须持证上岗。施工现场出入口危险区域设置警示牌警示灯，夜间施工有充足的照明。施工用电，必须安装漏电保护装置确保可靠的接零接地，用电线路要经常检查维修。</w:t>
      </w:r>
    </w:p>
    <w:p w14:paraId="2A52979C">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6.5</w:t>
      </w:r>
      <w:r>
        <w:rPr>
          <w:rFonts w:hint="eastAsia" w:asciiTheme="minorEastAsia" w:hAnsiTheme="minorEastAsia" w:eastAsiaTheme="minorEastAsia" w:cstheme="minorEastAsia"/>
          <w:szCs w:val="21"/>
        </w:rPr>
        <w:t>进入现场的人员必须带安全帽，检查周围工作环境，确保安全施工。</w:t>
      </w:r>
    </w:p>
    <w:p w14:paraId="2C6B75DF">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6.6</w:t>
      </w:r>
      <w:r>
        <w:rPr>
          <w:rFonts w:hint="eastAsia" w:asciiTheme="minorEastAsia" w:hAnsiTheme="minorEastAsia" w:eastAsiaTheme="minorEastAsia" w:cstheme="minorEastAsia"/>
          <w:szCs w:val="21"/>
        </w:rPr>
        <w:t>库房、施工现场应放有灭火剂。</w:t>
      </w:r>
    </w:p>
    <w:p w14:paraId="6BD410D9">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7、文明施工及环保措施</w:t>
      </w:r>
    </w:p>
    <w:p w14:paraId="294E0941">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7.1</w:t>
      </w:r>
      <w:r>
        <w:rPr>
          <w:rFonts w:hint="eastAsia" w:asciiTheme="minorEastAsia" w:hAnsiTheme="minorEastAsia" w:eastAsiaTheme="minorEastAsia" w:cstheme="minorEastAsia"/>
          <w:szCs w:val="21"/>
        </w:rPr>
        <w:t>现场场地平整，按要求合理堆放材料，机具，各种材料要码放整齐，保持机具整洁。</w:t>
      </w:r>
    </w:p>
    <w:p w14:paraId="133A4D18">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7.2</w:t>
      </w:r>
      <w:r>
        <w:rPr>
          <w:rFonts w:hint="eastAsia" w:asciiTheme="minorEastAsia" w:hAnsiTheme="minorEastAsia" w:eastAsiaTheme="minorEastAsia" w:cstheme="minorEastAsia"/>
          <w:szCs w:val="21"/>
        </w:rPr>
        <w:t>将施工的废弃物收集到指定的堆放场地中，不得随地乱放、乱扔。</w:t>
      </w:r>
    </w:p>
    <w:p w14:paraId="7A655817">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7.3</w:t>
      </w:r>
      <w:r>
        <w:rPr>
          <w:rFonts w:hint="eastAsia" w:asciiTheme="minorEastAsia" w:hAnsiTheme="minorEastAsia" w:eastAsiaTheme="minorEastAsia" w:cstheme="minorEastAsia"/>
          <w:szCs w:val="21"/>
        </w:rPr>
        <w:t>对进场职工进行技术、安全培训。</w:t>
      </w:r>
    </w:p>
    <w:p w14:paraId="172BF9B6">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7.4</w:t>
      </w:r>
      <w:r>
        <w:rPr>
          <w:rFonts w:hint="eastAsia" w:asciiTheme="minorEastAsia" w:hAnsiTheme="minorEastAsia" w:eastAsiaTheme="minorEastAsia" w:cstheme="minorEastAsia"/>
          <w:szCs w:val="21"/>
        </w:rPr>
        <w:t>施工现场必须保持整齐有序，清洁卫生。</w:t>
      </w:r>
    </w:p>
    <w:p w14:paraId="48B85733">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7.5</w:t>
      </w:r>
      <w:r>
        <w:rPr>
          <w:rFonts w:hint="eastAsia" w:asciiTheme="minorEastAsia" w:hAnsiTheme="minorEastAsia" w:eastAsiaTheme="minorEastAsia" w:cstheme="minorEastAsia"/>
          <w:szCs w:val="21"/>
        </w:rPr>
        <w:t>施工过程中严格遵守公司有关文明施工的规定。</w:t>
      </w:r>
    </w:p>
    <w:p w14:paraId="775FADE5">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7.6</w:t>
      </w:r>
      <w:r>
        <w:rPr>
          <w:rFonts w:hint="eastAsia" w:asciiTheme="minorEastAsia" w:hAnsiTheme="minorEastAsia" w:eastAsiaTheme="minorEastAsia" w:cstheme="minorEastAsia"/>
          <w:szCs w:val="21"/>
        </w:rPr>
        <w:t>施工过程中加强车辆设备管理意识。</w:t>
      </w:r>
    </w:p>
    <w:p w14:paraId="7E748947">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8、验收</w:t>
      </w:r>
    </w:p>
    <w:p w14:paraId="29E8DBFF">
      <w:pPr>
        <w:snapToGrid w:val="0"/>
        <w:spacing w:line="500" w:lineRule="exact"/>
        <w:rPr>
          <w:rFonts w:asciiTheme="minorEastAsia" w:hAnsiTheme="minorEastAsia" w:eastAsiaTheme="minorEastAsia" w:cstheme="minorEastAsia"/>
          <w:szCs w:val="21"/>
        </w:rPr>
      </w:pPr>
      <w:bookmarkStart w:id="2" w:name="_Toc9837"/>
      <w:r>
        <w:rPr>
          <w:rFonts w:hint="eastAsia" w:asciiTheme="minorEastAsia" w:hAnsiTheme="minorEastAsia" w:eastAsiaTheme="minorEastAsia" w:cstheme="minorEastAsia"/>
          <w:szCs w:val="21"/>
        </w:rPr>
        <w:t>工程竣工验收</w:t>
      </w:r>
      <w:bookmarkEnd w:id="2"/>
    </w:p>
    <w:p w14:paraId="654C85B2">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r>
        <w:rPr>
          <w:rFonts w:asciiTheme="minorEastAsia" w:hAnsiTheme="minorEastAsia" w:eastAsiaTheme="minorEastAsia" w:cstheme="minorEastAsia"/>
          <w:szCs w:val="21"/>
        </w:rPr>
        <w:t>.1</w:t>
      </w:r>
      <w:r>
        <w:rPr>
          <w:rFonts w:hint="eastAsia" w:asciiTheme="minorEastAsia" w:hAnsiTheme="minorEastAsia" w:eastAsiaTheme="minorEastAsia" w:cstheme="minorEastAsia"/>
          <w:szCs w:val="21"/>
        </w:rPr>
        <w:t>工程竣工验收应遵守GB/T 50326《建设工程项目管理规范》和GB50092-96《沥青路面施工及验收规范》等相关国家、行业规范的规定。</w:t>
      </w:r>
    </w:p>
    <w:p w14:paraId="04FCDF8C">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r>
        <w:rPr>
          <w:rFonts w:asciiTheme="minorEastAsia" w:hAnsiTheme="minorEastAsia" w:eastAsiaTheme="minorEastAsia" w:cstheme="minorEastAsia"/>
          <w:szCs w:val="21"/>
        </w:rPr>
        <w:t>.2</w:t>
      </w:r>
      <w:r>
        <w:rPr>
          <w:rFonts w:hint="eastAsia" w:asciiTheme="minorEastAsia" w:hAnsiTheme="minorEastAsia" w:eastAsiaTheme="minorEastAsia" w:cstheme="minorEastAsia"/>
          <w:szCs w:val="21"/>
        </w:rPr>
        <w:t>各项单位工程、分部工程完工后，承包人应按本合同的约定，向发包人提交该项验收工程的竣工验收申请报告。发包人收到竣工验收申请报告后，应按合同约定的程序和时限完成验收工作。</w:t>
      </w:r>
    </w:p>
    <w:p w14:paraId="73904AE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r>
        <w:rPr>
          <w:rFonts w:asciiTheme="minorEastAsia" w:hAnsiTheme="minorEastAsia" w:eastAsiaTheme="minorEastAsia" w:cstheme="minorEastAsia"/>
          <w:szCs w:val="21"/>
        </w:rPr>
        <w:t>.3</w:t>
      </w:r>
      <w:r>
        <w:rPr>
          <w:rFonts w:hint="eastAsia" w:asciiTheme="minorEastAsia" w:hAnsiTheme="minorEastAsia" w:eastAsiaTheme="minorEastAsia" w:cstheme="minorEastAsia"/>
          <w:szCs w:val="21"/>
        </w:rPr>
        <w:t>各项工程竣工验收前，承包人应整编以下竣工验收资料提交发包人，其内容包括（不限于）：</w:t>
      </w:r>
    </w:p>
    <w:p w14:paraId="02F297E1">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（1）验收工程的各项施工材料的试验检验成果；</w:t>
      </w:r>
    </w:p>
    <w:p w14:paraId="44F2CB5C">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（2）对验收工程及其工程设备的质量检查记录；</w:t>
      </w:r>
    </w:p>
    <w:p w14:paraId="03C2CC14">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（3）施工过程中，本项工程及其工程设备的变更文件及资料；</w:t>
      </w:r>
    </w:p>
    <w:p w14:paraId="4892221F">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（4）质量事故记录以及工程及其工程设备的缺陷处理报告；</w:t>
      </w:r>
    </w:p>
    <w:p w14:paraId="538A770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（5）施工过程中，对验收工程质量的专题评定报告；</w:t>
      </w:r>
    </w:p>
    <w:p w14:paraId="2608B66D">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（6）质量监督机构签认的质量鉴定报告和有关文件；</w:t>
      </w:r>
    </w:p>
    <w:p w14:paraId="2D72000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（7）验收工程施工期的安全监测成果，以及工程设备的试运行检测成果；</w:t>
      </w:r>
    </w:p>
    <w:p w14:paraId="7C2BD17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（8）提交的其它竣工验收资料，包括：</w:t>
      </w:r>
      <w:r>
        <w:rPr>
          <w:rFonts w:hint="eastAsia"/>
        </w:rPr>
        <w:t>质量验收范围划分表，单位资质报审（试验检测单位/主要材料、构配件及设备供货商等），人员资质报审（主要管理人员/特殊工种/特种作业人员等），主要施工机械/工器具/安全用具报审，工程竣工报告、原材料（沥青、粗细集料、水泥等）的质量检验报告、复试报告、混凝土路面处理记录（如破除、挖除、基层加固等）、沥青混凝土的配合比报告及生产记录、施工过程中的各项检测记录（压实度、厚度、平整度、纵横坡度等）。</w:t>
      </w:r>
    </w:p>
    <w:p w14:paraId="6CD054B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8</w:t>
      </w:r>
      <w:r>
        <w:rPr>
          <w:rFonts w:asciiTheme="minorEastAsia" w:hAnsiTheme="minorEastAsia" w:eastAsiaTheme="minorEastAsia" w:cstheme="minorEastAsia"/>
          <w:szCs w:val="21"/>
        </w:rPr>
        <w:t>.4</w:t>
      </w:r>
      <w:r>
        <w:rPr>
          <w:rFonts w:hint="eastAsia" w:asciiTheme="minorEastAsia" w:hAnsiTheme="minorEastAsia" w:eastAsiaTheme="minorEastAsia" w:cstheme="minorEastAsia"/>
          <w:szCs w:val="21"/>
        </w:rPr>
        <w:t>工程竣工验收应在工程建设项目全部完成，各分部工程、单位工程和单项工程的竣工验收全部合格，并已满足一定运行条件后进行。</w:t>
      </w:r>
    </w:p>
    <w:p w14:paraId="2BDDA539">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9、施工机械要求(乙供)</w:t>
      </w:r>
    </w:p>
    <w:p w14:paraId="40DDAFFC">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9.1</w:t>
      </w:r>
      <w:r>
        <w:rPr>
          <w:rFonts w:hint="eastAsia" w:asciiTheme="minorEastAsia" w:hAnsiTheme="minorEastAsia" w:eastAsiaTheme="minorEastAsia" w:cstheme="minorEastAsia"/>
          <w:szCs w:val="21"/>
        </w:rPr>
        <w:t>主要机械：①沥青砼搅拌设备（350t/小时）；②沥青砼摊铺机；③20方自卸汽车；④轮胎压路机。</w:t>
      </w:r>
    </w:p>
    <w:p w14:paraId="30CBF0A2">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9.2</w:t>
      </w:r>
      <w:r>
        <w:rPr>
          <w:rFonts w:hint="eastAsia" w:asciiTheme="minorEastAsia" w:hAnsiTheme="minorEastAsia" w:eastAsiaTheme="minorEastAsia" w:cstheme="minorEastAsia"/>
          <w:szCs w:val="21"/>
        </w:rPr>
        <w:t>必备的辅助机械：①沥青洒布车；②挖掘机（带破头）；③洒水车；④小型振动压路机；⑤路面切缝机（石材切割机）；</w:t>
      </w:r>
      <w:r>
        <w:rPr>
          <w:rFonts w:hint="eastAsia" w:asciiTheme="minorEastAsia" w:hAnsiTheme="minorEastAsia" w:eastAsiaTheme="minorEastAsia" w:cstheme="minorEastAsia"/>
          <w:szCs w:val="21"/>
        </w:rPr>
        <w:fldChar w:fldCharType="begin"/>
      </w:r>
      <w:r>
        <w:rPr>
          <w:rFonts w:hint="eastAsia" w:asciiTheme="minorEastAsia" w:hAnsiTheme="minorEastAsia" w:eastAsiaTheme="minorEastAsia" w:cstheme="minorEastAsia"/>
          <w:szCs w:val="21"/>
        </w:rPr>
        <w:instrText xml:space="preserve"> eq \o\ac(○,6)</w:instrText>
      </w:r>
      <w:r>
        <w:rPr>
          <w:rFonts w:hint="eastAsia" w:asciiTheme="minorEastAsia" w:hAnsiTheme="minorEastAsia" w:eastAsiaTheme="minorEastAsia" w:cstheme="minorEastAsia"/>
          <w:szCs w:val="21"/>
        </w:rPr>
        <w:fldChar w:fldCharType="end"/>
      </w:r>
      <w:r>
        <w:rPr>
          <w:rFonts w:hint="eastAsia" w:asciiTheme="minorEastAsia" w:hAnsiTheme="minorEastAsia" w:eastAsiaTheme="minorEastAsia" w:cstheme="minorEastAsia"/>
          <w:szCs w:val="21"/>
        </w:rPr>
        <w:t>20T压路机</w:t>
      </w:r>
    </w:p>
    <w:p w14:paraId="35F4D196">
      <w:pPr>
        <w:snapToGrid w:val="0"/>
        <w:spacing w:line="500" w:lineRule="exact"/>
        <w:rPr>
          <w:rFonts w:asciiTheme="minorEastAsia" w:hAnsiTheme="minorEastAsia" w:eastAsiaTheme="minorEastAsia" w:cstheme="minorEastAsia"/>
          <w:szCs w:val="21"/>
        </w:rPr>
      </w:pPr>
      <w:r>
        <w:rPr>
          <w:rFonts w:asciiTheme="minorEastAsia" w:hAnsiTheme="minorEastAsia" w:eastAsiaTheme="minorEastAsia" w:cstheme="minorEastAsia"/>
          <w:szCs w:val="21"/>
        </w:rPr>
        <w:t>9.3机械配置要求：机械配置匹配性强，所采用的机械性能、规格、功效必须与工程规模、工期要求、技术标准所匹配。机械配置成套性强，要形成完整的流水工作，确保各项工序无无缝衔接，例如沥青路面施工需形成“拌合</w:t>
      </w:r>
      <w:r>
        <w:rPr>
          <w:rFonts w:hint="eastAsia" w:asciiTheme="minorEastAsia" w:hAnsiTheme="minorEastAsia" w:eastAsiaTheme="minorEastAsia" w:cstheme="minorEastAsia"/>
          <w:szCs w:val="21"/>
        </w:rPr>
        <w:t>-运输-摊铺-压实“的连续作业。机械设备需选技术先进的设备，通用机械及专用机械均满足效率高，质量好的要求，以达到确保工期及施工质量的要求。</w:t>
      </w:r>
    </w:p>
    <w:p w14:paraId="7C04D79A">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9</w:t>
      </w:r>
      <w:r>
        <w:rPr>
          <w:rFonts w:asciiTheme="minorEastAsia" w:hAnsiTheme="minorEastAsia" w:eastAsiaTheme="minorEastAsia" w:cstheme="minorEastAsia"/>
          <w:szCs w:val="21"/>
        </w:rPr>
        <w:t>.4施工</w:t>
      </w:r>
      <w:r>
        <w:rPr>
          <w:rFonts w:hint="eastAsia" w:asciiTheme="minorEastAsia" w:hAnsiTheme="minorEastAsia" w:eastAsiaTheme="minorEastAsia" w:cstheme="minorEastAsia"/>
          <w:szCs w:val="21"/>
        </w:rPr>
        <w:t>工期计算以业主/监理下发的开工通知时间为准。</w:t>
      </w:r>
    </w:p>
    <w:p w14:paraId="0BEFE71D">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1</w:t>
      </w:r>
      <w:r>
        <w:rPr>
          <w:rFonts w:asciiTheme="minorEastAsia" w:hAnsiTheme="minorEastAsia" w:eastAsiaTheme="minorEastAsia" w:cstheme="minorEastAsia"/>
          <w:b/>
          <w:szCs w:val="21"/>
        </w:rPr>
        <w:t>0管理人员要求</w:t>
      </w:r>
    </w:p>
    <w:p w14:paraId="5D2DDF1E">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0.1 人员配置要求：人员数量、专业能力必须与工程量、工期、标段相互匹配，组织结构应合理，动态调整应合理。</w:t>
      </w:r>
    </w:p>
    <w:p w14:paraId="44689C77">
      <w:pPr>
        <w:snapToGrid w:val="0"/>
        <w:spacing w:line="50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1</w:t>
      </w:r>
      <w:r>
        <w:rPr>
          <w:rFonts w:asciiTheme="minorEastAsia" w:hAnsiTheme="minorEastAsia" w:eastAsiaTheme="minorEastAsia" w:cstheme="minorEastAsia"/>
          <w:szCs w:val="21"/>
        </w:rPr>
        <w:t>0.2项目负责人、项目技术负责人、施工经理均需按照公司外包人员管理要求，面试合格后方可上岗。</w:t>
      </w:r>
    </w:p>
    <w:p w14:paraId="55C79D79">
      <w:pPr>
        <w:snapToGrid w:val="0"/>
        <w:spacing w:line="500" w:lineRule="exact"/>
        <w:rPr>
          <w:rFonts w:asciiTheme="minorEastAsia" w:hAnsiTheme="minorEastAsia" w:eastAsiaTheme="minorEastAsia" w:cstheme="minorEastAsia"/>
          <w:b/>
          <w:szCs w:val="21"/>
        </w:rPr>
      </w:pPr>
      <w:r>
        <w:rPr>
          <w:rFonts w:hint="eastAsia" w:asciiTheme="minorEastAsia" w:hAnsiTheme="minorEastAsia" w:eastAsiaTheme="minorEastAsia" w:cstheme="minorEastAsia"/>
          <w:b/>
          <w:szCs w:val="21"/>
        </w:rPr>
        <w:t>1</w:t>
      </w:r>
      <w:r>
        <w:rPr>
          <w:rFonts w:asciiTheme="minorEastAsia" w:hAnsiTheme="minorEastAsia" w:eastAsiaTheme="minorEastAsia" w:cstheme="minorEastAsia"/>
          <w:b/>
          <w:szCs w:val="21"/>
        </w:rPr>
        <w:t>1、附图</w:t>
      </w:r>
    </w:p>
    <w:p w14:paraId="78F27840">
      <w:pPr>
        <w:rPr>
          <w:rFonts w:cs="宋体" w:asciiTheme="minorEastAsia" w:hAnsiTheme="minorEastAsia" w:eastAsiaTheme="minorEastAsia"/>
          <w:b/>
          <w:sz w:val="28"/>
          <w:szCs w:val="28"/>
        </w:rPr>
      </w:pPr>
      <w:r>
        <w:drawing>
          <wp:anchor distT="0" distB="0" distL="114300" distR="114300" simplePos="0" relativeHeight="251660288" behindDoc="1" locked="0" layoutInCell="1" allowOverlap="1">
            <wp:simplePos x="0" y="0"/>
            <wp:positionH relativeFrom="margin">
              <wp:posOffset>-504825</wp:posOffset>
            </wp:positionH>
            <wp:positionV relativeFrom="paragraph">
              <wp:posOffset>0</wp:posOffset>
            </wp:positionV>
            <wp:extent cx="6096000" cy="4114800"/>
            <wp:effectExtent l="0" t="0" r="0" b="0"/>
            <wp:wrapTight wrapText="bothSides">
              <wp:wrapPolygon>
                <wp:start x="0" y="0"/>
                <wp:lineTo x="0" y="21500"/>
                <wp:lineTo x="21533" y="21500"/>
                <wp:lineTo x="21533" y="0"/>
                <wp:lineTo x="0" y="0"/>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6096000" cy="4114800"/>
                    </a:xfrm>
                    <a:prstGeom prst="rect">
                      <a:avLst/>
                    </a:prstGeom>
                  </pic:spPr>
                </pic:pic>
              </a:graphicData>
            </a:graphic>
          </wp:anchor>
        </w:drawing>
      </w:r>
      <w:r>
        <w:drawing>
          <wp:anchor distT="0" distB="0" distL="114300" distR="114300" simplePos="0" relativeHeight="251661312" behindDoc="0" locked="0" layoutInCell="1" allowOverlap="1">
            <wp:simplePos x="0" y="0"/>
            <wp:positionH relativeFrom="column">
              <wp:posOffset>-400050</wp:posOffset>
            </wp:positionH>
            <wp:positionV relativeFrom="paragraph">
              <wp:posOffset>4638675</wp:posOffset>
            </wp:positionV>
            <wp:extent cx="6029325" cy="3876675"/>
            <wp:effectExtent l="0" t="0" r="9525" b="9525"/>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029325" cy="3876675"/>
                    </a:xfrm>
                    <a:prstGeom prst="rect">
                      <a:avLst/>
                    </a:prstGeom>
                  </pic:spPr>
                </pic:pic>
              </a:graphicData>
            </a:graphic>
          </wp:anchor>
        </w:drawing>
      </w:r>
    </w:p>
    <w:p w14:paraId="35003855">
      <w:pPr>
        <w:rPr>
          <w:rFonts w:cs="宋体" w:asciiTheme="minorEastAsia" w:hAnsiTheme="minorEastAsia" w:eastAsiaTheme="minorEastAsia"/>
          <w:sz w:val="28"/>
          <w:szCs w:val="28"/>
        </w:rPr>
      </w:pPr>
      <w:r>
        <w:drawing>
          <wp:anchor distT="0" distB="0" distL="114300" distR="114300" simplePos="0" relativeHeight="251663360" behindDoc="0" locked="0" layoutInCell="1" allowOverlap="1">
            <wp:simplePos x="0" y="0"/>
            <wp:positionH relativeFrom="column">
              <wp:posOffset>-400050</wp:posOffset>
            </wp:positionH>
            <wp:positionV relativeFrom="paragraph">
              <wp:posOffset>4562475</wp:posOffset>
            </wp:positionV>
            <wp:extent cx="6017260" cy="4143375"/>
            <wp:effectExtent l="0" t="0" r="2540" b="9525"/>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017260" cy="4143375"/>
                    </a:xfrm>
                    <a:prstGeom prst="rect">
                      <a:avLst/>
                    </a:prstGeom>
                  </pic:spPr>
                </pic:pic>
              </a:graphicData>
            </a:graphic>
          </wp:anchor>
        </w:drawing>
      </w:r>
      <w:r>
        <w:drawing>
          <wp:anchor distT="0" distB="0" distL="114300" distR="114300" simplePos="0" relativeHeight="251662336" behindDoc="1" locked="0" layoutInCell="1" allowOverlap="1">
            <wp:simplePos x="0" y="0"/>
            <wp:positionH relativeFrom="margin">
              <wp:posOffset>-371475</wp:posOffset>
            </wp:positionH>
            <wp:positionV relativeFrom="paragraph">
              <wp:posOffset>57150</wp:posOffset>
            </wp:positionV>
            <wp:extent cx="5867400" cy="4010025"/>
            <wp:effectExtent l="0" t="0" r="0" b="952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867400" cy="4010025"/>
                    </a:xfrm>
                    <a:prstGeom prst="rect">
                      <a:avLst/>
                    </a:prstGeom>
                  </pic:spPr>
                </pic:pic>
              </a:graphicData>
            </a:graphic>
          </wp:anchor>
        </w:drawing>
      </w:r>
    </w:p>
    <w:p w14:paraId="6BF2DDA7">
      <w:r>
        <w:rPr>
          <w:color w:val="FF0000"/>
        </w:rPr>
        <w:drawing>
          <wp:anchor distT="0" distB="0" distL="114300" distR="114300" simplePos="0" relativeHeight="251664384" behindDoc="1" locked="0" layoutInCell="1" allowOverlap="1">
            <wp:simplePos x="0" y="0"/>
            <wp:positionH relativeFrom="column">
              <wp:posOffset>-609600</wp:posOffset>
            </wp:positionH>
            <wp:positionV relativeFrom="paragraph">
              <wp:posOffset>148590</wp:posOffset>
            </wp:positionV>
            <wp:extent cx="6219825" cy="4133850"/>
            <wp:effectExtent l="0" t="0" r="9525" b="0"/>
            <wp:wrapTight wrapText="bothSides">
              <wp:wrapPolygon>
                <wp:start x="0" y="0"/>
                <wp:lineTo x="0" y="21500"/>
                <wp:lineTo x="21567" y="21500"/>
                <wp:lineTo x="21567" y="0"/>
                <wp:lineTo x="0" y="0"/>
              </wp:wrapPolygon>
            </wp:wrapTight>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219825" cy="4133850"/>
                    </a:xfrm>
                    <a:prstGeom prst="rect">
                      <a:avLst/>
                    </a:prstGeom>
                  </pic:spPr>
                </pic:pic>
              </a:graphicData>
            </a:graphic>
          </wp:anchor>
        </w:drawing>
      </w:r>
    </w:p>
    <w:p w14:paraId="7340AA0B">
      <w:pPr>
        <w:rPr>
          <w:rFonts w:cs="宋体" w:asciiTheme="minorEastAsia" w:hAnsiTheme="minorEastAsia" w:eastAsiaTheme="minorEastAsia"/>
          <w:sz w:val="28"/>
          <w:szCs w:val="28"/>
        </w:rPr>
      </w:pPr>
      <w:r>
        <w:drawing>
          <wp:anchor distT="0" distB="0" distL="114300" distR="114300" simplePos="0" relativeHeight="251665408" behindDoc="0" locked="0" layoutInCell="1" allowOverlap="1">
            <wp:simplePos x="0" y="0"/>
            <wp:positionH relativeFrom="margin">
              <wp:posOffset>-486410</wp:posOffset>
            </wp:positionH>
            <wp:positionV relativeFrom="paragraph">
              <wp:posOffset>671830</wp:posOffset>
            </wp:positionV>
            <wp:extent cx="5972175" cy="3305175"/>
            <wp:effectExtent l="0" t="0" r="9525" b="9525"/>
            <wp:wrapSquare wrapText="bothSides"/>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5972175" cy="3305175"/>
                    </a:xfrm>
                    <a:prstGeom prst="rect">
                      <a:avLst/>
                    </a:prstGeom>
                  </pic:spPr>
                </pic:pic>
              </a:graphicData>
            </a:graphic>
          </wp:anchor>
        </w:drawing>
      </w:r>
    </w:p>
    <w:p w14:paraId="3E501685">
      <w:pPr>
        <w:rPr>
          <w:rFonts w:cs="宋体" w:asciiTheme="minorEastAsia" w:hAnsiTheme="minorEastAsia" w:eastAsiaTheme="minorEastAsia"/>
          <w:sz w:val="28"/>
          <w:szCs w:val="28"/>
        </w:rPr>
      </w:pPr>
    </w:p>
    <w:p w14:paraId="505A8AB8"/>
    <w:p w14:paraId="6E25415D"/>
    <w:p w14:paraId="3D25AFA8">
      <w:r>
        <w:drawing>
          <wp:anchor distT="0" distB="0" distL="114300" distR="114300" simplePos="0" relativeHeight="251667456" behindDoc="0" locked="0" layoutInCell="1" allowOverlap="1">
            <wp:simplePos x="0" y="0"/>
            <wp:positionH relativeFrom="column">
              <wp:posOffset>0</wp:posOffset>
            </wp:positionH>
            <wp:positionV relativeFrom="paragraph">
              <wp:posOffset>194310</wp:posOffset>
            </wp:positionV>
            <wp:extent cx="5274310" cy="7216775"/>
            <wp:effectExtent l="0" t="0" r="2540" b="3175"/>
            <wp:wrapSquare wrapText="bothSides"/>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274310" cy="7216775"/>
                    </a:xfrm>
                    <a:prstGeom prst="rect">
                      <a:avLst/>
                    </a:prstGeom>
                  </pic:spPr>
                </pic:pic>
              </a:graphicData>
            </a:graphic>
          </wp:anchor>
        </w:drawing>
      </w:r>
    </w:p>
    <w:p w14:paraId="5AF00CDE"/>
    <w:p w14:paraId="5E18AAD5"/>
    <w:p w14:paraId="21BB0C1E"/>
    <w:p w14:paraId="24FD83AD"/>
    <w:p w14:paraId="45ADC22B"/>
    <w:p w14:paraId="0BA39EFA"/>
    <w:p w14:paraId="1EDEA594">
      <w:pPr>
        <w:rPr>
          <w:rFonts w:cs="宋体" w:asciiTheme="minorEastAsia" w:hAnsiTheme="minorEastAsia" w:eastAsiaTheme="minorEastAsia"/>
          <w:sz w:val="28"/>
          <w:szCs w:val="28"/>
        </w:rPr>
      </w:pPr>
      <w:r>
        <w:drawing>
          <wp:anchor distT="0" distB="0" distL="114300" distR="114300" simplePos="0" relativeHeight="251666432" behindDoc="0" locked="0" layoutInCell="1" allowOverlap="1">
            <wp:simplePos x="0" y="0"/>
            <wp:positionH relativeFrom="margin">
              <wp:align>left</wp:align>
            </wp:positionH>
            <wp:positionV relativeFrom="paragraph">
              <wp:posOffset>809625</wp:posOffset>
            </wp:positionV>
            <wp:extent cx="5343525" cy="3645535"/>
            <wp:effectExtent l="0" t="0" r="9525"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5343525" cy="3645535"/>
                    </a:xfrm>
                    <a:prstGeom prst="rect">
                      <a:avLst/>
                    </a:prstGeom>
                  </pic:spPr>
                </pic:pic>
              </a:graphicData>
            </a:graphic>
          </wp:anchor>
        </w:drawing>
      </w:r>
      <w:r>
        <w:rPr>
          <w:rFonts w:hint="eastAsia" w:cs="宋体" w:asciiTheme="minorEastAsia" w:hAnsiTheme="minorEastAsia" w:eastAsiaTheme="minorEastAsia"/>
          <w:sz w:val="28"/>
          <w:szCs w:val="28"/>
        </w:rPr>
        <w:t>沥青储罐道路</w:t>
      </w:r>
    </w:p>
    <w:p w14:paraId="584DB1F4">
      <w:pPr>
        <w:rPr>
          <w:rFonts w:cs="宋体" w:asciiTheme="minorEastAsia" w:hAnsiTheme="minorEastAsia" w:eastAsiaTheme="minorEastAsia"/>
          <w:sz w:val="28"/>
          <w:szCs w:val="28"/>
        </w:rPr>
      </w:pPr>
    </w:p>
    <w:p w14:paraId="0B81E1AB">
      <w:pPr>
        <w:rPr>
          <w:rFonts w:cs="宋体" w:asciiTheme="minorEastAsia" w:hAnsiTheme="minorEastAsia" w:eastAsiaTheme="minorEastAsia"/>
          <w:sz w:val="28"/>
          <w:szCs w:val="28"/>
        </w:rPr>
      </w:pPr>
    </w:p>
    <w:p w14:paraId="4637D1F6">
      <w:pPr>
        <w:rPr>
          <w:rFonts w:cs="宋体" w:asciiTheme="minorEastAsia" w:hAnsiTheme="minorEastAsia" w:eastAsiaTheme="minorEastAsia"/>
          <w:sz w:val="28"/>
          <w:szCs w:val="28"/>
        </w:rPr>
      </w:pPr>
    </w:p>
    <w:p w14:paraId="754E2D51">
      <w:pPr>
        <w:rPr>
          <w:rFonts w:cs="宋体" w:asciiTheme="minorEastAsia" w:hAnsiTheme="minorEastAsia" w:eastAsiaTheme="minorEastAsia"/>
          <w:sz w:val="28"/>
          <w:szCs w:val="28"/>
        </w:rPr>
      </w:pPr>
    </w:p>
    <w:p w14:paraId="413BE9D6">
      <w:pPr>
        <w:rPr>
          <w:rFonts w:cs="宋体" w:asciiTheme="minorEastAsia" w:hAnsiTheme="minorEastAsia" w:eastAsiaTheme="minorEastAsia"/>
          <w:sz w:val="28"/>
          <w:szCs w:val="28"/>
        </w:rPr>
      </w:pPr>
    </w:p>
    <w:p w14:paraId="77A843CE">
      <w:pPr>
        <w:rPr>
          <w:rFonts w:cs="宋体" w:asciiTheme="minorEastAsia" w:hAnsiTheme="minorEastAsia" w:eastAsiaTheme="minorEastAsia"/>
          <w:sz w:val="28"/>
          <w:szCs w:val="28"/>
        </w:rPr>
      </w:pPr>
    </w:p>
    <w:p w14:paraId="5FD05331">
      <w:pPr>
        <w:rPr>
          <w:rFonts w:cs="宋体" w:asciiTheme="minorEastAsia" w:hAnsiTheme="minorEastAsia" w:eastAsiaTheme="minorEastAsia"/>
          <w:sz w:val="28"/>
          <w:szCs w:val="28"/>
        </w:rPr>
      </w:pPr>
    </w:p>
    <w:p w14:paraId="26F77675">
      <w:pPr>
        <w:rPr>
          <w:rFonts w:cs="宋体" w:asciiTheme="minorEastAsia" w:hAnsiTheme="minorEastAsia" w:eastAsiaTheme="minorEastAsia"/>
          <w:sz w:val="28"/>
          <w:szCs w:val="28"/>
        </w:rPr>
      </w:pPr>
    </w:p>
    <w:p w14:paraId="7DFAA545">
      <w:pPr>
        <w:rPr>
          <w:rFonts w:cs="宋体" w:asciiTheme="minorEastAsia" w:hAnsiTheme="minorEastAsia" w:eastAsiaTheme="minorEastAsia"/>
          <w:sz w:val="28"/>
          <w:szCs w:val="28"/>
        </w:rPr>
      </w:pPr>
    </w:p>
    <w:p w14:paraId="2C74A2DE">
      <w:pPr>
        <w:rPr>
          <w:rFonts w:cs="宋体" w:asciiTheme="minorEastAsia" w:hAnsiTheme="minorEastAsia" w:eastAsiaTheme="minorEastAsia"/>
          <w:sz w:val="28"/>
          <w:szCs w:val="28"/>
        </w:rPr>
      </w:pPr>
    </w:p>
    <w:p w14:paraId="4DEC55E1">
      <w:pPr>
        <w:rPr>
          <w:rFonts w:cs="宋体" w:asciiTheme="minorEastAsia" w:hAnsiTheme="minorEastAsia" w:eastAsiaTheme="minorEastAsia"/>
          <w:sz w:val="28"/>
          <w:szCs w:val="28"/>
        </w:rPr>
      </w:pPr>
    </w:p>
    <w:p w14:paraId="00197CF7">
      <w:pPr>
        <w:rPr>
          <w:rFonts w:cs="宋体" w:asciiTheme="minorEastAsia" w:hAnsiTheme="minorEastAsia" w:eastAsiaTheme="minorEastAsia"/>
          <w:sz w:val="28"/>
          <w:szCs w:val="28"/>
        </w:rPr>
      </w:pPr>
      <w:r>
        <w:rPr>
          <w:rFonts w:hint="eastAsia" w:cs="宋体" w:asciiTheme="minorEastAsia" w:hAnsiTheme="minorEastAsia" w:eastAsiaTheme="minorEastAsia"/>
          <w:sz w:val="28"/>
          <w:szCs w:val="28"/>
        </w:rPr>
        <w:t>化学品库布置图</w:t>
      </w:r>
    </w:p>
    <w:p w14:paraId="0B38227E">
      <w:pPr>
        <w:ind w:firstLine="420" w:firstLineChars="200"/>
        <w:rPr>
          <w:rFonts w:cs="宋体" w:asciiTheme="minorEastAsia" w:hAnsiTheme="minorEastAsia" w:eastAsiaTheme="minorEastAsia"/>
          <w:sz w:val="28"/>
          <w:szCs w:val="28"/>
        </w:rPr>
      </w:pPr>
      <w:r>
        <w:drawing>
          <wp:anchor distT="0" distB="0" distL="114300" distR="114300" simplePos="0" relativeHeight="251668480" behindDoc="0" locked="0" layoutInCell="1" allowOverlap="1">
            <wp:simplePos x="0" y="0"/>
            <wp:positionH relativeFrom="column">
              <wp:posOffset>266700</wp:posOffset>
            </wp:positionH>
            <wp:positionV relativeFrom="paragraph">
              <wp:posOffset>590550</wp:posOffset>
            </wp:positionV>
            <wp:extent cx="4772025" cy="7248525"/>
            <wp:effectExtent l="0" t="0" r="9525" b="952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772025" cy="7248525"/>
                    </a:xfrm>
                    <a:prstGeom prst="rect">
                      <a:avLst/>
                    </a:prstGeom>
                  </pic:spPr>
                </pic:pic>
              </a:graphicData>
            </a:graphic>
          </wp:anchor>
        </w:drawing>
      </w:r>
    </w:p>
    <w:p w14:paraId="457755CE">
      <w:pPr>
        <w:rPr>
          <w:rFonts w:cs="宋体" w:asciiTheme="minorEastAsia" w:hAnsiTheme="minorEastAsia" w:eastAsiaTheme="minorEastAsia"/>
          <w:sz w:val="28"/>
          <w:szCs w:val="28"/>
        </w:rPr>
      </w:pPr>
    </w:p>
    <w:sectPr>
      <w:footerReference r:id="rId7"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49018345"/>
    </w:sdtPr>
    <w:sdtContent>
      <w:sdt>
        <w:sdtPr>
          <w:id w:val="-1669238322"/>
        </w:sdtPr>
        <w:sdtContent>
          <w:p w14:paraId="708B29D5">
            <w:pPr>
              <w:pStyle w:val="7"/>
              <w:jc w:val="center"/>
            </w:pPr>
            <w:r>
              <w:rPr>
                <w:b/>
                <w:bCs/>
                <w:sz w:val="24"/>
              </w:rPr>
              <w:fldChar w:fldCharType="begin"/>
            </w:r>
            <w:r>
              <w:rPr>
                <w:b/>
                <w:bCs/>
              </w:rPr>
              <w:instrText xml:space="preserve">PAGE</w:instrText>
            </w:r>
            <w:r>
              <w:rPr>
                <w:b/>
                <w:bCs/>
                <w:sz w:val="24"/>
              </w:rPr>
              <w:fldChar w:fldCharType="separate"/>
            </w:r>
            <w:r>
              <w:rPr>
                <w:b/>
                <w:bCs/>
              </w:rPr>
              <w:t>1</w:t>
            </w:r>
            <w:r>
              <w:rPr>
                <w:b/>
                <w:bCs/>
                <w:sz w:val="24"/>
              </w:rPr>
              <w:fldChar w:fldCharType="end"/>
            </w:r>
            <w:r>
              <w:rPr>
                <w:lang w:val="zh-CN"/>
              </w:rPr>
              <w:t xml:space="preserve"> / </w:t>
            </w:r>
            <w:r>
              <w:rPr>
                <w:rFonts w:hint="eastAsia"/>
                <w:b/>
                <w:bCs/>
                <w:sz w:val="24"/>
              </w:rPr>
              <w:t>11</w:t>
            </w:r>
          </w:p>
        </w:sdtContent>
      </w:sdt>
    </w:sdtContent>
  </w:sdt>
  <w:p w14:paraId="337E6837">
    <w:pPr>
      <w:pStyle w:val="7"/>
      <w:jc w:val="right"/>
      <w:rPr>
        <w:rFonts w:ascii="仿宋" w:hAnsi="仿宋" w:eastAsia="仿宋"/>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E4B88E">
    <w:pPr>
      <w:pStyle w:val="7"/>
    </w:pPr>
  </w:p>
  <w:p w14:paraId="67417132">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26BF42">
                          <w:pPr>
                            <w:pStyle w:val="7"/>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XFNEQ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lxTREMQIAAGMEAAAOAAAAAAAAAAEAIAAAAB8BAABkcnMvZTJvRG9jLnhtbFBLBQYA&#10;AAAABgAGAFkBAADCBQAAAAA=&#10;">
              <v:fill on="f" focussize="0,0"/>
              <v:stroke on="f" weight="0.5pt"/>
              <v:imagedata o:title=""/>
              <o:lock v:ext="edit" aspectratio="f"/>
              <v:textbox inset="0mm,0mm,0mm,0mm" style="mso-fit-shape-to-text:t;">
                <w:txbxContent>
                  <w:p w14:paraId="2A26BF42">
                    <w:pPr>
                      <w:pStyle w:val="7"/>
                    </w:pPr>
                    <w:r>
                      <w:rPr>
                        <w:rFonts w:hint="eastAsia"/>
                      </w:rPr>
                      <w:fldChar w:fldCharType="begin"/>
                    </w:r>
                    <w:r>
                      <w:rPr>
                        <w:rFonts w:hint="eastAsia"/>
                      </w:rPr>
                      <w:instrText xml:space="preserve"> PAGE  \* MERGEFORMAT </w:instrText>
                    </w:r>
                    <w:r>
                      <w:rPr>
                        <w:rFonts w:hint="eastAsia"/>
                      </w:rPr>
                      <w:fldChar w:fldCharType="separate"/>
                    </w:r>
                    <w:r>
                      <w:t>20</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EC1C87">
    <w:pPr>
      <w:pStyle w:val="8"/>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67409">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F9902D">
    <w:pPr>
      <w:pStyle w:val="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6"/>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Y1OWZkZTUwZjBlZDU4NDQxZjZmOTdjNzgzOGQyY2UifQ=="/>
  </w:docVars>
  <w:rsids>
    <w:rsidRoot w:val="00CD7DBA"/>
    <w:rsid w:val="00001806"/>
    <w:rsid w:val="00010757"/>
    <w:rsid w:val="00010C4D"/>
    <w:rsid w:val="00014067"/>
    <w:rsid w:val="00014466"/>
    <w:rsid w:val="00032D91"/>
    <w:rsid w:val="0004415B"/>
    <w:rsid w:val="00044460"/>
    <w:rsid w:val="000626B3"/>
    <w:rsid w:val="00075E30"/>
    <w:rsid w:val="00083EE6"/>
    <w:rsid w:val="00084E72"/>
    <w:rsid w:val="00091AFD"/>
    <w:rsid w:val="00095375"/>
    <w:rsid w:val="000A1E06"/>
    <w:rsid w:val="000C50F6"/>
    <w:rsid w:val="000C616F"/>
    <w:rsid w:val="000D0FBC"/>
    <w:rsid w:val="000D3CBB"/>
    <w:rsid w:val="000E0B03"/>
    <w:rsid w:val="000E7DA5"/>
    <w:rsid w:val="00106DC5"/>
    <w:rsid w:val="00112D45"/>
    <w:rsid w:val="00145E2E"/>
    <w:rsid w:val="001924F9"/>
    <w:rsid w:val="001A1C66"/>
    <w:rsid w:val="001A66FF"/>
    <w:rsid w:val="001E3E59"/>
    <w:rsid w:val="001F078A"/>
    <w:rsid w:val="002005A5"/>
    <w:rsid w:val="00202131"/>
    <w:rsid w:val="00220B53"/>
    <w:rsid w:val="002237B6"/>
    <w:rsid w:val="00234922"/>
    <w:rsid w:val="00234EFC"/>
    <w:rsid w:val="002508C6"/>
    <w:rsid w:val="0029068C"/>
    <w:rsid w:val="002926DC"/>
    <w:rsid w:val="002A2425"/>
    <w:rsid w:val="002F0915"/>
    <w:rsid w:val="002F1A76"/>
    <w:rsid w:val="00302308"/>
    <w:rsid w:val="003023A5"/>
    <w:rsid w:val="00313A06"/>
    <w:rsid w:val="0032511F"/>
    <w:rsid w:val="003402A2"/>
    <w:rsid w:val="00353E90"/>
    <w:rsid w:val="003562B5"/>
    <w:rsid w:val="00356586"/>
    <w:rsid w:val="00370930"/>
    <w:rsid w:val="003A2576"/>
    <w:rsid w:val="003A2848"/>
    <w:rsid w:val="003A453E"/>
    <w:rsid w:val="003B2AC0"/>
    <w:rsid w:val="003C4D7D"/>
    <w:rsid w:val="003D620C"/>
    <w:rsid w:val="003E33ED"/>
    <w:rsid w:val="003E739A"/>
    <w:rsid w:val="00404C23"/>
    <w:rsid w:val="00424047"/>
    <w:rsid w:val="00451EC0"/>
    <w:rsid w:val="00484B67"/>
    <w:rsid w:val="004C2FA8"/>
    <w:rsid w:val="004E1BBB"/>
    <w:rsid w:val="004E54E5"/>
    <w:rsid w:val="005123CC"/>
    <w:rsid w:val="005327CF"/>
    <w:rsid w:val="00533B18"/>
    <w:rsid w:val="00542FE3"/>
    <w:rsid w:val="00584E30"/>
    <w:rsid w:val="005976A5"/>
    <w:rsid w:val="005B5D1F"/>
    <w:rsid w:val="005B733D"/>
    <w:rsid w:val="005C6452"/>
    <w:rsid w:val="005D7D99"/>
    <w:rsid w:val="005F2102"/>
    <w:rsid w:val="005F3CAB"/>
    <w:rsid w:val="0060504D"/>
    <w:rsid w:val="00634600"/>
    <w:rsid w:val="006606C4"/>
    <w:rsid w:val="00663658"/>
    <w:rsid w:val="00680E6C"/>
    <w:rsid w:val="006961C6"/>
    <w:rsid w:val="006B75C6"/>
    <w:rsid w:val="006D15A0"/>
    <w:rsid w:val="006D7E3E"/>
    <w:rsid w:val="006F391C"/>
    <w:rsid w:val="00713876"/>
    <w:rsid w:val="00753044"/>
    <w:rsid w:val="00753E2C"/>
    <w:rsid w:val="00782B20"/>
    <w:rsid w:val="00784BF5"/>
    <w:rsid w:val="007854FB"/>
    <w:rsid w:val="007909B3"/>
    <w:rsid w:val="007977FB"/>
    <w:rsid w:val="007A6EBC"/>
    <w:rsid w:val="007B25E1"/>
    <w:rsid w:val="007B76FB"/>
    <w:rsid w:val="007E6661"/>
    <w:rsid w:val="0080366F"/>
    <w:rsid w:val="008149BD"/>
    <w:rsid w:val="00840B43"/>
    <w:rsid w:val="00846618"/>
    <w:rsid w:val="008553DA"/>
    <w:rsid w:val="00876DFA"/>
    <w:rsid w:val="008B3F3C"/>
    <w:rsid w:val="008D79FF"/>
    <w:rsid w:val="008F4D6A"/>
    <w:rsid w:val="009011D6"/>
    <w:rsid w:val="00927ADF"/>
    <w:rsid w:val="009307F9"/>
    <w:rsid w:val="00942314"/>
    <w:rsid w:val="009642CB"/>
    <w:rsid w:val="009655FC"/>
    <w:rsid w:val="009775F9"/>
    <w:rsid w:val="00980C9E"/>
    <w:rsid w:val="00981216"/>
    <w:rsid w:val="00995B83"/>
    <w:rsid w:val="009B1633"/>
    <w:rsid w:val="009C145A"/>
    <w:rsid w:val="009E320C"/>
    <w:rsid w:val="009E6B61"/>
    <w:rsid w:val="00A05970"/>
    <w:rsid w:val="00A079B9"/>
    <w:rsid w:val="00A1456B"/>
    <w:rsid w:val="00A240DB"/>
    <w:rsid w:val="00A32F0F"/>
    <w:rsid w:val="00A34964"/>
    <w:rsid w:val="00A742AB"/>
    <w:rsid w:val="00A8098A"/>
    <w:rsid w:val="00A968AE"/>
    <w:rsid w:val="00A96C11"/>
    <w:rsid w:val="00AA194C"/>
    <w:rsid w:val="00AA2301"/>
    <w:rsid w:val="00AA587C"/>
    <w:rsid w:val="00AC1F34"/>
    <w:rsid w:val="00AD3093"/>
    <w:rsid w:val="00AE4E2C"/>
    <w:rsid w:val="00AF37E3"/>
    <w:rsid w:val="00B21FF8"/>
    <w:rsid w:val="00B3579A"/>
    <w:rsid w:val="00B50D30"/>
    <w:rsid w:val="00B63DF4"/>
    <w:rsid w:val="00BA3A75"/>
    <w:rsid w:val="00BA4966"/>
    <w:rsid w:val="00BB180E"/>
    <w:rsid w:val="00BC07C9"/>
    <w:rsid w:val="00BD0756"/>
    <w:rsid w:val="00BE4125"/>
    <w:rsid w:val="00BE6E13"/>
    <w:rsid w:val="00BF7E0E"/>
    <w:rsid w:val="00C06E37"/>
    <w:rsid w:val="00C12079"/>
    <w:rsid w:val="00C23FA9"/>
    <w:rsid w:val="00C43FC5"/>
    <w:rsid w:val="00C556DF"/>
    <w:rsid w:val="00C56E77"/>
    <w:rsid w:val="00C76C54"/>
    <w:rsid w:val="00C820AF"/>
    <w:rsid w:val="00C87BD1"/>
    <w:rsid w:val="00CA2097"/>
    <w:rsid w:val="00CA6556"/>
    <w:rsid w:val="00CB40BE"/>
    <w:rsid w:val="00CD7DBA"/>
    <w:rsid w:val="00CF528B"/>
    <w:rsid w:val="00D03550"/>
    <w:rsid w:val="00D04813"/>
    <w:rsid w:val="00D142EA"/>
    <w:rsid w:val="00D22280"/>
    <w:rsid w:val="00D4052F"/>
    <w:rsid w:val="00D514D4"/>
    <w:rsid w:val="00D63FB6"/>
    <w:rsid w:val="00D657C6"/>
    <w:rsid w:val="00D90AED"/>
    <w:rsid w:val="00D956E7"/>
    <w:rsid w:val="00D95962"/>
    <w:rsid w:val="00DA42E3"/>
    <w:rsid w:val="00DB310A"/>
    <w:rsid w:val="00DB3B14"/>
    <w:rsid w:val="00DC643B"/>
    <w:rsid w:val="00DF465C"/>
    <w:rsid w:val="00E260E9"/>
    <w:rsid w:val="00E4379E"/>
    <w:rsid w:val="00E5091F"/>
    <w:rsid w:val="00E83F7B"/>
    <w:rsid w:val="00E8557B"/>
    <w:rsid w:val="00E920EE"/>
    <w:rsid w:val="00E94495"/>
    <w:rsid w:val="00E9772A"/>
    <w:rsid w:val="00EA1C04"/>
    <w:rsid w:val="00EA79C0"/>
    <w:rsid w:val="00ED1577"/>
    <w:rsid w:val="00EF1289"/>
    <w:rsid w:val="00EF2967"/>
    <w:rsid w:val="00F050BD"/>
    <w:rsid w:val="00F0714F"/>
    <w:rsid w:val="00F25278"/>
    <w:rsid w:val="00F4678E"/>
    <w:rsid w:val="00F74904"/>
    <w:rsid w:val="00F94197"/>
    <w:rsid w:val="00F950E2"/>
    <w:rsid w:val="00FA2DAB"/>
    <w:rsid w:val="00FA6164"/>
    <w:rsid w:val="00FB1BEC"/>
    <w:rsid w:val="00FB3D95"/>
    <w:rsid w:val="00FB6E58"/>
    <w:rsid w:val="00FC4998"/>
    <w:rsid w:val="00FE5B81"/>
    <w:rsid w:val="01415FED"/>
    <w:rsid w:val="0169058B"/>
    <w:rsid w:val="018121C5"/>
    <w:rsid w:val="01F308B4"/>
    <w:rsid w:val="023F3CC6"/>
    <w:rsid w:val="02BC4EC3"/>
    <w:rsid w:val="03C31A41"/>
    <w:rsid w:val="03C3508D"/>
    <w:rsid w:val="03D92CAA"/>
    <w:rsid w:val="03FB05A3"/>
    <w:rsid w:val="04432B99"/>
    <w:rsid w:val="048B271F"/>
    <w:rsid w:val="04FF2572"/>
    <w:rsid w:val="054F3CD8"/>
    <w:rsid w:val="055F34E0"/>
    <w:rsid w:val="056278B7"/>
    <w:rsid w:val="05A234AC"/>
    <w:rsid w:val="062672BC"/>
    <w:rsid w:val="06D216F5"/>
    <w:rsid w:val="072162AE"/>
    <w:rsid w:val="073D650E"/>
    <w:rsid w:val="076102BC"/>
    <w:rsid w:val="07885349"/>
    <w:rsid w:val="092C1600"/>
    <w:rsid w:val="0A00757A"/>
    <w:rsid w:val="0AA640BD"/>
    <w:rsid w:val="0AD57105"/>
    <w:rsid w:val="0ADE333D"/>
    <w:rsid w:val="0BBB619E"/>
    <w:rsid w:val="0C876C1E"/>
    <w:rsid w:val="0D8E0F6B"/>
    <w:rsid w:val="0E87054D"/>
    <w:rsid w:val="0E9921FA"/>
    <w:rsid w:val="0EB333D9"/>
    <w:rsid w:val="0F1D6405"/>
    <w:rsid w:val="0F4D428E"/>
    <w:rsid w:val="0F537A0E"/>
    <w:rsid w:val="0F652ED7"/>
    <w:rsid w:val="0FC422C0"/>
    <w:rsid w:val="0FDA7F15"/>
    <w:rsid w:val="0FDF63E7"/>
    <w:rsid w:val="0FE36517"/>
    <w:rsid w:val="101C0219"/>
    <w:rsid w:val="105F1333"/>
    <w:rsid w:val="10837A86"/>
    <w:rsid w:val="113E2C4A"/>
    <w:rsid w:val="11DE2C7A"/>
    <w:rsid w:val="11ED457B"/>
    <w:rsid w:val="12A3293B"/>
    <w:rsid w:val="12AC100A"/>
    <w:rsid w:val="13D524D1"/>
    <w:rsid w:val="144A4480"/>
    <w:rsid w:val="144B7729"/>
    <w:rsid w:val="146025BA"/>
    <w:rsid w:val="14876FFA"/>
    <w:rsid w:val="14B728C3"/>
    <w:rsid w:val="14B91DFF"/>
    <w:rsid w:val="14C162D5"/>
    <w:rsid w:val="14E9416E"/>
    <w:rsid w:val="15074C29"/>
    <w:rsid w:val="1560019A"/>
    <w:rsid w:val="156D50EF"/>
    <w:rsid w:val="15E42248"/>
    <w:rsid w:val="15EA1366"/>
    <w:rsid w:val="17F85766"/>
    <w:rsid w:val="18B44FD4"/>
    <w:rsid w:val="18E20A52"/>
    <w:rsid w:val="1A734B63"/>
    <w:rsid w:val="1A7C763E"/>
    <w:rsid w:val="1B3345CC"/>
    <w:rsid w:val="1B6A129A"/>
    <w:rsid w:val="1B9235B2"/>
    <w:rsid w:val="1BBD5B91"/>
    <w:rsid w:val="1BEE403F"/>
    <w:rsid w:val="1C571042"/>
    <w:rsid w:val="1C7A2888"/>
    <w:rsid w:val="1C932E6F"/>
    <w:rsid w:val="1CCD76D2"/>
    <w:rsid w:val="1CE02CD3"/>
    <w:rsid w:val="1CF87862"/>
    <w:rsid w:val="1D297100"/>
    <w:rsid w:val="1D476AE4"/>
    <w:rsid w:val="1D6E6980"/>
    <w:rsid w:val="1DCB77D2"/>
    <w:rsid w:val="1E105FB3"/>
    <w:rsid w:val="1E587645"/>
    <w:rsid w:val="1E6D336A"/>
    <w:rsid w:val="1EB235EC"/>
    <w:rsid w:val="1ED42768"/>
    <w:rsid w:val="1F233218"/>
    <w:rsid w:val="1F4E7056"/>
    <w:rsid w:val="1F7B488C"/>
    <w:rsid w:val="1F82424B"/>
    <w:rsid w:val="200A7012"/>
    <w:rsid w:val="204460BC"/>
    <w:rsid w:val="20575FE6"/>
    <w:rsid w:val="20A27B34"/>
    <w:rsid w:val="20D83D63"/>
    <w:rsid w:val="20DF4AAE"/>
    <w:rsid w:val="21326A8B"/>
    <w:rsid w:val="21C81D27"/>
    <w:rsid w:val="23120740"/>
    <w:rsid w:val="2359119E"/>
    <w:rsid w:val="2406556E"/>
    <w:rsid w:val="243F400A"/>
    <w:rsid w:val="248D1107"/>
    <w:rsid w:val="24A313FF"/>
    <w:rsid w:val="24B9606B"/>
    <w:rsid w:val="2524308A"/>
    <w:rsid w:val="252A5172"/>
    <w:rsid w:val="25E5278F"/>
    <w:rsid w:val="262E4532"/>
    <w:rsid w:val="26D65F40"/>
    <w:rsid w:val="26EC4611"/>
    <w:rsid w:val="270F46B4"/>
    <w:rsid w:val="2729402F"/>
    <w:rsid w:val="273A0EB2"/>
    <w:rsid w:val="28A1061A"/>
    <w:rsid w:val="294B1E82"/>
    <w:rsid w:val="298E1583"/>
    <w:rsid w:val="2A507D49"/>
    <w:rsid w:val="2B735A93"/>
    <w:rsid w:val="2C03034B"/>
    <w:rsid w:val="2CB7696A"/>
    <w:rsid w:val="2CE66352"/>
    <w:rsid w:val="2D4A064C"/>
    <w:rsid w:val="2D614683"/>
    <w:rsid w:val="2D776EA2"/>
    <w:rsid w:val="2DCB56A0"/>
    <w:rsid w:val="2DEB61A9"/>
    <w:rsid w:val="2E1026AE"/>
    <w:rsid w:val="2EF6149E"/>
    <w:rsid w:val="2F3C4168"/>
    <w:rsid w:val="2F4F4290"/>
    <w:rsid w:val="2F8E3424"/>
    <w:rsid w:val="2FD83474"/>
    <w:rsid w:val="2FD94800"/>
    <w:rsid w:val="30EE59A4"/>
    <w:rsid w:val="31D97104"/>
    <w:rsid w:val="322D3607"/>
    <w:rsid w:val="325C200C"/>
    <w:rsid w:val="326F7F01"/>
    <w:rsid w:val="32AA36DE"/>
    <w:rsid w:val="330D72E0"/>
    <w:rsid w:val="33466C3C"/>
    <w:rsid w:val="346C3EE2"/>
    <w:rsid w:val="34F60F74"/>
    <w:rsid w:val="35946E7E"/>
    <w:rsid w:val="35A960DF"/>
    <w:rsid w:val="361B0574"/>
    <w:rsid w:val="36A810D0"/>
    <w:rsid w:val="36B95F10"/>
    <w:rsid w:val="36CC3A09"/>
    <w:rsid w:val="372276BA"/>
    <w:rsid w:val="381D3890"/>
    <w:rsid w:val="39DD39DF"/>
    <w:rsid w:val="3A2250BB"/>
    <w:rsid w:val="3AFA4600"/>
    <w:rsid w:val="3B541666"/>
    <w:rsid w:val="3BDB3A06"/>
    <w:rsid w:val="3BF53684"/>
    <w:rsid w:val="3BF815C4"/>
    <w:rsid w:val="3CF124E2"/>
    <w:rsid w:val="3CF17995"/>
    <w:rsid w:val="3D311D74"/>
    <w:rsid w:val="3D8175CE"/>
    <w:rsid w:val="3DF65809"/>
    <w:rsid w:val="3E086558"/>
    <w:rsid w:val="3E3C5EE3"/>
    <w:rsid w:val="3EBE1A48"/>
    <w:rsid w:val="3EDB6419"/>
    <w:rsid w:val="3F042EB9"/>
    <w:rsid w:val="3F55799B"/>
    <w:rsid w:val="40926C05"/>
    <w:rsid w:val="410536B3"/>
    <w:rsid w:val="41773C8F"/>
    <w:rsid w:val="42055C16"/>
    <w:rsid w:val="422B2AEE"/>
    <w:rsid w:val="42F0051D"/>
    <w:rsid w:val="434B5134"/>
    <w:rsid w:val="43A0113F"/>
    <w:rsid w:val="440411EC"/>
    <w:rsid w:val="443611AF"/>
    <w:rsid w:val="444332A7"/>
    <w:rsid w:val="44544235"/>
    <w:rsid w:val="44E61E41"/>
    <w:rsid w:val="45747979"/>
    <w:rsid w:val="45BF6BF5"/>
    <w:rsid w:val="45CB2364"/>
    <w:rsid w:val="45F03A23"/>
    <w:rsid w:val="467973EF"/>
    <w:rsid w:val="46854567"/>
    <w:rsid w:val="472D3190"/>
    <w:rsid w:val="482B6E02"/>
    <w:rsid w:val="486C7164"/>
    <w:rsid w:val="498E05FA"/>
    <w:rsid w:val="49CC132B"/>
    <w:rsid w:val="49EA6088"/>
    <w:rsid w:val="49FF0A93"/>
    <w:rsid w:val="4A012118"/>
    <w:rsid w:val="4A237624"/>
    <w:rsid w:val="4AAF2446"/>
    <w:rsid w:val="4B813719"/>
    <w:rsid w:val="4BA53163"/>
    <w:rsid w:val="4C914D68"/>
    <w:rsid w:val="4CB54617"/>
    <w:rsid w:val="4CD67369"/>
    <w:rsid w:val="4D444BCF"/>
    <w:rsid w:val="4D810DF0"/>
    <w:rsid w:val="4D8B453C"/>
    <w:rsid w:val="4DAA4086"/>
    <w:rsid w:val="4E287D4A"/>
    <w:rsid w:val="4E582FE8"/>
    <w:rsid w:val="4E5C0505"/>
    <w:rsid w:val="4EB802AA"/>
    <w:rsid w:val="4F1D563E"/>
    <w:rsid w:val="4F97597B"/>
    <w:rsid w:val="4F9E161D"/>
    <w:rsid w:val="50D3215D"/>
    <w:rsid w:val="50FB1224"/>
    <w:rsid w:val="51395ECC"/>
    <w:rsid w:val="51762D2D"/>
    <w:rsid w:val="518A2F33"/>
    <w:rsid w:val="51940234"/>
    <w:rsid w:val="51E93507"/>
    <w:rsid w:val="52105D45"/>
    <w:rsid w:val="52361412"/>
    <w:rsid w:val="529C1496"/>
    <w:rsid w:val="53735AA9"/>
    <w:rsid w:val="538C1244"/>
    <w:rsid w:val="538C7790"/>
    <w:rsid w:val="53CA1994"/>
    <w:rsid w:val="53E748B3"/>
    <w:rsid w:val="53F66F9C"/>
    <w:rsid w:val="54AF4772"/>
    <w:rsid w:val="54E50A81"/>
    <w:rsid w:val="55A86563"/>
    <w:rsid w:val="55AA0507"/>
    <w:rsid w:val="55AB4E09"/>
    <w:rsid w:val="56066997"/>
    <w:rsid w:val="56204E97"/>
    <w:rsid w:val="562658BF"/>
    <w:rsid w:val="5664105A"/>
    <w:rsid w:val="568F71EB"/>
    <w:rsid w:val="56BF16F4"/>
    <w:rsid w:val="56C94201"/>
    <w:rsid w:val="576871EC"/>
    <w:rsid w:val="578F1043"/>
    <w:rsid w:val="57A74568"/>
    <w:rsid w:val="57AE1B74"/>
    <w:rsid w:val="57EB3A70"/>
    <w:rsid w:val="580841CF"/>
    <w:rsid w:val="58170A2D"/>
    <w:rsid w:val="5836041C"/>
    <w:rsid w:val="58614F9D"/>
    <w:rsid w:val="58694892"/>
    <w:rsid w:val="5874699A"/>
    <w:rsid w:val="59007F06"/>
    <w:rsid w:val="592F163F"/>
    <w:rsid w:val="595B4CAB"/>
    <w:rsid w:val="59982B7A"/>
    <w:rsid w:val="59A64A94"/>
    <w:rsid w:val="5A466551"/>
    <w:rsid w:val="5A6663D1"/>
    <w:rsid w:val="5B676C33"/>
    <w:rsid w:val="5BD22434"/>
    <w:rsid w:val="5C245F2D"/>
    <w:rsid w:val="5C31514E"/>
    <w:rsid w:val="5D942566"/>
    <w:rsid w:val="5E555B36"/>
    <w:rsid w:val="5EB0140A"/>
    <w:rsid w:val="5F165296"/>
    <w:rsid w:val="5F5E15DF"/>
    <w:rsid w:val="5FDE4B10"/>
    <w:rsid w:val="5FEF56B7"/>
    <w:rsid w:val="605A0D4F"/>
    <w:rsid w:val="60630F78"/>
    <w:rsid w:val="608311B3"/>
    <w:rsid w:val="60D17C26"/>
    <w:rsid w:val="6175132C"/>
    <w:rsid w:val="61A76F76"/>
    <w:rsid w:val="632F6D8D"/>
    <w:rsid w:val="63666DE4"/>
    <w:rsid w:val="63763263"/>
    <w:rsid w:val="63F474D6"/>
    <w:rsid w:val="64022F11"/>
    <w:rsid w:val="64127F68"/>
    <w:rsid w:val="64A658B4"/>
    <w:rsid w:val="658438A6"/>
    <w:rsid w:val="65BA6791"/>
    <w:rsid w:val="65DC55F2"/>
    <w:rsid w:val="65FE0D7D"/>
    <w:rsid w:val="66192228"/>
    <w:rsid w:val="665E67CF"/>
    <w:rsid w:val="6689125D"/>
    <w:rsid w:val="670404E8"/>
    <w:rsid w:val="670A089E"/>
    <w:rsid w:val="674A5491"/>
    <w:rsid w:val="67952A03"/>
    <w:rsid w:val="68030B8E"/>
    <w:rsid w:val="68A644ED"/>
    <w:rsid w:val="695E53DC"/>
    <w:rsid w:val="69666299"/>
    <w:rsid w:val="69990A16"/>
    <w:rsid w:val="69A27CF3"/>
    <w:rsid w:val="69B72765"/>
    <w:rsid w:val="69F21DC1"/>
    <w:rsid w:val="6A8038BD"/>
    <w:rsid w:val="6AC927D2"/>
    <w:rsid w:val="6B2B6519"/>
    <w:rsid w:val="6B432221"/>
    <w:rsid w:val="6C5342E8"/>
    <w:rsid w:val="6C8C6106"/>
    <w:rsid w:val="6C9758BD"/>
    <w:rsid w:val="6CC32BD6"/>
    <w:rsid w:val="6CDF3DBB"/>
    <w:rsid w:val="6CE67FA9"/>
    <w:rsid w:val="6CF37C26"/>
    <w:rsid w:val="6D965603"/>
    <w:rsid w:val="6DE049F7"/>
    <w:rsid w:val="6E4C745C"/>
    <w:rsid w:val="6E6F2976"/>
    <w:rsid w:val="6EA34324"/>
    <w:rsid w:val="6F5948D0"/>
    <w:rsid w:val="6FCF76EF"/>
    <w:rsid w:val="700F6161"/>
    <w:rsid w:val="71325A21"/>
    <w:rsid w:val="7162775D"/>
    <w:rsid w:val="718C4200"/>
    <w:rsid w:val="71A41319"/>
    <w:rsid w:val="71FC1880"/>
    <w:rsid w:val="72054D38"/>
    <w:rsid w:val="72191D24"/>
    <w:rsid w:val="72EB5ADE"/>
    <w:rsid w:val="732A0EB5"/>
    <w:rsid w:val="7375464E"/>
    <w:rsid w:val="738C51F4"/>
    <w:rsid w:val="73B50F1F"/>
    <w:rsid w:val="73C6787C"/>
    <w:rsid w:val="73C94991"/>
    <w:rsid w:val="73D825FA"/>
    <w:rsid w:val="74414C27"/>
    <w:rsid w:val="74C17626"/>
    <w:rsid w:val="74F01555"/>
    <w:rsid w:val="7523687F"/>
    <w:rsid w:val="756D5C94"/>
    <w:rsid w:val="75CB7753"/>
    <w:rsid w:val="75D56B65"/>
    <w:rsid w:val="75F20185"/>
    <w:rsid w:val="761A56E8"/>
    <w:rsid w:val="766F5BAC"/>
    <w:rsid w:val="769020E3"/>
    <w:rsid w:val="76EE4047"/>
    <w:rsid w:val="77B011CD"/>
    <w:rsid w:val="77B266B7"/>
    <w:rsid w:val="77F77C3E"/>
    <w:rsid w:val="78B77604"/>
    <w:rsid w:val="796629FE"/>
    <w:rsid w:val="79A457B5"/>
    <w:rsid w:val="7A326BFC"/>
    <w:rsid w:val="7A3479B7"/>
    <w:rsid w:val="7A6D72B5"/>
    <w:rsid w:val="7B1A696E"/>
    <w:rsid w:val="7B6D5E8D"/>
    <w:rsid w:val="7B7218F3"/>
    <w:rsid w:val="7B8D2250"/>
    <w:rsid w:val="7C55499E"/>
    <w:rsid w:val="7CA151DD"/>
    <w:rsid w:val="7CFD5C11"/>
    <w:rsid w:val="7D3511DF"/>
    <w:rsid w:val="7D9B6991"/>
    <w:rsid w:val="7DA02F51"/>
    <w:rsid w:val="7E1A1683"/>
    <w:rsid w:val="7E7B3106"/>
    <w:rsid w:val="7EBB6233"/>
    <w:rsid w:val="7F292A14"/>
    <w:rsid w:val="7FCF6B66"/>
    <w:rsid w:val="FF5E6853"/>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2"/>
    <w:basedOn w:val="1"/>
    <w:next w:val="1"/>
    <w:qFormat/>
    <w:uiPriority w:val="0"/>
    <w:pPr>
      <w:keepNext/>
      <w:keepLines/>
      <w:spacing w:before="260" w:after="260" w:line="416" w:lineRule="atLeast"/>
      <w:outlineLvl w:val="1"/>
    </w:pPr>
    <w:rPr>
      <w:rFonts w:ascii="宋体" w:hAnsi="Arial"/>
      <w:b/>
      <w:sz w:val="28"/>
    </w:rPr>
  </w:style>
  <w:style w:type="paragraph" w:styleId="3">
    <w:name w:val="heading 3"/>
    <w:basedOn w:val="1"/>
    <w:next w:val="1"/>
    <w:link w:val="18"/>
    <w:qFormat/>
    <w:uiPriority w:val="0"/>
    <w:pPr>
      <w:keepNext/>
      <w:keepLines/>
      <w:tabs>
        <w:tab w:val="left" w:pos="567"/>
      </w:tabs>
      <w:snapToGrid w:val="0"/>
      <w:spacing w:line="500" w:lineRule="exact"/>
      <w:outlineLvl w:val="2"/>
    </w:pPr>
    <w:rPr>
      <w:rFonts w:ascii="Times New Roman" w:hAnsi="Times New Roman"/>
      <w:b/>
      <w:bCs/>
      <w:sz w:val="24"/>
      <w:szCs w:val="32"/>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4">
    <w:name w:val="Body Text Indent"/>
    <w:basedOn w:val="1"/>
    <w:qFormat/>
    <w:uiPriority w:val="0"/>
    <w:pPr>
      <w:spacing w:line="360" w:lineRule="auto"/>
      <w:ind w:firstLine="576"/>
    </w:pPr>
    <w:rPr>
      <w:rFonts w:ascii="宋体"/>
      <w:sz w:val="28"/>
    </w:rPr>
  </w:style>
  <w:style w:type="paragraph" w:styleId="5">
    <w:name w:val="Date"/>
    <w:basedOn w:val="1"/>
    <w:next w:val="1"/>
    <w:qFormat/>
    <w:uiPriority w:val="0"/>
    <w:pPr>
      <w:adjustRightInd w:val="0"/>
      <w:spacing w:line="360" w:lineRule="atLeast"/>
      <w:textAlignment w:val="baseline"/>
    </w:pPr>
    <w:rPr>
      <w:rFonts w:ascii="宋体"/>
      <w:kern w:val="0"/>
      <w:sz w:val="28"/>
      <w:szCs w:val="20"/>
    </w:rPr>
  </w:style>
  <w:style w:type="paragraph" w:styleId="6">
    <w:name w:val="Balloon Text"/>
    <w:basedOn w:val="1"/>
    <w:link w:val="19"/>
    <w:qFormat/>
    <w:uiPriority w:val="0"/>
    <w:rPr>
      <w:sz w:val="18"/>
      <w:szCs w:val="18"/>
    </w:rPr>
  </w:style>
  <w:style w:type="paragraph" w:styleId="7">
    <w:name w:val="footer"/>
    <w:basedOn w:val="1"/>
    <w:link w:val="21"/>
    <w:qFormat/>
    <w:uiPriority w:val="99"/>
    <w:pPr>
      <w:tabs>
        <w:tab w:val="center" w:pos="4153"/>
        <w:tab w:val="right" w:pos="8306"/>
      </w:tabs>
      <w:snapToGrid w:val="0"/>
      <w:jc w:val="left"/>
    </w:pPr>
    <w:rPr>
      <w:sz w:val="18"/>
    </w:rPr>
  </w:style>
  <w:style w:type="paragraph" w:styleId="8">
    <w:name w:val="header"/>
    <w:basedOn w:val="1"/>
    <w:link w:val="20"/>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10">
    <w:name w:val="Body Text First Indent 2"/>
    <w:basedOn w:val="4"/>
    <w:qFormat/>
    <w:uiPriority w:val="0"/>
    <w:pPr>
      <w:ind w:firstLine="420"/>
    </w:pPr>
  </w:style>
  <w:style w:type="table" w:styleId="12">
    <w:name w:val="Table Grid"/>
    <w:basedOn w:val="1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4">
    <w:name w:val="Hyperlink"/>
    <w:basedOn w:val="13"/>
    <w:unhideWhenUsed/>
    <w:qFormat/>
    <w:uiPriority w:val="99"/>
    <w:rPr>
      <w:color w:val="0000FF"/>
      <w:u w:val="single"/>
    </w:rPr>
  </w:style>
  <w:style w:type="paragraph" w:customStyle="1" w:styleId="15">
    <w:name w:val="段"/>
    <w:qFormat/>
    <w:uiPriority w:val="0"/>
    <w:pPr>
      <w:ind w:firstLine="200" w:firstLineChars="200"/>
      <w:jc w:val="both"/>
    </w:pPr>
    <w:rPr>
      <w:rFonts w:ascii="宋体" w:hAnsi="Calibri" w:eastAsia="宋体" w:cs="Times New Roman"/>
      <w:sz w:val="21"/>
      <w:szCs w:val="22"/>
      <w:lang w:val="en-US" w:eastAsia="zh-CN" w:bidi="ar-SA"/>
    </w:rPr>
  </w:style>
  <w:style w:type="paragraph" w:styleId="16">
    <w:name w:val="List Paragraph"/>
    <w:basedOn w:val="1"/>
    <w:unhideWhenUsed/>
    <w:qFormat/>
    <w:uiPriority w:val="99"/>
    <w:pPr>
      <w:ind w:firstLine="420" w:firstLineChars="200"/>
    </w:pPr>
  </w:style>
  <w:style w:type="character" w:customStyle="1" w:styleId="17">
    <w:name w:val="标题 3 Char"/>
    <w:basedOn w:val="13"/>
    <w:semiHidden/>
    <w:qFormat/>
    <w:uiPriority w:val="0"/>
    <w:rPr>
      <w:rFonts w:ascii="Calibri" w:hAnsi="Calibri" w:eastAsia="宋体" w:cs="Times New Roman"/>
      <w:b/>
      <w:bCs/>
      <w:kern w:val="2"/>
      <w:sz w:val="32"/>
      <w:szCs w:val="32"/>
    </w:rPr>
  </w:style>
  <w:style w:type="character" w:customStyle="1" w:styleId="18">
    <w:name w:val="标题 3 Char1"/>
    <w:basedOn w:val="13"/>
    <w:link w:val="3"/>
    <w:qFormat/>
    <w:uiPriority w:val="0"/>
    <w:rPr>
      <w:rFonts w:ascii="Times New Roman" w:hAnsi="Times New Roman" w:eastAsia="宋体" w:cs="Times New Roman"/>
      <w:b/>
      <w:bCs/>
      <w:kern w:val="2"/>
      <w:sz w:val="24"/>
      <w:szCs w:val="32"/>
    </w:rPr>
  </w:style>
  <w:style w:type="character" w:customStyle="1" w:styleId="19">
    <w:name w:val="批注框文本 Char"/>
    <w:basedOn w:val="13"/>
    <w:link w:val="6"/>
    <w:qFormat/>
    <w:uiPriority w:val="0"/>
    <w:rPr>
      <w:rFonts w:ascii="Calibri" w:hAnsi="Calibri" w:eastAsia="宋体" w:cs="Times New Roman"/>
      <w:kern w:val="2"/>
      <w:sz w:val="18"/>
      <w:szCs w:val="18"/>
    </w:rPr>
  </w:style>
  <w:style w:type="character" w:customStyle="1" w:styleId="20">
    <w:name w:val="页眉 Char"/>
    <w:basedOn w:val="13"/>
    <w:link w:val="8"/>
    <w:qFormat/>
    <w:uiPriority w:val="99"/>
    <w:rPr>
      <w:rFonts w:ascii="Calibri" w:hAnsi="Calibri" w:eastAsia="宋体" w:cs="Times New Roman"/>
      <w:kern w:val="2"/>
      <w:sz w:val="18"/>
      <w:szCs w:val="24"/>
    </w:rPr>
  </w:style>
  <w:style w:type="character" w:customStyle="1" w:styleId="21">
    <w:name w:val="页脚 Char"/>
    <w:basedOn w:val="13"/>
    <w:link w:val="7"/>
    <w:qFormat/>
    <w:uiPriority w:val="99"/>
    <w:rPr>
      <w:rFonts w:ascii="Calibri" w:hAnsi="Calibri" w:eastAsia="宋体" w:cs="Times New Roman"/>
      <w:kern w:val="2"/>
      <w:sz w:val="18"/>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22</Pages>
  <Words>9984</Words>
  <Characters>11829</Characters>
  <Lines>92</Lines>
  <Paragraphs>26</Paragraphs>
  <TotalTime>587</TotalTime>
  <ScaleCrop>false</ScaleCrop>
  <LinksUpToDate>false</LinksUpToDate>
  <CharactersWithSpaces>12503</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2024-12-16T09:52:00Z</dcterms:created>
  <dc:creator>jiangniao</dc:creator>
  <cp:lastModifiedBy>李鹏程</cp:lastModifiedBy>
  <cp:lastPrinted>2025-09-25T08:52:00Z</cp:lastPrinted>
  <dcterms:modified xsi:type="dcterms:W3CDTF">2025-09-26T07:22:46Z</dcterms:modified>
  <cp:revision>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3DFB4F1A514041EF8BE904631A8550A3_13</vt:lpwstr>
  </property>
  <property fmtid="{D5CDD505-2E9C-101B-9397-08002B2CF9AE}" pid="4" name="KSOTemplateDocerSaveRecord">
    <vt:lpwstr>eyJoZGlkIjoiNGZjMjg5NWFmMmFjZTcxMzk0YmYzMzgxNzUxZDNmOWMiLCJ1c2VySWQiOiIxNTY5NDgyOTM2In0=</vt:lpwstr>
  </property>
</Properties>
</file>